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3FC5" w14:textId="1B645702" w:rsidR="00EE16D9" w:rsidRDefault="00EE16D9" w:rsidP="00B105FD">
      <w:pPr>
        <w:spacing w:line="360" w:lineRule="auto"/>
        <w:jc w:val="center"/>
        <w:rPr>
          <w:b/>
          <w:szCs w:val="24"/>
        </w:rPr>
      </w:pPr>
      <w:r w:rsidRPr="00CC63F7">
        <w:rPr>
          <w:b/>
          <w:szCs w:val="24"/>
        </w:rPr>
        <w:t>Supplementa</w:t>
      </w:r>
      <w:r w:rsidR="00070EAE">
        <w:rPr>
          <w:b/>
          <w:szCs w:val="24"/>
        </w:rPr>
        <w:t>ry</w:t>
      </w:r>
      <w:r w:rsidRPr="00CC63F7">
        <w:rPr>
          <w:b/>
          <w:szCs w:val="24"/>
        </w:rPr>
        <w:t xml:space="preserve"> Materials</w:t>
      </w:r>
    </w:p>
    <w:p w14:paraId="1FBC758A" w14:textId="77777777" w:rsidR="00F27F92" w:rsidRPr="00CC63F7" w:rsidRDefault="00F27F92" w:rsidP="00B105FD">
      <w:pPr>
        <w:spacing w:line="360" w:lineRule="auto"/>
        <w:jc w:val="center"/>
        <w:rPr>
          <w:b/>
          <w:szCs w:val="24"/>
        </w:rPr>
      </w:pPr>
    </w:p>
    <w:p w14:paraId="74C8E9C6" w14:textId="77777777" w:rsidR="00B038D1" w:rsidRPr="004D4D9F" w:rsidRDefault="00B038D1" w:rsidP="00B038D1">
      <w:pPr>
        <w:spacing w:line="480" w:lineRule="auto"/>
        <w:contextualSpacing/>
        <w:jc w:val="center"/>
        <w:rPr>
          <w:b/>
        </w:rPr>
      </w:pPr>
      <w:r w:rsidRPr="004D4D9F">
        <w:rPr>
          <w:b/>
        </w:rPr>
        <w:t xml:space="preserve">Are Prescription Misuse and Illicit Drug Use Etiologically Distinct? A Genetically-Informed Analysis of </w:t>
      </w:r>
      <w:r>
        <w:rPr>
          <w:b/>
        </w:rPr>
        <w:t>O</w:t>
      </w:r>
      <w:r w:rsidRPr="004D4D9F">
        <w:rPr>
          <w:b/>
        </w:rPr>
        <w:t xml:space="preserve">pioids and </w:t>
      </w:r>
      <w:r>
        <w:rPr>
          <w:b/>
        </w:rPr>
        <w:t>S</w:t>
      </w:r>
      <w:r w:rsidRPr="004D4D9F">
        <w:rPr>
          <w:b/>
        </w:rPr>
        <w:t>timulants</w:t>
      </w:r>
    </w:p>
    <w:p w14:paraId="5ABD569A" w14:textId="77777777" w:rsidR="00B038D1" w:rsidRPr="00EE695C" w:rsidRDefault="00B038D1" w:rsidP="00B038D1">
      <w:pPr>
        <w:spacing w:line="480" w:lineRule="auto"/>
        <w:contextualSpacing/>
        <w:jc w:val="center"/>
        <w:rPr>
          <w:rFonts w:eastAsia="Calibri"/>
          <w:b/>
        </w:rPr>
      </w:pPr>
    </w:p>
    <w:p w14:paraId="2CB02D96" w14:textId="77777777" w:rsidR="00B038D1" w:rsidRPr="007766FA" w:rsidRDefault="00B038D1" w:rsidP="00B038D1">
      <w:pPr>
        <w:spacing w:line="480" w:lineRule="auto"/>
        <w:contextualSpacing/>
        <w:jc w:val="center"/>
        <w:rPr>
          <w:rFonts w:eastAsia="Calibri"/>
        </w:rPr>
      </w:pPr>
      <w:r w:rsidRPr="007766FA">
        <w:rPr>
          <w:rFonts w:eastAsia="Calibri"/>
        </w:rPr>
        <w:t>Genevieve F. Dash</w:t>
      </w:r>
      <w:r w:rsidRPr="007766FA">
        <w:rPr>
          <w:rFonts w:eastAsia="Calibri"/>
          <w:vertAlign w:val="superscript"/>
        </w:rPr>
        <w:t>1</w:t>
      </w:r>
      <w:r w:rsidRPr="007766FA">
        <w:rPr>
          <w:rFonts w:eastAsia="Calibri"/>
        </w:rPr>
        <w:t>, Nicholas G. Martin</w:t>
      </w:r>
      <w:r w:rsidRPr="007766FA">
        <w:rPr>
          <w:rFonts w:eastAsia="Calibri"/>
          <w:vertAlign w:val="superscript"/>
        </w:rPr>
        <w:t>2</w:t>
      </w:r>
      <w:r w:rsidRPr="007766FA">
        <w:rPr>
          <w:rFonts w:eastAsia="Calibri"/>
        </w:rPr>
        <w:t xml:space="preserve">, </w:t>
      </w:r>
    </w:p>
    <w:p w14:paraId="7DD18C96" w14:textId="77777777" w:rsidR="00B038D1" w:rsidRDefault="00B038D1" w:rsidP="00B038D1">
      <w:pPr>
        <w:spacing w:line="480" w:lineRule="auto"/>
        <w:contextualSpacing/>
        <w:jc w:val="center"/>
        <w:rPr>
          <w:rFonts w:eastAsia="Calibri"/>
          <w:vertAlign w:val="superscript"/>
        </w:rPr>
      </w:pPr>
      <w:proofErr w:type="spellStart"/>
      <w:r w:rsidRPr="007766FA">
        <w:rPr>
          <w:rFonts w:eastAsia="Calibri"/>
        </w:rPr>
        <w:t>Arpana</w:t>
      </w:r>
      <w:proofErr w:type="spellEnd"/>
      <w:r w:rsidRPr="007766FA">
        <w:rPr>
          <w:rFonts w:eastAsia="Calibri"/>
        </w:rPr>
        <w:t xml:space="preserve"> Agrawal</w:t>
      </w:r>
      <w:r w:rsidRPr="007766FA">
        <w:rPr>
          <w:rFonts w:eastAsia="Calibri"/>
          <w:vertAlign w:val="superscript"/>
        </w:rPr>
        <w:t>3</w:t>
      </w:r>
      <w:r w:rsidRPr="007766FA">
        <w:rPr>
          <w:rFonts w:eastAsia="Calibri"/>
        </w:rPr>
        <w:t>, Michael T. Lynskey</w:t>
      </w:r>
      <w:r w:rsidRPr="007766FA">
        <w:rPr>
          <w:rFonts w:eastAsia="Calibri"/>
          <w:vertAlign w:val="superscript"/>
        </w:rPr>
        <w:t>4</w:t>
      </w:r>
      <w:r w:rsidRPr="007766FA">
        <w:rPr>
          <w:rFonts w:eastAsia="Calibri"/>
        </w:rPr>
        <w:t>, &amp; Wendy S. Slutske</w:t>
      </w:r>
      <w:r w:rsidRPr="007766FA">
        <w:rPr>
          <w:rFonts w:eastAsia="Calibri"/>
          <w:vertAlign w:val="superscript"/>
        </w:rPr>
        <w:t>1</w:t>
      </w:r>
    </w:p>
    <w:p w14:paraId="6B0B4010" w14:textId="77777777" w:rsidR="00B038D1" w:rsidRPr="007766FA" w:rsidRDefault="00B038D1" w:rsidP="00B038D1">
      <w:pPr>
        <w:spacing w:line="480" w:lineRule="auto"/>
        <w:contextualSpacing/>
        <w:jc w:val="center"/>
        <w:rPr>
          <w:rFonts w:eastAsia="Calibri"/>
          <w:vertAlign w:val="superscript"/>
        </w:rPr>
      </w:pPr>
    </w:p>
    <w:p w14:paraId="29A5A378" w14:textId="77777777" w:rsidR="00B038D1" w:rsidRPr="007766FA" w:rsidRDefault="00B038D1" w:rsidP="00B038D1">
      <w:pPr>
        <w:spacing w:line="480" w:lineRule="auto"/>
        <w:contextualSpacing/>
        <w:rPr>
          <w:rFonts w:eastAsia="Calibri"/>
          <w:vertAlign w:val="superscript"/>
        </w:rPr>
      </w:pPr>
      <w:r w:rsidRPr="007766FA">
        <w:rPr>
          <w:rFonts w:eastAsia="Calibri"/>
          <w:vertAlign w:val="superscript"/>
        </w:rPr>
        <w:t xml:space="preserve">1 </w:t>
      </w:r>
      <w:r w:rsidRPr="007766FA">
        <w:rPr>
          <w:rFonts w:eastAsia="Calibri"/>
        </w:rPr>
        <w:t>Department of Psychological Sciences, University of Missouri</w:t>
      </w:r>
      <w:r>
        <w:rPr>
          <w:rFonts w:eastAsia="Calibri"/>
        </w:rPr>
        <w:t>,</w:t>
      </w:r>
      <w:r w:rsidRPr="007766FA">
        <w:rPr>
          <w:rFonts w:eastAsia="Calibri"/>
        </w:rPr>
        <w:t xml:space="preserve"> Columbia</w:t>
      </w:r>
      <w:r>
        <w:rPr>
          <w:rFonts w:eastAsia="Calibri"/>
        </w:rPr>
        <w:t>, MO, USA</w:t>
      </w:r>
    </w:p>
    <w:p w14:paraId="527CFD99" w14:textId="77777777" w:rsidR="00B038D1" w:rsidRPr="007766FA" w:rsidRDefault="00B038D1" w:rsidP="00B038D1">
      <w:pPr>
        <w:spacing w:line="480" w:lineRule="auto"/>
        <w:contextualSpacing/>
        <w:rPr>
          <w:rFonts w:eastAsia="Calibri"/>
        </w:rPr>
      </w:pPr>
      <w:r w:rsidRPr="007766FA">
        <w:rPr>
          <w:rFonts w:eastAsia="Calibri"/>
          <w:vertAlign w:val="superscript"/>
        </w:rPr>
        <w:t xml:space="preserve">2 </w:t>
      </w:r>
      <w:r w:rsidRPr="007766FA">
        <w:rPr>
          <w:rFonts w:eastAsia="Calibri"/>
        </w:rPr>
        <w:t>Queensland Institute of Medical Research- Berghofer</w:t>
      </w:r>
      <w:r>
        <w:rPr>
          <w:rFonts w:eastAsia="Calibri"/>
        </w:rPr>
        <w:t>, Brisbane, QLD, Australia</w:t>
      </w:r>
    </w:p>
    <w:p w14:paraId="2019A99B" w14:textId="25C235B7" w:rsidR="00B038D1" w:rsidRPr="007766FA" w:rsidRDefault="00B038D1" w:rsidP="00B038D1">
      <w:pPr>
        <w:spacing w:line="480" w:lineRule="auto"/>
        <w:contextualSpacing/>
        <w:rPr>
          <w:rFonts w:eastAsia="Calibri"/>
        </w:rPr>
      </w:pPr>
      <w:r w:rsidRPr="007766FA">
        <w:rPr>
          <w:rFonts w:eastAsia="Calibri"/>
          <w:vertAlign w:val="superscript"/>
        </w:rPr>
        <w:t>3</w:t>
      </w:r>
      <w:r w:rsidR="008A0CC5">
        <w:rPr>
          <w:rFonts w:eastAsia="Calibri"/>
          <w:vertAlign w:val="superscript"/>
        </w:rPr>
        <w:t xml:space="preserve"> </w:t>
      </w:r>
      <w:r w:rsidRPr="007766FA">
        <w:rPr>
          <w:rFonts w:eastAsia="Calibri"/>
        </w:rPr>
        <w:t>School of Medicine, Washington University in St. Louis</w:t>
      </w:r>
      <w:r>
        <w:rPr>
          <w:rFonts w:eastAsia="Calibri"/>
        </w:rPr>
        <w:t>, St. Louis, MO, USA</w:t>
      </w:r>
    </w:p>
    <w:p w14:paraId="138C5CAE" w14:textId="26937171" w:rsidR="00B038D1" w:rsidRDefault="00B038D1" w:rsidP="00B038D1">
      <w:pPr>
        <w:spacing w:line="480" w:lineRule="auto"/>
        <w:contextualSpacing/>
        <w:rPr>
          <w:rFonts w:eastAsia="Calibri"/>
        </w:rPr>
      </w:pPr>
      <w:r w:rsidRPr="007766FA">
        <w:rPr>
          <w:rFonts w:eastAsia="Calibri"/>
          <w:vertAlign w:val="superscript"/>
        </w:rPr>
        <w:t>4</w:t>
      </w:r>
      <w:r w:rsidR="008A0CC5">
        <w:rPr>
          <w:rFonts w:eastAsia="Calibri"/>
          <w:vertAlign w:val="superscript"/>
        </w:rPr>
        <w:t xml:space="preserve"> </w:t>
      </w:r>
      <w:r w:rsidRPr="007766FA">
        <w:rPr>
          <w:rFonts w:eastAsia="Calibri"/>
        </w:rPr>
        <w:t xml:space="preserve">Institute of Psychiatry, </w:t>
      </w:r>
      <w:r>
        <w:rPr>
          <w:rFonts w:eastAsia="Calibri"/>
        </w:rPr>
        <w:t xml:space="preserve">Psychology &amp; Neuroscience, </w:t>
      </w:r>
      <w:r w:rsidRPr="007766FA">
        <w:rPr>
          <w:rFonts w:eastAsia="Calibri"/>
        </w:rPr>
        <w:t>King’s College London</w:t>
      </w:r>
      <w:r>
        <w:rPr>
          <w:rFonts w:eastAsia="Calibri"/>
        </w:rPr>
        <w:t>, London, UK</w:t>
      </w:r>
    </w:p>
    <w:p w14:paraId="220DA068" w14:textId="77777777" w:rsidR="00EE16D9" w:rsidRPr="00CC63F7" w:rsidRDefault="00EE16D9" w:rsidP="00B105FD">
      <w:pPr>
        <w:spacing w:line="360" w:lineRule="auto"/>
        <w:jc w:val="center"/>
        <w:rPr>
          <w:b/>
          <w:szCs w:val="24"/>
        </w:rPr>
      </w:pPr>
    </w:p>
    <w:p w14:paraId="7FCF77B7" w14:textId="77777777" w:rsidR="00EE16D9" w:rsidRPr="00CC63F7" w:rsidRDefault="00EE16D9" w:rsidP="00B105FD">
      <w:pPr>
        <w:spacing w:line="360" w:lineRule="auto"/>
        <w:jc w:val="center"/>
        <w:rPr>
          <w:b/>
          <w:szCs w:val="24"/>
        </w:rPr>
      </w:pPr>
      <w:r w:rsidRPr="00CC63F7">
        <w:rPr>
          <w:b/>
          <w:szCs w:val="24"/>
        </w:rPr>
        <w:t>Contents</w:t>
      </w:r>
    </w:p>
    <w:p w14:paraId="19A4697C" w14:textId="0AD9F6C6" w:rsidR="00A218BB" w:rsidRPr="00A218BB" w:rsidRDefault="00A218BB" w:rsidP="00A218BB">
      <w:pPr>
        <w:autoSpaceDE w:val="0"/>
        <w:autoSpaceDN w:val="0"/>
        <w:adjustRightInd w:val="0"/>
        <w:snapToGrid w:val="0"/>
        <w:spacing w:after="0" w:line="360" w:lineRule="auto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szCs w:val="24"/>
        </w:rPr>
        <w:t xml:space="preserve">Description on analytic approach. </w:t>
      </w:r>
      <w:r>
        <w:rPr>
          <w:rFonts w:eastAsia="Times New Roman" w:cs="Times New Roman"/>
          <w:i/>
          <w:szCs w:val="24"/>
        </w:rPr>
        <w:t>Biometric models in men and women.</w:t>
      </w:r>
    </w:p>
    <w:p w14:paraId="5BEBF3D0" w14:textId="7F5C02F1" w:rsidR="00B105FD" w:rsidRPr="00B105FD" w:rsidRDefault="00B105FD" w:rsidP="00A91DB2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i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Table S1. </w:t>
      </w:r>
      <w:r w:rsidR="00A91DB2" w:rsidRPr="00C57B42">
        <w:rPr>
          <w:rFonts w:eastAsia="Times New Roman" w:cs="Times New Roman"/>
          <w:i/>
          <w:color w:val="000000"/>
          <w:szCs w:val="24"/>
        </w:rPr>
        <w:t>Twin correlations of prescription misuse and illicit use in  men and women</w:t>
      </w:r>
    </w:p>
    <w:p w14:paraId="7610E1F8" w14:textId="3A0B3E3E" w:rsidR="00DD104C" w:rsidRDefault="00EE16D9" w:rsidP="00A91DB2">
      <w:pPr>
        <w:autoSpaceDE w:val="0"/>
        <w:autoSpaceDN w:val="0"/>
        <w:adjustRightInd w:val="0"/>
        <w:snapToGrid w:val="0"/>
        <w:spacing w:after="0" w:line="360" w:lineRule="auto"/>
        <w:rPr>
          <w:rFonts w:eastAsia="Times New Roman" w:cs="Times New Roman"/>
          <w:i/>
          <w:szCs w:val="24"/>
        </w:rPr>
      </w:pPr>
      <w:r w:rsidRPr="00CC63F7">
        <w:rPr>
          <w:rFonts w:eastAsia="Times New Roman"/>
          <w:color w:val="000000"/>
          <w:szCs w:val="24"/>
        </w:rPr>
        <w:t>Table S</w:t>
      </w:r>
      <w:r w:rsidR="00157C97">
        <w:rPr>
          <w:rFonts w:eastAsia="Times New Roman"/>
          <w:color w:val="000000"/>
          <w:szCs w:val="24"/>
        </w:rPr>
        <w:t>2</w:t>
      </w:r>
      <w:r w:rsidRPr="00CC63F7">
        <w:rPr>
          <w:rFonts w:eastAsia="Times New Roman"/>
          <w:color w:val="000000"/>
          <w:szCs w:val="24"/>
        </w:rPr>
        <w:t xml:space="preserve">. </w:t>
      </w:r>
      <w:r w:rsidR="00A91DB2" w:rsidRPr="00984108">
        <w:rPr>
          <w:rFonts w:eastAsia="Times New Roman" w:cs="Times New Roman"/>
          <w:i/>
          <w:szCs w:val="24"/>
        </w:rPr>
        <w:t>Twin correlations between three forms of stimulant drug use</w:t>
      </w:r>
      <w:r w:rsidR="00A91DB2">
        <w:rPr>
          <w:rFonts w:eastAsia="Times New Roman" w:cs="Times New Roman"/>
          <w:i/>
          <w:szCs w:val="24"/>
        </w:rPr>
        <w:t xml:space="preserve"> in men and women</w:t>
      </w:r>
    </w:p>
    <w:p w14:paraId="3EA7758C" w14:textId="77777777" w:rsidR="00A91DB2" w:rsidRDefault="00EE16D9" w:rsidP="00A91DB2">
      <w:pPr>
        <w:tabs>
          <w:tab w:val="left" w:pos="10255"/>
        </w:tabs>
        <w:spacing w:after="0" w:line="360" w:lineRule="auto"/>
        <w:rPr>
          <w:rFonts w:eastAsia="Calibri"/>
          <w:i/>
          <w:sz w:val="23"/>
          <w:szCs w:val="23"/>
        </w:rPr>
      </w:pPr>
      <w:r w:rsidRPr="00CC63F7">
        <w:rPr>
          <w:rFonts w:eastAsia="Calibri"/>
          <w:szCs w:val="24"/>
        </w:rPr>
        <w:t>Table S</w:t>
      </w:r>
      <w:r w:rsidR="00157C97">
        <w:rPr>
          <w:rFonts w:eastAsia="Calibri"/>
          <w:szCs w:val="24"/>
        </w:rPr>
        <w:t>3</w:t>
      </w:r>
      <w:r w:rsidRPr="00CC63F7">
        <w:rPr>
          <w:rFonts w:eastAsia="Calibri"/>
          <w:szCs w:val="24"/>
        </w:rPr>
        <w:t xml:space="preserve">. </w:t>
      </w:r>
      <w:r w:rsidR="00A91DB2" w:rsidRPr="0027639E">
        <w:rPr>
          <w:rFonts w:eastAsia="Calibri"/>
          <w:i/>
          <w:sz w:val="23"/>
          <w:szCs w:val="23"/>
        </w:rPr>
        <w:t xml:space="preserve">Variation in opioid use propensity attributable to 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>attributable to additive genetic (a</w:t>
      </w:r>
      <w:r w:rsidR="00A91DB2" w:rsidRPr="008F79EF">
        <w:rPr>
          <w:rFonts w:eastAsia="Calibri" w:cs="Times New Roman"/>
          <w:i/>
          <w:color w:val="000000" w:themeColor="text1"/>
          <w:szCs w:val="24"/>
          <w:vertAlign w:val="superscript"/>
        </w:rPr>
        <w:t>2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 xml:space="preserve">), </w:t>
      </w:r>
      <w:r w:rsidR="00A91DB2">
        <w:rPr>
          <w:rFonts w:eastAsia="Calibri" w:cs="Times New Roman"/>
          <w:i/>
          <w:color w:val="000000" w:themeColor="text1"/>
          <w:szCs w:val="24"/>
        </w:rPr>
        <w:t>shared environmental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 xml:space="preserve"> (c</w:t>
      </w:r>
      <w:r w:rsidR="00A91DB2" w:rsidRPr="008F79EF">
        <w:rPr>
          <w:rFonts w:eastAsia="Calibri" w:cs="Times New Roman"/>
          <w:i/>
          <w:color w:val="000000" w:themeColor="text1"/>
          <w:szCs w:val="24"/>
          <w:vertAlign w:val="superscript"/>
        </w:rPr>
        <w:t>2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 xml:space="preserve">), and </w:t>
      </w:r>
      <w:r w:rsidR="00A91DB2">
        <w:rPr>
          <w:rFonts w:eastAsia="Calibri" w:cs="Times New Roman"/>
          <w:i/>
          <w:color w:val="000000" w:themeColor="text1"/>
          <w:szCs w:val="24"/>
        </w:rPr>
        <w:t>unique environmental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 xml:space="preserve"> (e</w:t>
      </w:r>
      <w:r w:rsidR="00A91DB2" w:rsidRPr="008F79EF">
        <w:rPr>
          <w:rFonts w:eastAsia="Calibri" w:cs="Times New Roman"/>
          <w:i/>
          <w:color w:val="000000" w:themeColor="text1"/>
          <w:szCs w:val="24"/>
          <w:vertAlign w:val="superscript"/>
        </w:rPr>
        <w:t>2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>)</w:t>
      </w:r>
      <w:r w:rsidR="00A91DB2">
        <w:rPr>
          <w:rFonts w:eastAsia="Calibri" w:cs="Times New Roman"/>
          <w:i/>
          <w:color w:val="000000" w:themeColor="text1"/>
          <w:szCs w:val="24"/>
        </w:rPr>
        <w:t xml:space="preserve"> 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>factors</w:t>
      </w:r>
      <w:r w:rsidR="00A91DB2">
        <w:rPr>
          <w:rFonts w:eastAsia="Calibri" w:cs="Times New Roman"/>
          <w:i/>
          <w:color w:val="000000" w:themeColor="text1"/>
          <w:szCs w:val="24"/>
        </w:rPr>
        <w:t xml:space="preserve"> in men and women</w:t>
      </w:r>
    </w:p>
    <w:p w14:paraId="13D51881" w14:textId="3CB7CBF3" w:rsidR="00DD104C" w:rsidRPr="00A91DB2" w:rsidRDefault="00A91DB2" w:rsidP="00A91DB2">
      <w:pPr>
        <w:tabs>
          <w:tab w:val="left" w:pos="10255"/>
        </w:tabs>
        <w:spacing w:after="0" w:line="360" w:lineRule="auto"/>
        <w:rPr>
          <w:rFonts w:eastAsia="Calibri"/>
          <w:i/>
          <w:szCs w:val="23"/>
        </w:rPr>
      </w:pPr>
      <w:r w:rsidRPr="00A91DB2">
        <w:rPr>
          <w:rFonts w:eastAsia="Times New Roman"/>
          <w:color w:val="000000"/>
          <w:szCs w:val="24"/>
        </w:rPr>
        <w:t>Table S4.</w:t>
      </w:r>
      <w:r>
        <w:rPr>
          <w:rFonts w:eastAsia="Times New Roman"/>
          <w:i/>
          <w:color w:val="000000"/>
          <w:szCs w:val="24"/>
        </w:rPr>
        <w:t xml:space="preserve"> </w:t>
      </w:r>
      <w:r w:rsidRPr="0092047D">
        <w:rPr>
          <w:rFonts w:eastAsia="Calibri"/>
          <w:i/>
          <w:szCs w:val="23"/>
        </w:rPr>
        <w:t xml:space="preserve">Variation in stimulant use propensity </w:t>
      </w:r>
      <w:r w:rsidRPr="008F79EF">
        <w:rPr>
          <w:rFonts w:eastAsia="Calibri" w:cs="Times New Roman"/>
          <w:i/>
          <w:color w:val="000000" w:themeColor="text1"/>
          <w:szCs w:val="24"/>
        </w:rPr>
        <w:t xml:space="preserve"> attributable to additive genetic (a</w:t>
      </w:r>
      <w:r w:rsidRPr="008F79EF">
        <w:rPr>
          <w:rFonts w:eastAsia="Calibri" w:cs="Times New Roman"/>
          <w:i/>
          <w:color w:val="000000" w:themeColor="text1"/>
          <w:szCs w:val="24"/>
          <w:vertAlign w:val="superscript"/>
        </w:rPr>
        <w:t>2</w:t>
      </w:r>
      <w:r w:rsidRPr="008F79EF">
        <w:rPr>
          <w:rFonts w:eastAsia="Calibri" w:cs="Times New Roman"/>
          <w:i/>
          <w:color w:val="000000" w:themeColor="text1"/>
          <w:szCs w:val="24"/>
        </w:rPr>
        <w:t xml:space="preserve">), </w:t>
      </w:r>
      <w:r>
        <w:rPr>
          <w:rFonts w:eastAsia="Calibri" w:cs="Times New Roman"/>
          <w:i/>
          <w:color w:val="000000" w:themeColor="text1"/>
          <w:szCs w:val="24"/>
        </w:rPr>
        <w:t>shared environmental</w:t>
      </w:r>
      <w:r w:rsidRPr="008F79EF">
        <w:rPr>
          <w:rFonts w:eastAsia="Calibri" w:cs="Times New Roman"/>
          <w:i/>
          <w:color w:val="000000" w:themeColor="text1"/>
          <w:szCs w:val="24"/>
        </w:rPr>
        <w:t xml:space="preserve"> (c</w:t>
      </w:r>
      <w:r w:rsidRPr="008F79EF">
        <w:rPr>
          <w:rFonts w:eastAsia="Calibri" w:cs="Times New Roman"/>
          <w:i/>
          <w:color w:val="000000" w:themeColor="text1"/>
          <w:szCs w:val="24"/>
          <w:vertAlign w:val="superscript"/>
        </w:rPr>
        <w:t>2</w:t>
      </w:r>
      <w:r w:rsidRPr="008F79EF">
        <w:rPr>
          <w:rFonts w:eastAsia="Calibri" w:cs="Times New Roman"/>
          <w:i/>
          <w:color w:val="000000" w:themeColor="text1"/>
          <w:szCs w:val="24"/>
        </w:rPr>
        <w:t xml:space="preserve">), and </w:t>
      </w:r>
      <w:r>
        <w:rPr>
          <w:rFonts w:eastAsia="Calibri" w:cs="Times New Roman"/>
          <w:i/>
          <w:color w:val="000000" w:themeColor="text1"/>
          <w:szCs w:val="24"/>
        </w:rPr>
        <w:t>unique environmental</w:t>
      </w:r>
      <w:r w:rsidRPr="008F79EF">
        <w:rPr>
          <w:rFonts w:eastAsia="Calibri" w:cs="Times New Roman"/>
          <w:i/>
          <w:color w:val="000000" w:themeColor="text1"/>
          <w:szCs w:val="24"/>
        </w:rPr>
        <w:t xml:space="preserve"> (e</w:t>
      </w:r>
      <w:r w:rsidRPr="008F79EF">
        <w:rPr>
          <w:rFonts w:eastAsia="Calibri" w:cs="Times New Roman"/>
          <w:i/>
          <w:color w:val="000000" w:themeColor="text1"/>
          <w:szCs w:val="24"/>
          <w:vertAlign w:val="superscript"/>
        </w:rPr>
        <w:t>2</w:t>
      </w:r>
      <w:r w:rsidRPr="008F79EF">
        <w:rPr>
          <w:rFonts w:eastAsia="Calibri" w:cs="Times New Roman"/>
          <w:i/>
          <w:color w:val="000000" w:themeColor="text1"/>
          <w:szCs w:val="24"/>
        </w:rPr>
        <w:t>)</w:t>
      </w:r>
      <w:r>
        <w:rPr>
          <w:rFonts w:eastAsia="Calibri" w:cs="Times New Roman"/>
          <w:i/>
          <w:color w:val="000000" w:themeColor="text1"/>
          <w:szCs w:val="24"/>
        </w:rPr>
        <w:t xml:space="preserve"> </w:t>
      </w:r>
      <w:r w:rsidRPr="008F79EF">
        <w:rPr>
          <w:rFonts w:eastAsia="Calibri" w:cs="Times New Roman"/>
          <w:i/>
          <w:color w:val="000000" w:themeColor="text1"/>
          <w:szCs w:val="24"/>
        </w:rPr>
        <w:t>factors</w:t>
      </w:r>
      <w:r>
        <w:rPr>
          <w:rFonts w:eastAsia="Calibri" w:cs="Times New Roman"/>
          <w:i/>
          <w:color w:val="000000" w:themeColor="text1"/>
          <w:szCs w:val="24"/>
        </w:rPr>
        <w:t xml:space="preserve"> in men and women</w:t>
      </w:r>
    </w:p>
    <w:p w14:paraId="3840ACA1" w14:textId="77777777" w:rsidR="00A91DB2" w:rsidRDefault="00EE16D9" w:rsidP="00A91DB2">
      <w:pPr>
        <w:widowControl w:val="0"/>
        <w:autoSpaceDE w:val="0"/>
        <w:autoSpaceDN w:val="0"/>
        <w:adjustRightInd w:val="0"/>
        <w:spacing w:after="0" w:line="360" w:lineRule="auto"/>
        <w:rPr>
          <w:i/>
          <w:szCs w:val="24"/>
        </w:rPr>
      </w:pPr>
      <w:r w:rsidRPr="00CC63F7">
        <w:rPr>
          <w:szCs w:val="24"/>
        </w:rPr>
        <w:t>Figure S</w:t>
      </w:r>
      <w:r w:rsidR="0015263E" w:rsidRPr="00CC63F7">
        <w:rPr>
          <w:szCs w:val="24"/>
        </w:rPr>
        <w:t>1</w:t>
      </w:r>
      <w:r w:rsidRPr="00CC63F7">
        <w:rPr>
          <w:szCs w:val="24"/>
        </w:rPr>
        <w:t xml:space="preserve">. </w:t>
      </w:r>
      <w:r w:rsidRPr="00CC63F7">
        <w:rPr>
          <w:i/>
          <w:szCs w:val="24"/>
        </w:rPr>
        <w:t xml:space="preserve">Prevalence of disaggregated </w:t>
      </w:r>
      <w:r w:rsidR="00061580" w:rsidRPr="00CC63F7">
        <w:rPr>
          <w:i/>
          <w:szCs w:val="24"/>
        </w:rPr>
        <w:t xml:space="preserve">illicit </w:t>
      </w:r>
      <w:r w:rsidRPr="00CC63F7">
        <w:rPr>
          <w:i/>
          <w:szCs w:val="24"/>
        </w:rPr>
        <w:t>opioid and stimulant use in the full sample, men, and women</w:t>
      </w:r>
    </w:p>
    <w:p w14:paraId="7D623C7F" w14:textId="1B0C0C4D" w:rsidR="00A91DB2" w:rsidRPr="00A91DB2" w:rsidRDefault="006032AF" w:rsidP="00A91DB2">
      <w:pPr>
        <w:widowControl w:val="0"/>
        <w:autoSpaceDE w:val="0"/>
        <w:autoSpaceDN w:val="0"/>
        <w:adjustRightInd w:val="0"/>
        <w:spacing w:after="0" w:line="360" w:lineRule="auto"/>
        <w:rPr>
          <w:i/>
          <w:szCs w:val="24"/>
        </w:rPr>
      </w:pPr>
      <w:r w:rsidRPr="00CC63F7">
        <w:rPr>
          <w:szCs w:val="24"/>
        </w:rPr>
        <w:t>Figure S</w:t>
      </w:r>
      <w:r>
        <w:rPr>
          <w:szCs w:val="24"/>
        </w:rPr>
        <w:t>2</w:t>
      </w:r>
      <w:r w:rsidRPr="00CC63F7">
        <w:rPr>
          <w:szCs w:val="24"/>
        </w:rPr>
        <w:t xml:space="preserve">. </w:t>
      </w:r>
      <w:r w:rsidR="00A91DB2" w:rsidRPr="007F7A0E">
        <w:rPr>
          <w:rFonts w:eastAsia="Calibri"/>
          <w:i/>
        </w:rPr>
        <w:t xml:space="preserve">Variation in opioid </w:t>
      </w:r>
      <w:r w:rsidR="00A91DB2">
        <w:rPr>
          <w:rFonts w:eastAsia="Calibri"/>
          <w:i/>
        </w:rPr>
        <w:t xml:space="preserve">and stimulant </w:t>
      </w:r>
      <w:r w:rsidR="00A91DB2" w:rsidRPr="0092047D">
        <w:rPr>
          <w:rFonts w:eastAsia="Calibri"/>
          <w:i/>
          <w:szCs w:val="23"/>
        </w:rPr>
        <w:t xml:space="preserve">use propensity 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 xml:space="preserve"> attributable to additive genetic (a</w:t>
      </w:r>
      <w:r w:rsidR="00A91DB2" w:rsidRPr="008F79EF">
        <w:rPr>
          <w:rFonts w:eastAsia="Calibri" w:cs="Times New Roman"/>
          <w:i/>
          <w:color w:val="000000" w:themeColor="text1"/>
          <w:szCs w:val="24"/>
          <w:vertAlign w:val="superscript"/>
        </w:rPr>
        <w:t>2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 xml:space="preserve">), </w:t>
      </w:r>
      <w:r w:rsidR="00A91DB2">
        <w:rPr>
          <w:rFonts w:eastAsia="Calibri" w:cs="Times New Roman"/>
          <w:i/>
          <w:color w:val="000000" w:themeColor="text1"/>
          <w:szCs w:val="24"/>
        </w:rPr>
        <w:t>shared environmental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 xml:space="preserve"> (c</w:t>
      </w:r>
      <w:r w:rsidR="00A91DB2" w:rsidRPr="008F79EF">
        <w:rPr>
          <w:rFonts w:eastAsia="Calibri" w:cs="Times New Roman"/>
          <w:i/>
          <w:color w:val="000000" w:themeColor="text1"/>
          <w:szCs w:val="24"/>
          <w:vertAlign w:val="superscript"/>
        </w:rPr>
        <w:t>2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 xml:space="preserve">), and </w:t>
      </w:r>
      <w:r w:rsidR="00A91DB2">
        <w:rPr>
          <w:rFonts w:eastAsia="Calibri" w:cs="Times New Roman"/>
          <w:i/>
          <w:color w:val="000000" w:themeColor="text1"/>
          <w:szCs w:val="24"/>
        </w:rPr>
        <w:t>unique environmental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 xml:space="preserve"> (e</w:t>
      </w:r>
      <w:r w:rsidR="00A91DB2" w:rsidRPr="008F79EF">
        <w:rPr>
          <w:rFonts w:eastAsia="Calibri" w:cs="Times New Roman"/>
          <w:i/>
          <w:color w:val="000000" w:themeColor="text1"/>
          <w:szCs w:val="24"/>
          <w:vertAlign w:val="superscript"/>
        </w:rPr>
        <w:t>2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>)</w:t>
      </w:r>
      <w:r w:rsidR="00A91DB2">
        <w:rPr>
          <w:rFonts w:eastAsia="Calibri" w:cs="Times New Roman"/>
          <w:i/>
          <w:color w:val="000000" w:themeColor="text1"/>
          <w:szCs w:val="24"/>
        </w:rPr>
        <w:t xml:space="preserve"> 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>factors</w:t>
      </w:r>
      <w:r w:rsidR="00A91DB2">
        <w:rPr>
          <w:rFonts w:eastAsia="Calibri" w:cs="Times New Roman"/>
          <w:i/>
          <w:color w:val="000000" w:themeColor="text1"/>
          <w:szCs w:val="24"/>
        </w:rPr>
        <w:t xml:space="preserve"> in men (a) and women (b)</w:t>
      </w:r>
    </w:p>
    <w:p w14:paraId="648D4CD8" w14:textId="77777777" w:rsidR="00A218BB" w:rsidRDefault="00A218BB" w:rsidP="006032AF">
      <w:pPr>
        <w:rPr>
          <w:rFonts w:eastAsia="Calibri"/>
          <w:i/>
        </w:rPr>
        <w:sectPr w:rsidR="00A218BB" w:rsidSect="006A07BF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BC9DC7A" w14:textId="0BFE96CB" w:rsidR="00A218BB" w:rsidRPr="00BA4D33" w:rsidRDefault="00A218BB" w:rsidP="00A218BB">
      <w:pPr>
        <w:spacing w:line="48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Biometric Models in Men and Women</w:t>
      </w:r>
    </w:p>
    <w:p w14:paraId="2CB5201D" w14:textId="428634A5" w:rsidR="00FE3EA4" w:rsidRPr="00A218BB" w:rsidRDefault="00A218BB" w:rsidP="00A218BB">
      <w:pPr>
        <w:spacing w:line="480" w:lineRule="auto"/>
        <w:ind w:firstLine="720"/>
        <w:contextualSpacing/>
        <w:rPr>
          <w:color w:val="000000" w:themeColor="text1"/>
        </w:rPr>
        <w:sectPr w:rsidR="00FE3EA4" w:rsidRPr="00A218BB" w:rsidSect="006A07BF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DD7873">
        <w:t xml:space="preserve">Analyses were conducted in </w:t>
      </w:r>
      <w:proofErr w:type="spellStart"/>
      <w:r w:rsidRPr="00DD7873">
        <w:t>Mplus</w:t>
      </w:r>
      <w:proofErr w:type="spellEnd"/>
      <w:r w:rsidRPr="00DD7873">
        <w:t xml:space="preserve"> Version 8</w:t>
      </w:r>
      <w:r>
        <w:t xml:space="preserve"> </w:t>
      </w:r>
      <w:r>
        <w:fldChar w:fldCharType="begin"/>
      </w:r>
      <w:r>
        <w:instrText xml:space="preserve"> ADDIN EN.CITE &lt;EndNote&gt;&lt;Cite&gt;&lt;Author&gt;Muthén&lt;/Author&gt;&lt;Year&gt;2017&lt;/Year&gt;&lt;RecNum&gt;640&lt;/RecNum&gt;&lt;DisplayText&gt;(Muthén &amp;amp; Muthen, 2017)&lt;/DisplayText&gt;&lt;record&gt;&lt;rec-number&gt;640&lt;/rec-number&gt;&lt;foreign-keys&gt;&lt;key app="EN" db-id="5wrf59affwaadzeax2px0z57vw25saezdtex" timestamp="1566001355"&gt;640&lt;/key&gt;&lt;/foreign-keys&gt;&lt;ref-type name="Book"&gt;6&lt;/ref-type&gt;&lt;contributors&gt;&lt;authors&gt;&lt;author&gt;Muthén, Linda K&lt;/author&gt;&lt;author&gt;Muthen, Bengt&lt;/author&gt;&lt;/authors&gt;&lt;/contributors&gt;&lt;titles&gt;&lt;title&gt;Mplus user&amp;apos;s guide: Statistical analysis with latent variables, user&amp;apos;s guide&lt;/title&gt;&lt;/titles&gt;&lt;dates&gt;&lt;year&gt;2017&lt;/year&gt;&lt;/dates&gt;&lt;publisher&gt;Muthén &amp;amp; Muthén&lt;/publisher&gt;&lt;isbn&gt;0982998325&lt;/isbn&gt;&lt;urls&gt;&lt;/urls&gt;&lt;/record&gt;&lt;/Cite&gt;&lt;/EndNote&gt;</w:instrText>
      </w:r>
      <w:r>
        <w:fldChar w:fldCharType="separate"/>
      </w:r>
      <w:r>
        <w:rPr>
          <w:noProof/>
        </w:rPr>
        <w:t>(Muthén &amp; Muth</w:t>
      </w:r>
      <w:r w:rsidR="005546B7">
        <w:rPr>
          <w:noProof/>
        </w:rPr>
        <w:t>é</w:t>
      </w:r>
      <w:r>
        <w:rPr>
          <w:noProof/>
        </w:rPr>
        <w:t>n, 2017)</w:t>
      </w:r>
      <w:r>
        <w:fldChar w:fldCharType="end"/>
      </w:r>
      <w:r>
        <w:t>. Univariate biometric</w:t>
      </w:r>
      <w:r w:rsidRPr="007766FA">
        <w:t xml:space="preserve"> models were </w:t>
      </w:r>
      <w:r>
        <w:t>fit for</w:t>
      </w:r>
      <w:r w:rsidRPr="007766FA">
        <w:t xml:space="preserve"> </w:t>
      </w:r>
      <w:r>
        <w:t>1) prescription opioid misuse, 2) illicit opioid use, 3) prescription stimulant misuse, and 4) illicit stimulant use</w:t>
      </w:r>
      <w:r w:rsidRPr="007766FA">
        <w:t>. Models estimated twin correlations and partitioned the</w:t>
      </w:r>
      <w:r>
        <w:t xml:space="preserve"> variation in drug (mis)use liability into additive genetic (A; i.e., aggregate effects of genes), shared environmental (C; i.e., influence that makes twins similar), and unique (nonshared) </w:t>
      </w:r>
      <w:r w:rsidRPr="00DB6CE3">
        <w:rPr>
          <w:color w:val="000000" w:themeColor="text1"/>
        </w:rPr>
        <w:t>environmental (E</w:t>
      </w:r>
      <w:r>
        <w:rPr>
          <w:color w:val="000000" w:themeColor="text1"/>
        </w:rPr>
        <w:t>; i.e., influence that makes twins different</w:t>
      </w:r>
      <w:r w:rsidRPr="00DB6CE3">
        <w:rPr>
          <w:color w:val="000000" w:themeColor="text1"/>
        </w:rPr>
        <w:t>) variance components. Thresholds (</w:t>
      </w:r>
      <w:proofErr w:type="spellStart"/>
      <w:r w:rsidRPr="00DB6CE3">
        <w:rPr>
          <w:color w:val="000000" w:themeColor="text1"/>
        </w:rPr>
        <w:t>prevalences</w:t>
      </w:r>
      <w:proofErr w:type="spellEnd"/>
      <w:r w:rsidRPr="00DB6CE3">
        <w:rPr>
          <w:color w:val="000000" w:themeColor="text1"/>
        </w:rPr>
        <w:t>) were allowed to differ across sex. Sex differences were examined within biometric models</w:t>
      </w:r>
      <w:r>
        <w:rPr>
          <w:color w:val="000000" w:themeColor="text1"/>
        </w:rPr>
        <w:t>.</w:t>
      </w:r>
      <w:r w:rsidRPr="00DB6CE3">
        <w:rPr>
          <w:color w:val="000000" w:themeColor="text1"/>
        </w:rPr>
        <w:t xml:space="preserve"> Quantitative sex differences (i.e., differences in the proportion of A, C, and E) were examined by constraining parameter estimates for men and women to be equal; qualitative sex differences (i.e., different genetic or environmental source of liability), were tested by constraining the genetic correlation or the shared environmental correlation for opposite-sex twin pairs to 0.5 (i.e., the genetic correlation for same-sex twin pairs) and 1 (i.e., the shared environmental correlation assumed across zygosity), respectively. </w:t>
      </w:r>
      <w:r>
        <w:rPr>
          <w:color w:val="000000" w:themeColor="text1"/>
        </w:rPr>
        <w:t>S</w:t>
      </w:r>
      <w:r w:rsidRPr="00DB6CE3">
        <w:rPr>
          <w:color w:val="000000" w:themeColor="text1"/>
        </w:rPr>
        <w:t>ignificant deterioration in model fit compared to an unconstrained model would indicate the presence of sex differences.</w:t>
      </w:r>
      <w:r>
        <w:rPr>
          <w:color w:val="000000" w:themeColor="text1"/>
        </w:rPr>
        <w:t xml:space="preserve"> </w:t>
      </w:r>
    </w:p>
    <w:tbl>
      <w:tblPr>
        <w:tblStyle w:val="TableGrid"/>
        <w:tblpPr w:leftFromText="180" w:rightFromText="180" w:vertAnchor="text" w:horzAnchor="page" w:tblpX="767" w:tblpY="-765"/>
        <w:tblW w:w="13480" w:type="dxa"/>
        <w:tblLayout w:type="fixed"/>
        <w:tblLook w:val="04A0" w:firstRow="1" w:lastRow="0" w:firstColumn="1" w:lastColumn="0" w:noHBand="0" w:noVBand="1"/>
      </w:tblPr>
      <w:tblGrid>
        <w:gridCol w:w="1224"/>
        <w:gridCol w:w="753"/>
        <w:gridCol w:w="2874"/>
        <w:gridCol w:w="2605"/>
        <w:gridCol w:w="271"/>
        <w:gridCol w:w="2874"/>
        <w:gridCol w:w="2879"/>
      </w:tblGrid>
      <w:tr w:rsidR="00FE3EA4" w:rsidRPr="00C57B42" w14:paraId="12975B45" w14:textId="77777777" w:rsidTr="00C57B42">
        <w:trPr>
          <w:cantSplit/>
          <w:trHeight w:val="271"/>
        </w:trPr>
        <w:tc>
          <w:tcPr>
            <w:tcW w:w="134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92C511" w14:textId="77777777" w:rsidR="00FE3EA4" w:rsidRPr="00C57B42" w:rsidRDefault="00FE3EA4" w:rsidP="00FE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Table S1</w:t>
            </w:r>
          </w:p>
          <w:p w14:paraId="639F0194" w14:textId="77777777" w:rsidR="00FE3EA4" w:rsidRPr="00C57B42" w:rsidRDefault="00FE3EA4" w:rsidP="00FE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0C73E3" w14:textId="1B3E8F15" w:rsidR="00FE3EA4" w:rsidRPr="00C57B42" w:rsidRDefault="00FE3EA4" w:rsidP="00FE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Twin correlations of prescription misuse and illicit use in men and women</w:t>
            </w:r>
          </w:p>
          <w:p w14:paraId="06C6C59A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EA4" w:rsidRPr="00C57B42" w14:paraId="11D6EAE5" w14:textId="77777777" w:rsidTr="00C57B42">
        <w:trPr>
          <w:cantSplit/>
          <w:trHeight w:val="271"/>
        </w:trPr>
        <w:tc>
          <w:tcPr>
            <w:tcW w:w="19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9533FE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F86D85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Opioids</w:t>
            </w:r>
          </w:p>
        </w:tc>
        <w:tc>
          <w:tcPr>
            <w:tcW w:w="602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8E3D6A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Stimulants</w:t>
            </w:r>
          </w:p>
        </w:tc>
      </w:tr>
      <w:tr w:rsidR="00FE3EA4" w:rsidRPr="00C57B42" w14:paraId="412D7C89" w14:textId="77777777" w:rsidTr="00C57B42">
        <w:trPr>
          <w:cantSplit/>
          <w:trHeight w:val="271"/>
        </w:trPr>
        <w:tc>
          <w:tcPr>
            <w:tcW w:w="19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FE0F6E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A2F0AA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Univariate Correlations</w:t>
            </w:r>
          </w:p>
        </w:tc>
        <w:tc>
          <w:tcPr>
            <w:tcW w:w="57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F76D6B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Univariate Correlations</w:t>
            </w:r>
          </w:p>
        </w:tc>
      </w:tr>
      <w:tr w:rsidR="00C57B42" w:rsidRPr="00C57B42" w14:paraId="7684EB7D" w14:textId="77777777" w:rsidTr="00C57B42">
        <w:trPr>
          <w:cantSplit/>
          <w:trHeight w:val="271"/>
        </w:trPr>
        <w:tc>
          <w:tcPr>
            <w:tcW w:w="1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0F655F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Zygosity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B09992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8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004863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Prescription Misuse</w:t>
            </w:r>
          </w:p>
        </w:tc>
        <w:tc>
          <w:tcPr>
            <w:tcW w:w="287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E5C958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Illicit Use</w:t>
            </w:r>
          </w:p>
        </w:tc>
        <w:tc>
          <w:tcPr>
            <w:tcW w:w="28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6A0479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Prescription Misuse</w:t>
            </w:r>
          </w:p>
        </w:tc>
        <w:tc>
          <w:tcPr>
            <w:tcW w:w="2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3A3EB9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Illicit Use</w:t>
            </w:r>
          </w:p>
        </w:tc>
      </w:tr>
      <w:tr w:rsidR="00FE3EA4" w:rsidRPr="00C57B42" w14:paraId="3261A240" w14:textId="77777777" w:rsidTr="00C57B42">
        <w:trPr>
          <w:cantSplit/>
          <w:trHeight w:val="271"/>
        </w:trPr>
        <w:tc>
          <w:tcPr>
            <w:tcW w:w="197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B01A9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B95ED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  <w:tc>
          <w:tcPr>
            <w:tcW w:w="28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35D4C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  <w:tc>
          <w:tcPr>
            <w:tcW w:w="2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1EE8ED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  <w:tc>
          <w:tcPr>
            <w:tcW w:w="2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AAE67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</w:tr>
      <w:tr w:rsidR="00C57B42" w:rsidRPr="00C57B42" w14:paraId="28F6EF5F" w14:textId="77777777" w:rsidTr="00C57B42">
        <w:trPr>
          <w:cantSplit/>
          <w:trHeight w:val="271"/>
        </w:trPr>
        <w:tc>
          <w:tcPr>
            <w:tcW w:w="1224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9A3C67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C1C60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96A5C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.22 [.01, .48]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2434E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.31 [.12, .48]*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CF926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.73 [.55, .84]**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F23A3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.82 [. 69, .92]**</w:t>
            </w:r>
          </w:p>
        </w:tc>
      </w:tr>
      <w:tr w:rsidR="00C57B42" w:rsidRPr="00C57B42" w14:paraId="3B9EB171" w14:textId="77777777" w:rsidTr="00C57B42">
        <w:trPr>
          <w:cantSplit/>
          <w:trHeight w:val="271"/>
        </w:trPr>
        <w:tc>
          <w:tcPr>
            <w:tcW w:w="12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9CA1C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B494C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7BA22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.47 [.30, .66]**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75CD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.86 [.55, .97]**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0364D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.80 [.67, .88]**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0197D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.73 [.58, .83]**</w:t>
            </w:r>
          </w:p>
        </w:tc>
      </w:tr>
      <w:tr w:rsidR="00C57B42" w:rsidRPr="00C57B42" w14:paraId="3A5EBD46" w14:textId="77777777" w:rsidTr="00C57B42">
        <w:trPr>
          <w:cantSplit/>
          <w:trHeight w:val="271"/>
        </w:trPr>
        <w:tc>
          <w:tcPr>
            <w:tcW w:w="12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A1E81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12EA0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6A252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.19 [.01, .48]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DD060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.30 [.16, .47]**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FA946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.51 [.28, .73]*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DB754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.49 [.39, .67]**</w:t>
            </w:r>
          </w:p>
        </w:tc>
      </w:tr>
      <w:tr w:rsidR="00C57B42" w:rsidRPr="00C57B42" w14:paraId="5C322529" w14:textId="77777777" w:rsidTr="00C57B42">
        <w:trPr>
          <w:cantSplit/>
          <w:trHeight w:val="271"/>
        </w:trPr>
        <w:tc>
          <w:tcPr>
            <w:tcW w:w="12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00344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A2391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3FAC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.25 [.14, .43]**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EAD0F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.85 [.62, .96]**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1F0CA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.41 [.33, .48]**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F5525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.57 [.42, .72]**</w:t>
            </w:r>
          </w:p>
        </w:tc>
      </w:tr>
      <w:tr w:rsidR="00C57B42" w:rsidRPr="00C57B42" w14:paraId="00AF994E" w14:textId="77777777" w:rsidTr="00C57B42">
        <w:trPr>
          <w:cantSplit/>
          <w:trHeight w:val="271"/>
        </w:trPr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882FE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60FBB" w14:textId="77777777" w:rsidR="00FE3EA4" w:rsidRPr="00C57B42" w:rsidRDefault="00FE3EA4" w:rsidP="00FE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A66163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.16 [.00, .35]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F2CE62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.50 [.36, .71]**</w:t>
            </w:r>
          </w:p>
        </w:tc>
        <w:tc>
          <w:tcPr>
            <w:tcW w:w="28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E46104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.14 [.00, .30]</w:t>
            </w:r>
          </w:p>
        </w:tc>
        <w:tc>
          <w:tcPr>
            <w:tcW w:w="28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6AA101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.27 [.00, .47]</w:t>
            </w:r>
          </w:p>
        </w:tc>
      </w:tr>
      <w:tr w:rsidR="00FE3EA4" w:rsidRPr="00C57B42" w14:paraId="1144C33A" w14:textId="77777777" w:rsidTr="00C57B42">
        <w:trPr>
          <w:cantSplit/>
          <w:trHeight w:val="271"/>
        </w:trPr>
        <w:tc>
          <w:tcPr>
            <w:tcW w:w="12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B98F510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FE5BB3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10D531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Bivariate Correlations</w:t>
            </w:r>
          </w:p>
        </w:tc>
        <w:tc>
          <w:tcPr>
            <w:tcW w:w="57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CF999C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Bivariate Correlations</w:t>
            </w:r>
          </w:p>
        </w:tc>
      </w:tr>
      <w:tr w:rsidR="00FE3EA4" w:rsidRPr="00C57B42" w14:paraId="15A4A64A" w14:textId="77777777" w:rsidTr="00C57B42">
        <w:trPr>
          <w:cantSplit/>
          <w:trHeight w:val="271"/>
        </w:trPr>
        <w:tc>
          <w:tcPr>
            <w:tcW w:w="12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1CF7D81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0E78C2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FCB85C" w14:textId="02A73199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Prescription and Illicit Opioid (Mis)Use</w:t>
            </w:r>
          </w:p>
        </w:tc>
        <w:tc>
          <w:tcPr>
            <w:tcW w:w="57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4C2142" w14:textId="6326648A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F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Prescription and Illicit Stimulant (Mis)Use</w:t>
            </w:r>
          </w:p>
        </w:tc>
      </w:tr>
      <w:tr w:rsidR="00C57B42" w:rsidRPr="00C57B42" w14:paraId="155A42A8" w14:textId="77777777" w:rsidTr="00C57B42">
        <w:trPr>
          <w:cantSplit/>
          <w:trHeight w:val="271"/>
        </w:trPr>
        <w:tc>
          <w:tcPr>
            <w:tcW w:w="12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6023B79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Zygosity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EB05BA8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8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B93FE7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Within-Twin</w:t>
            </w:r>
          </w:p>
        </w:tc>
        <w:tc>
          <w:tcPr>
            <w:tcW w:w="287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D57522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Cross-Twin</w:t>
            </w:r>
          </w:p>
        </w:tc>
        <w:tc>
          <w:tcPr>
            <w:tcW w:w="28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FB68B3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Within-Twin</w:t>
            </w:r>
          </w:p>
        </w:tc>
        <w:tc>
          <w:tcPr>
            <w:tcW w:w="2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EC8295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Cross-Twin</w:t>
            </w:r>
          </w:p>
        </w:tc>
      </w:tr>
      <w:tr w:rsidR="00C57B42" w:rsidRPr="00C57B42" w14:paraId="6B9AE28B" w14:textId="77777777" w:rsidTr="00C57B42">
        <w:trPr>
          <w:cantSplit/>
          <w:trHeight w:val="271"/>
        </w:trPr>
        <w:tc>
          <w:tcPr>
            <w:tcW w:w="197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BE72C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0490B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  <w:tc>
          <w:tcPr>
            <w:tcW w:w="28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EFE77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  <w:tc>
          <w:tcPr>
            <w:tcW w:w="2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50268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  <w:tc>
          <w:tcPr>
            <w:tcW w:w="2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A2E31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</w:tr>
      <w:tr w:rsidR="00C57B42" w:rsidRPr="00C57B42" w14:paraId="385C014F" w14:textId="77777777" w:rsidTr="00C57B42">
        <w:trPr>
          <w:cantSplit/>
          <w:trHeight w:val="271"/>
        </w:trPr>
        <w:tc>
          <w:tcPr>
            <w:tcW w:w="1224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F1D90C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06039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853C2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.53 [.18, .73]**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2066E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.51 [.32, .69]**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D7258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.87 [.78, .92]**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85F47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.69 [.51, .80]**</w:t>
            </w:r>
          </w:p>
        </w:tc>
      </w:tr>
      <w:tr w:rsidR="00C57B42" w:rsidRPr="00C57B42" w14:paraId="443E2CE0" w14:textId="77777777" w:rsidTr="00C57B42">
        <w:trPr>
          <w:cantSplit/>
          <w:trHeight w:val="271"/>
        </w:trPr>
        <w:tc>
          <w:tcPr>
            <w:tcW w:w="12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AF75C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05F17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A098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.52 [.00, .75]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99346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.43 [-.07, .70]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3DD24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.88 [.82, .93]**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77988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.66 [.55, .76]**</w:t>
            </w:r>
          </w:p>
        </w:tc>
      </w:tr>
      <w:tr w:rsidR="00C57B42" w:rsidRPr="00C57B42" w14:paraId="28AC2E09" w14:textId="77777777" w:rsidTr="00C57B42">
        <w:trPr>
          <w:cantSplit/>
          <w:trHeight w:val="271"/>
        </w:trPr>
        <w:tc>
          <w:tcPr>
            <w:tcW w:w="12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C5861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75443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84BB4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.74 [.28, .91]**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D2F87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.38 [.07, .60]*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5208A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.92 [.83, .96]**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E2772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.48 [.06, .63]**</w:t>
            </w:r>
          </w:p>
        </w:tc>
      </w:tr>
      <w:tr w:rsidR="00C57B42" w:rsidRPr="00C57B42" w14:paraId="462C0633" w14:textId="77777777" w:rsidTr="00C57B42">
        <w:trPr>
          <w:cantSplit/>
          <w:trHeight w:val="271"/>
        </w:trPr>
        <w:tc>
          <w:tcPr>
            <w:tcW w:w="12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EDF37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639EA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8A671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.57 [.21, .77]**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60E1F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.18 [-.09, .42]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8A9A1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.85 [.76, .90]**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074C2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.42 [.19, .54]**</w:t>
            </w:r>
          </w:p>
        </w:tc>
      </w:tr>
      <w:tr w:rsidR="00C57B42" w:rsidRPr="00C57B42" w14:paraId="4DF79AB3" w14:textId="77777777" w:rsidTr="00C57B42">
        <w:trPr>
          <w:cantSplit/>
          <w:trHeight w:val="271"/>
        </w:trPr>
        <w:tc>
          <w:tcPr>
            <w:tcW w:w="12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B68F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</w:p>
          <w:p w14:paraId="10C6523C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D89D0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CA502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.51 [-.06, .81]*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343A0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.19 [.01, .31]*</w:t>
            </w: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61B60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.90 [.77, .94]**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324D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.15 [-21, .37]</w:t>
            </w: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</w:tr>
      <w:tr w:rsidR="00C57B42" w:rsidRPr="00C57B42" w14:paraId="4A8FEDFC" w14:textId="77777777" w:rsidTr="00C57B42">
        <w:trPr>
          <w:cantSplit/>
          <w:trHeight w:val="271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69FFE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49A61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3638A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.36 [.19, .52]**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E78F9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-.11 [-.28, .06]</w:t>
            </w: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3F27A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.91 [.78, .96]**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9FC47" w14:textId="77777777" w:rsidR="00FE3EA4" w:rsidRPr="00C57B42" w:rsidRDefault="00FE3EA4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 [-.05, .44]</w:t>
            </w: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</w:tr>
      <w:tr w:rsidR="00C57B42" w:rsidRPr="00C57B42" w14:paraId="38515435" w14:textId="77777777" w:rsidTr="00C57B42">
        <w:trPr>
          <w:cantSplit/>
          <w:trHeight w:val="271"/>
        </w:trPr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4782F" w14:textId="77777777" w:rsidR="00C57B42" w:rsidRPr="00C57B42" w:rsidRDefault="00C57B42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D37EDD" w14:textId="77777777" w:rsidR="00C57B42" w:rsidRPr="00C57B42" w:rsidRDefault="00C57B42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723C3" w14:textId="0EE9A844" w:rsidR="00C57B42" w:rsidRPr="00C57B42" w:rsidRDefault="00C57B42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Prescription Opioid and Stimulant Misuse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54F55" w14:textId="7D4F90AB" w:rsidR="00C57B42" w:rsidRPr="00C57B42" w:rsidRDefault="00C57B42" w:rsidP="00FE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Illicit Opioid and Stimulant Use</w:t>
            </w:r>
          </w:p>
        </w:tc>
      </w:tr>
      <w:tr w:rsidR="00C57B42" w:rsidRPr="00C57B42" w14:paraId="03F0038F" w14:textId="77777777" w:rsidTr="00C57B42">
        <w:trPr>
          <w:cantSplit/>
          <w:trHeight w:val="271"/>
        </w:trPr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06626" w14:textId="1B830E8F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Zygosity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BBC09" w14:textId="0DD239E7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98567" w14:textId="4E9040D7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Within-Twin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F9BFB" w14:textId="0F1461C2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Cross-Twin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FC4AC" w14:textId="1BF7074D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Within-Twin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8E82E" w14:textId="6EDFD4CF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Cross-Twin</w:t>
            </w:r>
          </w:p>
        </w:tc>
      </w:tr>
      <w:tr w:rsidR="00C57B42" w:rsidRPr="00C57B42" w14:paraId="6DC67A40" w14:textId="77777777" w:rsidTr="002952C3">
        <w:trPr>
          <w:cantSplit/>
          <w:trHeight w:val="271"/>
        </w:trPr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99EF0" w14:textId="77777777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34363" w14:textId="77777777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D23E1" w14:textId="50921E60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62C68" w14:textId="10A438E5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25811" w14:textId="072771E0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94630" w14:textId="0F485932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</w:tr>
      <w:tr w:rsidR="00C57B42" w:rsidRPr="00C57B42" w14:paraId="1CF199A1" w14:textId="77777777" w:rsidTr="002952C3">
        <w:trPr>
          <w:cantSplit/>
          <w:trHeight w:val="271"/>
        </w:trPr>
        <w:tc>
          <w:tcPr>
            <w:tcW w:w="12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4BF4A" w14:textId="191366B2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B40EA" w14:textId="07E85437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63257" w14:textId="76F36F02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.41 [.17, .55]**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60B91" w14:textId="73F6A64C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.32 [.10, .45]**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6C352" w14:textId="58569424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.67 [.53, .76]**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FEE31" w14:textId="0C7DFD87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.61 [.45, .76]**</w:t>
            </w:r>
          </w:p>
        </w:tc>
      </w:tr>
      <w:tr w:rsidR="00C57B42" w:rsidRPr="00C57B42" w14:paraId="64C7E94E" w14:textId="77777777" w:rsidTr="002952C3">
        <w:trPr>
          <w:cantSplit/>
          <w:trHeight w:val="271"/>
        </w:trPr>
        <w:tc>
          <w:tcPr>
            <w:tcW w:w="12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CE7FB" w14:textId="77777777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C3C2E" w14:textId="5873CC5A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DB32A" w14:textId="6D738E41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.33 [.16, .47]**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F0EE0" w14:textId="05255398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.29 [.11, .45]**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A7F31" w14:textId="0404AAFD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.74 [.62, .84]**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E6726" w14:textId="42206B4D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.61 [.38, .76]**</w:t>
            </w:r>
          </w:p>
        </w:tc>
      </w:tr>
      <w:tr w:rsidR="00C57B42" w:rsidRPr="00C57B42" w14:paraId="3987E5D9" w14:textId="77777777" w:rsidTr="002952C3">
        <w:trPr>
          <w:cantSplit/>
          <w:trHeight w:val="271"/>
        </w:trPr>
        <w:tc>
          <w:tcPr>
            <w:tcW w:w="12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E17A0" w14:textId="1857805A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D522E" w14:textId="70C13612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68EA0" w14:textId="3F444D38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.57 [.29, .71]**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A306C" w14:textId="3A5340C6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.21[-.06, .52]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05DBB" w14:textId="26E8C732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.61 [.28, .88]**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87A48" w14:textId="4B2E85C8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.22 [-.17, .47]</w:t>
            </w:r>
          </w:p>
        </w:tc>
      </w:tr>
      <w:tr w:rsidR="00C57B42" w:rsidRPr="00C57B42" w14:paraId="2BCE1650" w14:textId="77777777" w:rsidTr="002952C3">
        <w:trPr>
          <w:cantSplit/>
          <w:trHeight w:val="271"/>
        </w:trPr>
        <w:tc>
          <w:tcPr>
            <w:tcW w:w="12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21CDA" w14:textId="77777777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99070" w14:textId="52CF2179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71033" w14:textId="6F43F44C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.31 [.15, .49]**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54393" w14:textId="1D00038B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.06 [-.12, .24]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E5071" w14:textId="2494AFC2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.80 [.66, .85]**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0EA6D" w14:textId="77276B28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.67 [.40, 80]**</w:t>
            </w:r>
          </w:p>
        </w:tc>
      </w:tr>
      <w:tr w:rsidR="00C57B42" w:rsidRPr="00C57B42" w14:paraId="4099608A" w14:textId="77777777" w:rsidTr="002952C3">
        <w:trPr>
          <w:cantSplit/>
          <w:trHeight w:val="271"/>
        </w:trPr>
        <w:tc>
          <w:tcPr>
            <w:tcW w:w="12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E3AD52" w14:textId="77777777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</w:p>
          <w:p w14:paraId="16F1456F" w14:textId="77777777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17483" w14:textId="3E46DAE3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FA07A" w14:textId="3F480BF5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.42 [.22, .60]**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C4ED2" w14:textId="49FF9982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.24 [-.14, .50]</w:t>
            </w: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8BAB5" w14:textId="6DB0F275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.71 [.57, .79]**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FABA9" w14:textId="3852515D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.21 [.13, .33]*</w:t>
            </w: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</w:tr>
      <w:tr w:rsidR="00C57B42" w:rsidRPr="00C57B42" w14:paraId="54C7B334" w14:textId="77777777" w:rsidTr="00C57B42">
        <w:trPr>
          <w:cantSplit/>
          <w:trHeight w:val="271"/>
        </w:trPr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B80F3" w14:textId="77777777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EB2F6" w14:textId="49083520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44230" w14:textId="5AEAEC62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.50 [-.08, .69]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BF577" w14:textId="017B4AB1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-.23 [-.50, .10]</w:t>
            </w: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4C1C1" w14:textId="71ED08AB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.18 [.00, .34]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39D5B0" w14:textId="2D7273F2" w:rsidR="00C57B42" w:rsidRPr="00C57B42" w:rsidRDefault="00C57B42" w:rsidP="00C5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.26 [-.23, .61]</w:t>
            </w: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</w:tr>
      <w:tr w:rsidR="00C57B42" w:rsidRPr="00C57B42" w14:paraId="1E68156B" w14:textId="77777777" w:rsidTr="00C57B42">
        <w:trPr>
          <w:cantSplit/>
          <w:trHeight w:val="271"/>
        </w:trPr>
        <w:tc>
          <w:tcPr>
            <w:tcW w:w="134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9AD3F" w14:textId="77777777" w:rsidR="00C57B42" w:rsidRPr="00C57B42" w:rsidRDefault="00C57B42" w:rsidP="00C57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Note. OS=dizygotic opposite sex pairs; </w:t>
            </w: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a </w:t>
            </w: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 twin prescription misuse correlated with female twin illicit use, </w:t>
            </w: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b </w:t>
            </w:r>
            <w:r w:rsidRPr="00C57B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male twin illicit use correlated with female twin prescription misuse; **p&lt;.001, *p&lt;.01.</w:t>
            </w:r>
          </w:p>
        </w:tc>
      </w:tr>
    </w:tbl>
    <w:p w14:paraId="434EC096" w14:textId="4DBF4469" w:rsidR="006032AF" w:rsidRPr="00CC63F7" w:rsidRDefault="006032AF" w:rsidP="006032AF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/>
          <w:i/>
          <w:color w:val="000000"/>
          <w:szCs w:val="24"/>
        </w:rPr>
      </w:pPr>
    </w:p>
    <w:p w14:paraId="4529A4DF" w14:textId="77777777" w:rsidR="00EE16D9" w:rsidRPr="00CC63F7" w:rsidRDefault="00EE16D9" w:rsidP="00DD104C">
      <w:pPr>
        <w:rPr>
          <w:b/>
          <w:szCs w:val="24"/>
        </w:rPr>
        <w:sectPr w:rsidR="00EE16D9" w:rsidRPr="00CC63F7" w:rsidSect="00FE3EA4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4252" w:type="dxa"/>
        <w:tblInd w:w="-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29"/>
        <w:gridCol w:w="629"/>
        <w:gridCol w:w="2696"/>
        <w:gridCol w:w="629"/>
        <w:gridCol w:w="2697"/>
        <w:gridCol w:w="719"/>
        <w:gridCol w:w="2634"/>
        <w:gridCol w:w="601"/>
        <w:gridCol w:w="2518"/>
      </w:tblGrid>
      <w:tr w:rsidR="00F6557A" w:rsidRPr="00984108" w14:paraId="778B605F" w14:textId="77777777" w:rsidTr="00070EAE">
        <w:trPr>
          <w:trHeight w:val="389"/>
        </w:trPr>
        <w:tc>
          <w:tcPr>
            <w:tcW w:w="14252" w:type="dxa"/>
            <w:gridSpan w:val="10"/>
            <w:tcBorders>
              <w:bottom w:val="single" w:sz="4" w:space="0" w:color="auto"/>
            </w:tcBorders>
          </w:tcPr>
          <w:p w14:paraId="6BA506F3" w14:textId="77777777" w:rsidR="00F6557A" w:rsidRPr="00984108" w:rsidRDefault="00F6557A" w:rsidP="00070EA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Table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5088FCA" w14:textId="77777777" w:rsidR="00F6557A" w:rsidRPr="00984108" w:rsidRDefault="00F6557A" w:rsidP="00070EA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1076F" w14:textId="79E0487B" w:rsidR="00F6557A" w:rsidRPr="00984108" w:rsidRDefault="00F6557A" w:rsidP="00070EA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Twin correlations between three forms of stimulant drug use</w:t>
            </w:r>
            <w:r w:rsidR="003965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in men and women</w:t>
            </w:r>
          </w:p>
          <w:p w14:paraId="0506F901" w14:textId="77777777" w:rsidR="00F6557A" w:rsidRPr="00984108" w:rsidRDefault="00F6557A" w:rsidP="00070EA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57A" w:rsidRPr="00984108" w14:paraId="53270F62" w14:textId="77777777" w:rsidTr="00070EAE">
        <w:trPr>
          <w:cantSplit/>
          <w:trHeight w:val="42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D0184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FF919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40D40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Ecstasy Use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D0992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D4FE28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Methamphetamine Use</w:t>
            </w:r>
          </w:p>
        </w:tc>
      </w:tr>
      <w:tr w:rsidR="00F6557A" w:rsidRPr="00984108" w14:paraId="16333995" w14:textId="77777777" w:rsidTr="00070EAE">
        <w:trPr>
          <w:cantSplit/>
          <w:trHeight w:val="429"/>
        </w:trPr>
        <w:tc>
          <w:tcPr>
            <w:tcW w:w="50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C860E0D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D5CE54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Zyg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5962E6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341174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Within-Twin Cross-Trait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8E91BE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79F093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Cross-Twin Cross-Trait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0F2D56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4B38B3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Within-Twin Cross-Trait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CAF9A1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9D75DB8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Cross-Twin Cross-Trait</w:t>
            </w:r>
          </w:p>
        </w:tc>
      </w:tr>
      <w:tr w:rsidR="00F6557A" w:rsidRPr="00984108" w14:paraId="02EF80F0" w14:textId="77777777" w:rsidTr="00070EAE">
        <w:trPr>
          <w:cantSplit/>
          <w:trHeight w:val="429"/>
        </w:trPr>
        <w:tc>
          <w:tcPr>
            <w:tcW w:w="500" w:type="dxa"/>
            <w:tcBorders>
              <w:top w:val="nil"/>
              <w:bottom w:val="nil"/>
              <w:right w:val="nil"/>
            </w:tcBorders>
            <w:vAlign w:val="center"/>
          </w:tcPr>
          <w:p w14:paraId="4634C585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8A6897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B4A8F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84AC2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E8C327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937E5E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63B5C4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0DCF8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E69FBD9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</w:tr>
      <w:tr w:rsidR="00F6557A" w:rsidRPr="00984108" w14:paraId="55A5F198" w14:textId="77777777" w:rsidTr="00070EAE">
        <w:trPr>
          <w:cantSplit/>
          <w:trHeight w:val="429"/>
        </w:trPr>
        <w:tc>
          <w:tcPr>
            <w:tcW w:w="500" w:type="dxa"/>
            <w:vMerge w:val="restart"/>
            <w:tcBorders>
              <w:top w:val="nil"/>
              <w:right w:val="nil"/>
            </w:tcBorders>
            <w:textDirection w:val="btLr"/>
            <w:vAlign w:val="center"/>
          </w:tcPr>
          <w:p w14:paraId="39322724" w14:textId="77777777" w:rsidR="00F6557A" w:rsidRPr="00984108" w:rsidRDefault="00F6557A" w:rsidP="00070EA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Prescription Misuse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147382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A0347E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0A9FB0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.87 [.78, .92]**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14:paraId="229CFB94" w14:textId="77777777" w:rsidR="00F6557A" w:rsidRPr="00984108" w:rsidRDefault="00F6557A" w:rsidP="00070EA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Prescription Misuse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6C3208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.69 [.53, .81]**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14:paraId="00C851E0" w14:textId="77777777" w:rsidR="00F6557A" w:rsidRPr="00984108" w:rsidRDefault="00F6557A" w:rsidP="00070EA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Prescription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Misuse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9A052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.86 [.79, .91]**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14:paraId="46882821" w14:textId="77777777" w:rsidR="00F6557A" w:rsidRPr="00984108" w:rsidRDefault="00F6557A" w:rsidP="00070EA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Prescription Misuse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078641F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.65 [.42, .79]**</w:t>
            </w:r>
          </w:p>
        </w:tc>
      </w:tr>
      <w:tr w:rsidR="00F6557A" w:rsidRPr="00984108" w14:paraId="68A85E3F" w14:textId="77777777" w:rsidTr="00070EAE">
        <w:trPr>
          <w:cantSplit/>
          <w:trHeight w:val="429"/>
        </w:trPr>
        <w:tc>
          <w:tcPr>
            <w:tcW w:w="500" w:type="dxa"/>
            <w:vMerge/>
            <w:tcBorders>
              <w:right w:val="nil"/>
            </w:tcBorders>
            <w:vAlign w:val="center"/>
          </w:tcPr>
          <w:p w14:paraId="5A3249A1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F9787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5016A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42483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.87 [.81, .92]**</w:t>
            </w:r>
          </w:p>
        </w:tc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989BC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5CA76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.66 [.53, .76]**</w:t>
            </w:r>
          </w:p>
        </w:tc>
        <w:tc>
          <w:tcPr>
            <w:tcW w:w="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4F08E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D2957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.84 [.76, .89]**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7B975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  <w:vAlign w:val="center"/>
          </w:tcPr>
          <w:p w14:paraId="6CD2A8F3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.65 [.40, .78]**</w:t>
            </w:r>
          </w:p>
        </w:tc>
      </w:tr>
      <w:tr w:rsidR="00F6557A" w:rsidRPr="00984108" w14:paraId="329B2861" w14:textId="77777777" w:rsidTr="00070EAE">
        <w:trPr>
          <w:cantSplit/>
          <w:trHeight w:val="429"/>
        </w:trPr>
        <w:tc>
          <w:tcPr>
            <w:tcW w:w="500" w:type="dxa"/>
            <w:vMerge/>
            <w:tcBorders>
              <w:right w:val="nil"/>
            </w:tcBorders>
            <w:vAlign w:val="center"/>
          </w:tcPr>
          <w:p w14:paraId="1E348D5A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F6FD7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26326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26CB0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.91 [.83, .96]**</w:t>
            </w:r>
          </w:p>
        </w:tc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08B82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BF89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.49 [.24, .68]**</w:t>
            </w:r>
          </w:p>
        </w:tc>
        <w:tc>
          <w:tcPr>
            <w:tcW w:w="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4C549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1452F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.82 [.71, .90]**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7D060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  <w:vAlign w:val="center"/>
          </w:tcPr>
          <w:p w14:paraId="66C1C478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.18 [-.18, .47]</w:t>
            </w:r>
          </w:p>
        </w:tc>
      </w:tr>
      <w:tr w:rsidR="00F6557A" w:rsidRPr="00984108" w14:paraId="3A755642" w14:textId="77777777" w:rsidTr="00070EAE">
        <w:trPr>
          <w:cantSplit/>
          <w:trHeight w:val="429"/>
        </w:trPr>
        <w:tc>
          <w:tcPr>
            <w:tcW w:w="500" w:type="dxa"/>
            <w:vMerge/>
            <w:tcBorders>
              <w:right w:val="nil"/>
            </w:tcBorders>
            <w:vAlign w:val="center"/>
          </w:tcPr>
          <w:p w14:paraId="0568E397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FBCDF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D8683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E1EB7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.85 [.77, .91]**</w:t>
            </w:r>
          </w:p>
        </w:tc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D2520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623DF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.42 [.22, .56]**</w:t>
            </w:r>
          </w:p>
        </w:tc>
        <w:tc>
          <w:tcPr>
            <w:tcW w:w="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B2DE6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CD58E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.76 [.61, .85]**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96BF2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  <w:vAlign w:val="center"/>
          </w:tcPr>
          <w:p w14:paraId="6DCF0811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.00 [-.23, .24]</w:t>
            </w:r>
          </w:p>
        </w:tc>
      </w:tr>
      <w:tr w:rsidR="00F6557A" w:rsidRPr="00984108" w14:paraId="4C803669" w14:textId="77777777" w:rsidTr="00070EAE">
        <w:trPr>
          <w:cantSplit/>
          <w:trHeight w:val="429"/>
        </w:trPr>
        <w:tc>
          <w:tcPr>
            <w:tcW w:w="500" w:type="dxa"/>
            <w:vMerge/>
            <w:tcBorders>
              <w:right w:val="nil"/>
            </w:tcBorders>
            <w:vAlign w:val="center"/>
          </w:tcPr>
          <w:p w14:paraId="427AF2F9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821DD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7C1DF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576C3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.90 [.81.95]**</w:t>
            </w:r>
          </w:p>
        </w:tc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9CCDD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512B4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.15 [-.11, .37]</w:t>
            </w:r>
          </w:p>
        </w:tc>
        <w:tc>
          <w:tcPr>
            <w:tcW w:w="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B43C1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31E15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.73 [.49, 85]**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AC60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  <w:vAlign w:val="center"/>
          </w:tcPr>
          <w:p w14:paraId="7522A0D0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.36 [.01, .66]</w:t>
            </w:r>
          </w:p>
        </w:tc>
      </w:tr>
      <w:tr w:rsidR="00F6557A" w:rsidRPr="00984108" w14:paraId="3442E4C0" w14:textId="77777777" w:rsidTr="00070EAE">
        <w:trPr>
          <w:cantSplit/>
          <w:trHeight w:val="429"/>
        </w:trPr>
        <w:tc>
          <w:tcPr>
            <w:tcW w:w="500" w:type="dxa"/>
            <w:vMerge/>
            <w:tcBorders>
              <w:bottom w:val="nil"/>
              <w:right w:val="nil"/>
            </w:tcBorders>
            <w:vAlign w:val="center"/>
          </w:tcPr>
          <w:p w14:paraId="6DB434E1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D9AAB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036092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9CA1B3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.91 [.79, .96]**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40FA3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08E897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.25 [.01, .46]*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CF8C72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BD5F8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.59 [.22, .83]**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C6994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4B2E7A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.07 [-.32, .37]</w:t>
            </w:r>
          </w:p>
        </w:tc>
      </w:tr>
      <w:tr w:rsidR="00F6557A" w:rsidRPr="00984108" w14:paraId="7A626F76" w14:textId="77777777" w:rsidTr="00070EAE">
        <w:trPr>
          <w:cantSplit/>
          <w:trHeight w:val="429"/>
        </w:trPr>
        <w:tc>
          <w:tcPr>
            <w:tcW w:w="500" w:type="dxa"/>
            <w:tcBorders>
              <w:top w:val="nil"/>
              <w:bottom w:val="nil"/>
              <w:right w:val="nil"/>
            </w:tcBorders>
            <w:vAlign w:val="center"/>
          </w:tcPr>
          <w:p w14:paraId="054E58D8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307B3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Zyg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3B1E77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0C9D29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Cross-Twin Within-Trait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6173F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E68E59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Within-Twin Cross-Trait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FCA98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3BF007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Cross-Twin Within-Trait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7408F7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D88F66D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Cross-Twin Cross-Trait</w:t>
            </w:r>
          </w:p>
        </w:tc>
      </w:tr>
      <w:tr w:rsidR="00F6557A" w:rsidRPr="00984108" w14:paraId="164F56EA" w14:textId="77777777" w:rsidTr="00070EAE">
        <w:trPr>
          <w:cantSplit/>
          <w:trHeight w:val="429"/>
        </w:trPr>
        <w:tc>
          <w:tcPr>
            <w:tcW w:w="500" w:type="dxa"/>
            <w:tcBorders>
              <w:top w:val="nil"/>
              <w:bottom w:val="nil"/>
              <w:right w:val="nil"/>
            </w:tcBorders>
            <w:vAlign w:val="center"/>
          </w:tcPr>
          <w:p w14:paraId="2D5B0717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2BD5B3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B1ED6C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E2752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673B87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634924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9AC2A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4EA90A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B7C00C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[95% CI]</w:t>
            </w:r>
          </w:p>
        </w:tc>
      </w:tr>
      <w:tr w:rsidR="00F6557A" w:rsidRPr="00984108" w14:paraId="2DABF989" w14:textId="77777777" w:rsidTr="00070EAE">
        <w:trPr>
          <w:cantSplit/>
          <w:trHeight w:val="429"/>
        </w:trPr>
        <w:tc>
          <w:tcPr>
            <w:tcW w:w="500" w:type="dxa"/>
            <w:vMerge w:val="restart"/>
            <w:tcBorders>
              <w:top w:val="nil"/>
              <w:right w:val="nil"/>
            </w:tcBorders>
            <w:textDirection w:val="btLr"/>
            <w:vAlign w:val="center"/>
          </w:tcPr>
          <w:p w14:paraId="7CC61E94" w14:textId="77777777" w:rsidR="00F6557A" w:rsidRPr="00984108" w:rsidRDefault="00F6557A" w:rsidP="00070EA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Ecstasy Use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901038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CB294E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FC83EF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.82 [.66, .91]**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14:paraId="7A5E1F31" w14:textId="77777777" w:rsidR="00F6557A" w:rsidRPr="00984108" w:rsidRDefault="00F6557A" w:rsidP="00070EA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Meth Use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FA3EC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.83 [.75, .89]**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14:paraId="29A057CC" w14:textId="77777777" w:rsidR="00F6557A" w:rsidRPr="00984108" w:rsidRDefault="00F6557A" w:rsidP="00070EA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Meth Use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54F665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.64 [.27, .86]**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14:paraId="617D2687" w14:textId="77777777" w:rsidR="00F6557A" w:rsidRPr="00984108" w:rsidRDefault="00F6557A" w:rsidP="00070EA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Ecstasy Use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93BFED5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.72 [.54, .84]**</w:t>
            </w:r>
          </w:p>
        </w:tc>
      </w:tr>
      <w:tr w:rsidR="00F6557A" w:rsidRPr="00984108" w14:paraId="1B646F09" w14:textId="77777777" w:rsidTr="00070EAE">
        <w:trPr>
          <w:cantSplit/>
          <w:trHeight w:val="429"/>
        </w:trPr>
        <w:tc>
          <w:tcPr>
            <w:tcW w:w="500" w:type="dxa"/>
            <w:vMerge/>
            <w:tcBorders>
              <w:right w:val="nil"/>
            </w:tcBorders>
            <w:vAlign w:val="center"/>
          </w:tcPr>
          <w:p w14:paraId="3990D38A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015A6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B43D7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67455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.73 [.62, .83]**</w:t>
            </w:r>
          </w:p>
        </w:tc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9CA02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75C22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.83 [.75, .88]**</w:t>
            </w:r>
          </w:p>
        </w:tc>
        <w:tc>
          <w:tcPr>
            <w:tcW w:w="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6610B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58A90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.71 [.31, .88]**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16631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  <w:vAlign w:val="center"/>
          </w:tcPr>
          <w:p w14:paraId="3D2A50A4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.67 [.44, .80]**</w:t>
            </w:r>
          </w:p>
        </w:tc>
      </w:tr>
      <w:tr w:rsidR="00F6557A" w:rsidRPr="00984108" w14:paraId="361ECA9F" w14:textId="77777777" w:rsidTr="00070EAE">
        <w:trPr>
          <w:cantSplit/>
          <w:trHeight w:val="429"/>
        </w:trPr>
        <w:tc>
          <w:tcPr>
            <w:tcW w:w="500" w:type="dxa"/>
            <w:vMerge/>
            <w:tcBorders>
              <w:right w:val="nil"/>
            </w:tcBorders>
            <w:vAlign w:val="center"/>
          </w:tcPr>
          <w:p w14:paraId="77045C5F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899E0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41FD5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1926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.50 [.38, .72]**</w:t>
            </w:r>
          </w:p>
        </w:tc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FC0CB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3D423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.80 [.68, .88]**</w:t>
            </w:r>
          </w:p>
        </w:tc>
        <w:tc>
          <w:tcPr>
            <w:tcW w:w="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DF285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DADD0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.32 [.10, .47]**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1C1B4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  <w:vAlign w:val="center"/>
          </w:tcPr>
          <w:p w14:paraId="5010F89F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.30 [-.02, .60]</w:t>
            </w:r>
          </w:p>
        </w:tc>
      </w:tr>
      <w:tr w:rsidR="00F6557A" w:rsidRPr="00984108" w14:paraId="3D4F38DE" w14:textId="77777777" w:rsidTr="00070EAE">
        <w:trPr>
          <w:cantSplit/>
          <w:trHeight w:val="429"/>
        </w:trPr>
        <w:tc>
          <w:tcPr>
            <w:tcW w:w="500" w:type="dxa"/>
            <w:vMerge/>
            <w:tcBorders>
              <w:right w:val="nil"/>
            </w:tcBorders>
            <w:vAlign w:val="center"/>
          </w:tcPr>
          <w:p w14:paraId="56500DF4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41B76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E6531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CF525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.57 [.40, .71]**</w:t>
            </w:r>
          </w:p>
        </w:tc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57F4E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1BEA3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.74 [.61, .83]**</w:t>
            </w:r>
          </w:p>
        </w:tc>
        <w:tc>
          <w:tcPr>
            <w:tcW w:w="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B2AE2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91EBB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.36 [.16, .45]**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CC4B9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  <w:vAlign w:val="center"/>
          </w:tcPr>
          <w:p w14:paraId="70B3D069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.17 [-.11. .47]</w:t>
            </w:r>
          </w:p>
        </w:tc>
      </w:tr>
      <w:tr w:rsidR="00F6557A" w:rsidRPr="00984108" w14:paraId="7AE28D0A" w14:textId="77777777" w:rsidTr="00070EAE">
        <w:trPr>
          <w:cantSplit/>
          <w:trHeight w:val="429"/>
        </w:trPr>
        <w:tc>
          <w:tcPr>
            <w:tcW w:w="500" w:type="dxa"/>
            <w:vMerge/>
            <w:tcBorders>
              <w:right w:val="nil"/>
            </w:tcBorders>
            <w:vAlign w:val="center"/>
          </w:tcPr>
          <w:p w14:paraId="234565B5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B880D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F3683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B069F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.28 [.04, .47]*</w:t>
            </w:r>
          </w:p>
        </w:tc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9E318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9E7C2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.77 [.59., 86]**</w:t>
            </w:r>
          </w:p>
        </w:tc>
        <w:tc>
          <w:tcPr>
            <w:tcW w:w="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CE7BB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293ED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.14 [.00, .36]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1BE45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  <w:vAlign w:val="center"/>
          </w:tcPr>
          <w:p w14:paraId="725D285E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.31 [-.06, .61]</w:t>
            </w:r>
          </w:p>
        </w:tc>
      </w:tr>
      <w:tr w:rsidR="00F6557A" w:rsidRPr="00984108" w14:paraId="3A503CC2" w14:textId="77777777" w:rsidTr="00070EAE">
        <w:trPr>
          <w:cantSplit/>
          <w:trHeight w:val="429"/>
        </w:trPr>
        <w:tc>
          <w:tcPr>
            <w:tcW w:w="50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049B23D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7C6E0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52465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1DFD3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9724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712B9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.58 [.22, 97]**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62A76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7AFE1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341BA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  <w:vAlign w:val="center"/>
          </w:tcPr>
          <w:p w14:paraId="745D4C97" w14:textId="77777777" w:rsidR="00F6557A" w:rsidRPr="00984108" w:rsidRDefault="00F6557A" w:rsidP="00070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.04 [-.32, 39]</w:t>
            </w:r>
          </w:p>
        </w:tc>
      </w:tr>
      <w:tr w:rsidR="00F6557A" w:rsidRPr="00984108" w14:paraId="7C02C8F5" w14:textId="77777777" w:rsidTr="00070EAE">
        <w:trPr>
          <w:cantSplit/>
          <w:trHeight w:val="464"/>
        </w:trPr>
        <w:tc>
          <w:tcPr>
            <w:tcW w:w="1425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3337BAB7" w14:textId="77777777" w:rsidR="00F6557A" w:rsidRPr="00984108" w:rsidRDefault="00F6557A" w:rsidP="00070E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Note. CI=confidence interval, </w:t>
            </w:r>
            <w:proofErr w:type="spellStart"/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zyg</w:t>
            </w:r>
            <w:proofErr w:type="spellEnd"/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=zygosity; MZ=monozygotic, DZ=dizygotic; OS=dizygotic opposite sex, M=male twin, F=female twin; **p</w:t>
            </w:r>
            <w:r w:rsidRPr="0098410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≤</w:t>
            </w: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.001, *p</w:t>
            </w:r>
            <w:r w:rsidRPr="00984108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≤</w:t>
            </w:r>
            <w:r w:rsidRPr="00984108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</w:tr>
    </w:tbl>
    <w:p w14:paraId="64B70A66" w14:textId="77777777" w:rsidR="00BA4D33" w:rsidRDefault="00BA4D33" w:rsidP="00EE16D9">
      <w:pPr>
        <w:jc w:val="center"/>
        <w:rPr>
          <w:b/>
          <w:szCs w:val="24"/>
        </w:rPr>
        <w:sectPr w:rsidR="00BA4D33" w:rsidSect="00F6557A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1"/>
        <w:tblW w:w="13570" w:type="dxa"/>
        <w:jc w:val="center"/>
        <w:tblLayout w:type="fixed"/>
        <w:tblLook w:val="04A0" w:firstRow="1" w:lastRow="0" w:firstColumn="1" w:lastColumn="0" w:noHBand="0" w:noVBand="1"/>
      </w:tblPr>
      <w:tblGrid>
        <w:gridCol w:w="3122"/>
        <w:gridCol w:w="1070"/>
        <w:gridCol w:w="934"/>
        <w:gridCol w:w="1007"/>
        <w:gridCol w:w="1007"/>
        <w:gridCol w:w="1100"/>
        <w:gridCol w:w="39"/>
        <w:gridCol w:w="968"/>
        <w:gridCol w:w="1007"/>
        <w:gridCol w:w="1013"/>
        <w:gridCol w:w="1191"/>
        <w:gridCol w:w="549"/>
        <w:gridCol w:w="549"/>
        <w:gridCol w:w="14"/>
      </w:tblGrid>
      <w:tr w:rsidR="003F4D1A" w:rsidRPr="00C97A29" w14:paraId="5D618DB8" w14:textId="77777777" w:rsidTr="00C97A29">
        <w:trPr>
          <w:trHeight w:val="20"/>
          <w:jc w:val="center"/>
        </w:trPr>
        <w:tc>
          <w:tcPr>
            <w:tcW w:w="1357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1CD67F9E" w14:textId="7B217E26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Table </w:t>
            </w:r>
            <w:r w:rsidR="00EB3AA1" w:rsidRPr="00C97A29">
              <w:rPr>
                <w:rFonts w:ascii="Times New Roman" w:eastAsia="Calibri" w:hAnsi="Times New Roman"/>
                <w:sz w:val="24"/>
                <w:szCs w:val="24"/>
              </w:rPr>
              <w:t>S3</w:t>
            </w:r>
          </w:p>
          <w:p w14:paraId="6BEAA10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33027BE" w14:textId="27E6B198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Variation in opioid use propensity attributable to </w:t>
            </w:r>
            <w:r w:rsidR="00EB3AA1" w:rsidRPr="00C97A2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attributable to additive genetic (a</w:t>
            </w:r>
            <w:r w:rsidR="00EB3AA1" w:rsidRPr="00C97A2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EB3AA1" w:rsidRPr="00C97A2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), shared environmental (c</w:t>
            </w:r>
            <w:r w:rsidR="00EB3AA1" w:rsidRPr="00C97A2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EB3AA1" w:rsidRPr="00C97A2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), and unique environmental (e</w:t>
            </w:r>
            <w:r w:rsidR="00EB3AA1" w:rsidRPr="00C97A2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EB3AA1" w:rsidRPr="00C97A2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) factors in men and women</w:t>
            </w:r>
          </w:p>
          <w:p w14:paraId="09715F4C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  <w:tr w:rsidR="003F4D1A" w:rsidRPr="00C97A29" w14:paraId="4C24636A" w14:textId="77777777" w:rsidTr="00C97A29">
        <w:trPr>
          <w:trHeight w:val="20"/>
          <w:jc w:val="center"/>
        </w:trPr>
        <w:tc>
          <w:tcPr>
            <w:tcW w:w="3122" w:type="dxa"/>
            <w:tcBorders>
              <w:left w:val="nil"/>
              <w:bottom w:val="nil"/>
              <w:right w:val="nil"/>
            </w:tcBorders>
            <w:vAlign w:val="center"/>
          </w:tcPr>
          <w:p w14:paraId="0286C50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left w:val="nil"/>
              <w:right w:val="nil"/>
            </w:tcBorders>
          </w:tcPr>
          <w:p w14:paraId="07408631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nil"/>
              <w:right w:val="nil"/>
            </w:tcBorders>
            <w:vAlign w:val="center"/>
          </w:tcPr>
          <w:p w14:paraId="5168BC9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gridSpan w:val="4"/>
            <w:tcBorders>
              <w:left w:val="nil"/>
              <w:right w:val="nil"/>
            </w:tcBorders>
            <w:vAlign w:val="center"/>
          </w:tcPr>
          <w:p w14:paraId="3A173BC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Men</w:t>
            </w:r>
          </w:p>
        </w:tc>
        <w:tc>
          <w:tcPr>
            <w:tcW w:w="2988" w:type="dxa"/>
            <w:gridSpan w:val="3"/>
            <w:tcBorders>
              <w:left w:val="nil"/>
              <w:right w:val="nil"/>
            </w:tcBorders>
            <w:vAlign w:val="center"/>
          </w:tcPr>
          <w:p w14:paraId="285CC019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Women</w:t>
            </w:r>
          </w:p>
        </w:tc>
        <w:tc>
          <w:tcPr>
            <w:tcW w:w="2303" w:type="dxa"/>
            <w:gridSpan w:val="4"/>
            <w:tcBorders>
              <w:left w:val="nil"/>
              <w:right w:val="nil"/>
            </w:tcBorders>
            <w:vAlign w:val="center"/>
          </w:tcPr>
          <w:p w14:paraId="09423628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Model Fit</w:t>
            </w:r>
          </w:p>
        </w:tc>
      </w:tr>
      <w:tr w:rsidR="003F4D1A" w:rsidRPr="00C97A29" w14:paraId="70FD945B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6ACE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A23FA2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3F802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97A29">
              <w:rPr>
                <w:rFonts w:ascii="Times New Roman" w:eastAsia="Calibri" w:hAnsi="Times New Roman"/>
                <w:i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</w:rPr>
              <w:t>g</w:t>
            </w:r>
            <w:proofErr w:type="spellEnd"/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2452E6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i/>
                <w:sz w:val="24"/>
                <w:szCs w:val="24"/>
              </w:rPr>
              <w:t>a</w:t>
            </w:r>
            <w:r w:rsidRPr="00C97A29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8D2FA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i/>
                <w:sz w:val="24"/>
                <w:szCs w:val="24"/>
              </w:rPr>
              <w:t>c</w:t>
            </w:r>
            <w:r w:rsidRPr="00C97A29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68E07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i/>
                <w:sz w:val="24"/>
                <w:szCs w:val="24"/>
              </w:rPr>
              <w:t>e</w:t>
            </w:r>
            <w:r w:rsidRPr="00C97A29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774EA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i/>
                <w:sz w:val="24"/>
                <w:szCs w:val="24"/>
              </w:rPr>
              <w:t>a</w:t>
            </w:r>
            <w:r w:rsidRPr="00C97A29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11435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C97A29">
              <w:rPr>
                <w:rFonts w:ascii="Times New Roman" w:eastAsia="Calibri" w:hAnsi="Times New Roman"/>
                <w:i/>
                <w:sz w:val="24"/>
                <w:szCs w:val="24"/>
              </w:rPr>
              <w:t>c</w:t>
            </w:r>
            <w:r w:rsidRPr="00C97A29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5074C9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i/>
                <w:sz w:val="24"/>
                <w:szCs w:val="24"/>
              </w:rPr>
              <w:t>e</w:t>
            </w:r>
            <w:r w:rsidRPr="00C97A29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9D0E40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sym w:font="Symbol" w:char="F063"/>
            </w:r>
            <w:r w:rsidRPr="00C97A29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386ED0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97A29">
              <w:rPr>
                <w:rFonts w:ascii="Times New Roman" w:eastAsia="Calibri" w:hAnsi="Times New Roman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FFF8EE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</w:p>
        </w:tc>
      </w:tr>
      <w:tr w:rsidR="003F4D1A" w:rsidRPr="00C97A29" w14:paraId="3F1B3B9C" w14:textId="77777777" w:rsidTr="00C97A29">
        <w:trPr>
          <w:trHeight w:val="20"/>
          <w:jc w:val="center"/>
        </w:trPr>
        <w:tc>
          <w:tcPr>
            <w:tcW w:w="3122" w:type="dxa"/>
            <w:tcBorders>
              <w:left w:val="nil"/>
              <w:bottom w:val="nil"/>
              <w:right w:val="nil"/>
            </w:tcBorders>
            <w:vAlign w:val="center"/>
          </w:tcPr>
          <w:p w14:paraId="4B31555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Model</w:t>
            </w:r>
          </w:p>
        </w:tc>
        <w:tc>
          <w:tcPr>
            <w:tcW w:w="104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3EA445EC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Prescription Misuse</w:t>
            </w:r>
          </w:p>
        </w:tc>
      </w:tr>
      <w:tr w:rsidR="003F4D1A" w:rsidRPr="00C97A29" w14:paraId="30AE43B5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vMerge w:val="restart"/>
            <w:tcBorders>
              <w:left w:val="nil"/>
              <w:right w:val="nil"/>
            </w:tcBorders>
            <w:vAlign w:val="center"/>
          </w:tcPr>
          <w:p w14:paraId="12CAB77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 xml:space="preserve">1a. ACE free, </w:t>
            </w:r>
            <w:proofErr w:type="spellStart"/>
            <w:r w:rsidRPr="00C97A29">
              <w:rPr>
                <w:rFonts w:ascii="Times New Roman" w:eastAsia="Calibri" w:hAnsi="Times New Roman"/>
                <w:i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/>
                <w:sz w:val="24"/>
                <w:szCs w:val="24"/>
              </w:rPr>
              <w:t xml:space="preserve"> DZO free</w:t>
            </w:r>
          </w:p>
        </w:tc>
        <w:tc>
          <w:tcPr>
            <w:tcW w:w="1070" w:type="dxa"/>
            <w:tcBorders>
              <w:left w:val="nil"/>
              <w:bottom w:val="nil"/>
              <w:right w:val="nil"/>
            </w:tcBorders>
            <w:vAlign w:val="center"/>
          </w:tcPr>
          <w:p w14:paraId="05EC8036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Estimate</w:t>
            </w: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  <w:vAlign w:val="center"/>
          </w:tcPr>
          <w:p w14:paraId="5CFF4B6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.48</w:t>
            </w: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vAlign w:val="center"/>
          </w:tcPr>
          <w:p w14:paraId="48FC28E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.06</w:t>
            </w: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vAlign w:val="center"/>
          </w:tcPr>
          <w:p w14:paraId="0CB8E24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.16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vAlign w:val="center"/>
          </w:tcPr>
          <w:p w14:paraId="2BCDB3E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.78</w:t>
            </w:r>
          </w:p>
        </w:tc>
        <w:tc>
          <w:tcPr>
            <w:tcW w:w="10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D7AA2C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.43</w:t>
            </w: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vAlign w:val="center"/>
          </w:tcPr>
          <w:p w14:paraId="34C325D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1013" w:type="dxa"/>
            <w:tcBorders>
              <w:left w:val="nil"/>
              <w:bottom w:val="nil"/>
              <w:right w:val="nil"/>
            </w:tcBorders>
            <w:vAlign w:val="center"/>
          </w:tcPr>
          <w:p w14:paraId="3D8FDE35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.54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14:paraId="534C7211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25.15</w: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vAlign w:val="center"/>
          </w:tcPr>
          <w:p w14:paraId="36C0D5B6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vAlign w:val="center"/>
          </w:tcPr>
          <w:p w14:paraId="1ED3714C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.57</w:t>
            </w:r>
          </w:p>
        </w:tc>
      </w:tr>
      <w:tr w:rsidR="003F4D1A" w:rsidRPr="00C97A29" w14:paraId="37C8F9A1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8683B1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FAE0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95% CI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3559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7A45F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9CFE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92F9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.51, 1.00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FAC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.02, .65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AD4F1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8140A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.34, .70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5B273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BD87F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D3723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4D1A" w:rsidRPr="00C97A29" w14:paraId="09CBECF4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vMerge w:val="restart"/>
            <w:tcBorders>
              <w:left w:val="nil"/>
              <w:right w:val="nil"/>
            </w:tcBorders>
            <w:vAlign w:val="center"/>
          </w:tcPr>
          <w:p w14:paraId="341D6D01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 xml:space="preserve">2a. ACE free, </w:t>
            </w:r>
            <w:proofErr w:type="spellStart"/>
            <w:r w:rsidRPr="00C97A29">
              <w:rPr>
                <w:rFonts w:ascii="Times New Roman" w:eastAsia="Calibri" w:hAnsi="Times New Roman"/>
                <w:i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/>
                <w:sz w:val="24"/>
                <w:szCs w:val="24"/>
              </w:rPr>
              <w:t xml:space="preserve"> DZO fixed</w:t>
            </w:r>
          </w:p>
        </w:tc>
        <w:tc>
          <w:tcPr>
            <w:tcW w:w="1070" w:type="dxa"/>
            <w:tcBorders>
              <w:left w:val="nil"/>
              <w:bottom w:val="nil"/>
              <w:right w:val="nil"/>
            </w:tcBorders>
            <w:vAlign w:val="center"/>
          </w:tcPr>
          <w:p w14:paraId="67EB9F3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Estimate</w:t>
            </w: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  <w:vAlign w:val="center"/>
          </w:tcPr>
          <w:p w14:paraId="5547273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.50</w:t>
            </w: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vAlign w:val="center"/>
          </w:tcPr>
          <w:p w14:paraId="25B851F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.08</w:t>
            </w: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vAlign w:val="center"/>
          </w:tcPr>
          <w:p w14:paraId="2B2CE9D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.14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vAlign w:val="center"/>
          </w:tcPr>
          <w:p w14:paraId="75139BAB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.78</w:t>
            </w:r>
          </w:p>
        </w:tc>
        <w:tc>
          <w:tcPr>
            <w:tcW w:w="10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C47E2A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.44</w:t>
            </w: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vAlign w:val="center"/>
          </w:tcPr>
          <w:p w14:paraId="3CCF4AD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.03</w:t>
            </w:r>
          </w:p>
        </w:tc>
        <w:tc>
          <w:tcPr>
            <w:tcW w:w="1013" w:type="dxa"/>
            <w:tcBorders>
              <w:left w:val="nil"/>
              <w:bottom w:val="nil"/>
              <w:right w:val="nil"/>
            </w:tcBorders>
            <w:vAlign w:val="center"/>
          </w:tcPr>
          <w:p w14:paraId="77769442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.53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14:paraId="1B22A1BD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25.98</w: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vAlign w:val="center"/>
          </w:tcPr>
          <w:p w14:paraId="1AA38995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vAlign w:val="center"/>
          </w:tcPr>
          <w:p w14:paraId="0EE1DC45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.57</w:t>
            </w:r>
          </w:p>
        </w:tc>
      </w:tr>
      <w:tr w:rsidR="003F4D1A" w:rsidRPr="00C97A29" w14:paraId="74D6C13D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4E14B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CD0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95% CI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E8A6F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fixed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1B3D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C3D8E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2485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.56, .99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D8CE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.07, .61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2E08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C120E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.38, .70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5E5A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9968A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0D8B7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4D1A" w:rsidRPr="00C97A29" w14:paraId="760DBDA6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vMerge w:val="restart"/>
            <w:tcBorders>
              <w:left w:val="nil"/>
              <w:right w:val="nil"/>
            </w:tcBorders>
            <w:vAlign w:val="center"/>
          </w:tcPr>
          <w:p w14:paraId="6DC03C6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 xml:space="preserve">3a. ACE fixed, </w:t>
            </w:r>
            <w:proofErr w:type="spellStart"/>
            <w:r w:rsidRPr="00C97A29">
              <w:rPr>
                <w:rFonts w:ascii="Times New Roman" w:eastAsia="Calibri" w:hAnsi="Times New Roman"/>
                <w:i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/>
                <w:sz w:val="24"/>
                <w:szCs w:val="24"/>
              </w:rPr>
              <w:t xml:space="preserve"> DZO free</w:t>
            </w:r>
          </w:p>
        </w:tc>
        <w:tc>
          <w:tcPr>
            <w:tcW w:w="1070" w:type="dxa"/>
            <w:tcBorders>
              <w:left w:val="nil"/>
              <w:bottom w:val="nil"/>
              <w:right w:val="nil"/>
            </w:tcBorders>
            <w:vAlign w:val="center"/>
          </w:tcPr>
          <w:p w14:paraId="02DAA71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Estimate</w:t>
            </w: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  <w:vAlign w:val="center"/>
          </w:tcPr>
          <w:p w14:paraId="19481B0F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.41</w:t>
            </w: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vAlign w:val="center"/>
          </w:tcPr>
          <w:p w14:paraId="7E42C6CB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.37</w:t>
            </w: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vAlign w:val="center"/>
          </w:tcPr>
          <w:p w14:paraId="62D1615D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vAlign w:val="center"/>
          </w:tcPr>
          <w:p w14:paraId="1591244C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.59</w:t>
            </w:r>
          </w:p>
        </w:tc>
        <w:tc>
          <w:tcPr>
            <w:tcW w:w="10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C2A469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.37</w:t>
            </w: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vAlign w:val="center"/>
          </w:tcPr>
          <w:p w14:paraId="7CE2AD3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1013" w:type="dxa"/>
            <w:tcBorders>
              <w:left w:val="nil"/>
              <w:bottom w:val="nil"/>
              <w:right w:val="nil"/>
            </w:tcBorders>
            <w:vAlign w:val="center"/>
          </w:tcPr>
          <w:p w14:paraId="1F1B6D1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.59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14:paraId="7A351D63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27.68</w: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vAlign w:val="center"/>
          </w:tcPr>
          <w:p w14:paraId="62B55FD7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vAlign w:val="center"/>
          </w:tcPr>
          <w:p w14:paraId="632AA521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.54</w:t>
            </w:r>
          </w:p>
        </w:tc>
      </w:tr>
      <w:tr w:rsidR="003F4D1A" w:rsidRPr="00C97A29" w14:paraId="6C3F4A59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31814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E03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95% CI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DDDD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46EB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.06, .50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8A57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FD20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.48, .73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8C7DC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.06, .50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805AF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EDE5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.48, .73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4B2A8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6A4F6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3213E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4D1A" w:rsidRPr="00C97A29" w14:paraId="7D273650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vMerge w:val="restart"/>
            <w:tcBorders>
              <w:left w:val="nil"/>
              <w:right w:val="nil"/>
            </w:tcBorders>
            <w:vAlign w:val="center"/>
          </w:tcPr>
          <w:p w14:paraId="531417DD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4a. ACE fixed, </w:t>
            </w:r>
            <w:proofErr w:type="spellStart"/>
            <w:r w:rsidRPr="00C97A2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DZO fixed</w:t>
            </w:r>
          </w:p>
        </w:tc>
        <w:tc>
          <w:tcPr>
            <w:tcW w:w="1070" w:type="dxa"/>
            <w:tcBorders>
              <w:left w:val="nil"/>
              <w:bottom w:val="nil"/>
              <w:right w:val="nil"/>
            </w:tcBorders>
            <w:vAlign w:val="center"/>
          </w:tcPr>
          <w:p w14:paraId="44E469E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Estimate</w:t>
            </w: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  <w:vAlign w:val="center"/>
          </w:tcPr>
          <w:p w14:paraId="09BF9CFC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0.50</w:t>
            </w: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vAlign w:val="center"/>
          </w:tcPr>
          <w:p w14:paraId="16F62FC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.40</w:t>
            </w: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vAlign w:val="center"/>
          </w:tcPr>
          <w:p w14:paraId="7D9318DD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.01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vAlign w:val="center"/>
          </w:tcPr>
          <w:p w14:paraId="0F2DCC0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.59</w:t>
            </w:r>
          </w:p>
        </w:tc>
        <w:tc>
          <w:tcPr>
            <w:tcW w:w="10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AF7DD4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.40</w:t>
            </w: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vAlign w:val="center"/>
          </w:tcPr>
          <w:p w14:paraId="41F0353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.01</w:t>
            </w:r>
          </w:p>
        </w:tc>
        <w:tc>
          <w:tcPr>
            <w:tcW w:w="1013" w:type="dxa"/>
            <w:tcBorders>
              <w:left w:val="nil"/>
              <w:bottom w:val="nil"/>
              <w:right w:val="nil"/>
            </w:tcBorders>
            <w:vAlign w:val="center"/>
          </w:tcPr>
          <w:p w14:paraId="3735A1B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.59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14:paraId="1F88FE09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27.92</w: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vAlign w:val="center"/>
          </w:tcPr>
          <w:p w14:paraId="658666F9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vAlign w:val="center"/>
          </w:tcPr>
          <w:p w14:paraId="70295823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.57</w:t>
            </w:r>
          </w:p>
        </w:tc>
      </w:tr>
      <w:tr w:rsidR="003F4D1A" w:rsidRPr="00C97A29" w14:paraId="1D46D0B8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45BA82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EBB3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95% CI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0AE5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fixed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CB0B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.12, .51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370E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E6E3D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.50, .73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CF5C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.12, .51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AD4E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6DC5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.50, .73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CC74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31F42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30BC2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4D1A" w:rsidRPr="00C97A29" w14:paraId="7D56E432" w14:textId="77777777" w:rsidTr="00C97A29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C1E20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Model</w:t>
            </w:r>
          </w:p>
        </w:tc>
        <w:tc>
          <w:tcPr>
            <w:tcW w:w="104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84549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Illicit Use</w:t>
            </w:r>
          </w:p>
        </w:tc>
      </w:tr>
      <w:tr w:rsidR="003F4D1A" w:rsidRPr="00C97A29" w14:paraId="7D63E663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7D5AD6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 xml:space="preserve">1b. ACE free, </w:t>
            </w:r>
            <w:proofErr w:type="spellStart"/>
            <w:r w:rsidRPr="00C97A29">
              <w:rPr>
                <w:rFonts w:ascii="Times New Roman" w:eastAsia="Calibri" w:hAnsi="Times New Roman"/>
                <w:i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/>
                <w:sz w:val="24"/>
                <w:szCs w:val="24"/>
              </w:rPr>
              <w:t xml:space="preserve"> DZO free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12833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Estimate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405C5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22AE5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7702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E5C67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.69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FB44E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E459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.83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10108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5651F3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26.17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92A162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5F8BB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.51</w:t>
            </w:r>
          </w:p>
        </w:tc>
      </w:tr>
      <w:tr w:rsidR="003F4D1A" w:rsidRPr="00C97A29" w14:paraId="6A0430E3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C8A569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94ED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95% CI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D33D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.10, .48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EC76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4274F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.16, .54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4F5C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.46, .82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5218B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493F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.56, .96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CFC4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.01, .37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68382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00504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D4EC9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4D1A" w:rsidRPr="00C97A29" w14:paraId="0D45B711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D4535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2b. ACE free, </w:t>
            </w:r>
            <w:proofErr w:type="spellStart"/>
            <w:r w:rsidRPr="00C97A2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DZO fixed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D6F5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Estimate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F554C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.50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C2B0B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01FC2E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.28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341DE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.69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6BA1F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31BED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.86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7277AD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65E537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25.90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173FC0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F5A19B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.58</w:t>
            </w:r>
          </w:p>
        </w:tc>
      </w:tr>
      <w:tr w:rsidR="003F4D1A" w:rsidRPr="00C97A29" w14:paraId="477F472E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68CAF1D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6BE4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95% CI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DB1D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fixed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C19A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0533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.15, .54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5260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.35, .84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05AC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6FFF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.56, .96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5D29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.02, .40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C9F14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FB356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FA164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4D1A" w:rsidRPr="00C97A29" w14:paraId="00478F49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DA8A7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 xml:space="preserve">3b. ACE fixed, </w:t>
            </w:r>
            <w:proofErr w:type="spellStart"/>
            <w:r w:rsidRPr="00C97A29">
              <w:rPr>
                <w:rFonts w:ascii="Times New Roman" w:eastAsia="Calibri" w:hAnsi="Times New Roman"/>
                <w:i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/>
                <w:sz w:val="24"/>
                <w:szCs w:val="24"/>
              </w:rPr>
              <w:t xml:space="preserve"> DZO free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FE365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Estimate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79C6C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.16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B8959B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021E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.71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105B6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.29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B507D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9713C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.71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9C6E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CFE63B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35.38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C03143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EAA4A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.19</w:t>
            </w:r>
          </w:p>
        </w:tc>
      </w:tr>
      <w:tr w:rsidR="003F4D1A" w:rsidRPr="00C97A29" w14:paraId="6C583F28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450920D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FCED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95% CI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F1FB1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.16, .21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FA05F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8128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.53, .81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BEA3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.19, .46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40ACE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F52BB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.53, .81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5BE3B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.19, .46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F9F4C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EF37B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FC3D2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4D1A" w:rsidRPr="00C97A29" w14:paraId="324DC6AF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7BC2B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 xml:space="preserve">4b. ACE fixed, </w:t>
            </w:r>
            <w:proofErr w:type="spellStart"/>
            <w:r w:rsidRPr="00C97A29">
              <w:rPr>
                <w:rFonts w:ascii="Times New Roman" w:eastAsia="Calibri" w:hAnsi="Times New Roman"/>
                <w:i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/>
                <w:sz w:val="24"/>
                <w:szCs w:val="24"/>
              </w:rPr>
              <w:t xml:space="preserve"> DZO fixed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E9B09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Estimate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28369E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0.50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C43A3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FA42B1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.71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DD840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.29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1EC09C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CFDFC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.71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C8136E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9E49C4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37.19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809FC5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E31EB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.17</w:t>
            </w:r>
          </w:p>
        </w:tc>
      </w:tr>
      <w:tr w:rsidR="003F4D1A" w:rsidRPr="00C97A29" w14:paraId="25B3B879" w14:textId="77777777" w:rsidTr="00C97A29">
        <w:trPr>
          <w:gridAfter w:val="1"/>
          <w:wAfter w:w="14" w:type="dxa"/>
          <w:trHeight w:val="20"/>
          <w:jc w:val="center"/>
        </w:trPr>
        <w:tc>
          <w:tcPr>
            <w:tcW w:w="312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CCBF7E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2019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95% CI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4631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fixed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928C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EAE4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.53, .81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03B3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.16, .45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CCF5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>.00, .04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B7AC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.53, .81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D7EB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b/>
                <w:sz w:val="24"/>
                <w:szCs w:val="24"/>
              </w:rPr>
              <w:t>.16, .45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5320E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E1B33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664BE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F4D1A" w:rsidRPr="00C97A29" w14:paraId="1C99EDB4" w14:textId="77777777" w:rsidTr="00C97A29">
        <w:trPr>
          <w:trHeight w:val="20"/>
          <w:jc w:val="center"/>
        </w:trPr>
        <w:tc>
          <w:tcPr>
            <w:tcW w:w="13570" w:type="dxa"/>
            <w:gridSpan w:val="14"/>
            <w:tcBorders>
              <w:left w:val="nil"/>
              <w:bottom w:val="nil"/>
              <w:right w:val="nil"/>
            </w:tcBorders>
          </w:tcPr>
          <w:p w14:paraId="7AB8BF9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/>
                <w:sz w:val="24"/>
                <w:szCs w:val="24"/>
              </w:rPr>
              <w:t xml:space="preserve">Note. All models include age as a covariate; bold indicates significant parameter estimate; bolded model=preferred solution; DZO=opposite-sex dizygotic twins; CI=confidence interval; </w:t>
            </w:r>
            <w:proofErr w:type="spellStart"/>
            <w:r w:rsidRPr="00C97A29">
              <w:rPr>
                <w:rFonts w:ascii="Times New Roman" w:eastAsia="Calibri" w:hAnsi="Times New Roman"/>
                <w:i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</w:rPr>
              <w:t>=</w:t>
            </w:r>
            <w:r w:rsidRPr="00C97A29">
              <w:rPr>
                <w:rFonts w:ascii="Times New Roman" w:eastAsia="Calibri" w:hAnsi="Times New Roman"/>
                <w:sz w:val="24"/>
                <w:szCs w:val="24"/>
              </w:rPr>
              <w:t>correlation between genetic influences in opposite sex twin pairs; values may not add to 1 due to rounding error.</w:t>
            </w:r>
          </w:p>
        </w:tc>
      </w:tr>
    </w:tbl>
    <w:p w14:paraId="579B9928" w14:textId="77777777" w:rsidR="003F4D1A" w:rsidRDefault="003F4D1A" w:rsidP="00EE16D9">
      <w:pPr>
        <w:jc w:val="center"/>
        <w:rPr>
          <w:b/>
          <w:szCs w:val="24"/>
        </w:rPr>
        <w:sectPr w:rsidR="003F4D1A" w:rsidSect="00F6557A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1"/>
        <w:tblpPr w:leftFromText="180" w:rightFromText="180" w:vertAnchor="text" w:horzAnchor="margin" w:tblpXSpec="center" w:tblpY="-284"/>
        <w:tblW w:w="14120" w:type="dxa"/>
        <w:tblLayout w:type="fixed"/>
        <w:tblLook w:val="04A0" w:firstRow="1" w:lastRow="0" w:firstColumn="1" w:lastColumn="0" w:noHBand="0" w:noVBand="1"/>
      </w:tblPr>
      <w:tblGrid>
        <w:gridCol w:w="3111"/>
        <w:gridCol w:w="1181"/>
        <w:gridCol w:w="1049"/>
        <w:gridCol w:w="1049"/>
        <w:gridCol w:w="1049"/>
        <w:gridCol w:w="1144"/>
        <w:gridCol w:w="39"/>
        <w:gridCol w:w="1010"/>
        <w:gridCol w:w="1049"/>
        <w:gridCol w:w="1051"/>
        <w:gridCol w:w="1239"/>
        <w:gridCol w:w="571"/>
        <w:gridCol w:w="578"/>
      </w:tblGrid>
      <w:tr w:rsidR="003F4D1A" w:rsidRPr="00C97A29" w14:paraId="192A3CF0" w14:textId="77777777" w:rsidTr="00C97A29">
        <w:trPr>
          <w:trHeight w:val="24"/>
        </w:trPr>
        <w:tc>
          <w:tcPr>
            <w:tcW w:w="1412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074F8101" w14:textId="4EF171CA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Table </w:t>
            </w:r>
            <w:r w:rsidR="00EB3AA1"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1014C54E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1EED2" w14:textId="56D62F9C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Variation in stimulant use propensity </w:t>
            </w:r>
            <w:r w:rsidR="00EB3AA1" w:rsidRPr="00C97A2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attributable to additive genetic (a</w:t>
            </w:r>
            <w:r w:rsidR="00EB3AA1" w:rsidRPr="00C97A2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EB3AA1" w:rsidRPr="00C97A2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), shared environmental (c</w:t>
            </w:r>
            <w:r w:rsidR="00EB3AA1" w:rsidRPr="00C97A2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EB3AA1" w:rsidRPr="00C97A2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), and unique environmental (e</w:t>
            </w:r>
            <w:r w:rsidR="00EB3AA1" w:rsidRPr="00C97A2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EB3AA1" w:rsidRPr="00C97A2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) factors in men and women</w:t>
            </w:r>
          </w:p>
          <w:p w14:paraId="0193AB96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F4D1A" w:rsidRPr="00C97A29" w14:paraId="14B96E3F" w14:textId="77777777" w:rsidTr="00C97A29">
        <w:trPr>
          <w:trHeight w:val="276"/>
        </w:trPr>
        <w:tc>
          <w:tcPr>
            <w:tcW w:w="3111" w:type="dxa"/>
            <w:tcBorders>
              <w:left w:val="nil"/>
              <w:bottom w:val="nil"/>
              <w:right w:val="nil"/>
            </w:tcBorders>
            <w:vAlign w:val="center"/>
          </w:tcPr>
          <w:p w14:paraId="0470737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tcBorders>
              <w:left w:val="nil"/>
              <w:right w:val="nil"/>
            </w:tcBorders>
          </w:tcPr>
          <w:p w14:paraId="69099A7D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nil"/>
              <w:right w:val="nil"/>
            </w:tcBorders>
            <w:vAlign w:val="center"/>
          </w:tcPr>
          <w:p w14:paraId="3078AD3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1" w:type="dxa"/>
            <w:gridSpan w:val="4"/>
            <w:tcBorders>
              <w:left w:val="nil"/>
              <w:right w:val="nil"/>
            </w:tcBorders>
            <w:vAlign w:val="center"/>
          </w:tcPr>
          <w:p w14:paraId="2099626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3110" w:type="dxa"/>
            <w:gridSpan w:val="3"/>
            <w:tcBorders>
              <w:left w:val="nil"/>
              <w:right w:val="nil"/>
            </w:tcBorders>
            <w:vAlign w:val="center"/>
          </w:tcPr>
          <w:p w14:paraId="37600FCF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387" w:type="dxa"/>
            <w:gridSpan w:val="3"/>
            <w:tcBorders>
              <w:left w:val="nil"/>
              <w:right w:val="nil"/>
            </w:tcBorders>
            <w:vAlign w:val="center"/>
          </w:tcPr>
          <w:p w14:paraId="7B4B599A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Model Fit</w:t>
            </w:r>
          </w:p>
        </w:tc>
      </w:tr>
      <w:tr w:rsidR="003F4D1A" w:rsidRPr="00C97A29" w14:paraId="3C4CFE62" w14:textId="77777777" w:rsidTr="00C97A29">
        <w:trPr>
          <w:trHeight w:val="276"/>
        </w:trPr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71FC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A1A2A2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CFB10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g</w:t>
            </w:r>
            <w:proofErr w:type="spellEnd"/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C6F61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</w:t>
            </w:r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DBB211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</w:t>
            </w:r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4AE44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</w:t>
            </w:r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2386A6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</w:t>
            </w:r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183DE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</w:t>
            </w:r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5CB544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</w:t>
            </w:r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A2AE77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63"/>
            </w:r>
            <w:r w:rsidRPr="00C97A2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0C175A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E87E95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3F4D1A" w:rsidRPr="00C97A29" w14:paraId="221F4BA1" w14:textId="77777777" w:rsidTr="00C97A29">
        <w:trPr>
          <w:trHeight w:val="276"/>
        </w:trPr>
        <w:tc>
          <w:tcPr>
            <w:tcW w:w="3111" w:type="dxa"/>
            <w:tcBorders>
              <w:left w:val="nil"/>
              <w:bottom w:val="nil"/>
              <w:right w:val="nil"/>
            </w:tcBorders>
            <w:vAlign w:val="center"/>
          </w:tcPr>
          <w:p w14:paraId="70C7D0C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1009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3CA1B165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Prescription Misuse</w:t>
            </w:r>
          </w:p>
        </w:tc>
      </w:tr>
      <w:tr w:rsidR="003F4D1A" w:rsidRPr="00C97A29" w14:paraId="7F2F736E" w14:textId="77777777" w:rsidTr="00C97A29">
        <w:trPr>
          <w:trHeight w:val="276"/>
        </w:trPr>
        <w:tc>
          <w:tcPr>
            <w:tcW w:w="3111" w:type="dxa"/>
            <w:vMerge w:val="restart"/>
            <w:tcBorders>
              <w:left w:val="nil"/>
              <w:right w:val="nil"/>
            </w:tcBorders>
            <w:vAlign w:val="center"/>
          </w:tcPr>
          <w:p w14:paraId="25A5347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1a. ACE free, </w:t>
            </w:r>
            <w:proofErr w:type="spellStart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DZO free</w:t>
            </w: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  <w:vAlign w:val="center"/>
          </w:tcPr>
          <w:p w14:paraId="4DDA459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14:paraId="49ACB0EF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14:paraId="010C9D11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.46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14:paraId="5BF2394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vAlign w:val="center"/>
          </w:tcPr>
          <w:p w14:paraId="768CBAD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.27</w:t>
            </w:r>
          </w:p>
        </w:tc>
        <w:tc>
          <w:tcPr>
            <w:tcW w:w="104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E922E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.80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14:paraId="7DEBB19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vAlign w:val="center"/>
          </w:tcPr>
          <w:p w14:paraId="5608828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vAlign w:val="center"/>
          </w:tcPr>
          <w:p w14:paraId="1F84A0B5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20.75</w:t>
            </w: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  <w:vAlign w:val="center"/>
          </w:tcPr>
          <w:p w14:paraId="3E15F88D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6BED06EC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</w:tr>
      <w:tr w:rsidR="003F4D1A" w:rsidRPr="00C97A29" w14:paraId="25F4B80D" w14:textId="77777777" w:rsidTr="00C97A29">
        <w:trPr>
          <w:trHeight w:val="276"/>
        </w:trPr>
        <w:tc>
          <w:tcPr>
            <w:tcW w:w="31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A6C5226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85A2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6E4D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.00, .50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66DDE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.02, .82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19BFE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.00, .72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A178B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.16, .45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6192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.66, .89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F7EC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.00, .23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F6611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.12, .31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B88D9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DAB2C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C959F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D1A" w:rsidRPr="00C97A29" w14:paraId="6EAADEB9" w14:textId="77777777" w:rsidTr="00C97A29">
        <w:trPr>
          <w:trHeight w:val="276"/>
        </w:trPr>
        <w:tc>
          <w:tcPr>
            <w:tcW w:w="3111" w:type="dxa"/>
            <w:vMerge w:val="restart"/>
            <w:tcBorders>
              <w:left w:val="nil"/>
              <w:right w:val="nil"/>
            </w:tcBorders>
            <w:vAlign w:val="center"/>
          </w:tcPr>
          <w:p w14:paraId="3845828C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2a. ACE free, </w:t>
            </w:r>
            <w:proofErr w:type="spellStart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DZO fixed</w:t>
            </w: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  <w:vAlign w:val="center"/>
          </w:tcPr>
          <w:p w14:paraId="5DADF4B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14:paraId="7591479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14:paraId="6173B65B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14:paraId="2F27A6E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.46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vAlign w:val="center"/>
          </w:tcPr>
          <w:p w14:paraId="1F3A268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04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4E527F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.80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14:paraId="363B128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vAlign w:val="center"/>
          </w:tcPr>
          <w:p w14:paraId="1342E98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vAlign w:val="center"/>
          </w:tcPr>
          <w:p w14:paraId="090514F8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20.95</w:t>
            </w: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  <w:vAlign w:val="center"/>
          </w:tcPr>
          <w:p w14:paraId="2302216C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23C8EFF9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</w:p>
        </w:tc>
      </w:tr>
      <w:tr w:rsidR="003F4D1A" w:rsidRPr="00C97A29" w14:paraId="64652D9E" w14:textId="77777777" w:rsidTr="00C97A29">
        <w:trPr>
          <w:trHeight w:val="276"/>
        </w:trPr>
        <w:tc>
          <w:tcPr>
            <w:tcW w:w="31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2F530C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1C64E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17B1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fixed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C42FB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.00, .76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242F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.00, .75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EF46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.17, .52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2617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.67, .89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1000C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.00, 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B97A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.10, .31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61D49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E7321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38B55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D1A" w:rsidRPr="00C97A29" w14:paraId="0FAAB595" w14:textId="77777777" w:rsidTr="00C97A29">
        <w:trPr>
          <w:trHeight w:val="276"/>
        </w:trPr>
        <w:tc>
          <w:tcPr>
            <w:tcW w:w="3111" w:type="dxa"/>
            <w:vMerge w:val="restart"/>
            <w:tcBorders>
              <w:left w:val="nil"/>
              <w:right w:val="nil"/>
            </w:tcBorders>
            <w:vAlign w:val="center"/>
          </w:tcPr>
          <w:p w14:paraId="1893FC6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3a. ACE fixed, </w:t>
            </w:r>
            <w:proofErr w:type="spellStart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DZO free</w:t>
            </w: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  <w:vAlign w:val="center"/>
          </w:tcPr>
          <w:p w14:paraId="00472536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14:paraId="446B2CA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14:paraId="5E9D110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.78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14:paraId="4AA34CA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vAlign w:val="center"/>
          </w:tcPr>
          <w:p w14:paraId="75BF857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104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F70234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.78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14:paraId="1C068781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vAlign w:val="center"/>
          </w:tcPr>
          <w:p w14:paraId="41892D7D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vAlign w:val="center"/>
          </w:tcPr>
          <w:p w14:paraId="46A2F524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  <w:vAlign w:val="center"/>
          </w:tcPr>
          <w:p w14:paraId="74A35305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38B4EB11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</w:p>
        </w:tc>
      </w:tr>
      <w:tr w:rsidR="003F4D1A" w:rsidRPr="00C97A29" w14:paraId="0C25E0AF" w14:textId="77777777" w:rsidTr="00C97A29">
        <w:trPr>
          <w:trHeight w:val="276"/>
        </w:trPr>
        <w:tc>
          <w:tcPr>
            <w:tcW w:w="31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304D6C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FFB8B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1AAE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.00, .50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674F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.57, .87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1730E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.00, .26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C5B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.14, .30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7D67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.57, .87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B71DD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.00, .26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C14F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.14, .30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BF302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679EE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07002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D1A" w:rsidRPr="00C97A29" w14:paraId="0378DCDA" w14:textId="77777777" w:rsidTr="00C97A29">
        <w:trPr>
          <w:trHeight w:val="276"/>
        </w:trPr>
        <w:tc>
          <w:tcPr>
            <w:tcW w:w="3111" w:type="dxa"/>
            <w:vMerge w:val="restart"/>
            <w:tcBorders>
              <w:left w:val="nil"/>
              <w:right w:val="nil"/>
            </w:tcBorders>
            <w:vAlign w:val="center"/>
          </w:tcPr>
          <w:p w14:paraId="242958E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4a. ACE fixed, </w:t>
            </w:r>
            <w:proofErr w:type="spellStart"/>
            <w:r w:rsidRPr="00C97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DZO fixed</w:t>
            </w: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  <w:vAlign w:val="center"/>
          </w:tcPr>
          <w:p w14:paraId="6143E8F6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14:paraId="054CFFCF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14:paraId="75FE64E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.78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14:paraId="3B715D9D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vAlign w:val="center"/>
          </w:tcPr>
          <w:p w14:paraId="07212156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104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D0896CB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.78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14:paraId="6D8DA636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vAlign w:val="center"/>
          </w:tcPr>
          <w:p w14:paraId="6E2E55DB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vAlign w:val="center"/>
          </w:tcPr>
          <w:p w14:paraId="02A0B6A9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  <w:vAlign w:val="center"/>
          </w:tcPr>
          <w:p w14:paraId="6A8C2DDC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1EC8412B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.73</w:t>
            </w:r>
          </w:p>
        </w:tc>
      </w:tr>
      <w:tr w:rsidR="003F4D1A" w:rsidRPr="00C97A29" w14:paraId="7BEAB43B" w14:textId="77777777" w:rsidTr="00C97A29">
        <w:trPr>
          <w:trHeight w:val="276"/>
        </w:trPr>
        <w:tc>
          <w:tcPr>
            <w:tcW w:w="31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EBD3C9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A127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3667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fixed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F2AD6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.68, .84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B4FBF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.00, .00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43E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.16, .32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CD5F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.68, .84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8ADBB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.00, 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DD2B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.16, .32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8E8DB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9EC82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2F917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D1A" w:rsidRPr="00C97A29" w14:paraId="0258BE73" w14:textId="77777777" w:rsidTr="00C97A29">
        <w:trPr>
          <w:trHeight w:val="276"/>
        </w:trPr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11233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10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809820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Illicit Use</w:t>
            </w:r>
          </w:p>
        </w:tc>
      </w:tr>
      <w:tr w:rsidR="003F4D1A" w:rsidRPr="00C97A29" w14:paraId="47E5E4FF" w14:textId="77777777" w:rsidTr="00C97A29">
        <w:trPr>
          <w:trHeight w:val="276"/>
        </w:trPr>
        <w:tc>
          <w:tcPr>
            <w:tcW w:w="31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8EE57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1b. ACE free, </w:t>
            </w:r>
            <w:proofErr w:type="spellStart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DZO free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050B9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99E9FC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22B6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.65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37405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AC3F7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0BADB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143E7E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.42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AE28A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5AC0C6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26.73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A23C8D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F9D825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</w:tr>
      <w:tr w:rsidR="003F4D1A" w:rsidRPr="00C97A29" w14:paraId="20C2C718" w14:textId="77777777" w:rsidTr="00C97A29">
        <w:trPr>
          <w:trHeight w:val="276"/>
        </w:trPr>
        <w:tc>
          <w:tcPr>
            <w:tcW w:w="31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8EF7A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FCCE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3E6AC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535E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.17, .89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14AC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.00, .62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DF9FF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.08, .33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C9FB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.00, .67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77DBB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.08, .69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F316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.18, .39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6CDF3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D073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49847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D1A" w:rsidRPr="00C97A29" w14:paraId="476F90BB" w14:textId="77777777" w:rsidTr="00C97A29">
        <w:trPr>
          <w:trHeight w:val="276"/>
        </w:trPr>
        <w:tc>
          <w:tcPr>
            <w:tcW w:w="31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5C9B6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2b. ACE free, </w:t>
            </w:r>
            <w:proofErr w:type="spellStart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DZO fixed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C2239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C572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88AAC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.83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BCCCF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FE98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7F036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B1C5E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.44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02200E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94C3EE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27.62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2D4B44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D4652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</w:tr>
      <w:tr w:rsidR="003F4D1A" w:rsidRPr="00C97A29" w14:paraId="6C25161B" w14:textId="77777777" w:rsidTr="00C97A29">
        <w:trPr>
          <w:trHeight w:val="276"/>
        </w:trPr>
        <w:tc>
          <w:tcPr>
            <w:tcW w:w="31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1020B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3CA9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0195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fixed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7E1B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.62, .94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AE02D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.00, .75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70F1D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.08, .31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BB389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.00, .69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36D1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.03, .67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D729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.17, .39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1ACF3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4B2A1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A7DA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D1A" w:rsidRPr="00C97A29" w14:paraId="1BD3C23D" w14:textId="77777777" w:rsidTr="00C97A29">
        <w:trPr>
          <w:trHeight w:val="276"/>
        </w:trPr>
        <w:tc>
          <w:tcPr>
            <w:tcW w:w="31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CE07B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3b. ACE fixed, </w:t>
            </w:r>
            <w:proofErr w:type="spellStart"/>
            <w:r w:rsidRPr="00C97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DZO free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09CAC6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B4CD9F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410F5F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.48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F79BB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1D53AF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202DC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.48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87FC0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DCC49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E3D66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28.30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3677E1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A1B61A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</w:tr>
      <w:tr w:rsidR="003F4D1A" w:rsidRPr="00C97A29" w14:paraId="1685FB4D" w14:textId="77777777" w:rsidTr="00C97A29">
        <w:trPr>
          <w:trHeight w:val="276"/>
        </w:trPr>
        <w:tc>
          <w:tcPr>
            <w:tcW w:w="31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5CF59E1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7DDA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F7CD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4A216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.29, .69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B145D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.10, .45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8FC9E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.15, .31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2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.29, .69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F7A52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.10, .45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461B3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.15, .31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4E359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A693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D15B1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D1A" w:rsidRPr="00C97A29" w14:paraId="404DEB86" w14:textId="77777777" w:rsidTr="00C97A29">
        <w:trPr>
          <w:trHeight w:val="276"/>
        </w:trPr>
        <w:tc>
          <w:tcPr>
            <w:tcW w:w="311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06694E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4b. ACE fixed, </w:t>
            </w:r>
            <w:proofErr w:type="spellStart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DZO fixed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028EE1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303AC1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4B095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.58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1C83C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B953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783CB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.58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BE1B3C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7B638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671FD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33.20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CFC31D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7CFEF5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3F4D1A" w:rsidRPr="00C97A29" w14:paraId="0E674F87" w14:textId="77777777" w:rsidTr="00C97A29">
        <w:trPr>
          <w:trHeight w:val="276"/>
        </w:trPr>
        <w:tc>
          <w:tcPr>
            <w:tcW w:w="31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514A86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4BE2A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00FAD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fixed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61F17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.29, .80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37486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.00, .42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9F0E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.16, .32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AA41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.29, .80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4A664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sz w:val="24"/>
                <w:szCs w:val="24"/>
              </w:rPr>
              <w:t>.00, .42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04D75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29">
              <w:rPr>
                <w:rFonts w:ascii="Times New Roman" w:hAnsi="Times New Roman" w:cs="Times New Roman"/>
                <w:b/>
                <w:sz w:val="24"/>
                <w:szCs w:val="24"/>
              </w:rPr>
              <w:t>.16, .32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8302F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D5B21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DFBF2" w14:textId="77777777" w:rsidR="003F4D1A" w:rsidRPr="00C97A29" w:rsidRDefault="003F4D1A" w:rsidP="00070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D1A" w:rsidRPr="00C97A29" w14:paraId="61C69B5D" w14:textId="77777777" w:rsidTr="00C97A29">
        <w:trPr>
          <w:trHeight w:val="19"/>
        </w:trPr>
        <w:tc>
          <w:tcPr>
            <w:tcW w:w="14120" w:type="dxa"/>
            <w:gridSpan w:val="13"/>
            <w:tcBorders>
              <w:left w:val="nil"/>
              <w:bottom w:val="nil"/>
              <w:right w:val="nil"/>
            </w:tcBorders>
          </w:tcPr>
          <w:p w14:paraId="2C62B500" w14:textId="77777777" w:rsidR="003F4D1A" w:rsidRPr="00C97A29" w:rsidRDefault="003F4D1A" w:rsidP="00070EAE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Note. Bold indicates significant parameter estimate; bolded model=preferred solution; DZO=opposite-sex dizygotic twins; CI=confidence interval; </w:t>
            </w:r>
            <w:proofErr w:type="spellStart"/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</w:t>
            </w:r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g</w:t>
            </w:r>
            <w:proofErr w:type="spellEnd"/>
            <w:r w:rsidRPr="00C97A2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correlation between genetic influences in opposite sex twin pairs; </w:t>
            </w:r>
            <w:proofErr w:type="spellStart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nc</w:t>
            </w:r>
            <w:proofErr w:type="spellEnd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spellStart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>not</w:t>
            </w:r>
            <w:proofErr w:type="spellEnd"/>
            <w:r w:rsidRPr="00C9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calculable (estimate reached boundary condition); values may not add to 1 due to rounding error.</w:t>
            </w:r>
          </w:p>
        </w:tc>
      </w:tr>
    </w:tbl>
    <w:p w14:paraId="51A66B8C" w14:textId="6B953EEA" w:rsidR="00F6557A" w:rsidRDefault="00F6557A" w:rsidP="00EE16D9">
      <w:pPr>
        <w:jc w:val="center"/>
        <w:rPr>
          <w:b/>
          <w:szCs w:val="24"/>
        </w:rPr>
        <w:sectPr w:rsidR="00F6557A" w:rsidSect="00F6557A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B3A5B3E" w14:textId="70D90BCB" w:rsidR="00EE16D9" w:rsidRPr="00CC63F7" w:rsidRDefault="00EE16D9" w:rsidP="00EE16D9">
      <w:pPr>
        <w:jc w:val="center"/>
        <w:rPr>
          <w:b/>
          <w:szCs w:val="24"/>
        </w:rPr>
      </w:pPr>
      <w:r w:rsidRPr="00CC63F7">
        <w:rPr>
          <w:b/>
          <w:szCs w:val="24"/>
        </w:rPr>
        <w:lastRenderedPageBreak/>
        <w:t>Figures</w:t>
      </w:r>
    </w:p>
    <w:p w14:paraId="68564680" w14:textId="77777777" w:rsidR="000D188D" w:rsidRPr="00CC63F7" w:rsidRDefault="000D188D" w:rsidP="000D188D">
      <w:pPr>
        <w:rPr>
          <w:szCs w:val="24"/>
        </w:rPr>
      </w:pPr>
      <w:r w:rsidRPr="00CC63F7">
        <w:rPr>
          <w:szCs w:val="24"/>
        </w:rPr>
        <w:t>Figure S1</w:t>
      </w:r>
    </w:p>
    <w:p w14:paraId="50DB8D57" w14:textId="77777777" w:rsidR="000D188D" w:rsidRPr="00CC63F7" w:rsidRDefault="000D188D" w:rsidP="000D188D">
      <w:pPr>
        <w:rPr>
          <w:i/>
          <w:szCs w:val="24"/>
        </w:rPr>
      </w:pPr>
      <w:r w:rsidRPr="00CC63F7">
        <w:rPr>
          <w:i/>
          <w:szCs w:val="24"/>
        </w:rPr>
        <w:t>Prevalence of disaggregated illicit opioid and stimulant use in the full sample, men, and women</w:t>
      </w:r>
    </w:p>
    <w:p w14:paraId="11CA3194" w14:textId="77777777" w:rsidR="000D188D" w:rsidRPr="00CC63F7" w:rsidRDefault="000D188D" w:rsidP="000D188D">
      <w:pPr>
        <w:jc w:val="center"/>
        <w:rPr>
          <w:szCs w:val="24"/>
        </w:rPr>
      </w:pPr>
    </w:p>
    <w:p w14:paraId="14DCAE9E" w14:textId="77777777" w:rsidR="000D188D" w:rsidRPr="00CC63F7" w:rsidRDefault="000D188D" w:rsidP="000D188D">
      <w:pPr>
        <w:jc w:val="center"/>
        <w:rPr>
          <w:szCs w:val="24"/>
        </w:rPr>
      </w:pPr>
      <w:r w:rsidRPr="00CC63F7">
        <w:rPr>
          <w:noProof/>
          <w:szCs w:val="24"/>
        </w:rPr>
        <w:drawing>
          <wp:inline distT="0" distB="0" distL="0" distR="0" wp14:anchorId="3C34A3FA" wp14:editId="4A8375E7">
            <wp:extent cx="4151376" cy="1883664"/>
            <wp:effectExtent l="0" t="0" r="1905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9C025C05-4629-C349-BB3C-506871DB39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123B18C" w14:textId="77777777" w:rsidR="000D188D" w:rsidRPr="00CC63F7" w:rsidRDefault="000D188D" w:rsidP="000D188D">
      <w:pPr>
        <w:jc w:val="center"/>
        <w:rPr>
          <w:szCs w:val="24"/>
        </w:rPr>
      </w:pPr>
      <w:r w:rsidRPr="00CC63F7">
        <w:rPr>
          <w:noProof/>
          <w:szCs w:val="24"/>
        </w:rPr>
        <w:drawing>
          <wp:inline distT="0" distB="0" distL="0" distR="0" wp14:anchorId="304EFA2F" wp14:editId="60E099B1">
            <wp:extent cx="4151376" cy="1883664"/>
            <wp:effectExtent l="0" t="0" r="1905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4ACF5EBA-6F22-044D-B28A-D150104CC6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15F3303" w14:textId="43338AE6" w:rsidR="00E83658" w:rsidRDefault="000D188D" w:rsidP="000D188D">
      <w:pPr>
        <w:rPr>
          <w:rFonts w:eastAsia="Times New Roman"/>
          <w:szCs w:val="24"/>
        </w:rPr>
      </w:pPr>
      <w:r w:rsidRPr="00CC63F7">
        <w:rPr>
          <w:rFonts w:eastAsia="Times New Roman"/>
          <w:szCs w:val="24"/>
        </w:rPr>
        <w:t>Note. Groups are mutually exclusive.</w:t>
      </w:r>
    </w:p>
    <w:p w14:paraId="2B646289" w14:textId="77777777" w:rsidR="00E83658" w:rsidRDefault="00E8365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20D8776E" w14:textId="77777777" w:rsidR="00A1445C" w:rsidRDefault="00A1445C" w:rsidP="00A1445C">
      <w:bookmarkStart w:id="0" w:name="_GoBack"/>
      <w:bookmarkEnd w:id="0"/>
      <w:r>
        <w:lastRenderedPageBreak/>
        <w:t>Figure S2</w:t>
      </w:r>
    </w:p>
    <w:p w14:paraId="2B6A6BB6" w14:textId="3F399364" w:rsidR="00A1445C" w:rsidRPr="00A91DB2" w:rsidRDefault="00A1445C" w:rsidP="00A91DB2">
      <w:pPr>
        <w:tabs>
          <w:tab w:val="left" w:pos="10255"/>
        </w:tabs>
        <w:spacing w:after="0" w:line="240" w:lineRule="auto"/>
        <w:rPr>
          <w:rFonts w:eastAsia="Calibri"/>
          <w:i/>
          <w:szCs w:val="23"/>
        </w:rPr>
      </w:pPr>
      <w:r w:rsidRPr="007F7A0E">
        <w:rPr>
          <w:rFonts w:eastAsia="Calibri"/>
          <w:i/>
        </w:rPr>
        <w:t xml:space="preserve">Variation in opioid </w:t>
      </w:r>
      <w:r w:rsidR="00A91DB2">
        <w:rPr>
          <w:rFonts w:eastAsia="Calibri"/>
          <w:i/>
        </w:rPr>
        <w:t xml:space="preserve">and stimulant </w:t>
      </w:r>
      <w:r w:rsidR="00A91DB2" w:rsidRPr="0092047D">
        <w:rPr>
          <w:rFonts w:eastAsia="Calibri"/>
          <w:i/>
          <w:szCs w:val="23"/>
        </w:rPr>
        <w:t xml:space="preserve">use propensity 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 xml:space="preserve"> attributable to additive genetic (a</w:t>
      </w:r>
      <w:r w:rsidR="00A91DB2" w:rsidRPr="008F79EF">
        <w:rPr>
          <w:rFonts w:eastAsia="Calibri" w:cs="Times New Roman"/>
          <w:i/>
          <w:color w:val="000000" w:themeColor="text1"/>
          <w:szCs w:val="24"/>
          <w:vertAlign w:val="superscript"/>
        </w:rPr>
        <w:t>2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 xml:space="preserve">), </w:t>
      </w:r>
      <w:r w:rsidR="00A91DB2">
        <w:rPr>
          <w:rFonts w:eastAsia="Calibri" w:cs="Times New Roman"/>
          <w:i/>
          <w:color w:val="000000" w:themeColor="text1"/>
          <w:szCs w:val="24"/>
        </w:rPr>
        <w:t>shared environmental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 xml:space="preserve"> (c</w:t>
      </w:r>
      <w:r w:rsidR="00A91DB2" w:rsidRPr="008F79EF">
        <w:rPr>
          <w:rFonts w:eastAsia="Calibri" w:cs="Times New Roman"/>
          <w:i/>
          <w:color w:val="000000" w:themeColor="text1"/>
          <w:szCs w:val="24"/>
          <w:vertAlign w:val="superscript"/>
        </w:rPr>
        <w:t>2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 xml:space="preserve">), and </w:t>
      </w:r>
      <w:r w:rsidR="00A91DB2">
        <w:rPr>
          <w:rFonts w:eastAsia="Calibri" w:cs="Times New Roman"/>
          <w:i/>
          <w:color w:val="000000" w:themeColor="text1"/>
          <w:szCs w:val="24"/>
        </w:rPr>
        <w:t>unique environmental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 xml:space="preserve"> (e</w:t>
      </w:r>
      <w:r w:rsidR="00A91DB2" w:rsidRPr="008F79EF">
        <w:rPr>
          <w:rFonts w:eastAsia="Calibri" w:cs="Times New Roman"/>
          <w:i/>
          <w:color w:val="000000" w:themeColor="text1"/>
          <w:szCs w:val="24"/>
          <w:vertAlign w:val="superscript"/>
        </w:rPr>
        <w:t>2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>)</w:t>
      </w:r>
      <w:r w:rsidR="00A91DB2">
        <w:rPr>
          <w:rFonts w:eastAsia="Calibri" w:cs="Times New Roman"/>
          <w:i/>
          <w:color w:val="000000" w:themeColor="text1"/>
          <w:szCs w:val="24"/>
        </w:rPr>
        <w:t xml:space="preserve"> </w:t>
      </w:r>
      <w:r w:rsidR="00A91DB2" w:rsidRPr="008F79EF">
        <w:rPr>
          <w:rFonts w:eastAsia="Calibri" w:cs="Times New Roman"/>
          <w:i/>
          <w:color w:val="000000" w:themeColor="text1"/>
          <w:szCs w:val="24"/>
        </w:rPr>
        <w:t>factors</w:t>
      </w:r>
      <w:r w:rsidR="00A91DB2">
        <w:rPr>
          <w:rFonts w:eastAsia="Calibri" w:cs="Times New Roman"/>
          <w:i/>
          <w:color w:val="000000" w:themeColor="text1"/>
          <w:szCs w:val="24"/>
        </w:rPr>
        <w:t xml:space="preserve"> in men (a) and women (b)</w:t>
      </w:r>
    </w:p>
    <w:p w14:paraId="2CB2FA2A" w14:textId="77777777" w:rsidR="00A1445C" w:rsidRPr="003409D1" w:rsidRDefault="00A1445C" w:rsidP="00A1445C">
      <w:pPr>
        <w:rPr>
          <w:rFonts w:eastAsia="Calibri"/>
          <w:i/>
        </w:rPr>
      </w:pPr>
      <w:r>
        <w:rPr>
          <w:noProof/>
        </w:rPr>
        <w:drawing>
          <wp:inline distT="0" distB="0" distL="0" distR="0" wp14:anchorId="04CA233D" wp14:editId="59B69168">
            <wp:extent cx="4480560" cy="2824843"/>
            <wp:effectExtent l="0" t="0" r="254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977D792E-91D7-5D41-9B4B-662D234A4D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33D6F3" w14:textId="77777777" w:rsidR="00A1445C" w:rsidRPr="0080631A" w:rsidRDefault="00A1445C" w:rsidP="00A1445C">
      <w:pPr>
        <w:spacing w:line="240" w:lineRule="auto"/>
        <w:rPr>
          <w:sz w:val="22"/>
        </w:rPr>
      </w:pPr>
      <w:r>
        <w:rPr>
          <w:noProof/>
        </w:rPr>
        <w:drawing>
          <wp:inline distT="0" distB="0" distL="0" distR="0" wp14:anchorId="4BF5301A" wp14:editId="18432FD0">
            <wp:extent cx="4480560" cy="2825496"/>
            <wp:effectExtent l="0" t="0" r="254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A8E9FA0C-67EC-BA42-B444-5F4E4F7E5E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62E42D" w14:textId="77777777" w:rsidR="00CC63F7" w:rsidRPr="00CC63F7" w:rsidRDefault="00CC63F7">
      <w:pPr>
        <w:rPr>
          <w:szCs w:val="24"/>
        </w:rPr>
      </w:pPr>
    </w:p>
    <w:sectPr w:rsidR="00CC63F7" w:rsidRPr="00CC63F7" w:rsidSect="009A100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6F790" w14:textId="77777777" w:rsidR="00DD489F" w:rsidRDefault="00DD489F" w:rsidP="00A55C85">
      <w:pPr>
        <w:spacing w:after="0" w:line="240" w:lineRule="auto"/>
      </w:pPr>
      <w:r>
        <w:separator/>
      </w:r>
    </w:p>
  </w:endnote>
  <w:endnote w:type="continuationSeparator" w:id="0">
    <w:p w14:paraId="2EB52736" w14:textId="77777777" w:rsidR="00DD489F" w:rsidRDefault="00DD489F" w:rsidP="00A5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2D3FE" w14:textId="77777777" w:rsidR="00DD489F" w:rsidRDefault="00DD489F" w:rsidP="00A55C85">
      <w:pPr>
        <w:spacing w:after="0" w:line="240" w:lineRule="auto"/>
      </w:pPr>
      <w:r>
        <w:separator/>
      </w:r>
    </w:p>
  </w:footnote>
  <w:footnote w:type="continuationSeparator" w:id="0">
    <w:p w14:paraId="7C96EE06" w14:textId="77777777" w:rsidR="00DD489F" w:rsidRDefault="00DD489F" w:rsidP="00A55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6D9"/>
    <w:rsid w:val="00001152"/>
    <w:rsid w:val="00001AB5"/>
    <w:rsid w:val="00012F10"/>
    <w:rsid w:val="00016AEE"/>
    <w:rsid w:val="00020770"/>
    <w:rsid w:val="00023E5E"/>
    <w:rsid w:val="00026030"/>
    <w:rsid w:val="00026287"/>
    <w:rsid w:val="00031CA5"/>
    <w:rsid w:val="00037B78"/>
    <w:rsid w:val="00045245"/>
    <w:rsid w:val="000509DE"/>
    <w:rsid w:val="00050B22"/>
    <w:rsid w:val="000574A2"/>
    <w:rsid w:val="00057833"/>
    <w:rsid w:val="00061580"/>
    <w:rsid w:val="00070EAE"/>
    <w:rsid w:val="00072596"/>
    <w:rsid w:val="000829A2"/>
    <w:rsid w:val="00085020"/>
    <w:rsid w:val="0008622B"/>
    <w:rsid w:val="00090B1E"/>
    <w:rsid w:val="000932EC"/>
    <w:rsid w:val="00093A1D"/>
    <w:rsid w:val="00097122"/>
    <w:rsid w:val="00097A25"/>
    <w:rsid w:val="000A1DAE"/>
    <w:rsid w:val="000A53C0"/>
    <w:rsid w:val="000B51B3"/>
    <w:rsid w:val="000C48D5"/>
    <w:rsid w:val="000D066D"/>
    <w:rsid w:val="000D188D"/>
    <w:rsid w:val="000E64D3"/>
    <w:rsid w:val="000F17C2"/>
    <w:rsid w:val="000F783C"/>
    <w:rsid w:val="00100939"/>
    <w:rsid w:val="00101072"/>
    <w:rsid w:val="00106672"/>
    <w:rsid w:val="0012244E"/>
    <w:rsid w:val="00123D94"/>
    <w:rsid w:val="00134ACF"/>
    <w:rsid w:val="00143371"/>
    <w:rsid w:val="0015098E"/>
    <w:rsid w:val="0015263E"/>
    <w:rsid w:val="001559FD"/>
    <w:rsid w:val="00157C97"/>
    <w:rsid w:val="001601BC"/>
    <w:rsid w:val="00167F10"/>
    <w:rsid w:val="001852BF"/>
    <w:rsid w:val="00186ECE"/>
    <w:rsid w:val="001871A9"/>
    <w:rsid w:val="001924C3"/>
    <w:rsid w:val="001946AE"/>
    <w:rsid w:val="00194D87"/>
    <w:rsid w:val="001A1ABE"/>
    <w:rsid w:val="001A1EF1"/>
    <w:rsid w:val="001B0266"/>
    <w:rsid w:val="001B185A"/>
    <w:rsid w:val="001C2D37"/>
    <w:rsid w:val="001C3334"/>
    <w:rsid w:val="001C4C1A"/>
    <w:rsid w:val="001E0E8B"/>
    <w:rsid w:val="001E7174"/>
    <w:rsid w:val="001F6DDC"/>
    <w:rsid w:val="001F7831"/>
    <w:rsid w:val="002004A1"/>
    <w:rsid w:val="0020419F"/>
    <w:rsid w:val="00204D55"/>
    <w:rsid w:val="00206053"/>
    <w:rsid w:val="00212C3E"/>
    <w:rsid w:val="00214DF6"/>
    <w:rsid w:val="002205F0"/>
    <w:rsid w:val="00225361"/>
    <w:rsid w:val="00225ED1"/>
    <w:rsid w:val="00233854"/>
    <w:rsid w:val="00243726"/>
    <w:rsid w:val="00244A5B"/>
    <w:rsid w:val="00247290"/>
    <w:rsid w:val="002511B8"/>
    <w:rsid w:val="0025373E"/>
    <w:rsid w:val="00256C4A"/>
    <w:rsid w:val="00265EAC"/>
    <w:rsid w:val="002702C7"/>
    <w:rsid w:val="00273E9C"/>
    <w:rsid w:val="0027619D"/>
    <w:rsid w:val="00285082"/>
    <w:rsid w:val="002856A5"/>
    <w:rsid w:val="002952C3"/>
    <w:rsid w:val="002A7D8E"/>
    <w:rsid w:val="002B2E64"/>
    <w:rsid w:val="002B4B14"/>
    <w:rsid w:val="002C2FFB"/>
    <w:rsid w:val="002C6D15"/>
    <w:rsid w:val="002F2C3A"/>
    <w:rsid w:val="002F447F"/>
    <w:rsid w:val="00300136"/>
    <w:rsid w:val="00302F6E"/>
    <w:rsid w:val="00307D71"/>
    <w:rsid w:val="0031288C"/>
    <w:rsid w:val="00312EF2"/>
    <w:rsid w:val="00313609"/>
    <w:rsid w:val="00315824"/>
    <w:rsid w:val="00315EF7"/>
    <w:rsid w:val="003205FD"/>
    <w:rsid w:val="00324483"/>
    <w:rsid w:val="00324502"/>
    <w:rsid w:val="00327180"/>
    <w:rsid w:val="00330DBB"/>
    <w:rsid w:val="003513B6"/>
    <w:rsid w:val="00354377"/>
    <w:rsid w:val="00365747"/>
    <w:rsid w:val="003715D6"/>
    <w:rsid w:val="00376FA8"/>
    <w:rsid w:val="00377097"/>
    <w:rsid w:val="00380D9A"/>
    <w:rsid w:val="0038619C"/>
    <w:rsid w:val="0039097A"/>
    <w:rsid w:val="00393F1C"/>
    <w:rsid w:val="003965DC"/>
    <w:rsid w:val="003A3CED"/>
    <w:rsid w:val="003B1603"/>
    <w:rsid w:val="003B247E"/>
    <w:rsid w:val="003B4BDC"/>
    <w:rsid w:val="003B5A42"/>
    <w:rsid w:val="003B5B86"/>
    <w:rsid w:val="003D1C50"/>
    <w:rsid w:val="003E2807"/>
    <w:rsid w:val="003E3146"/>
    <w:rsid w:val="003E5361"/>
    <w:rsid w:val="003E6E50"/>
    <w:rsid w:val="003F00F9"/>
    <w:rsid w:val="003F4D1A"/>
    <w:rsid w:val="003F69F6"/>
    <w:rsid w:val="00401F87"/>
    <w:rsid w:val="004043F4"/>
    <w:rsid w:val="00404E75"/>
    <w:rsid w:val="00414F54"/>
    <w:rsid w:val="004162D2"/>
    <w:rsid w:val="00420203"/>
    <w:rsid w:val="004270B5"/>
    <w:rsid w:val="00430016"/>
    <w:rsid w:val="00431051"/>
    <w:rsid w:val="00431A59"/>
    <w:rsid w:val="0043375D"/>
    <w:rsid w:val="0044034D"/>
    <w:rsid w:val="00442C40"/>
    <w:rsid w:val="00444130"/>
    <w:rsid w:val="00444714"/>
    <w:rsid w:val="00451D32"/>
    <w:rsid w:val="0046094E"/>
    <w:rsid w:val="00477261"/>
    <w:rsid w:val="004849C0"/>
    <w:rsid w:val="004A1950"/>
    <w:rsid w:val="004A222F"/>
    <w:rsid w:val="004A2CA9"/>
    <w:rsid w:val="004A3054"/>
    <w:rsid w:val="004A6D2B"/>
    <w:rsid w:val="004B50C4"/>
    <w:rsid w:val="004B7502"/>
    <w:rsid w:val="004C04C7"/>
    <w:rsid w:val="004D7EEF"/>
    <w:rsid w:val="004E0837"/>
    <w:rsid w:val="004E6366"/>
    <w:rsid w:val="004E7388"/>
    <w:rsid w:val="004F5864"/>
    <w:rsid w:val="004F5F24"/>
    <w:rsid w:val="005176D4"/>
    <w:rsid w:val="00526611"/>
    <w:rsid w:val="00527157"/>
    <w:rsid w:val="005305D8"/>
    <w:rsid w:val="005342E8"/>
    <w:rsid w:val="00544A86"/>
    <w:rsid w:val="00546946"/>
    <w:rsid w:val="005500B2"/>
    <w:rsid w:val="005546B7"/>
    <w:rsid w:val="00561A76"/>
    <w:rsid w:val="0057292A"/>
    <w:rsid w:val="00573E16"/>
    <w:rsid w:val="00581FAC"/>
    <w:rsid w:val="00585488"/>
    <w:rsid w:val="00586188"/>
    <w:rsid w:val="005870EB"/>
    <w:rsid w:val="0059012F"/>
    <w:rsid w:val="0059025D"/>
    <w:rsid w:val="00593013"/>
    <w:rsid w:val="005968FA"/>
    <w:rsid w:val="005A0445"/>
    <w:rsid w:val="005A08AE"/>
    <w:rsid w:val="005A3D9C"/>
    <w:rsid w:val="005A4193"/>
    <w:rsid w:val="005A546E"/>
    <w:rsid w:val="005B4DCE"/>
    <w:rsid w:val="005B7852"/>
    <w:rsid w:val="005C4EAB"/>
    <w:rsid w:val="005C57FB"/>
    <w:rsid w:val="005D1983"/>
    <w:rsid w:val="005D3D82"/>
    <w:rsid w:val="005D4875"/>
    <w:rsid w:val="005E1449"/>
    <w:rsid w:val="005E726E"/>
    <w:rsid w:val="005F58E9"/>
    <w:rsid w:val="006005E8"/>
    <w:rsid w:val="00602AAA"/>
    <w:rsid w:val="006032AF"/>
    <w:rsid w:val="0060367E"/>
    <w:rsid w:val="00606EC6"/>
    <w:rsid w:val="00612268"/>
    <w:rsid w:val="00613635"/>
    <w:rsid w:val="00617429"/>
    <w:rsid w:val="00625970"/>
    <w:rsid w:val="00635B36"/>
    <w:rsid w:val="00647AC5"/>
    <w:rsid w:val="006501FC"/>
    <w:rsid w:val="00656BE7"/>
    <w:rsid w:val="0068468B"/>
    <w:rsid w:val="00686678"/>
    <w:rsid w:val="00686F09"/>
    <w:rsid w:val="006909A4"/>
    <w:rsid w:val="00692A47"/>
    <w:rsid w:val="00694B75"/>
    <w:rsid w:val="006A07BF"/>
    <w:rsid w:val="006A46D9"/>
    <w:rsid w:val="006A5348"/>
    <w:rsid w:val="006A58C0"/>
    <w:rsid w:val="006A5942"/>
    <w:rsid w:val="006A5B3B"/>
    <w:rsid w:val="006C0EE6"/>
    <w:rsid w:val="006E171A"/>
    <w:rsid w:val="006E5997"/>
    <w:rsid w:val="006F099E"/>
    <w:rsid w:val="006F701D"/>
    <w:rsid w:val="00702EBA"/>
    <w:rsid w:val="0070622C"/>
    <w:rsid w:val="00714D79"/>
    <w:rsid w:val="007263E3"/>
    <w:rsid w:val="007332DD"/>
    <w:rsid w:val="007345C0"/>
    <w:rsid w:val="007523EC"/>
    <w:rsid w:val="007560D9"/>
    <w:rsid w:val="00764AF8"/>
    <w:rsid w:val="00775FFF"/>
    <w:rsid w:val="00780093"/>
    <w:rsid w:val="00783EFD"/>
    <w:rsid w:val="007846ED"/>
    <w:rsid w:val="00786167"/>
    <w:rsid w:val="00787A27"/>
    <w:rsid w:val="0079308D"/>
    <w:rsid w:val="00796FE4"/>
    <w:rsid w:val="007A6D30"/>
    <w:rsid w:val="007B19EC"/>
    <w:rsid w:val="007B77C6"/>
    <w:rsid w:val="007B78CD"/>
    <w:rsid w:val="007C1F0A"/>
    <w:rsid w:val="007C37EA"/>
    <w:rsid w:val="007C5E5E"/>
    <w:rsid w:val="007D38AB"/>
    <w:rsid w:val="007E00BF"/>
    <w:rsid w:val="007E2923"/>
    <w:rsid w:val="007E6B73"/>
    <w:rsid w:val="007F51FA"/>
    <w:rsid w:val="007F7576"/>
    <w:rsid w:val="00803498"/>
    <w:rsid w:val="00807256"/>
    <w:rsid w:val="008102C3"/>
    <w:rsid w:val="008172A0"/>
    <w:rsid w:val="008212A2"/>
    <w:rsid w:val="0082196C"/>
    <w:rsid w:val="00826704"/>
    <w:rsid w:val="00826B95"/>
    <w:rsid w:val="0083141E"/>
    <w:rsid w:val="00841DC9"/>
    <w:rsid w:val="008438EB"/>
    <w:rsid w:val="00843ADC"/>
    <w:rsid w:val="00843B89"/>
    <w:rsid w:val="0085420F"/>
    <w:rsid w:val="00871B74"/>
    <w:rsid w:val="0087213A"/>
    <w:rsid w:val="0087285A"/>
    <w:rsid w:val="0087415D"/>
    <w:rsid w:val="00874331"/>
    <w:rsid w:val="0087707C"/>
    <w:rsid w:val="00882C58"/>
    <w:rsid w:val="00895FA1"/>
    <w:rsid w:val="00896B89"/>
    <w:rsid w:val="008A0CC5"/>
    <w:rsid w:val="008A1D91"/>
    <w:rsid w:val="008A1FB4"/>
    <w:rsid w:val="008A4207"/>
    <w:rsid w:val="008A60A8"/>
    <w:rsid w:val="008B1595"/>
    <w:rsid w:val="008B3829"/>
    <w:rsid w:val="008C0D4C"/>
    <w:rsid w:val="008C1797"/>
    <w:rsid w:val="008C7A91"/>
    <w:rsid w:val="008D2272"/>
    <w:rsid w:val="008D7FF2"/>
    <w:rsid w:val="008E31D3"/>
    <w:rsid w:val="008F5762"/>
    <w:rsid w:val="008F7C7E"/>
    <w:rsid w:val="009021AC"/>
    <w:rsid w:val="00902B81"/>
    <w:rsid w:val="00906F4A"/>
    <w:rsid w:val="00917807"/>
    <w:rsid w:val="00921111"/>
    <w:rsid w:val="0092364F"/>
    <w:rsid w:val="00930807"/>
    <w:rsid w:val="00931EE2"/>
    <w:rsid w:val="009415E9"/>
    <w:rsid w:val="00944B79"/>
    <w:rsid w:val="0095469E"/>
    <w:rsid w:val="0095510A"/>
    <w:rsid w:val="00956A30"/>
    <w:rsid w:val="009607D4"/>
    <w:rsid w:val="00960835"/>
    <w:rsid w:val="00963704"/>
    <w:rsid w:val="00964316"/>
    <w:rsid w:val="00964458"/>
    <w:rsid w:val="00970B85"/>
    <w:rsid w:val="00975A76"/>
    <w:rsid w:val="00980D05"/>
    <w:rsid w:val="00984108"/>
    <w:rsid w:val="009843BD"/>
    <w:rsid w:val="00986018"/>
    <w:rsid w:val="0099320D"/>
    <w:rsid w:val="00994D0E"/>
    <w:rsid w:val="009A100A"/>
    <w:rsid w:val="009A4C09"/>
    <w:rsid w:val="009B3FB3"/>
    <w:rsid w:val="009B6811"/>
    <w:rsid w:val="009B795B"/>
    <w:rsid w:val="009C1BE7"/>
    <w:rsid w:val="009C6A9D"/>
    <w:rsid w:val="009C6FBF"/>
    <w:rsid w:val="009D6B62"/>
    <w:rsid w:val="009E077A"/>
    <w:rsid w:val="009E3531"/>
    <w:rsid w:val="009E4FC3"/>
    <w:rsid w:val="00A00895"/>
    <w:rsid w:val="00A04562"/>
    <w:rsid w:val="00A07AB2"/>
    <w:rsid w:val="00A13E8F"/>
    <w:rsid w:val="00A1445C"/>
    <w:rsid w:val="00A15987"/>
    <w:rsid w:val="00A20487"/>
    <w:rsid w:val="00A218BB"/>
    <w:rsid w:val="00A41421"/>
    <w:rsid w:val="00A4330B"/>
    <w:rsid w:val="00A50A5B"/>
    <w:rsid w:val="00A55260"/>
    <w:rsid w:val="00A55C85"/>
    <w:rsid w:val="00A61CCC"/>
    <w:rsid w:val="00A67FEF"/>
    <w:rsid w:val="00A7149F"/>
    <w:rsid w:val="00A74C6D"/>
    <w:rsid w:val="00A80689"/>
    <w:rsid w:val="00A82571"/>
    <w:rsid w:val="00A83ACF"/>
    <w:rsid w:val="00A91DB2"/>
    <w:rsid w:val="00A9373B"/>
    <w:rsid w:val="00AA11B2"/>
    <w:rsid w:val="00AA7163"/>
    <w:rsid w:val="00AC0277"/>
    <w:rsid w:val="00AD5687"/>
    <w:rsid w:val="00AE632C"/>
    <w:rsid w:val="00AE65A2"/>
    <w:rsid w:val="00AF02E2"/>
    <w:rsid w:val="00AF7DEE"/>
    <w:rsid w:val="00B038D1"/>
    <w:rsid w:val="00B04F16"/>
    <w:rsid w:val="00B05C24"/>
    <w:rsid w:val="00B05F5B"/>
    <w:rsid w:val="00B105FD"/>
    <w:rsid w:val="00B122F7"/>
    <w:rsid w:val="00B15572"/>
    <w:rsid w:val="00B21BB4"/>
    <w:rsid w:val="00B23575"/>
    <w:rsid w:val="00B24C29"/>
    <w:rsid w:val="00B253FA"/>
    <w:rsid w:val="00B34CFC"/>
    <w:rsid w:val="00B37253"/>
    <w:rsid w:val="00B50714"/>
    <w:rsid w:val="00B53D72"/>
    <w:rsid w:val="00B57A33"/>
    <w:rsid w:val="00B620E9"/>
    <w:rsid w:val="00B673B6"/>
    <w:rsid w:val="00B71A7F"/>
    <w:rsid w:val="00B82050"/>
    <w:rsid w:val="00B82851"/>
    <w:rsid w:val="00B95AB8"/>
    <w:rsid w:val="00BA04F7"/>
    <w:rsid w:val="00BA0C19"/>
    <w:rsid w:val="00BA1407"/>
    <w:rsid w:val="00BA1DD9"/>
    <w:rsid w:val="00BA4D33"/>
    <w:rsid w:val="00BB2385"/>
    <w:rsid w:val="00BB5DB0"/>
    <w:rsid w:val="00BB6D31"/>
    <w:rsid w:val="00BC430A"/>
    <w:rsid w:val="00BD41A7"/>
    <w:rsid w:val="00BE2FF6"/>
    <w:rsid w:val="00BE342E"/>
    <w:rsid w:val="00BE63B5"/>
    <w:rsid w:val="00BE6D7A"/>
    <w:rsid w:val="00BF0B86"/>
    <w:rsid w:val="00C03F46"/>
    <w:rsid w:val="00C111CF"/>
    <w:rsid w:val="00C12119"/>
    <w:rsid w:val="00C22E76"/>
    <w:rsid w:val="00C23A20"/>
    <w:rsid w:val="00C2456A"/>
    <w:rsid w:val="00C25702"/>
    <w:rsid w:val="00C27D56"/>
    <w:rsid w:val="00C3012D"/>
    <w:rsid w:val="00C3276F"/>
    <w:rsid w:val="00C37735"/>
    <w:rsid w:val="00C42CD3"/>
    <w:rsid w:val="00C431A9"/>
    <w:rsid w:val="00C53AA7"/>
    <w:rsid w:val="00C57B42"/>
    <w:rsid w:val="00C64EB5"/>
    <w:rsid w:val="00C65F28"/>
    <w:rsid w:val="00C70403"/>
    <w:rsid w:val="00C70BD5"/>
    <w:rsid w:val="00C74989"/>
    <w:rsid w:val="00C82678"/>
    <w:rsid w:val="00C92E04"/>
    <w:rsid w:val="00C9718D"/>
    <w:rsid w:val="00C97A29"/>
    <w:rsid w:val="00CA09D5"/>
    <w:rsid w:val="00CA4891"/>
    <w:rsid w:val="00CA70F3"/>
    <w:rsid w:val="00CB4154"/>
    <w:rsid w:val="00CC26B8"/>
    <w:rsid w:val="00CC4D6F"/>
    <w:rsid w:val="00CC5722"/>
    <w:rsid w:val="00CC5A0D"/>
    <w:rsid w:val="00CC63F7"/>
    <w:rsid w:val="00CD1FB2"/>
    <w:rsid w:val="00CE2CBC"/>
    <w:rsid w:val="00CF2CFE"/>
    <w:rsid w:val="00CF2DEF"/>
    <w:rsid w:val="00CF520D"/>
    <w:rsid w:val="00CF5BBF"/>
    <w:rsid w:val="00CF7D73"/>
    <w:rsid w:val="00D033F7"/>
    <w:rsid w:val="00D05A30"/>
    <w:rsid w:val="00D068A4"/>
    <w:rsid w:val="00D1311F"/>
    <w:rsid w:val="00D13B47"/>
    <w:rsid w:val="00D14197"/>
    <w:rsid w:val="00D22722"/>
    <w:rsid w:val="00D22E89"/>
    <w:rsid w:val="00D27209"/>
    <w:rsid w:val="00D27CE3"/>
    <w:rsid w:val="00D3039A"/>
    <w:rsid w:val="00D31A29"/>
    <w:rsid w:val="00D33E97"/>
    <w:rsid w:val="00D41D88"/>
    <w:rsid w:val="00D5082F"/>
    <w:rsid w:val="00D57020"/>
    <w:rsid w:val="00D61F9E"/>
    <w:rsid w:val="00D77F3A"/>
    <w:rsid w:val="00D82720"/>
    <w:rsid w:val="00D836FB"/>
    <w:rsid w:val="00D87D30"/>
    <w:rsid w:val="00D908B7"/>
    <w:rsid w:val="00DA1AA1"/>
    <w:rsid w:val="00DA1DB5"/>
    <w:rsid w:val="00DA4360"/>
    <w:rsid w:val="00DA5155"/>
    <w:rsid w:val="00DA638C"/>
    <w:rsid w:val="00DB47D5"/>
    <w:rsid w:val="00DC22C7"/>
    <w:rsid w:val="00DC68E5"/>
    <w:rsid w:val="00DD104C"/>
    <w:rsid w:val="00DD1CBF"/>
    <w:rsid w:val="00DD3F5A"/>
    <w:rsid w:val="00DD489F"/>
    <w:rsid w:val="00DF71AD"/>
    <w:rsid w:val="00E008FF"/>
    <w:rsid w:val="00E11BB1"/>
    <w:rsid w:val="00E15A29"/>
    <w:rsid w:val="00E201E9"/>
    <w:rsid w:val="00E246F0"/>
    <w:rsid w:val="00E3153C"/>
    <w:rsid w:val="00E35FD4"/>
    <w:rsid w:val="00E371E9"/>
    <w:rsid w:val="00E407D0"/>
    <w:rsid w:val="00E46345"/>
    <w:rsid w:val="00E4697A"/>
    <w:rsid w:val="00E55FCE"/>
    <w:rsid w:val="00E631C2"/>
    <w:rsid w:val="00E672A0"/>
    <w:rsid w:val="00E67FD2"/>
    <w:rsid w:val="00E70DFC"/>
    <w:rsid w:val="00E71D1D"/>
    <w:rsid w:val="00E83658"/>
    <w:rsid w:val="00E90FDD"/>
    <w:rsid w:val="00EA013E"/>
    <w:rsid w:val="00EA36C6"/>
    <w:rsid w:val="00EA76E3"/>
    <w:rsid w:val="00EB3AA1"/>
    <w:rsid w:val="00EB4B1D"/>
    <w:rsid w:val="00EB6053"/>
    <w:rsid w:val="00EC39F1"/>
    <w:rsid w:val="00ED0B70"/>
    <w:rsid w:val="00ED1F7D"/>
    <w:rsid w:val="00EE159D"/>
    <w:rsid w:val="00EE16D9"/>
    <w:rsid w:val="00EF0094"/>
    <w:rsid w:val="00EF0F2D"/>
    <w:rsid w:val="00EF4570"/>
    <w:rsid w:val="00EF61B8"/>
    <w:rsid w:val="00EF70F2"/>
    <w:rsid w:val="00F07464"/>
    <w:rsid w:val="00F1214E"/>
    <w:rsid w:val="00F23368"/>
    <w:rsid w:val="00F274E2"/>
    <w:rsid w:val="00F27F92"/>
    <w:rsid w:val="00F3455B"/>
    <w:rsid w:val="00F433AF"/>
    <w:rsid w:val="00F460AC"/>
    <w:rsid w:val="00F52CCF"/>
    <w:rsid w:val="00F54963"/>
    <w:rsid w:val="00F574C6"/>
    <w:rsid w:val="00F617C9"/>
    <w:rsid w:val="00F64F4F"/>
    <w:rsid w:val="00F654D7"/>
    <w:rsid w:val="00F6557A"/>
    <w:rsid w:val="00F66C5F"/>
    <w:rsid w:val="00F72A6D"/>
    <w:rsid w:val="00F8071B"/>
    <w:rsid w:val="00F828D7"/>
    <w:rsid w:val="00F836EF"/>
    <w:rsid w:val="00F96CED"/>
    <w:rsid w:val="00FA4A99"/>
    <w:rsid w:val="00FA7CEF"/>
    <w:rsid w:val="00FB21A3"/>
    <w:rsid w:val="00FC6A2E"/>
    <w:rsid w:val="00FC75E7"/>
    <w:rsid w:val="00FD5954"/>
    <w:rsid w:val="00FD6C6B"/>
    <w:rsid w:val="00FE0B1A"/>
    <w:rsid w:val="00FE228B"/>
    <w:rsid w:val="00FE3D10"/>
    <w:rsid w:val="00FE3EA4"/>
    <w:rsid w:val="00FE4148"/>
    <w:rsid w:val="00FE449C"/>
    <w:rsid w:val="00FE56EF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DF77"/>
  <w14:defaultImageDpi w14:val="32767"/>
  <w15:chartTrackingRefBased/>
  <w15:docId w15:val="{58364EE9-BE2E-C64D-9AF5-5BFE3576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6D9"/>
    <w:pPr>
      <w:spacing w:after="160" w:line="259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072596"/>
    <w:pPr>
      <w:widowControl w:val="0"/>
      <w:spacing w:after="0" w:line="240" w:lineRule="auto"/>
      <w:ind w:left="720"/>
      <w:contextualSpacing/>
    </w:pPr>
    <w:rPr>
      <w:rFonts w:eastAsia="Tahoma" w:cs="Tahoma"/>
      <w:color w:val="000000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E16D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16D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6574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22B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22B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6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3F7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B8"/>
    <w:rPr>
      <w:rFonts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5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C85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C85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genevievedash\Desktop\Publications\Articles\In%20Prep\Dash,%20Martin,%20Agrawal,%20Lynskey,%20&amp;%20Slutske%20(ACE%20Opioid)\Figu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genevievedash\Desktop\Publications\Articles\In%20Prep\Dash,%20Martin,%20Agrawal,%20Lynskey,%20&amp;%20Slutske%20(ACE%20Opioid)\Figur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genevievedash\Desktop\Publications\Articles\In%20Prep\Dash,%20Martin,%20Agrawal,%20Lynskey,%20&amp;%20Slutske%20(Univ%20ACE%20Opioid)\Figur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genevievedash\Desktop\Publications\Articles\In%20Prep\Dash,%20Martin,%20Agrawal,%20Lynskey,%20&amp;%20Slutske%20(Univ%20ACE%20Opioid)\Figur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Prevalence!$B$14</c:f>
              <c:strCache>
                <c:ptCount val="1"/>
                <c:pt idx="0">
                  <c:v>Full Sample (N=2,410)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solidFill>
                <a:schemeClr val="tx1">
                  <a:lumMod val="95000"/>
                  <a:lumOff val="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Prevalence!$A$15:$A$17</c:f>
              <c:strCache>
                <c:ptCount val="3"/>
                <c:pt idx="0">
                  <c:v>Heroin Only</c:v>
                </c:pt>
                <c:pt idx="1">
                  <c:v>Opium Only</c:v>
                </c:pt>
                <c:pt idx="2">
                  <c:v>Heroin &amp; Opium</c:v>
                </c:pt>
              </c:strCache>
            </c:strRef>
          </c:cat>
          <c:val>
            <c:numRef>
              <c:f>Prevalence!$B$15:$B$17</c:f>
              <c:numCache>
                <c:formatCode>General</c:formatCode>
                <c:ptCount val="3"/>
                <c:pt idx="0">
                  <c:v>1.37</c:v>
                </c:pt>
                <c:pt idx="1">
                  <c:v>0.79</c:v>
                </c:pt>
                <c:pt idx="2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64-5549-BAA7-9ED36AF0092B}"/>
            </c:ext>
          </c:extLst>
        </c:ser>
        <c:ser>
          <c:idx val="1"/>
          <c:order val="1"/>
          <c:tx>
            <c:strRef>
              <c:f>Prevalence!$C$14</c:f>
              <c:strCache>
                <c:ptCount val="1"/>
                <c:pt idx="0">
                  <c:v>Men  (n=795)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>
                  <a:lumMod val="95000"/>
                  <a:lumOff val="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Prevalence!$A$15:$A$17</c:f>
              <c:strCache>
                <c:ptCount val="3"/>
                <c:pt idx="0">
                  <c:v>Heroin Only</c:v>
                </c:pt>
                <c:pt idx="1">
                  <c:v>Opium Only</c:v>
                </c:pt>
                <c:pt idx="2">
                  <c:v>Heroin &amp; Opium</c:v>
                </c:pt>
              </c:strCache>
            </c:strRef>
          </c:cat>
          <c:val>
            <c:numRef>
              <c:f>Prevalence!$C$15:$C$17</c:f>
              <c:numCache>
                <c:formatCode>General</c:formatCode>
                <c:ptCount val="3"/>
                <c:pt idx="0">
                  <c:v>2.52</c:v>
                </c:pt>
                <c:pt idx="1">
                  <c:v>1.01</c:v>
                </c:pt>
                <c:pt idx="2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64-5549-BAA7-9ED36AF0092B}"/>
            </c:ext>
          </c:extLst>
        </c:ser>
        <c:ser>
          <c:idx val="2"/>
          <c:order val="2"/>
          <c:tx>
            <c:strRef>
              <c:f>Prevalence!$D$14</c:f>
              <c:strCache>
                <c:ptCount val="1"/>
                <c:pt idx="0">
                  <c:v>Women (n=1,615)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>
                  <a:lumMod val="95000"/>
                  <a:lumOff val="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Prevalence!$A$15:$A$17</c:f>
              <c:strCache>
                <c:ptCount val="3"/>
                <c:pt idx="0">
                  <c:v>Heroin Only</c:v>
                </c:pt>
                <c:pt idx="1">
                  <c:v>Opium Only</c:v>
                </c:pt>
                <c:pt idx="2">
                  <c:v>Heroin &amp; Opium</c:v>
                </c:pt>
              </c:strCache>
            </c:strRef>
          </c:cat>
          <c:val>
            <c:numRef>
              <c:f>Prevalence!$D$15:$D$17</c:f>
              <c:numCache>
                <c:formatCode>General</c:formatCode>
                <c:ptCount val="3"/>
                <c:pt idx="0">
                  <c:v>0.8</c:v>
                </c:pt>
                <c:pt idx="1">
                  <c:v>0.68</c:v>
                </c:pt>
                <c:pt idx="2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64-5549-BAA7-9ED36AF0092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98183288"/>
        <c:axId val="498182504"/>
      </c:barChart>
      <c:catAx>
        <c:axId val="498183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98182504"/>
        <c:crosses val="autoZero"/>
        <c:auto val="1"/>
        <c:lblAlgn val="ctr"/>
        <c:lblOffset val="100"/>
        <c:noMultiLvlLbl val="0"/>
      </c:catAx>
      <c:valAx>
        <c:axId val="498182504"/>
        <c:scaling>
          <c:orientation val="minMax"/>
          <c:max val="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Percent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9818328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tr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Prevalence!$B$21</c:f>
              <c:strCache>
                <c:ptCount val="1"/>
                <c:pt idx="0">
                  <c:v>Full Sample (N=2,410)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Prevalence!$A$22:$A$24</c:f>
              <c:strCache>
                <c:ptCount val="3"/>
                <c:pt idx="0">
                  <c:v>Ecstasy Only</c:v>
                </c:pt>
                <c:pt idx="1">
                  <c:v>Methamphetamine Only</c:v>
                </c:pt>
                <c:pt idx="2">
                  <c:v>Ecstasy &amp; Methamphetamine</c:v>
                </c:pt>
              </c:strCache>
            </c:strRef>
          </c:cat>
          <c:val>
            <c:numRef>
              <c:f>Prevalence!$B$22:$B$24</c:f>
              <c:numCache>
                <c:formatCode>General</c:formatCode>
                <c:ptCount val="3"/>
                <c:pt idx="0">
                  <c:v>21</c:v>
                </c:pt>
                <c:pt idx="1">
                  <c:v>0.12</c:v>
                </c:pt>
                <c:pt idx="2">
                  <c:v>4.1900000000000004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7D-034D-9F6F-55422CD8D333}"/>
            </c:ext>
          </c:extLst>
        </c:ser>
        <c:ser>
          <c:idx val="1"/>
          <c:order val="1"/>
          <c:tx>
            <c:strRef>
              <c:f>Prevalence!$C$21</c:f>
              <c:strCache>
                <c:ptCount val="1"/>
                <c:pt idx="0">
                  <c:v>Men  (n=795)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Prevalence!$A$22:$A$24</c:f>
              <c:strCache>
                <c:ptCount val="3"/>
                <c:pt idx="0">
                  <c:v>Ecstasy Only</c:v>
                </c:pt>
                <c:pt idx="1">
                  <c:v>Methamphetamine Only</c:v>
                </c:pt>
                <c:pt idx="2">
                  <c:v>Ecstasy &amp; Methamphetamine</c:v>
                </c:pt>
              </c:strCache>
            </c:strRef>
          </c:cat>
          <c:val>
            <c:numRef>
              <c:f>Prevalence!$C$22:$C$24</c:f>
              <c:numCache>
                <c:formatCode>General</c:formatCode>
                <c:ptCount val="3"/>
                <c:pt idx="0">
                  <c:v>27.42</c:v>
                </c:pt>
                <c:pt idx="1">
                  <c:v>0.25</c:v>
                </c:pt>
                <c:pt idx="2">
                  <c:v>8.18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7D-034D-9F6F-55422CD8D333}"/>
            </c:ext>
          </c:extLst>
        </c:ser>
        <c:ser>
          <c:idx val="2"/>
          <c:order val="2"/>
          <c:tx>
            <c:strRef>
              <c:f>Prevalence!$D$21</c:f>
              <c:strCache>
                <c:ptCount val="1"/>
                <c:pt idx="0">
                  <c:v>Women (n=1,615)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Prevalence!$A$22:$A$24</c:f>
              <c:strCache>
                <c:ptCount val="3"/>
                <c:pt idx="0">
                  <c:v>Ecstasy Only</c:v>
                </c:pt>
                <c:pt idx="1">
                  <c:v>Methamphetamine Only</c:v>
                </c:pt>
                <c:pt idx="2">
                  <c:v>Ecstasy &amp; Methamphetamine</c:v>
                </c:pt>
              </c:strCache>
            </c:strRef>
          </c:cat>
          <c:val>
            <c:numRef>
              <c:f>Prevalence!$D$22:$D$24</c:f>
              <c:numCache>
                <c:formatCode>General</c:formatCode>
                <c:ptCount val="3"/>
                <c:pt idx="0">
                  <c:v>17.829999999999998</c:v>
                </c:pt>
                <c:pt idx="1">
                  <c:v>0.06</c:v>
                </c:pt>
                <c:pt idx="2">
                  <c:v>2.23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7D-034D-9F6F-55422CD8D3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0669672"/>
        <c:axId val="500668496"/>
      </c:barChart>
      <c:catAx>
        <c:axId val="500669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00668496"/>
        <c:crosses val="autoZero"/>
        <c:auto val="1"/>
        <c:lblAlgn val="ctr"/>
        <c:lblOffset val="100"/>
        <c:noMultiLvlLbl val="0"/>
      </c:catAx>
      <c:valAx>
        <c:axId val="500668496"/>
        <c:scaling>
          <c:orientation val="minMax"/>
          <c:max val="5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Percent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0066967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800"/>
              <a:t>(a) Men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'Summary Figure'!$B$1</c:f>
              <c:strCache>
                <c:ptCount val="1"/>
                <c:pt idx="0">
                  <c:v>Additive Genetic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'Summary Figure'!$A$2:$A$5</c:f>
              <c:strCache>
                <c:ptCount val="4"/>
                <c:pt idx="0">
                  <c:v>Prescription Opioid Misuse</c:v>
                </c:pt>
                <c:pt idx="1">
                  <c:v>Illicit Opioid Use</c:v>
                </c:pt>
                <c:pt idx="2">
                  <c:v>Prescription Stimulant Misuse</c:v>
                </c:pt>
                <c:pt idx="3">
                  <c:v>Illicit Stimulant Use</c:v>
                </c:pt>
              </c:strCache>
            </c:strRef>
          </c:cat>
          <c:val>
            <c:numRef>
              <c:f>'Summary Figure'!$B$2:$B$5</c:f>
              <c:numCache>
                <c:formatCode>General</c:formatCode>
                <c:ptCount val="4"/>
                <c:pt idx="0">
                  <c:v>40</c:v>
                </c:pt>
                <c:pt idx="1">
                  <c:v>3</c:v>
                </c:pt>
                <c:pt idx="2">
                  <c:v>78</c:v>
                </c:pt>
                <c:pt idx="3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DF-5345-81A7-054F5B6CBE82}"/>
            </c:ext>
          </c:extLst>
        </c:ser>
        <c:ser>
          <c:idx val="1"/>
          <c:order val="1"/>
          <c:tx>
            <c:strRef>
              <c:f>'Summary Figure'!$C$1</c:f>
              <c:strCache>
                <c:ptCount val="1"/>
                <c:pt idx="0">
                  <c:v>Common Environmental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'Summary Figure'!$A$2:$A$5</c:f>
              <c:strCache>
                <c:ptCount val="4"/>
                <c:pt idx="0">
                  <c:v>Prescription Opioid Misuse</c:v>
                </c:pt>
                <c:pt idx="1">
                  <c:v>Illicit Opioid Use</c:v>
                </c:pt>
                <c:pt idx="2">
                  <c:v>Prescription Stimulant Misuse</c:v>
                </c:pt>
                <c:pt idx="3">
                  <c:v>Illicit Stimulant Use</c:v>
                </c:pt>
              </c:strCache>
            </c:strRef>
          </c:cat>
          <c:val>
            <c:numRef>
              <c:f>'Summary Figure'!$C$2:$C$5</c:f>
              <c:numCache>
                <c:formatCode>General</c:formatCode>
                <c:ptCount val="4"/>
                <c:pt idx="0">
                  <c:v>2</c:v>
                </c:pt>
                <c:pt idx="1">
                  <c:v>28</c:v>
                </c:pt>
                <c:pt idx="2">
                  <c:v>0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DF-5345-81A7-054F5B6CBE82}"/>
            </c:ext>
          </c:extLst>
        </c:ser>
        <c:ser>
          <c:idx val="2"/>
          <c:order val="2"/>
          <c:tx>
            <c:strRef>
              <c:f>'Summary Figure'!$D$1</c:f>
              <c:strCache>
                <c:ptCount val="1"/>
                <c:pt idx="0">
                  <c:v>Unique Environmental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  <a:prstDash val="solid"/>
            </a:ln>
            <a:effectLst/>
          </c:spPr>
          <c:invertIfNegative val="0"/>
          <c:cat>
            <c:strRef>
              <c:f>'Summary Figure'!$A$2:$A$5</c:f>
              <c:strCache>
                <c:ptCount val="4"/>
                <c:pt idx="0">
                  <c:v>Prescription Opioid Misuse</c:v>
                </c:pt>
                <c:pt idx="1">
                  <c:v>Illicit Opioid Use</c:v>
                </c:pt>
                <c:pt idx="2">
                  <c:v>Prescription Stimulant Misuse</c:v>
                </c:pt>
                <c:pt idx="3">
                  <c:v>Illicit Stimulant Use</c:v>
                </c:pt>
              </c:strCache>
            </c:strRef>
          </c:cat>
          <c:val>
            <c:numRef>
              <c:f>'Summary Figure'!$D$2:$D$5</c:f>
              <c:numCache>
                <c:formatCode>General</c:formatCode>
                <c:ptCount val="4"/>
                <c:pt idx="0">
                  <c:v>59</c:v>
                </c:pt>
                <c:pt idx="1">
                  <c:v>69</c:v>
                </c:pt>
                <c:pt idx="2">
                  <c:v>22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DF-5345-81A7-054F5B6CBE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0167568"/>
        <c:axId val="290166000"/>
      </c:barChart>
      <c:catAx>
        <c:axId val="29016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90166000"/>
        <c:crosses val="autoZero"/>
        <c:auto val="1"/>
        <c:lblAlgn val="ctr"/>
        <c:lblOffset val="100"/>
        <c:noMultiLvlLbl val="0"/>
      </c:catAx>
      <c:valAx>
        <c:axId val="290166000"/>
        <c:scaling>
          <c:orientation val="minMax"/>
          <c:max val="101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9016756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800"/>
              <a:t>(b) Women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'Summary Figure'!$B$7</c:f>
              <c:strCache>
                <c:ptCount val="1"/>
                <c:pt idx="0">
                  <c:v>Additive Genetic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'Summary Figure'!$A$8:$A$11</c:f>
              <c:strCache>
                <c:ptCount val="4"/>
                <c:pt idx="0">
                  <c:v>Prescription Opioid Misuse</c:v>
                </c:pt>
                <c:pt idx="1">
                  <c:v>Illicit Opioid Use</c:v>
                </c:pt>
                <c:pt idx="2">
                  <c:v>Prescription Stimulant Misuse</c:v>
                </c:pt>
                <c:pt idx="3">
                  <c:v>Illicit Stimulant Use</c:v>
                </c:pt>
              </c:strCache>
            </c:strRef>
          </c:cat>
          <c:val>
            <c:numRef>
              <c:f>'Summary Figure'!$B$8:$B$11</c:f>
              <c:numCache>
                <c:formatCode>General</c:formatCode>
                <c:ptCount val="4"/>
                <c:pt idx="0">
                  <c:v>40</c:v>
                </c:pt>
                <c:pt idx="1">
                  <c:v>0</c:v>
                </c:pt>
                <c:pt idx="2">
                  <c:v>78</c:v>
                </c:pt>
                <c:pt idx="3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05-3A4F-B087-A87B118C765A}"/>
            </c:ext>
          </c:extLst>
        </c:ser>
        <c:ser>
          <c:idx val="1"/>
          <c:order val="1"/>
          <c:tx>
            <c:strRef>
              <c:f>'Summary Figure'!$C$7</c:f>
              <c:strCache>
                <c:ptCount val="1"/>
                <c:pt idx="0">
                  <c:v>Common Environmental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'Summary Figure'!$A$8:$A$11</c:f>
              <c:strCache>
                <c:ptCount val="4"/>
                <c:pt idx="0">
                  <c:v>Prescription Opioid Misuse</c:v>
                </c:pt>
                <c:pt idx="1">
                  <c:v>Illicit Opioid Use</c:v>
                </c:pt>
                <c:pt idx="2">
                  <c:v>Prescription Stimulant Misuse</c:v>
                </c:pt>
                <c:pt idx="3">
                  <c:v>Illicit Stimulant Use</c:v>
                </c:pt>
              </c:strCache>
            </c:strRef>
          </c:cat>
          <c:val>
            <c:numRef>
              <c:f>'Summary Figure'!$C$8:$C$11</c:f>
              <c:numCache>
                <c:formatCode>General</c:formatCode>
                <c:ptCount val="4"/>
                <c:pt idx="0">
                  <c:v>2</c:v>
                </c:pt>
                <c:pt idx="1">
                  <c:v>86</c:v>
                </c:pt>
                <c:pt idx="2">
                  <c:v>0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05-3A4F-B087-A87B118C765A}"/>
            </c:ext>
          </c:extLst>
        </c:ser>
        <c:ser>
          <c:idx val="2"/>
          <c:order val="2"/>
          <c:tx>
            <c:strRef>
              <c:f>'Summary Figure'!$D$7</c:f>
              <c:strCache>
                <c:ptCount val="1"/>
                <c:pt idx="0">
                  <c:v>Unique Environmental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'Summary Figure'!$A$8:$A$11</c:f>
              <c:strCache>
                <c:ptCount val="4"/>
                <c:pt idx="0">
                  <c:v>Prescription Opioid Misuse</c:v>
                </c:pt>
                <c:pt idx="1">
                  <c:v>Illicit Opioid Use</c:v>
                </c:pt>
                <c:pt idx="2">
                  <c:v>Prescription Stimulant Misuse</c:v>
                </c:pt>
                <c:pt idx="3">
                  <c:v>Illicit Stimulant Use</c:v>
                </c:pt>
              </c:strCache>
            </c:strRef>
          </c:cat>
          <c:val>
            <c:numRef>
              <c:f>'Summary Figure'!$D$8:$D$11</c:f>
              <c:numCache>
                <c:formatCode>General</c:formatCode>
                <c:ptCount val="4"/>
                <c:pt idx="0">
                  <c:v>59</c:v>
                </c:pt>
                <c:pt idx="1">
                  <c:v>14</c:v>
                </c:pt>
                <c:pt idx="2">
                  <c:v>22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05-3A4F-B087-A87B118C76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2221880"/>
        <c:axId val="102219528"/>
      </c:barChart>
      <c:catAx>
        <c:axId val="102221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02219528"/>
        <c:crosses val="autoZero"/>
        <c:auto val="1"/>
        <c:lblAlgn val="ctr"/>
        <c:lblOffset val="100"/>
        <c:noMultiLvlLbl val="0"/>
      </c:catAx>
      <c:valAx>
        <c:axId val="102219528"/>
        <c:scaling>
          <c:orientation val="minMax"/>
          <c:max val="101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02221880"/>
        <c:crosses val="autoZero"/>
        <c:crossBetween val="between"/>
        <c:majorUnit val="20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Dash</dc:creator>
  <cp:keywords/>
  <dc:description/>
  <cp:lastModifiedBy>Genevieve Dash</cp:lastModifiedBy>
  <cp:revision>45</cp:revision>
  <dcterms:created xsi:type="dcterms:W3CDTF">2020-09-26T13:16:00Z</dcterms:created>
  <dcterms:modified xsi:type="dcterms:W3CDTF">2021-01-02T15:45:00Z</dcterms:modified>
</cp:coreProperties>
</file>