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633F8" w:rsidRPr="0033650E" w:rsidRDefault="001633F8" w:rsidP="001633F8">
      <w:pPr>
        <w:pStyle w:val="Zkladntext"/>
        <w:spacing w:before="0" w:after="0" w:line="480" w:lineRule="auto"/>
        <w:jc w:val="center"/>
        <w:rPr>
          <w:lang w:val="en-GB"/>
        </w:rPr>
      </w:pPr>
      <w:r w:rsidRPr="0033650E">
        <w:rPr>
          <w:noProof/>
          <w:lang w:val="en-GB" w:eastAsia="en-GB"/>
        </w:rPr>
        <w:drawing>
          <wp:inline distT="0" distB="0" distL="0" distR="0" wp14:anchorId="691FA4E2" wp14:editId="7E05583A">
            <wp:extent cx="3497580" cy="3749040"/>
            <wp:effectExtent l="0" t="0" r="7620" b="3810"/>
            <wp:docPr id="13" name="Obrázek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981" t="11700" r="13462" b="9454"/>
                    <a:stretch/>
                  </pic:blipFill>
                  <pic:spPr bwMode="auto">
                    <a:xfrm>
                      <a:off x="0" y="0"/>
                      <a:ext cx="3514349" cy="3767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1633F8" w:rsidRPr="00660953" w:rsidRDefault="001633F8" w:rsidP="001633F8">
      <w:pPr>
        <w:pStyle w:val="Zkladntext"/>
        <w:rPr>
          <w:rFonts w:ascii="Arial" w:hAnsi="Arial" w:cs="Arial"/>
          <w:sz w:val="16"/>
          <w:szCs w:val="16"/>
          <w:lang w:val="en-GB"/>
        </w:rPr>
      </w:pPr>
      <w:r w:rsidRPr="00660953">
        <w:rPr>
          <w:rFonts w:ascii="Arial" w:hAnsi="Arial" w:cs="Arial"/>
          <w:b/>
          <w:sz w:val="16"/>
          <w:szCs w:val="16"/>
          <w:lang w:val="en-GB"/>
        </w:rPr>
        <w:t>Supplementa</w:t>
      </w:r>
      <w:r w:rsidR="00D34777" w:rsidRPr="00660953">
        <w:rPr>
          <w:rFonts w:ascii="Arial" w:hAnsi="Arial" w:cs="Arial"/>
          <w:b/>
          <w:sz w:val="16"/>
          <w:szCs w:val="16"/>
          <w:lang w:val="en-GB"/>
        </w:rPr>
        <w:t>ry</w:t>
      </w:r>
      <w:r w:rsidRPr="00660953">
        <w:rPr>
          <w:rFonts w:ascii="Arial" w:hAnsi="Arial" w:cs="Arial"/>
          <w:b/>
          <w:sz w:val="16"/>
          <w:szCs w:val="16"/>
          <w:lang w:val="en-GB"/>
        </w:rPr>
        <w:t xml:space="preserve"> Figure 1:</w:t>
      </w:r>
      <w:r w:rsidRPr="00660953">
        <w:rPr>
          <w:rFonts w:ascii="Arial" w:hAnsi="Arial" w:cs="Arial"/>
          <w:sz w:val="16"/>
          <w:szCs w:val="16"/>
          <w:lang w:val="en-GB"/>
        </w:rPr>
        <w:t xml:space="preserve"> Conceptual path diagram of unconditional nonlinear growth model. Squares represent observed scores (PHQ-9 or GAD-7) at first 20 appointments, ovals represent latent intercepts (I), slopes (S) and quadratic terms (Q). Dashed arrows show fixed parameters.</w:t>
      </w:r>
    </w:p>
    <w:p w:rsidR="00714579" w:rsidRDefault="00660953">
      <w:bookmarkStart w:id="0" w:name="_GoBack"/>
      <w:bookmarkEnd w:id="0"/>
    </w:p>
    <w:sectPr w:rsidR="0071457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33F8"/>
    <w:rsid w:val="000C192D"/>
    <w:rsid w:val="001633F8"/>
    <w:rsid w:val="00176B1C"/>
    <w:rsid w:val="00274FB4"/>
    <w:rsid w:val="00660953"/>
    <w:rsid w:val="007F7859"/>
    <w:rsid w:val="00D34777"/>
    <w:rsid w:val="00F511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1A529018-F5A4-483D-A74A-B74FCCC05B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qFormat/>
    <w:rsid w:val="001633F8"/>
    <w:pPr>
      <w:spacing w:before="180" w:after="180" w:line="240" w:lineRule="auto"/>
    </w:pPr>
    <w:rPr>
      <w:rFonts w:ascii="Cambria" w:eastAsia="Cambria" w:hAnsi="Cambria" w:cs="Times New Roman"/>
      <w:sz w:val="24"/>
      <w:szCs w:val="24"/>
      <w:lang w:val="en-US"/>
    </w:rPr>
  </w:style>
  <w:style w:type="character" w:customStyle="1" w:styleId="ZkladntextChar">
    <w:name w:val="Základní text Char"/>
    <w:basedOn w:val="Standardnpsmoodstavce"/>
    <w:link w:val="Zkladntext"/>
    <w:rsid w:val="001633F8"/>
    <w:rPr>
      <w:rFonts w:ascii="Cambria" w:eastAsia="Cambria" w:hAnsi="Cambria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40</Words>
  <Characters>241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Stochl</dc:creator>
  <cp:keywords/>
  <dc:description/>
  <cp:lastModifiedBy>Jan Stochl</cp:lastModifiedBy>
  <cp:revision>3</cp:revision>
  <dcterms:created xsi:type="dcterms:W3CDTF">2020-04-24T11:43:00Z</dcterms:created>
  <dcterms:modified xsi:type="dcterms:W3CDTF">2020-04-24T13:37:00Z</dcterms:modified>
</cp:coreProperties>
</file>