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1E084" w14:textId="77777777" w:rsidR="00B4222E" w:rsidRPr="00B4222E" w:rsidRDefault="00B4222E" w:rsidP="00B4222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4222E">
        <w:rPr>
          <w:rFonts w:ascii="Times New Roman" w:hAnsi="Times New Roman" w:cs="Times New Roman"/>
          <w:b/>
          <w:sz w:val="28"/>
          <w:szCs w:val="28"/>
        </w:rPr>
        <w:t xml:space="preserve">The neural substrates of risky rewards and losses in healthy volunteers </w:t>
      </w:r>
    </w:p>
    <w:p w14:paraId="76388DE6" w14:textId="623EDE33" w:rsidR="002F37BD" w:rsidRPr="00B4222E" w:rsidRDefault="00B4222E" w:rsidP="00B4222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4222E">
        <w:rPr>
          <w:rFonts w:ascii="Times New Roman" w:hAnsi="Times New Roman" w:cs="Times New Roman"/>
          <w:b/>
          <w:sz w:val="28"/>
          <w:szCs w:val="28"/>
        </w:rPr>
        <w:t>and patient groups: a PET imaging study</w:t>
      </w:r>
    </w:p>
    <w:p w14:paraId="03789382" w14:textId="77777777" w:rsidR="00B4222E" w:rsidRDefault="00B4222E" w:rsidP="00B4222E">
      <w:pPr>
        <w:spacing w:line="480" w:lineRule="auto"/>
        <w:rPr>
          <w:rFonts w:ascii="Times New Roman" w:hAnsi="Times New Roman" w:cs="Times New Roman"/>
          <w:b/>
        </w:rPr>
      </w:pPr>
    </w:p>
    <w:p w14:paraId="784844DE" w14:textId="77777777" w:rsidR="00FA47B3" w:rsidRDefault="00FA47B3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PET scanning </w:t>
      </w:r>
    </w:p>
    <w:p w14:paraId="5E73270C" w14:textId="77777777" w:rsidR="00FA47B3" w:rsidRDefault="00FA47B3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17322EAE" w14:textId="6ACE0C31" w:rsidR="00FA47B3" w:rsidRDefault="00FA47B3">
      <w:pPr>
        <w:rPr>
          <w:rFonts w:ascii="Times New Roman" w:eastAsia="Times New Roman" w:hAnsi="Times New Roman"/>
          <w:color w:val="222222"/>
          <w:shd w:val="clear" w:color="auto" w:fill="FFFFFF"/>
        </w:rPr>
      </w:pPr>
      <w:r w:rsidRPr="00F252B6">
        <w:rPr>
          <w:rFonts w:ascii="Times New Roman" w:eastAsia="Times New Roman" w:hAnsi="Times New Roman"/>
          <w:color w:val="222222"/>
          <w:shd w:val="clear" w:color="auto" w:fill="FFFFFF"/>
        </w:rPr>
        <w:t>One [11</w:t>
      </w:r>
      <w:proofErr w:type="gramStart"/>
      <w:r w:rsidRPr="00F252B6">
        <w:rPr>
          <w:rFonts w:ascii="Times New Roman" w:eastAsia="Times New Roman" w:hAnsi="Times New Roman"/>
          <w:color w:val="222222"/>
          <w:shd w:val="clear" w:color="auto" w:fill="FFFFFF"/>
        </w:rPr>
        <w:t>C]</w:t>
      </w:r>
      <w:proofErr w:type="spellStart"/>
      <w:r w:rsidRPr="00F252B6">
        <w:rPr>
          <w:rFonts w:ascii="Times New Roman" w:eastAsia="Times New Roman" w:hAnsi="Times New Roman"/>
          <w:color w:val="222222"/>
          <w:shd w:val="clear" w:color="auto" w:fill="FFFFFF"/>
        </w:rPr>
        <w:t>carfentanil</w:t>
      </w:r>
      <w:proofErr w:type="spellEnd"/>
      <w:proofErr w:type="gramEnd"/>
      <w:r w:rsidRPr="00F252B6">
        <w:rPr>
          <w:rFonts w:ascii="Times New Roman" w:eastAsia="Times New Roman" w:hAnsi="Times New Roman"/>
          <w:color w:val="222222"/>
          <w:shd w:val="clear" w:color="auto" w:fill="FFFFFF"/>
        </w:rPr>
        <w:t xml:space="preserve"> scan and three [18F] FDOPA scans were performed on a separate day due to tracer production failure or scanner malfunction.</w:t>
      </w:r>
      <w:r w:rsidRPr="00FA47B3">
        <w:t xml:space="preserve"> </w:t>
      </w:r>
      <w:r w:rsidRPr="00FA47B3">
        <w:rPr>
          <w:rFonts w:ascii="Calibri" w:eastAsia="Times New Roman" w:hAnsi="Calibri" w:cs="Calibri"/>
          <w:color w:val="222222"/>
          <w:shd w:val="clear" w:color="auto" w:fill="FFFFFF"/>
        </w:rPr>
        <w:t>﻿</w:t>
      </w:r>
      <w:r w:rsidRPr="00FA47B3">
        <w:rPr>
          <w:rFonts w:ascii="Times New Roman" w:eastAsia="Times New Roman" w:hAnsi="Times New Roman"/>
          <w:color w:val="222222"/>
          <w:shd w:val="clear" w:color="auto" w:fill="FFFFFF"/>
        </w:rPr>
        <w:t xml:space="preserve">Thus, the final sample sizes were 7 BED, 15 </w:t>
      </w:r>
      <w:r w:rsidR="00586754">
        <w:rPr>
          <w:rFonts w:ascii="Times New Roman" w:eastAsia="Times New Roman" w:hAnsi="Times New Roman"/>
          <w:color w:val="222222"/>
          <w:shd w:val="clear" w:color="auto" w:fill="FFFFFF"/>
        </w:rPr>
        <w:t>GD</w:t>
      </w:r>
      <w:r w:rsidRPr="00FA47B3">
        <w:rPr>
          <w:rFonts w:ascii="Times New Roman" w:eastAsia="Times New Roman" w:hAnsi="Times New Roman"/>
          <w:color w:val="222222"/>
          <w:shd w:val="clear" w:color="auto" w:fill="FFFFFF"/>
        </w:rPr>
        <w:t xml:space="preserve"> and 16 controls with [11</w:t>
      </w:r>
      <w:proofErr w:type="gramStart"/>
      <w:r w:rsidRPr="00FA47B3">
        <w:rPr>
          <w:rFonts w:ascii="Times New Roman" w:eastAsia="Times New Roman" w:hAnsi="Times New Roman"/>
          <w:color w:val="222222"/>
          <w:shd w:val="clear" w:color="auto" w:fill="FFFFFF"/>
        </w:rPr>
        <w:t>C]</w:t>
      </w:r>
      <w:proofErr w:type="spellStart"/>
      <w:r w:rsidRPr="00FA47B3">
        <w:rPr>
          <w:rFonts w:ascii="Times New Roman" w:eastAsia="Times New Roman" w:hAnsi="Times New Roman"/>
          <w:color w:val="222222"/>
          <w:shd w:val="clear" w:color="auto" w:fill="FFFFFF"/>
        </w:rPr>
        <w:t>carfentanil</w:t>
      </w:r>
      <w:proofErr w:type="spellEnd"/>
      <w:proofErr w:type="gramEnd"/>
      <w:r w:rsidRPr="00FA47B3">
        <w:rPr>
          <w:rFonts w:ascii="Times New Roman" w:eastAsia="Times New Roman" w:hAnsi="Times New Roman"/>
          <w:color w:val="222222"/>
          <w:shd w:val="clear" w:color="auto" w:fill="FFFFFF"/>
        </w:rPr>
        <w:t xml:space="preserve">, 7 BED, 13 </w:t>
      </w:r>
      <w:r w:rsidR="00586754">
        <w:rPr>
          <w:rFonts w:ascii="Times New Roman" w:eastAsia="Times New Roman" w:hAnsi="Times New Roman"/>
          <w:color w:val="222222"/>
          <w:shd w:val="clear" w:color="auto" w:fill="FFFFFF"/>
        </w:rPr>
        <w:t>GD</w:t>
      </w:r>
      <w:r w:rsidRPr="00FA47B3">
        <w:rPr>
          <w:rFonts w:ascii="Times New Roman" w:eastAsia="Times New Roman" w:hAnsi="Times New Roman"/>
          <w:color w:val="222222"/>
          <w:shd w:val="clear" w:color="auto" w:fill="FFFFFF"/>
        </w:rPr>
        <w:t>, and 16 controls with [11C]MADAM and [18F]FDOPA</w:t>
      </w:r>
      <w:r>
        <w:rPr>
          <w:rFonts w:ascii="Times New Roman" w:eastAsia="Times New Roman" w:hAnsi="Times New Roman"/>
          <w:color w:val="222222"/>
          <w:shd w:val="clear" w:color="auto" w:fill="FFFFFF"/>
        </w:rPr>
        <w:t xml:space="preserve">. </w:t>
      </w:r>
    </w:p>
    <w:p w14:paraId="63879F68" w14:textId="34A65D21" w:rsidR="00FA47B3" w:rsidRDefault="00FA47B3">
      <w:pPr>
        <w:rPr>
          <w:rFonts w:ascii="Times New Roman" w:eastAsia="Times New Roman" w:hAnsi="Times New Roman"/>
          <w:color w:val="222222"/>
          <w:shd w:val="clear" w:color="auto" w:fill="FFFFFF"/>
        </w:rPr>
      </w:pPr>
      <w:r w:rsidRPr="00254170">
        <w:rPr>
          <w:rFonts w:ascii="Times New Roman" w:eastAsia="Times New Roman" w:hAnsi="Times New Roman"/>
          <w:color w:val="222222"/>
          <w:shd w:val="clear" w:color="auto" w:fill="FFFFFF"/>
        </w:rPr>
        <w:t>The [11</w:t>
      </w:r>
      <w:proofErr w:type="gramStart"/>
      <w:r w:rsidRPr="00254170">
        <w:rPr>
          <w:rFonts w:ascii="Times New Roman" w:eastAsia="Times New Roman" w:hAnsi="Times New Roman"/>
          <w:color w:val="222222"/>
          <w:shd w:val="clear" w:color="auto" w:fill="FFFFFF"/>
        </w:rPr>
        <w:t>C]</w:t>
      </w:r>
      <w:proofErr w:type="spellStart"/>
      <w:r w:rsidRPr="00254170">
        <w:rPr>
          <w:rFonts w:ascii="Times New Roman" w:eastAsia="Times New Roman" w:hAnsi="Times New Roman"/>
          <w:color w:val="222222"/>
          <w:shd w:val="clear" w:color="auto" w:fill="FFFFFF"/>
        </w:rPr>
        <w:t>carfentanil</w:t>
      </w:r>
      <w:proofErr w:type="spellEnd"/>
      <w:proofErr w:type="gramEnd"/>
      <w:r w:rsidRPr="00254170">
        <w:rPr>
          <w:rFonts w:ascii="Times New Roman" w:eastAsia="Times New Roman" w:hAnsi="Times New Roman"/>
          <w:color w:val="222222"/>
          <w:shd w:val="clear" w:color="auto" w:fill="FFFFFF"/>
        </w:rPr>
        <w:t xml:space="preserve"> scans consisted of 13 frames, and the [18F]fluorodopa scans were divided into 22 frames.</w:t>
      </w:r>
    </w:p>
    <w:p w14:paraId="51A65373" w14:textId="77777777" w:rsidR="00FA47B3" w:rsidRDefault="00FA47B3">
      <w:pPr>
        <w:rPr>
          <w:rFonts w:ascii="Times New Roman" w:eastAsia="Times New Roman" w:hAnsi="Times New Roman"/>
          <w:color w:val="222222"/>
          <w:shd w:val="clear" w:color="auto" w:fill="FFFFFF"/>
        </w:rPr>
      </w:pPr>
    </w:p>
    <w:p w14:paraId="2EBD7EE3" w14:textId="7B35951C" w:rsidR="001D24DD" w:rsidRPr="001D24DD" w:rsidRDefault="001D24DD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1D24DD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Results</w:t>
      </w:r>
    </w:p>
    <w:p w14:paraId="07F2D7C4" w14:textId="77777777" w:rsidR="001D24DD" w:rsidRDefault="001D24DD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CDABF1F" w14:textId="3DF946AD" w:rsidR="001D24DD" w:rsidRPr="001D24DD" w:rsidRDefault="001D24DD">
      <w:pPr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</w:pPr>
      <w:r w:rsidRPr="001D24DD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 xml:space="preserve">Participants not completing </w:t>
      </w:r>
      <w:r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either</w:t>
      </w:r>
      <w:r w:rsidRPr="001D24DD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condition of the risk-taking task:</w:t>
      </w:r>
    </w:p>
    <w:p w14:paraId="173B9559" w14:textId="4C7E3B96" w:rsidR="001D24DD" w:rsidRDefault="001D24DD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One </w:t>
      </w:r>
      <w:r w:rsidR="00586754">
        <w:rPr>
          <w:rFonts w:ascii="Times New Roman" w:eastAsia="Times New Roman" w:hAnsi="Times New Roman" w:cs="Times New Roman"/>
          <w:color w:val="222222"/>
          <w:shd w:val="clear" w:color="auto" w:fill="FFFFFF"/>
        </w:rPr>
        <w:t>GD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patient did not complete the risk reward condition, one HV did not complete the risk loss condition, one BED patient did not complete the risk reward or loss condition. </w:t>
      </w:r>
    </w:p>
    <w:p w14:paraId="2329EB14" w14:textId="371BA24D" w:rsidR="001D24DD" w:rsidRDefault="001D24DD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For the gain risk condition, 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two HV, three </w:t>
      </w:r>
      <w:r w:rsidR="00586754">
        <w:rPr>
          <w:rFonts w:ascii="Times New Roman" w:eastAsia="Times New Roman" w:hAnsi="Times New Roman" w:cs="Times New Roman"/>
          <w:color w:val="222222"/>
          <w:shd w:val="clear" w:color="auto" w:fill="FFFFFF"/>
        </w:rPr>
        <w:t>GD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and one BED patients were not assessed in the multivariate analysis for missing data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4D30AEB6" w14:textId="581AC376" w:rsidR="001D24DD" w:rsidRDefault="001D24DD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For the loss risk condition, 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three HV, two </w:t>
      </w:r>
      <w:r w:rsidR="00586754">
        <w:rPr>
          <w:rFonts w:ascii="Times New Roman" w:eastAsia="Times New Roman" w:hAnsi="Times New Roman" w:cs="Times New Roman"/>
          <w:color w:val="222222"/>
          <w:shd w:val="clear" w:color="auto" w:fill="FFFFFF"/>
        </w:rPr>
        <w:t>GD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and one BED patients were not assessed in the multivariate analysis for missing data.</w:t>
      </w:r>
    </w:p>
    <w:p w14:paraId="35DFE2F6" w14:textId="77777777" w:rsidR="001D24DD" w:rsidRDefault="001D24DD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13516EA" w14:textId="77777777" w:rsidR="001D24DD" w:rsidRPr="001D24DD" w:rsidRDefault="001D24DD">
      <w:pPr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</w:pPr>
      <w:r w:rsidRPr="001D24DD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Participants not completing PET imaging:</w:t>
      </w:r>
    </w:p>
    <w:p w14:paraId="7327ECB8" w14:textId="3AC8ADF6" w:rsidR="002F4166" w:rsidRDefault="001D24DD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One </w:t>
      </w:r>
      <w:r w:rsidR="00586754">
        <w:rPr>
          <w:rFonts w:ascii="Times New Roman" w:eastAsia="Times New Roman" w:hAnsi="Times New Roman" w:cs="Times New Roman"/>
          <w:color w:val="222222"/>
          <w:shd w:val="clear" w:color="auto" w:fill="FFFFFF"/>
        </w:rPr>
        <w:t>GD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patient did not complete [18F]</w:t>
      </w:r>
      <w:proofErr w:type="spellStart"/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>fluroDOPA</w:t>
      </w:r>
      <w:proofErr w:type="spellEnd"/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imaging, one </w:t>
      </w:r>
      <w:r w:rsidR="00586754">
        <w:rPr>
          <w:rFonts w:ascii="Times New Roman" w:eastAsia="Times New Roman" w:hAnsi="Times New Roman" w:cs="Times New Roman"/>
          <w:color w:val="222222"/>
          <w:shd w:val="clear" w:color="auto" w:fill="FFFFFF"/>
        </w:rPr>
        <w:t>GD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patient did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not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complete [11C]MADAM imaging, one </w:t>
      </w:r>
      <w:r w:rsidR="00586754">
        <w:rPr>
          <w:rFonts w:ascii="Times New Roman" w:eastAsia="Times New Roman" w:hAnsi="Times New Roman" w:cs="Times New Roman"/>
          <w:color w:val="222222"/>
          <w:shd w:val="clear" w:color="auto" w:fill="FFFFFF"/>
        </w:rPr>
        <w:t>GD</w:t>
      </w:r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patient and one HV did not complete [18F]</w:t>
      </w:r>
      <w:proofErr w:type="spellStart"/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>fluroDOPA</w:t>
      </w:r>
      <w:proofErr w:type="spellEnd"/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or [11C]MADAM imaging, and one HV did not complete [11C]</w:t>
      </w:r>
      <w:proofErr w:type="spellStart"/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>carfentanil</w:t>
      </w:r>
      <w:proofErr w:type="spellEnd"/>
      <w:r w:rsidRPr="00E2287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imaging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76A2F650" w14:textId="64D06035" w:rsidR="00F02E28" w:rsidRDefault="00F02E2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46DC3F6" w14:textId="77777777" w:rsidR="00F02E28" w:rsidRDefault="00F02E28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2907C8EB" w14:textId="009B6DEE" w:rsidR="00F02E28" w:rsidRPr="00F02E28" w:rsidRDefault="00F02E2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Table S1. </w:t>
      </w:r>
      <w:r w:rsidRPr="00F02E28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Mean ligand scores</w:t>
      </w: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across all three groups.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BP; binding potential. FDOPA; fluorodopa. Ki; </w:t>
      </w:r>
      <w:r w:rsidRPr="00F02E28">
        <w:rPr>
          <w:rFonts w:ascii="Calibri" w:eastAsia="Times New Roman" w:hAnsi="Calibri" w:cs="Calibri"/>
          <w:color w:val="222222"/>
          <w:shd w:val="clear" w:color="auto" w:fill="FFFFFF"/>
        </w:rPr>
        <w:t>﻿</w:t>
      </w:r>
      <w:r w:rsidRPr="00F02E28">
        <w:rPr>
          <w:rFonts w:ascii="Times New Roman" w:eastAsia="Times New Roman" w:hAnsi="Times New Roman" w:cs="Times New Roman"/>
          <w:color w:val="222222"/>
          <w:shd w:val="clear" w:color="auto" w:fill="FFFFFF"/>
        </w:rPr>
        <w:t>influx rate constant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2D4B34F4" w14:textId="64CE1496" w:rsidR="00F02E28" w:rsidRDefault="00F02E28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tbl>
      <w:tblPr>
        <w:tblW w:w="11187" w:type="dxa"/>
        <w:tblInd w:w="-1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5"/>
        <w:gridCol w:w="1195"/>
        <w:gridCol w:w="1266"/>
        <w:gridCol w:w="1338"/>
        <w:gridCol w:w="1410"/>
        <w:gridCol w:w="1410"/>
        <w:gridCol w:w="1713"/>
      </w:tblGrid>
      <w:tr w:rsidR="00F02E28" w:rsidRPr="003A0AF7" w14:paraId="0620D6A4" w14:textId="77777777" w:rsidTr="00A3573C">
        <w:trPr>
          <w:cantSplit/>
        </w:trPr>
        <w:tc>
          <w:tcPr>
            <w:tcW w:w="1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A9271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b/>
                <w:bCs/>
                <w:color w:val="010205"/>
                <w:sz w:val="16"/>
                <w:szCs w:val="16"/>
              </w:rPr>
              <w:t>Descriptive Statistics</w:t>
            </w:r>
          </w:p>
        </w:tc>
      </w:tr>
      <w:tr w:rsidR="00F02E28" w:rsidRPr="003A0AF7" w14:paraId="1AC59C44" w14:textId="77777777" w:rsidTr="00A3573C">
        <w:trPr>
          <w:cantSplit/>
        </w:trPr>
        <w:tc>
          <w:tcPr>
            <w:tcW w:w="2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70009" w14:textId="77777777" w:rsidR="00F02E28" w:rsidRPr="003A0AF7" w:rsidRDefault="00F02E28" w:rsidP="00A3573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29246C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N</w:t>
            </w:r>
          </w:p>
        </w:tc>
        <w:tc>
          <w:tcPr>
            <w:tcW w:w="126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0672431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Minimum</w:t>
            </w:r>
          </w:p>
        </w:tc>
        <w:tc>
          <w:tcPr>
            <w:tcW w:w="1338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FE4474A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Maximum</w:t>
            </w:r>
          </w:p>
        </w:tc>
        <w:tc>
          <w:tcPr>
            <w:tcW w:w="282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38FB369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Mean</w:t>
            </w:r>
          </w:p>
        </w:tc>
        <w:tc>
          <w:tcPr>
            <w:tcW w:w="1713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AE2683C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Std. Deviation</w:t>
            </w:r>
          </w:p>
        </w:tc>
      </w:tr>
      <w:tr w:rsidR="00F02E28" w:rsidRPr="003A0AF7" w14:paraId="775C4D08" w14:textId="77777777" w:rsidTr="00A3573C">
        <w:trPr>
          <w:cantSplit/>
        </w:trPr>
        <w:tc>
          <w:tcPr>
            <w:tcW w:w="28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08A7B5" w14:textId="77777777" w:rsidR="00F02E28" w:rsidRPr="003A0AF7" w:rsidRDefault="00F02E28" w:rsidP="00A3573C">
            <w:pPr>
              <w:rPr>
                <w:rFonts w:cstheme="minorHAnsi"/>
                <w:color w:val="264A6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169DC7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Statistic</w:t>
            </w:r>
          </w:p>
        </w:tc>
        <w:tc>
          <w:tcPr>
            <w:tcW w:w="12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AF98A8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Statistic</w:t>
            </w:r>
          </w:p>
        </w:tc>
        <w:tc>
          <w:tcPr>
            <w:tcW w:w="13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805C2A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Statistic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5CB01D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Statistic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DD4837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Std. Error</w:t>
            </w:r>
          </w:p>
        </w:tc>
        <w:tc>
          <w:tcPr>
            <w:tcW w:w="17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282D3D" w14:textId="77777777" w:rsidR="00F02E28" w:rsidRPr="003A0AF7" w:rsidRDefault="00F02E28" w:rsidP="00A3573C">
            <w:pPr>
              <w:spacing w:line="320" w:lineRule="atLeast"/>
              <w:ind w:left="60" w:right="60"/>
              <w:jc w:val="center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Statistic</w:t>
            </w:r>
          </w:p>
        </w:tc>
      </w:tr>
      <w:tr w:rsidR="00F02E28" w:rsidRPr="003A0AF7" w14:paraId="7A56D877" w14:textId="77777777" w:rsidTr="00A3573C">
        <w:trPr>
          <w:cantSplit/>
        </w:trPr>
        <w:tc>
          <w:tcPr>
            <w:tcW w:w="28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041DE0" w14:textId="3D25ACD8" w:rsidR="00F02E28" w:rsidRPr="003A0AF7" w:rsidRDefault="00F02E28" w:rsidP="00A3573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264A60"/>
                <w:sz w:val="16"/>
                <w:szCs w:val="16"/>
              </w:rPr>
              <w:t>Carfentanil</w:t>
            </w:r>
            <w:proofErr w:type="spellEnd"/>
            <w:r w:rsidRPr="003A0AF7">
              <w:rPr>
                <w:rFonts w:cstheme="minorHAnsi"/>
                <w:color w:val="264A60"/>
                <w:sz w:val="16"/>
                <w:szCs w:val="16"/>
              </w:rPr>
              <w:t xml:space="preserve"> BP insula MEAN</w:t>
            </w:r>
          </w:p>
        </w:tc>
        <w:tc>
          <w:tcPr>
            <w:tcW w:w="119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7FAD87D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38</w:t>
            </w:r>
          </w:p>
        </w:tc>
        <w:tc>
          <w:tcPr>
            <w:tcW w:w="12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502381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.5860</w:t>
            </w:r>
          </w:p>
        </w:tc>
        <w:tc>
          <w:tcPr>
            <w:tcW w:w="13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6EDB84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1.0946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80DA7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.856205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608A13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.0220990</w:t>
            </w:r>
          </w:p>
        </w:tc>
        <w:tc>
          <w:tcPr>
            <w:tcW w:w="17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9DBC8A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.1362277</w:t>
            </w:r>
          </w:p>
        </w:tc>
      </w:tr>
      <w:tr w:rsidR="00F02E28" w:rsidRPr="003A0AF7" w14:paraId="3E61B7E0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B4171" w14:textId="56B0F484" w:rsidR="00F02E28" w:rsidRPr="003A0AF7" w:rsidRDefault="00F02E28" w:rsidP="00A3573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264A60"/>
                <w:sz w:val="16"/>
                <w:szCs w:val="16"/>
              </w:rPr>
              <w:t>Carfentanil</w:t>
            </w:r>
            <w:proofErr w:type="spellEnd"/>
            <w:r w:rsidRPr="003A0AF7">
              <w:rPr>
                <w:rFonts w:cstheme="minorHAnsi"/>
                <w:color w:val="264A60"/>
                <w:sz w:val="16"/>
                <w:szCs w:val="16"/>
              </w:rPr>
              <w:t xml:space="preserve"> BP orbitofrontal cortex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CA81C3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38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E0FD78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.4985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68A016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1.2697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24E60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.828324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157F4E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.0278246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C1C9A5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.1715222</w:t>
            </w:r>
          </w:p>
        </w:tc>
      </w:tr>
      <w:tr w:rsidR="00F02E28" w:rsidRPr="003A0AF7" w14:paraId="6C947A26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D7ECCF" w14:textId="1357BC5F" w:rsidR="00F02E28" w:rsidRPr="003A0AF7" w:rsidRDefault="00F02E28" w:rsidP="00A3573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264A60"/>
                <w:sz w:val="16"/>
                <w:szCs w:val="16"/>
              </w:rPr>
              <w:t>Carfentanil</w:t>
            </w:r>
            <w:proofErr w:type="spellEnd"/>
            <w:r w:rsidRPr="003A0AF7">
              <w:rPr>
                <w:rFonts w:cstheme="minorHAnsi"/>
                <w:color w:val="264A60"/>
                <w:sz w:val="16"/>
                <w:szCs w:val="16"/>
              </w:rPr>
              <w:t xml:space="preserve"> BP striatum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A49247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38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8C4F6F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.7523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D04484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1.5849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16B12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1.181403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D579B0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.0320237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AA4136" w14:textId="77777777" w:rsidR="00F02E28" w:rsidRPr="003A0AF7" w:rsidRDefault="00F02E28" w:rsidP="00A3573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.1974073</w:t>
            </w:r>
          </w:p>
        </w:tc>
      </w:tr>
      <w:tr w:rsidR="000F214C" w:rsidRPr="003A0AF7" w14:paraId="272A70F9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99745E" w14:textId="15CA2E56" w:rsidR="000F214C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264A60"/>
                <w:sz w:val="16"/>
                <w:szCs w:val="16"/>
              </w:rPr>
              <w:t>Carfentanil</w:t>
            </w:r>
            <w:proofErr w:type="spellEnd"/>
            <w:r>
              <w:rPr>
                <w:rFonts w:cstheme="minorHAnsi"/>
                <w:color w:val="264A60"/>
                <w:sz w:val="16"/>
                <w:szCs w:val="16"/>
              </w:rPr>
              <w:t xml:space="preserve"> BP dorsal cingulate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11220F4" w14:textId="15E9317A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38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86EC34" w14:textId="2E1BD9E2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.6254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20969A" w14:textId="7D826E4B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1.5706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E7AC5" w14:textId="0FCE201F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1.013158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F8B5E8" w14:textId="71B2F5E3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.0341885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672CB2" w14:textId="7990013E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.2107524</w:t>
            </w:r>
          </w:p>
        </w:tc>
      </w:tr>
      <w:tr w:rsidR="000F214C" w:rsidRPr="003A0AF7" w14:paraId="63A84B0A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1EF33A" w14:textId="77777777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FPODA Ki insula  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65AF72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0864CE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.0020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101C1B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.0034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133FF4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.002566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894F20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.0000595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AD7682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.0003571</w:t>
            </w:r>
          </w:p>
        </w:tc>
      </w:tr>
      <w:tr w:rsidR="000F214C" w:rsidRPr="003A0AF7" w14:paraId="267E4D5B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53BB77" w14:textId="77777777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FDOPA Ki striatum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94B8F3D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34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C2C3D2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.0039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DF0CA7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.0166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F559CE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.012377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83067A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.0003303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9C83F0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.0019261</w:t>
            </w:r>
          </w:p>
        </w:tc>
      </w:tr>
      <w:tr w:rsidR="000F214C" w:rsidRPr="003A0AF7" w14:paraId="6D8F88CC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6A5441" w14:textId="77777777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FDOPA Ki orbitofrontal cortex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82F244B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90338D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-.0002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168E0C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.0039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45CCB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.001741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78A9F2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.0001213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1C665B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.0007276</w:t>
            </w:r>
          </w:p>
        </w:tc>
      </w:tr>
      <w:tr w:rsidR="000F214C" w:rsidRPr="003A0AF7" w14:paraId="28EC1F02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856732" w14:textId="4BD7A9B3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>
              <w:rPr>
                <w:rFonts w:cstheme="minorHAnsi"/>
                <w:color w:val="264A60"/>
                <w:sz w:val="16"/>
                <w:szCs w:val="16"/>
              </w:rPr>
              <w:t>FDOPA Ki dorsal cingulate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5D4EDDD" w14:textId="2B70AA96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B60522" w14:textId="1C4D082C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.0017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EFDEFE" w14:textId="523F44FE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.0045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A70A4" w14:textId="6046A946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.003116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D03086" w14:textId="11D8DCF1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.0000991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E26291" w14:textId="47A0BC5A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.0005948</w:t>
            </w:r>
          </w:p>
        </w:tc>
      </w:tr>
      <w:tr w:rsidR="000F214C" w:rsidRPr="003A0AF7" w14:paraId="62798D0A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7FEED9" w14:textId="77777777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MADAM BP insula   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FAD4AB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BD9C29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.4710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1C83EB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.9147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FDC2F6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.664139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2D2320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.0152323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A9283D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.0913940</w:t>
            </w:r>
          </w:p>
        </w:tc>
      </w:tr>
      <w:tr w:rsidR="000F214C" w:rsidRPr="003A0AF7" w14:paraId="360AAE54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24B383" w14:textId="77777777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MADAM BP orbitofrontal cortex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707A498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424CBC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.2162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86A942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.5972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7FE19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.398331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7BFCF7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.0138361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A4818D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.0830169</w:t>
            </w:r>
          </w:p>
        </w:tc>
      </w:tr>
      <w:tr w:rsidR="000F214C" w:rsidRPr="003A0AF7" w14:paraId="1C9A292C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CE9785" w14:textId="77777777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lastRenderedPageBreak/>
              <w:t>MADAM BP striatum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979C56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5572FA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.9068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288B3B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1.4791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228EE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1.181558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990BC6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.0230405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65988C" w14:textId="77777777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.1382429</w:t>
            </w:r>
          </w:p>
        </w:tc>
      </w:tr>
      <w:tr w:rsidR="000F214C" w:rsidRPr="003A0AF7" w14:paraId="2A103461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2A4F8E" w14:textId="3A67329D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>MADAM</w:t>
            </w:r>
            <w:r>
              <w:rPr>
                <w:rFonts w:cstheme="minorHAnsi"/>
                <w:color w:val="264A60"/>
                <w:sz w:val="16"/>
                <w:szCs w:val="16"/>
              </w:rPr>
              <w:t xml:space="preserve"> BP dorsal cingulate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3ADADF" w14:textId="113E3429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EB6025" w14:textId="001BB03B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.4240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D4620F" w14:textId="798B4111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.9108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27B3F" w14:textId="7A8323EA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.629611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FED04B" w14:textId="3EB5FC28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.0177650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898DC3" w14:textId="56601FCC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.1065902</w:t>
            </w:r>
          </w:p>
        </w:tc>
      </w:tr>
      <w:tr w:rsidR="000F214C" w:rsidRPr="003A0AF7" w14:paraId="650EA6E2" w14:textId="77777777" w:rsidTr="004C2383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53A1E5" w14:textId="1FE0753E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 xml:space="preserve">MADAM BP </w:t>
            </w:r>
            <w:r>
              <w:rPr>
                <w:rFonts w:cstheme="minorHAnsi"/>
                <w:color w:val="264A60"/>
                <w:sz w:val="16"/>
                <w:szCs w:val="16"/>
              </w:rPr>
              <w:t>caudate</w:t>
            </w:r>
            <w:r w:rsidRPr="003A0AF7">
              <w:rPr>
                <w:rFonts w:cstheme="minorHAnsi"/>
                <w:color w:val="264A60"/>
                <w:sz w:val="16"/>
                <w:szCs w:val="16"/>
              </w:rPr>
              <w:t xml:space="preserve">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77693A7" w14:textId="00FE97BB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 w:rsidRPr="003A0AF7">
              <w:rPr>
                <w:rFonts w:cstheme="minorHAnsi"/>
                <w:color w:val="010205"/>
                <w:sz w:val="16"/>
                <w:szCs w:val="16"/>
              </w:rPr>
              <w:t>3</w:t>
            </w:r>
            <w:r>
              <w:rPr>
                <w:rFonts w:cstheme="minorHAnsi"/>
                <w:color w:val="010205"/>
                <w:sz w:val="16"/>
                <w:szCs w:val="16"/>
              </w:rPr>
              <w:t>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0B2FC1" w14:textId="456BC57A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.5396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33E0E5" w14:textId="21579F40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1.2836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78C9A" w14:textId="25BA425B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.909678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E9E0DC" w14:textId="37C79C09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.0282775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644DF0" w14:textId="45524109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.1696653</w:t>
            </w:r>
          </w:p>
        </w:tc>
      </w:tr>
      <w:tr w:rsidR="000F214C" w:rsidRPr="003A0AF7" w14:paraId="2A1A8E46" w14:textId="77777777" w:rsidTr="00A3573C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C9303" w14:textId="59C21953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 xml:space="preserve">MADAM BP </w:t>
            </w:r>
            <w:r>
              <w:rPr>
                <w:rFonts w:cstheme="minorHAnsi"/>
                <w:color w:val="264A60"/>
                <w:sz w:val="16"/>
                <w:szCs w:val="16"/>
              </w:rPr>
              <w:t xml:space="preserve">putamen </w:t>
            </w:r>
            <w:r w:rsidRPr="003A0AF7">
              <w:rPr>
                <w:rFonts w:cstheme="minorHAnsi"/>
                <w:color w:val="264A60"/>
                <w:sz w:val="16"/>
                <w:szCs w:val="16"/>
              </w:rPr>
              <w:t>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790CA09" w14:textId="065262E4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A37D21" w14:textId="42A2B0C4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1.0561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044E3B" w14:textId="7A87882D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1.6590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9EEFF" w14:textId="4FD20C44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1.335192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928402" w14:textId="61DE431B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.0258649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DEEC42" w14:textId="384DA742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.1551891</w:t>
            </w:r>
          </w:p>
        </w:tc>
      </w:tr>
      <w:tr w:rsidR="000F214C" w:rsidRPr="003A0AF7" w14:paraId="6ACDC18B" w14:textId="77777777" w:rsidTr="00284F42">
        <w:trPr>
          <w:cantSplit/>
        </w:trPr>
        <w:tc>
          <w:tcPr>
            <w:tcW w:w="28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B62C1A" w14:textId="2ED9D11B" w:rsidR="000F214C" w:rsidRPr="003A0AF7" w:rsidRDefault="000F214C" w:rsidP="000F214C">
            <w:pPr>
              <w:spacing w:line="320" w:lineRule="atLeast"/>
              <w:ind w:left="60" w:right="60"/>
              <w:rPr>
                <w:rFonts w:cstheme="minorHAnsi"/>
                <w:color w:val="264A60"/>
                <w:sz w:val="16"/>
                <w:szCs w:val="16"/>
              </w:rPr>
            </w:pPr>
            <w:r w:rsidRPr="003A0AF7">
              <w:rPr>
                <w:rFonts w:cstheme="minorHAnsi"/>
                <w:color w:val="264A60"/>
                <w:sz w:val="16"/>
                <w:szCs w:val="16"/>
              </w:rPr>
              <w:t xml:space="preserve">MADAM BP </w:t>
            </w:r>
            <w:r>
              <w:rPr>
                <w:rFonts w:cstheme="minorHAnsi"/>
                <w:color w:val="264A60"/>
                <w:sz w:val="16"/>
                <w:szCs w:val="16"/>
              </w:rPr>
              <w:t xml:space="preserve">nucleus </w:t>
            </w:r>
            <w:proofErr w:type="spellStart"/>
            <w:r>
              <w:rPr>
                <w:rFonts w:cstheme="minorHAnsi"/>
                <w:color w:val="264A60"/>
                <w:sz w:val="16"/>
                <w:szCs w:val="16"/>
              </w:rPr>
              <w:t>accumbens</w:t>
            </w:r>
            <w:proofErr w:type="spellEnd"/>
            <w:r w:rsidRPr="003A0AF7">
              <w:rPr>
                <w:rFonts w:cstheme="minorHAnsi"/>
                <w:color w:val="264A60"/>
                <w:sz w:val="16"/>
                <w:szCs w:val="16"/>
              </w:rPr>
              <w:t xml:space="preserve"> MEAN</w:t>
            </w:r>
          </w:p>
        </w:tc>
        <w:tc>
          <w:tcPr>
            <w:tcW w:w="119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9C6CA7F" w14:textId="78CA0549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36</w:t>
            </w:r>
          </w:p>
        </w:tc>
        <w:tc>
          <w:tcPr>
            <w:tcW w:w="12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A5336F0" w14:textId="18BE9EB8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.893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56F75FF" w14:textId="7CB97F9B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2.7500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00E852F" w14:textId="0C7A7F33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21.509458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8185C33" w14:textId="5F2797CD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.0570660</w:t>
            </w:r>
          </w:p>
        </w:tc>
        <w:tc>
          <w:tcPr>
            <w:tcW w:w="17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99601BE" w14:textId="44FFA58B" w:rsidR="000F214C" w:rsidRPr="003A0AF7" w:rsidRDefault="000F214C" w:rsidP="000F214C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16"/>
                <w:szCs w:val="16"/>
              </w:rPr>
            </w:pPr>
            <w:r>
              <w:rPr>
                <w:rFonts w:cstheme="minorHAnsi"/>
                <w:color w:val="010205"/>
                <w:sz w:val="16"/>
                <w:szCs w:val="16"/>
              </w:rPr>
              <w:t>.3423958</w:t>
            </w:r>
          </w:p>
        </w:tc>
      </w:tr>
    </w:tbl>
    <w:p w14:paraId="1D1541D0" w14:textId="50F8AEA9" w:rsidR="00F02E28" w:rsidRDefault="00F02E28">
      <w:pPr>
        <w:rPr>
          <w:b/>
          <w:bCs/>
        </w:rPr>
      </w:pPr>
    </w:p>
    <w:p w14:paraId="6F516002" w14:textId="00AD2722" w:rsidR="00F02E28" w:rsidRDefault="00F02E28">
      <w:pPr>
        <w:rPr>
          <w:b/>
          <w:bCs/>
        </w:rPr>
      </w:pPr>
    </w:p>
    <w:p w14:paraId="0DC2E0F4" w14:textId="1E7E9D3D" w:rsidR="000F214C" w:rsidRPr="00F02E28" w:rsidRDefault="000F214C">
      <w:pPr>
        <w:rPr>
          <w:b/>
          <w:bCs/>
        </w:rPr>
      </w:pPr>
    </w:p>
    <w:sectPr w:rsidR="000F214C" w:rsidRPr="00F02E28" w:rsidSect="00F45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66"/>
    <w:rsid w:val="00046222"/>
    <w:rsid w:val="000773AB"/>
    <w:rsid w:val="000F214C"/>
    <w:rsid w:val="00117702"/>
    <w:rsid w:val="001D24DD"/>
    <w:rsid w:val="001D70B5"/>
    <w:rsid w:val="001E09B6"/>
    <w:rsid w:val="00226D1F"/>
    <w:rsid w:val="002E0A10"/>
    <w:rsid w:val="002F4166"/>
    <w:rsid w:val="00310649"/>
    <w:rsid w:val="00351C68"/>
    <w:rsid w:val="004272E0"/>
    <w:rsid w:val="00477842"/>
    <w:rsid w:val="00586754"/>
    <w:rsid w:val="00705CFD"/>
    <w:rsid w:val="009002C9"/>
    <w:rsid w:val="00996D9D"/>
    <w:rsid w:val="009A2C76"/>
    <w:rsid w:val="00A876C2"/>
    <w:rsid w:val="00B4222E"/>
    <w:rsid w:val="00BF062E"/>
    <w:rsid w:val="00CD5C80"/>
    <w:rsid w:val="00ED527B"/>
    <w:rsid w:val="00EE4BED"/>
    <w:rsid w:val="00F02E28"/>
    <w:rsid w:val="00F06ACD"/>
    <w:rsid w:val="00F450D2"/>
    <w:rsid w:val="00FA47B3"/>
    <w:rsid w:val="00FD229C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97E2"/>
  <w15:docId w15:val="{270F6C18-4D56-864A-8228-2DACF7F4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6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166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2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22"/>
    <w:rPr>
      <w:rFonts w:ascii="Times New Roman" w:eastAsiaTheme="minorEastAsia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Skandali</dc:creator>
  <cp:keywords/>
  <dc:description/>
  <cp:lastModifiedBy>nikolina skandali</cp:lastModifiedBy>
  <cp:revision>2</cp:revision>
  <dcterms:created xsi:type="dcterms:W3CDTF">2020-12-01T18:27:00Z</dcterms:created>
  <dcterms:modified xsi:type="dcterms:W3CDTF">2020-12-01T18:27:00Z</dcterms:modified>
</cp:coreProperties>
</file>