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E97FE" w14:textId="4AD869F3" w:rsidR="004C0EF4" w:rsidRPr="0093135B" w:rsidRDefault="004E7C77" w:rsidP="0093135B">
      <w:pPr>
        <w:jc w:val="both"/>
        <w:rPr>
          <w:rFonts w:cstheme="minorHAnsi"/>
          <w:b/>
        </w:rPr>
      </w:pPr>
      <w:bookmarkStart w:id="0" w:name="_GoBack"/>
      <w:r w:rsidRPr="0093135B">
        <w:rPr>
          <w:rFonts w:cstheme="minorHAnsi"/>
          <w:b/>
        </w:rPr>
        <w:t>Supplementary Materials</w:t>
      </w:r>
    </w:p>
    <w:p w14:paraId="420C6FC1" w14:textId="01D3338B" w:rsidR="004E7C77" w:rsidRPr="0093135B" w:rsidRDefault="004E7C77" w:rsidP="0093135B">
      <w:pPr>
        <w:jc w:val="both"/>
        <w:rPr>
          <w:rFonts w:cstheme="minorHAnsi"/>
          <w:b/>
        </w:rPr>
      </w:pPr>
    </w:p>
    <w:p w14:paraId="6656CE35" w14:textId="77777777" w:rsidR="00241AAF" w:rsidRPr="00EA0303" w:rsidRDefault="00241AAF" w:rsidP="00241AAF">
      <w:pPr>
        <w:jc w:val="both"/>
        <w:rPr>
          <w:rFonts w:cstheme="minorHAnsi"/>
        </w:rPr>
      </w:pPr>
      <w:r>
        <w:rPr>
          <w:rFonts w:cstheme="minorHAnsi"/>
        </w:rPr>
        <w:t xml:space="preserve">There were no significant or meaningful associations between specific pruning, general pruning, or sensitivities to any of the four transition types and participants’ age (all </w:t>
      </w:r>
      <w:r>
        <w:rPr>
          <w:rFonts w:cstheme="minorHAnsi"/>
          <w:i/>
        </w:rPr>
        <w:t>p</w:t>
      </w:r>
      <w:r>
        <w:rPr>
          <w:rFonts w:cstheme="minorHAnsi"/>
        </w:rPr>
        <w:t xml:space="preserve">s &gt; 0.268, all </w:t>
      </w:r>
      <w:r>
        <w:rPr>
          <w:rFonts w:cstheme="minorHAnsi"/>
          <w:i/>
        </w:rPr>
        <w:t>BF</w:t>
      </w:r>
      <w:r w:rsidRPr="00EA0303">
        <w:rPr>
          <w:rFonts w:cstheme="minorHAnsi"/>
        </w:rPr>
        <w:t>s</w:t>
      </w:r>
      <w:r>
        <w:rPr>
          <w:rFonts w:cstheme="minorHAnsi"/>
        </w:rPr>
        <w:t xml:space="preserve"> &lt; 0.522), years of education (all </w:t>
      </w:r>
      <w:r>
        <w:rPr>
          <w:rFonts w:cstheme="minorHAnsi"/>
          <w:i/>
        </w:rPr>
        <w:t>p</w:t>
      </w:r>
      <w:r>
        <w:rPr>
          <w:rFonts w:cstheme="minorHAnsi"/>
        </w:rPr>
        <w:t xml:space="preserve">s &gt; 0.396, all </w:t>
      </w:r>
      <w:r>
        <w:rPr>
          <w:rFonts w:cstheme="minorHAnsi"/>
          <w:i/>
        </w:rPr>
        <w:t>BF</w:t>
      </w:r>
      <w:r>
        <w:rPr>
          <w:rFonts w:cstheme="minorHAnsi"/>
        </w:rPr>
        <w:t xml:space="preserve">s &gt; 0.419) or IQ (all </w:t>
      </w:r>
      <w:r>
        <w:rPr>
          <w:rFonts w:cstheme="minorHAnsi"/>
          <w:i/>
        </w:rPr>
        <w:t>p</w:t>
      </w:r>
      <w:r>
        <w:rPr>
          <w:rFonts w:cstheme="minorHAnsi"/>
        </w:rPr>
        <w:t xml:space="preserve">s &gt; 0.173, all </w:t>
      </w:r>
      <w:r>
        <w:rPr>
          <w:rFonts w:cstheme="minorHAnsi"/>
          <w:i/>
        </w:rPr>
        <w:t>BF</w:t>
      </w:r>
      <w:r>
        <w:rPr>
          <w:rFonts w:cstheme="minorHAnsi"/>
        </w:rPr>
        <w:t>s &gt; 0.742).</w:t>
      </w:r>
    </w:p>
    <w:p w14:paraId="5FA86C53" w14:textId="77777777" w:rsidR="00FC76E5" w:rsidRDefault="00FC76E5" w:rsidP="0093135B">
      <w:pPr>
        <w:jc w:val="both"/>
        <w:rPr>
          <w:rFonts w:cstheme="minorHAnsi"/>
        </w:rPr>
      </w:pPr>
    </w:p>
    <w:p w14:paraId="618644CF" w14:textId="6E7A29F4" w:rsidR="004E7C77" w:rsidRDefault="00795594" w:rsidP="0093135B">
      <w:pPr>
        <w:jc w:val="both"/>
        <w:rPr>
          <w:rFonts w:eastAsia="Times New Roman" w:cstheme="minorHAnsi"/>
        </w:rPr>
      </w:pPr>
      <w:r>
        <w:rPr>
          <w:rFonts w:cstheme="minorHAnsi"/>
        </w:rPr>
        <w:t xml:space="preserve">There was a strong and meaningful difference </w:t>
      </w:r>
      <w:r w:rsidRPr="00131A10">
        <w:rPr>
          <w:rFonts w:eastAsia="Times New Roman" w:cstheme="minorHAnsi"/>
        </w:rPr>
        <w:t>between the reward sensitivities of the</w:t>
      </w:r>
      <w:r w:rsidR="00907F0D">
        <w:rPr>
          <w:rFonts w:eastAsia="Times New Roman" w:cstheme="minorHAnsi"/>
        </w:rPr>
        <w:t xml:space="preserve"> Pruning </w:t>
      </w:r>
      <w:r w:rsidR="00920FF3">
        <w:rPr>
          <w:rFonts w:eastAsia="Times New Roman" w:cstheme="minorHAnsi"/>
        </w:rPr>
        <w:t xml:space="preserve">rho </w:t>
      </w:r>
      <w:r w:rsidR="004976E4">
        <w:rPr>
          <w:rFonts w:eastAsia="Times New Roman" w:cstheme="minorHAnsi"/>
        </w:rPr>
        <w:t xml:space="preserve">(i.e. ‘winning’) </w:t>
      </w:r>
      <w:r w:rsidR="00B75933">
        <w:rPr>
          <w:rFonts w:eastAsia="Times New Roman" w:cstheme="minorHAnsi"/>
        </w:rPr>
        <w:t xml:space="preserve">model </w:t>
      </w:r>
      <w:r w:rsidR="00907F0D">
        <w:rPr>
          <w:rFonts w:eastAsia="Times New Roman" w:cstheme="minorHAnsi"/>
        </w:rPr>
        <w:t xml:space="preserve">and </w:t>
      </w:r>
      <w:r w:rsidR="00B75933">
        <w:rPr>
          <w:rFonts w:eastAsia="Times New Roman" w:cstheme="minorHAnsi"/>
        </w:rPr>
        <w:t xml:space="preserve">the </w:t>
      </w:r>
      <w:r w:rsidR="00907F0D">
        <w:rPr>
          <w:rFonts w:eastAsia="Times New Roman" w:cstheme="minorHAnsi"/>
        </w:rPr>
        <w:t xml:space="preserve">Lookahead </w:t>
      </w:r>
      <w:r w:rsidR="00920FF3">
        <w:rPr>
          <w:rFonts w:eastAsia="Times New Roman" w:cstheme="minorHAnsi"/>
        </w:rPr>
        <w:t xml:space="preserve">rho </w:t>
      </w:r>
      <w:r w:rsidR="004976E4">
        <w:rPr>
          <w:rFonts w:eastAsia="Times New Roman" w:cstheme="minorHAnsi"/>
        </w:rPr>
        <w:t xml:space="preserve">(i.e. baseline) </w:t>
      </w:r>
      <w:r w:rsidRPr="00131A10">
        <w:rPr>
          <w:rFonts w:eastAsia="Times New Roman" w:cstheme="minorHAnsi"/>
        </w:rPr>
        <w:t>model, in terms of the -140 transitions (</w:t>
      </w:r>
      <w:r w:rsidRPr="00131A10">
        <w:rPr>
          <w:rFonts w:eastAsia="Times New Roman" w:cstheme="minorHAnsi"/>
          <w:i/>
          <w:iCs/>
        </w:rPr>
        <w:t>t</w:t>
      </w:r>
      <w:r w:rsidRPr="00131A10">
        <w:rPr>
          <w:rFonts w:eastAsia="Times New Roman" w:cstheme="minorHAnsi"/>
        </w:rPr>
        <w:t xml:space="preserve">(60) = 9.019, </w:t>
      </w:r>
      <w:r w:rsidRPr="00131A10">
        <w:rPr>
          <w:rFonts w:eastAsia="Times New Roman" w:cstheme="minorHAnsi"/>
          <w:i/>
          <w:iCs/>
        </w:rPr>
        <w:t>p</w:t>
      </w:r>
      <w:r w:rsidRPr="00131A10">
        <w:rPr>
          <w:rFonts w:eastAsia="Times New Roman" w:cstheme="minorHAnsi"/>
        </w:rPr>
        <w:t> &lt; 0.001, BF = 9.026e +9) and the +140 transitions (</w:t>
      </w:r>
      <w:r w:rsidRPr="00131A10">
        <w:rPr>
          <w:rFonts w:eastAsia="Times New Roman" w:cstheme="minorHAnsi"/>
          <w:i/>
          <w:iCs/>
        </w:rPr>
        <w:t>t</w:t>
      </w:r>
      <w:r w:rsidRPr="00131A10">
        <w:rPr>
          <w:rFonts w:eastAsia="Times New Roman" w:cstheme="minorHAnsi"/>
        </w:rPr>
        <w:t xml:space="preserve">(60) = 12.317, </w:t>
      </w:r>
      <w:r w:rsidRPr="00131A10">
        <w:rPr>
          <w:rFonts w:eastAsia="Times New Roman" w:cstheme="minorHAnsi"/>
          <w:i/>
          <w:iCs/>
        </w:rPr>
        <w:t>p</w:t>
      </w:r>
      <w:r w:rsidRPr="00131A10">
        <w:rPr>
          <w:rFonts w:eastAsia="Times New Roman" w:cstheme="minorHAnsi"/>
        </w:rPr>
        <w:t> &lt; 0.001, BF = 1.245e +15)</w:t>
      </w:r>
      <w:r>
        <w:rPr>
          <w:rFonts w:eastAsia="Times New Roman" w:cstheme="minorHAnsi"/>
        </w:rPr>
        <w:t xml:space="preserve">, as well as in terms of the </w:t>
      </w:r>
      <w:r w:rsidR="0046573D">
        <w:rPr>
          <w:rFonts w:eastAsia="Times New Roman" w:cstheme="minorHAnsi"/>
        </w:rPr>
        <w:t xml:space="preserve">+20 transitions </w:t>
      </w:r>
      <w:r w:rsidR="0046573D" w:rsidRPr="00131A10">
        <w:rPr>
          <w:rFonts w:eastAsia="Times New Roman" w:cstheme="minorHAnsi"/>
        </w:rPr>
        <w:t>(</w:t>
      </w:r>
      <w:r w:rsidR="0046573D" w:rsidRPr="00131A10">
        <w:rPr>
          <w:rFonts w:eastAsia="Times New Roman" w:cstheme="minorHAnsi"/>
          <w:i/>
          <w:iCs/>
        </w:rPr>
        <w:t>t</w:t>
      </w:r>
      <w:r w:rsidR="0046573D" w:rsidRPr="00131A10">
        <w:rPr>
          <w:rFonts w:eastAsia="Times New Roman" w:cstheme="minorHAnsi"/>
        </w:rPr>
        <w:t xml:space="preserve">(60) = </w:t>
      </w:r>
      <w:r w:rsidR="0046573D">
        <w:rPr>
          <w:rFonts w:eastAsia="Times New Roman" w:cstheme="minorHAnsi"/>
        </w:rPr>
        <w:t>9.000</w:t>
      </w:r>
      <w:r w:rsidR="0046573D" w:rsidRPr="00131A10">
        <w:rPr>
          <w:rFonts w:eastAsia="Times New Roman" w:cstheme="minorHAnsi"/>
        </w:rPr>
        <w:t xml:space="preserve">, </w:t>
      </w:r>
      <w:r w:rsidR="0046573D" w:rsidRPr="00131A10">
        <w:rPr>
          <w:rFonts w:eastAsia="Times New Roman" w:cstheme="minorHAnsi"/>
          <w:i/>
          <w:iCs/>
        </w:rPr>
        <w:t>p</w:t>
      </w:r>
      <w:r w:rsidR="0046573D" w:rsidRPr="00131A10">
        <w:rPr>
          <w:rFonts w:eastAsia="Times New Roman" w:cstheme="minorHAnsi"/>
        </w:rPr>
        <w:t xml:space="preserve"> &lt; 0.001, BF = </w:t>
      </w:r>
      <w:r w:rsidR="00B76B78">
        <w:rPr>
          <w:rFonts w:eastAsia="Times New Roman" w:cstheme="minorHAnsi"/>
        </w:rPr>
        <w:t>8.398e +9</w:t>
      </w:r>
      <w:r w:rsidR="0046573D" w:rsidRPr="00131A10">
        <w:rPr>
          <w:rFonts w:eastAsia="Times New Roman" w:cstheme="minorHAnsi"/>
        </w:rPr>
        <w:t>)</w:t>
      </w:r>
      <w:r w:rsidR="0046573D">
        <w:rPr>
          <w:rFonts w:eastAsia="Times New Roman" w:cstheme="minorHAnsi"/>
        </w:rPr>
        <w:t xml:space="preserve"> but not the -20 transitions </w:t>
      </w:r>
      <w:r w:rsidR="0046573D" w:rsidRPr="00131A10">
        <w:rPr>
          <w:rFonts w:eastAsia="Times New Roman" w:cstheme="minorHAnsi"/>
        </w:rPr>
        <w:t>(</w:t>
      </w:r>
      <w:r w:rsidR="0046573D" w:rsidRPr="00131A10">
        <w:rPr>
          <w:rFonts w:eastAsia="Times New Roman" w:cstheme="minorHAnsi"/>
          <w:i/>
          <w:iCs/>
        </w:rPr>
        <w:t>t</w:t>
      </w:r>
      <w:r w:rsidR="0046573D" w:rsidRPr="00131A10">
        <w:rPr>
          <w:rFonts w:eastAsia="Times New Roman" w:cstheme="minorHAnsi"/>
        </w:rPr>
        <w:t xml:space="preserve">(60) = </w:t>
      </w:r>
      <w:r w:rsidR="0046573D">
        <w:rPr>
          <w:rFonts w:eastAsia="Times New Roman" w:cstheme="minorHAnsi"/>
        </w:rPr>
        <w:t>1.290</w:t>
      </w:r>
      <w:r w:rsidR="0046573D" w:rsidRPr="00131A10">
        <w:rPr>
          <w:rFonts w:eastAsia="Times New Roman" w:cstheme="minorHAnsi"/>
        </w:rPr>
        <w:t xml:space="preserve">, </w:t>
      </w:r>
      <w:r w:rsidR="0046573D" w:rsidRPr="00131A10">
        <w:rPr>
          <w:rFonts w:eastAsia="Times New Roman" w:cstheme="minorHAnsi"/>
          <w:i/>
          <w:iCs/>
        </w:rPr>
        <w:t>p</w:t>
      </w:r>
      <w:r w:rsidR="0046573D" w:rsidRPr="00131A10">
        <w:rPr>
          <w:rFonts w:eastAsia="Times New Roman" w:cstheme="minorHAnsi"/>
        </w:rPr>
        <w:t> </w:t>
      </w:r>
      <w:r w:rsidR="0046573D">
        <w:rPr>
          <w:rFonts w:eastAsia="Times New Roman" w:cstheme="minorHAnsi"/>
        </w:rPr>
        <w:t>= 0.202</w:t>
      </w:r>
      <w:r w:rsidR="0046573D" w:rsidRPr="00131A10">
        <w:rPr>
          <w:rFonts w:eastAsia="Times New Roman" w:cstheme="minorHAnsi"/>
        </w:rPr>
        <w:t xml:space="preserve">, BF = </w:t>
      </w:r>
      <w:r w:rsidR="00B76B78">
        <w:rPr>
          <w:rFonts w:eastAsia="Times New Roman" w:cstheme="minorHAnsi"/>
        </w:rPr>
        <w:t>0.308</w:t>
      </w:r>
      <w:r w:rsidR="00273FEC">
        <w:rPr>
          <w:rFonts w:eastAsia="Times New Roman" w:cstheme="minorHAnsi"/>
        </w:rPr>
        <w:t>)</w:t>
      </w:r>
      <w:r w:rsidR="00857D6A">
        <w:rPr>
          <w:rFonts w:eastAsia="Times New Roman" w:cstheme="minorHAnsi"/>
        </w:rPr>
        <w:t xml:space="preserve">. Specifically, </w:t>
      </w:r>
      <w:r w:rsidR="00974F11">
        <w:rPr>
          <w:rFonts w:eastAsia="Times New Roman" w:cstheme="minorHAnsi"/>
        </w:rPr>
        <w:t xml:space="preserve">compared to the Lookahead </w:t>
      </w:r>
      <w:r w:rsidR="009521D1">
        <w:rPr>
          <w:rFonts w:eastAsia="Times New Roman" w:cstheme="minorHAnsi"/>
        </w:rPr>
        <w:t xml:space="preserve">‘rho’ </w:t>
      </w:r>
      <w:r w:rsidR="00974F11">
        <w:rPr>
          <w:rFonts w:eastAsia="Times New Roman" w:cstheme="minorHAnsi"/>
        </w:rPr>
        <w:t xml:space="preserve">model, </w:t>
      </w:r>
      <w:r w:rsidR="00480235">
        <w:rPr>
          <w:rFonts w:eastAsia="Times New Roman" w:cstheme="minorHAnsi"/>
        </w:rPr>
        <w:t xml:space="preserve">participants </w:t>
      </w:r>
      <w:r w:rsidR="00974F11">
        <w:rPr>
          <w:rFonts w:eastAsia="Times New Roman" w:cstheme="minorHAnsi"/>
        </w:rPr>
        <w:t>sensitivit</w:t>
      </w:r>
      <w:r w:rsidR="00C63E57">
        <w:rPr>
          <w:rFonts w:eastAsia="Times New Roman" w:cstheme="minorHAnsi"/>
        </w:rPr>
        <w:t>ies</w:t>
      </w:r>
      <w:r w:rsidR="00974F11">
        <w:rPr>
          <w:rFonts w:eastAsia="Times New Roman" w:cstheme="minorHAnsi"/>
        </w:rPr>
        <w:t xml:space="preserve"> to the -140 and +140 transitions </w:t>
      </w:r>
      <w:r w:rsidR="00480235">
        <w:rPr>
          <w:rFonts w:eastAsia="Times New Roman" w:cstheme="minorHAnsi"/>
        </w:rPr>
        <w:t xml:space="preserve">appear </w:t>
      </w:r>
      <w:r w:rsidR="00974F11">
        <w:rPr>
          <w:rFonts w:eastAsia="Times New Roman" w:cstheme="minorHAnsi"/>
        </w:rPr>
        <w:t>weaker and stronger</w:t>
      </w:r>
      <w:r w:rsidR="00ED6927">
        <w:rPr>
          <w:rFonts w:eastAsia="Times New Roman" w:cstheme="minorHAnsi"/>
        </w:rPr>
        <w:t>,</w:t>
      </w:r>
      <w:r w:rsidR="00974F11">
        <w:rPr>
          <w:rFonts w:eastAsia="Times New Roman" w:cstheme="minorHAnsi"/>
        </w:rPr>
        <w:t xml:space="preserve"> respectively</w:t>
      </w:r>
      <w:r w:rsidR="00ED6927">
        <w:rPr>
          <w:rFonts w:eastAsia="Times New Roman" w:cstheme="minorHAnsi"/>
        </w:rPr>
        <w:t>,</w:t>
      </w:r>
      <w:r w:rsidR="00974F11">
        <w:rPr>
          <w:rFonts w:eastAsia="Times New Roman" w:cstheme="minorHAnsi"/>
        </w:rPr>
        <w:t xml:space="preserve"> </w:t>
      </w:r>
      <w:r w:rsidR="00480235">
        <w:rPr>
          <w:rFonts w:eastAsia="Times New Roman" w:cstheme="minorHAnsi"/>
        </w:rPr>
        <w:t xml:space="preserve">when pruning is </w:t>
      </w:r>
      <w:proofErr w:type="gramStart"/>
      <w:r w:rsidR="00480235">
        <w:rPr>
          <w:rFonts w:eastAsia="Times New Roman" w:cstheme="minorHAnsi"/>
        </w:rPr>
        <w:t>taken into account</w:t>
      </w:r>
      <w:proofErr w:type="gramEnd"/>
      <w:r w:rsidR="00480235">
        <w:rPr>
          <w:rFonts w:eastAsia="Times New Roman" w:cstheme="minorHAnsi"/>
        </w:rPr>
        <w:t xml:space="preserve"> </w:t>
      </w:r>
      <w:r w:rsidR="00273FEC">
        <w:rPr>
          <w:rFonts w:eastAsia="Times New Roman" w:cstheme="minorHAnsi"/>
        </w:rPr>
        <w:t>(see Figure S1).</w:t>
      </w:r>
    </w:p>
    <w:p w14:paraId="3D38B332" w14:textId="77777777" w:rsidR="00AF1F0A" w:rsidRDefault="00AF1F0A" w:rsidP="0093135B">
      <w:pPr>
        <w:jc w:val="both"/>
        <w:rPr>
          <w:rFonts w:eastAsia="Times New Roman" w:cstheme="minorHAnsi"/>
        </w:rPr>
      </w:pPr>
    </w:p>
    <w:p w14:paraId="6A6C2C0E" w14:textId="5E0040D4" w:rsidR="00273FEC" w:rsidRDefault="009855A1" w:rsidP="0093135B">
      <w:pPr>
        <w:jc w:val="both"/>
        <w:rPr>
          <w:rFonts w:cstheme="minorHAnsi"/>
        </w:rPr>
      </w:pPr>
      <w:r w:rsidRPr="009855A1">
        <w:rPr>
          <w:rFonts w:cstheme="minorHAnsi"/>
          <w:noProof/>
        </w:rPr>
        <w:drawing>
          <wp:anchor distT="0" distB="0" distL="114300" distR="114300" simplePos="0" relativeHeight="251658240" behindDoc="0" locked="0" layoutInCell="1" allowOverlap="1" wp14:anchorId="43BCEDAA" wp14:editId="3F95BFB9">
            <wp:simplePos x="0" y="0"/>
            <wp:positionH relativeFrom="column">
              <wp:posOffset>795020</wp:posOffset>
            </wp:positionH>
            <wp:positionV relativeFrom="paragraph">
              <wp:posOffset>130810</wp:posOffset>
            </wp:positionV>
            <wp:extent cx="4030980" cy="26225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30980" cy="2622550"/>
                    </a:xfrm>
                    <a:prstGeom prst="rect">
                      <a:avLst/>
                    </a:prstGeom>
                  </pic:spPr>
                </pic:pic>
              </a:graphicData>
            </a:graphic>
            <wp14:sizeRelH relativeFrom="page">
              <wp14:pctWidth>0</wp14:pctWidth>
            </wp14:sizeRelH>
            <wp14:sizeRelV relativeFrom="page">
              <wp14:pctHeight>0</wp14:pctHeight>
            </wp14:sizeRelV>
          </wp:anchor>
        </w:drawing>
      </w:r>
    </w:p>
    <w:p w14:paraId="6C360F3E" w14:textId="702762E5" w:rsidR="00273FEC" w:rsidRDefault="00273FEC" w:rsidP="0093135B">
      <w:pPr>
        <w:jc w:val="both"/>
        <w:rPr>
          <w:rFonts w:cstheme="minorHAnsi"/>
        </w:rPr>
      </w:pPr>
    </w:p>
    <w:p w14:paraId="501EAD33" w14:textId="52B16ED6" w:rsidR="00273FEC" w:rsidRDefault="00273FEC" w:rsidP="0093135B">
      <w:pPr>
        <w:jc w:val="both"/>
        <w:rPr>
          <w:rFonts w:cstheme="minorHAnsi"/>
        </w:rPr>
      </w:pPr>
    </w:p>
    <w:p w14:paraId="1C3ACC65" w14:textId="7C573615" w:rsidR="00273FEC" w:rsidRDefault="00273FEC" w:rsidP="0093135B">
      <w:pPr>
        <w:jc w:val="both"/>
        <w:rPr>
          <w:rFonts w:cstheme="minorHAnsi"/>
        </w:rPr>
      </w:pPr>
    </w:p>
    <w:p w14:paraId="5C5E316E" w14:textId="6BEA668F" w:rsidR="00273FEC" w:rsidRDefault="00273FEC" w:rsidP="0093135B">
      <w:pPr>
        <w:jc w:val="both"/>
        <w:rPr>
          <w:rFonts w:cstheme="minorHAnsi"/>
        </w:rPr>
      </w:pPr>
    </w:p>
    <w:p w14:paraId="710587F3" w14:textId="24686174" w:rsidR="00273FEC" w:rsidRDefault="00273FEC" w:rsidP="0093135B">
      <w:pPr>
        <w:jc w:val="both"/>
        <w:rPr>
          <w:rFonts w:cstheme="minorHAnsi"/>
        </w:rPr>
      </w:pPr>
    </w:p>
    <w:p w14:paraId="5A585DE1" w14:textId="79FEC91C" w:rsidR="00273FEC" w:rsidRDefault="00273FEC" w:rsidP="0093135B">
      <w:pPr>
        <w:jc w:val="both"/>
        <w:rPr>
          <w:rFonts w:cstheme="minorHAnsi"/>
        </w:rPr>
      </w:pPr>
    </w:p>
    <w:p w14:paraId="783DFC27" w14:textId="0C61C76D" w:rsidR="00273FEC" w:rsidRPr="0093135B" w:rsidRDefault="00273FEC" w:rsidP="0093135B">
      <w:pPr>
        <w:jc w:val="both"/>
        <w:rPr>
          <w:rFonts w:cstheme="minorHAnsi"/>
        </w:rPr>
      </w:pPr>
    </w:p>
    <w:p w14:paraId="6FA86BD4" w14:textId="4B4651BD" w:rsidR="00131A10" w:rsidRPr="0093135B" w:rsidRDefault="00131A10" w:rsidP="0093135B">
      <w:pPr>
        <w:jc w:val="both"/>
        <w:rPr>
          <w:rFonts w:cstheme="minorHAnsi"/>
        </w:rPr>
      </w:pPr>
    </w:p>
    <w:p w14:paraId="758FD892" w14:textId="2A7460F6" w:rsidR="00131A10" w:rsidRPr="0093135B" w:rsidRDefault="00131A10" w:rsidP="0093135B">
      <w:pPr>
        <w:jc w:val="both"/>
        <w:rPr>
          <w:rFonts w:cstheme="minorHAnsi"/>
        </w:rPr>
      </w:pPr>
    </w:p>
    <w:p w14:paraId="4DB88406" w14:textId="4AC3E97E" w:rsidR="00131A10" w:rsidRDefault="00131A10" w:rsidP="0093135B">
      <w:pPr>
        <w:jc w:val="both"/>
        <w:rPr>
          <w:rFonts w:cstheme="minorHAnsi"/>
        </w:rPr>
      </w:pPr>
    </w:p>
    <w:p w14:paraId="58E176DD" w14:textId="28ED3678" w:rsidR="009855A1" w:rsidRDefault="009855A1" w:rsidP="0093135B">
      <w:pPr>
        <w:jc w:val="both"/>
        <w:rPr>
          <w:rFonts w:cstheme="minorHAnsi"/>
        </w:rPr>
      </w:pPr>
    </w:p>
    <w:p w14:paraId="2F4F5191" w14:textId="625C63B2" w:rsidR="009855A1" w:rsidRDefault="009855A1" w:rsidP="0093135B">
      <w:pPr>
        <w:jc w:val="both"/>
        <w:rPr>
          <w:rFonts w:cstheme="minorHAnsi"/>
        </w:rPr>
      </w:pPr>
    </w:p>
    <w:p w14:paraId="39ED2B72" w14:textId="36AD376D" w:rsidR="009855A1" w:rsidRDefault="009855A1" w:rsidP="0093135B">
      <w:pPr>
        <w:jc w:val="both"/>
        <w:rPr>
          <w:rFonts w:cstheme="minorHAnsi"/>
        </w:rPr>
      </w:pPr>
    </w:p>
    <w:p w14:paraId="1106F289" w14:textId="68F4210C" w:rsidR="009855A1" w:rsidRDefault="009855A1" w:rsidP="0093135B">
      <w:pPr>
        <w:jc w:val="both"/>
        <w:rPr>
          <w:rFonts w:cstheme="minorHAnsi"/>
        </w:rPr>
      </w:pPr>
    </w:p>
    <w:p w14:paraId="46F9489D" w14:textId="646392FD" w:rsidR="009855A1" w:rsidRDefault="009855A1" w:rsidP="0093135B">
      <w:pPr>
        <w:jc w:val="both"/>
        <w:rPr>
          <w:rFonts w:cstheme="minorHAnsi"/>
        </w:rPr>
      </w:pPr>
    </w:p>
    <w:p w14:paraId="5B0AD996" w14:textId="06C837CD" w:rsidR="009855A1" w:rsidRPr="009855A1" w:rsidRDefault="009855A1" w:rsidP="009855A1">
      <w:pPr>
        <w:jc w:val="center"/>
        <w:rPr>
          <w:rFonts w:cstheme="minorHAnsi"/>
          <w:b/>
        </w:rPr>
      </w:pPr>
      <w:r>
        <w:rPr>
          <w:rFonts w:cstheme="minorHAnsi"/>
          <w:b/>
        </w:rPr>
        <w:t>Figure S1. Rho values for each of the four transition types in both the Lookahead ‘rho’ model (left) and the Pruning ‘rho’ model (right)</w:t>
      </w:r>
    </w:p>
    <w:p w14:paraId="7C3374BF" w14:textId="5209DCAC" w:rsidR="009855A1" w:rsidRDefault="009855A1" w:rsidP="0093135B">
      <w:pPr>
        <w:jc w:val="both"/>
        <w:rPr>
          <w:rFonts w:cstheme="minorHAnsi"/>
        </w:rPr>
      </w:pPr>
    </w:p>
    <w:p w14:paraId="5F63941D" w14:textId="04370E6A" w:rsidR="000E6F51" w:rsidRDefault="000E6F51" w:rsidP="0093135B">
      <w:pPr>
        <w:jc w:val="both"/>
        <w:rPr>
          <w:rFonts w:cstheme="minorHAnsi"/>
        </w:rPr>
      </w:pPr>
    </w:p>
    <w:p w14:paraId="4F309B20" w14:textId="16BBF152" w:rsidR="00AA3016" w:rsidRDefault="00AA3016" w:rsidP="0093135B">
      <w:pPr>
        <w:jc w:val="both"/>
        <w:rPr>
          <w:rFonts w:cstheme="minorHAnsi"/>
        </w:rPr>
      </w:pPr>
    </w:p>
    <w:p w14:paraId="7614D5FF" w14:textId="18628E07" w:rsidR="003F3A91" w:rsidRPr="003F3A91" w:rsidRDefault="00AA3016" w:rsidP="0093135B">
      <w:pPr>
        <w:jc w:val="both"/>
        <w:rPr>
          <w:rFonts w:cstheme="minorHAnsi"/>
          <w:color w:val="000000" w:themeColor="text1"/>
        </w:rPr>
      </w:pPr>
      <w:r w:rsidRPr="00AA3016">
        <w:rPr>
          <w:rFonts w:cstheme="minorHAnsi"/>
          <w:color w:val="000000" w:themeColor="text1"/>
        </w:rPr>
        <w:t>Data pertaining to the number of depressive episodes experienced was collected from 18 of the 30 depressed individuals. Bivariate correlations were performed to determine whether the number of depressive episodes in these 18 participants was related to the pruning behaviours. Results revealed that the number of depressive episodes did not correlate with general pruning (r = -0.108, p = 0.671, BF = 0.286), specific pruning  (r = 0.091, p = 0.720, BF = 0.282), or sensitivity to any of the four transition types (all ps &gt; 0.206, all BFs &lt; 0.553).</w:t>
      </w:r>
    </w:p>
    <w:p w14:paraId="117805F4" w14:textId="77777777" w:rsidR="00062187" w:rsidRDefault="00062187" w:rsidP="0093135B">
      <w:pPr>
        <w:jc w:val="both"/>
        <w:rPr>
          <w:rFonts w:cstheme="minorHAnsi"/>
        </w:rPr>
      </w:pPr>
    </w:p>
    <w:p w14:paraId="790DD149" w14:textId="6C1B3FF0" w:rsidR="000F7EF7" w:rsidRPr="000F7EF7" w:rsidRDefault="000F7EF7" w:rsidP="000F7EF7">
      <w:pPr>
        <w:jc w:val="both"/>
        <w:rPr>
          <w:rFonts w:cstheme="minorHAnsi"/>
          <w:color w:val="000000" w:themeColor="text1"/>
          <w:highlight w:val="yellow"/>
        </w:rPr>
      </w:pPr>
      <w:r w:rsidRPr="000F7EF7">
        <w:rPr>
          <w:rFonts w:cstheme="minorHAnsi"/>
          <w:color w:val="000000" w:themeColor="text1"/>
        </w:rPr>
        <w:t xml:space="preserve">Bivariate correlations were performed to determine whether self-reported anhedonia on the BDI </w:t>
      </w:r>
      <w:r w:rsidR="00D45DB4">
        <w:rPr>
          <w:rFonts w:cstheme="minorHAnsi"/>
          <w:color w:val="000000" w:themeColor="text1"/>
        </w:rPr>
        <w:t>was</w:t>
      </w:r>
      <w:r w:rsidRPr="000F7EF7">
        <w:rPr>
          <w:rFonts w:cstheme="minorHAnsi"/>
          <w:color w:val="000000" w:themeColor="text1"/>
        </w:rPr>
        <w:t xml:space="preserve"> related to pruning behaviours in depressed participants. Results revealed that such anhedonia was not related to either general pruning (r = -0.122, p = 0.365, BF = 0.247), or specific pruning (r = 0.157, p = 0.242, BF = 0.322). While there was no relationship between self-reported anhedonia and sensitivity to the -20 transition types (r = -0.055, p = 0.683, BF = 0.179), there were significant correlations between such anhedonia and sensitivity to the </w:t>
      </w:r>
      <w:r w:rsidRPr="000F7EF7">
        <w:rPr>
          <w:rFonts w:cstheme="minorHAnsi"/>
          <w:color w:val="000000" w:themeColor="text1"/>
        </w:rPr>
        <w:lastRenderedPageBreak/>
        <w:t xml:space="preserve">+140 transitions (r = -0.296, p = 0.025, BF = 1.901), +20 transitions (r = -0.270 , p = 0.042, BF = 1.236) and -140 transitions (r = 0.302, p = 0.023, BF = 2.088); </w:t>
      </w:r>
      <w:r w:rsidR="00AC5C66">
        <w:rPr>
          <w:rFonts w:cstheme="minorHAnsi"/>
          <w:color w:val="000000" w:themeColor="text1"/>
        </w:rPr>
        <w:t>however</w:t>
      </w:r>
      <w:r w:rsidRPr="000F7EF7">
        <w:rPr>
          <w:rFonts w:cstheme="minorHAnsi"/>
          <w:color w:val="000000" w:themeColor="text1"/>
        </w:rPr>
        <w:t>, when these analyses were Bonferroni-corrected for the four tests performed (i.e.one per transition type), none of these relationships remained significant.</w:t>
      </w:r>
    </w:p>
    <w:p w14:paraId="4F5F131F" w14:textId="77777777" w:rsidR="003F3A91" w:rsidRDefault="003F3A91" w:rsidP="003F3A91">
      <w:pPr>
        <w:jc w:val="both"/>
        <w:rPr>
          <w:rFonts w:cstheme="minorHAnsi"/>
        </w:rPr>
      </w:pPr>
    </w:p>
    <w:p w14:paraId="60E2203C" w14:textId="0D6D7E62" w:rsidR="003F3A91" w:rsidRPr="003B6D41" w:rsidRDefault="003F3A91" w:rsidP="003F3A91">
      <w:pPr>
        <w:jc w:val="both"/>
        <w:rPr>
          <w:rFonts w:cstheme="minorHAnsi"/>
          <w:color w:val="000000" w:themeColor="text1"/>
        </w:rPr>
      </w:pPr>
      <w:r w:rsidRPr="003B6D41">
        <w:rPr>
          <w:rFonts w:cstheme="minorHAnsi"/>
          <w:color w:val="000000" w:themeColor="text1"/>
        </w:rPr>
        <w:t>T-tests revealed that there was no difference between those depressed individuals who received a diagnosis of generalized anxiety disorder (GAD) on the MINI and those who did not, in terms of general pruning (t(28) = 0.521, p = 0.607, BF = 0.387), specific pruning (t(28) = -0.172, p = 0.864, BF = 0.354) or sensitivity to any of the four transitions (all ps &gt; 136, all BFs &lt; 0.832).</w:t>
      </w:r>
    </w:p>
    <w:p w14:paraId="5DFB90E3" w14:textId="77777777" w:rsidR="003F3A91" w:rsidRPr="003B6D41" w:rsidRDefault="003F3A91" w:rsidP="003F3A91">
      <w:pPr>
        <w:jc w:val="both"/>
        <w:rPr>
          <w:rFonts w:cstheme="minorHAnsi"/>
          <w:color w:val="000000" w:themeColor="text1"/>
        </w:rPr>
      </w:pPr>
    </w:p>
    <w:p w14:paraId="53B85001" w14:textId="44238AE4" w:rsidR="003F3A91" w:rsidRDefault="003F3A91" w:rsidP="003F3A91">
      <w:pPr>
        <w:jc w:val="both"/>
        <w:rPr>
          <w:rFonts w:cstheme="minorHAnsi"/>
          <w:color w:val="000000" w:themeColor="text1"/>
        </w:rPr>
      </w:pPr>
      <w:r w:rsidRPr="003B6D41">
        <w:rPr>
          <w:rFonts w:cstheme="minorHAnsi"/>
          <w:color w:val="000000" w:themeColor="text1"/>
        </w:rPr>
        <w:t>Further, bivariate correlations were performed to determine whether scores from section ‘O’ of the MINI (i.e. the generalized anxiety disorder section) were related to pruning behaviours. Results revealed that these scores did not correlate with general pruning (r = -0.400, p = 0.100, BF = 1.026), specific pruning  (r = 0.056, p = 0.826, BF = 0.298), or sensitivity to any of the four transition types (all ps &gt; 0.358, all BFs &lt; 0.653).</w:t>
      </w:r>
    </w:p>
    <w:p w14:paraId="22942C10" w14:textId="296B367C" w:rsidR="00640332" w:rsidRDefault="00640332" w:rsidP="003F3A91">
      <w:pPr>
        <w:jc w:val="both"/>
        <w:rPr>
          <w:rFonts w:cstheme="minorHAnsi"/>
        </w:rPr>
      </w:pPr>
    </w:p>
    <w:p w14:paraId="1115F044" w14:textId="11AF238B" w:rsidR="00640332" w:rsidRDefault="00640332" w:rsidP="003F3A91">
      <w:pPr>
        <w:jc w:val="both"/>
        <w:rPr>
          <w:rFonts w:cstheme="minorHAnsi"/>
        </w:rPr>
      </w:pPr>
    </w:p>
    <w:p w14:paraId="06F33FE0" w14:textId="3CCE6A17" w:rsidR="00640332" w:rsidRDefault="00640332" w:rsidP="003F3A91">
      <w:pPr>
        <w:jc w:val="both"/>
        <w:rPr>
          <w:rFonts w:cstheme="minorHAnsi"/>
          <w:b/>
        </w:rPr>
      </w:pPr>
      <w:r w:rsidRPr="00640332">
        <w:rPr>
          <w:rFonts w:cstheme="minorHAnsi"/>
          <w:b/>
        </w:rPr>
        <w:t>Sensitivity analyses</w:t>
      </w:r>
    </w:p>
    <w:p w14:paraId="55C8D35D" w14:textId="14617CEA" w:rsidR="00327ECC" w:rsidRDefault="00327ECC" w:rsidP="003F3A91">
      <w:pPr>
        <w:jc w:val="both"/>
        <w:rPr>
          <w:rFonts w:cstheme="minorHAnsi"/>
          <w:b/>
        </w:rPr>
      </w:pPr>
    </w:p>
    <w:p w14:paraId="5195AA57" w14:textId="77777777" w:rsidR="00327ECC" w:rsidRPr="00327ECC" w:rsidRDefault="00327ECC" w:rsidP="00327ECC">
      <w:pPr>
        <w:jc w:val="both"/>
        <w:rPr>
          <w:rFonts w:cstheme="minorHAnsi"/>
        </w:rPr>
      </w:pPr>
      <w:r w:rsidRPr="00327ECC">
        <w:rPr>
          <w:rFonts w:cstheme="minorHAnsi"/>
        </w:rPr>
        <w:t xml:space="preserve">We also performed analyses of data from all 48 trials (as opposed to only the final 24 trials, as in Huys et al., 2012), to determine whether doing so altered the resultant parameter estimates and group comparisons. </w:t>
      </w:r>
    </w:p>
    <w:p w14:paraId="75B4BBEC" w14:textId="77777777" w:rsidR="00327ECC" w:rsidRPr="00327ECC" w:rsidRDefault="00327ECC" w:rsidP="00327ECC">
      <w:pPr>
        <w:jc w:val="both"/>
        <w:rPr>
          <w:rFonts w:cstheme="minorHAnsi"/>
        </w:rPr>
      </w:pPr>
    </w:p>
    <w:p w14:paraId="319A314A" w14:textId="77777777" w:rsidR="00327ECC" w:rsidRPr="00327ECC" w:rsidRDefault="00327ECC" w:rsidP="00327ECC">
      <w:pPr>
        <w:jc w:val="both"/>
        <w:rPr>
          <w:rFonts w:cstheme="minorHAnsi"/>
          <w:color w:val="000000"/>
        </w:rPr>
      </w:pPr>
      <w:r w:rsidRPr="00327ECC">
        <w:rPr>
          <w:rFonts w:cstheme="minorHAnsi"/>
        </w:rPr>
        <w:t>Firstly, the parameters resulting from modelling all 48 trials are substantially correlated with the corresponding variables derived from modelling only the final 24 trials (</w:t>
      </w:r>
      <w:r w:rsidRPr="00327ECC">
        <w:rPr>
          <w:rFonts w:cstheme="minorHAnsi"/>
          <w:color w:val="000000"/>
          <w:sz w:val="32"/>
        </w:rPr>
        <w:t>γ</w:t>
      </w:r>
      <w:r w:rsidRPr="00327ECC">
        <w:rPr>
          <w:rFonts w:cstheme="minorHAnsi"/>
          <w:color w:val="000000"/>
          <w:vertAlign w:val="subscript"/>
        </w:rPr>
        <w:t>S</w:t>
      </w:r>
      <w:r w:rsidRPr="00327ECC">
        <w:rPr>
          <w:rFonts w:cstheme="minorHAnsi"/>
          <w:color w:val="000000"/>
        </w:rPr>
        <w:t xml:space="preserve">: r = 0.396, p = 0.003, BF = 21.061; </w:t>
      </w:r>
      <w:r w:rsidRPr="00327ECC">
        <w:rPr>
          <w:rFonts w:cstheme="minorHAnsi"/>
          <w:color w:val="000000"/>
          <w:sz w:val="32"/>
        </w:rPr>
        <w:t>γ</w:t>
      </w:r>
      <w:r w:rsidRPr="00327ECC">
        <w:rPr>
          <w:rFonts w:cstheme="minorHAnsi"/>
          <w:color w:val="000000"/>
          <w:vertAlign w:val="subscript"/>
        </w:rPr>
        <w:t>G</w:t>
      </w:r>
      <w:r w:rsidRPr="00327ECC">
        <w:rPr>
          <w:rFonts w:cstheme="minorHAnsi"/>
          <w:color w:val="000000"/>
        </w:rPr>
        <w:t>: r = 0.502, p &lt; 0.001, BF = 67.641; sensitivity to the +140 transitions: r = 0.827, p &lt; 0.001, BF = 334.013: sensitivity to the +20 transitions; r = 0.857, p &lt; 0.001, BF = 408.015;  sensitivity to the -20 transitions: r = 0.494, p &lt; 0.001, BF = 198.377); sensitivity to the -140 transitions: r = 0.864, p &lt; 0.001 , BF = 492.160; see figure S2 for an indication of these relationships).</w:t>
      </w:r>
    </w:p>
    <w:p w14:paraId="0361B4BC" w14:textId="77777777" w:rsidR="00327ECC" w:rsidRDefault="00327ECC" w:rsidP="00327ECC">
      <w:pPr>
        <w:jc w:val="both"/>
        <w:rPr>
          <w:rFonts w:cstheme="minorHAnsi"/>
        </w:rPr>
      </w:pPr>
    </w:p>
    <w:p w14:paraId="565F4366" w14:textId="77777777" w:rsidR="00327ECC" w:rsidRDefault="00327ECC" w:rsidP="00327ECC">
      <w:pPr>
        <w:jc w:val="both"/>
        <w:rPr>
          <w:rFonts w:cstheme="minorHAnsi"/>
        </w:rPr>
      </w:pPr>
    </w:p>
    <w:p w14:paraId="1FA97540" w14:textId="77777777" w:rsidR="00327ECC" w:rsidRDefault="00327ECC" w:rsidP="00327ECC">
      <w:pPr>
        <w:jc w:val="center"/>
        <w:rPr>
          <w:rFonts w:cstheme="minorHAnsi"/>
        </w:rPr>
      </w:pPr>
      <w:r w:rsidRPr="00750BDC">
        <w:rPr>
          <w:rFonts w:cstheme="minorHAnsi"/>
          <w:noProof/>
        </w:rPr>
        <w:drawing>
          <wp:inline distT="0" distB="0" distL="0" distR="0" wp14:anchorId="18A7C5D0" wp14:editId="775C7608">
            <wp:extent cx="5727700" cy="176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1765300"/>
                    </a:xfrm>
                    <a:prstGeom prst="rect">
                      <a:avLst/>
                    </a:prstGeom>
                  </pic:spPr>
                </pic:pic>
              </a:graphicData>
            </a:graphic>
          </wp:inline>
        </w:drawing>
      </w:r>
    </w:p>
    <w:p w14:paraId="4303DFE2" w14:textId="77777777" w:rsidR="00327ECC" w:rsidRDefault="00327ECC" w:rsidP="00327ECC">
      <w:pPr>
        <w:jc w:val="center"/>
        <w:rPr>
          <w:rFonts w:cstheme="minorHAnsi"/>
          <w:b/>
        </w:rPr>
      </w:pPr>
    </w:p>
    <w:p w14:paraId="06B0AD75" w14:textId="77777777" w:rsidR="00327ECC" w:rsidRPr="0027012B" w:rsidRDefault="00327ECC" w:rsidP="00327ECC">
      <w:pPr>
        <w:jc w:val="center"/>
        <w:rPr>
          <w:rFonts w:cstheme="minorHAnsi"/>
          <w:b/>
        </w:rPr>
      </w:pPr>
      <w:r w:rsidRPr="0027012B">
        <w:rPr>
          <w:rFonts w:cstheme="minorHAnsi"/>
          <w:b/>
        </w:rPr>
        <w:t xml:space="preserve">Figure S2. </w:t>
      </w:r>
      <w:r>
        <w:rPr>
          <w:rFonts w:cstheme="minorHAnsi"/>
          <w:b/>
        </w:rPr>
        <w:t>Scatterplots depicting relationships</w:t>
      </w:r>
      <w:r w:rsidRPr="0027012B">
        <w:rPr>
          <w:rFonts w:cstheme="minorHAnsi"/>
          <w:b/>
        </w:rPr>
        <w:t xml:space="preserve"> between variables from the winning model when data from all trials were included in the analyses and when data from only the final 24 trials were included</w:t>
      </w:r>
    </w:p>
    <w:p w14:paraId="42FB1880" w14:textId="77777777" w:rsidR="00327ECC" w:rsidRDefault="00327ECC" w:rsidP="00327ECC">
      <w:pPr>
        <w:jc w:val="both"/>
        <w:rPr>
          <w:rFonts w:cstheme="minorHAnsi"/>
          <w:b/>
          <w:color w:val="000000" w:themeColor="text1"/>
        </w:rPr>
      </w:pPr>
    </w:p>
    <w:p w14:paraId="35E7CCC7" w14:textId="77777777" w:rsidR="00327ECC" w:rsidRDefault="00327ECC" w:rsidP="00327ECC">
      <w:pPr>
        <w:jc w:val="both"/>
        <w:rPr>
          <w:rFonts w:cstheme="minorHAnsi"/>
          <w:b/>
          <w:color w:val="000000" w:themeColor="text1"/>
        </w:rPr>
      </w:pPr>
    </w:p>
    <w:p w14:paraId="7B01E696" w14:textId="12F7F092" w:rsidR="00327ECC" w:rsidRDefault="00327ECC" w:rsidP="003F3A91">
      <w:pPr>
        <w:jc w:val="both"/>
        <w:rPr>
          <w:rFonts w:cstheme="minorHAnsi"/>
          <w:b/>
        </w:rPr>
      </w:pPr>
    </w:p>
    <w:p w14:paraId="38ED6BAA" w14:textId="0748354C" w:rsidR="00576398" w:rsidRDefault="00576398" w:rsidP="003F3A91">
      <w:pPr>
        <w:jc w:val="both"/>
        <w:rPr>
          <w:rFonts w:cstheme="minorHAnsi"/>
        </w:rPr>
      </w:pPr>
    </w:p>
    <w:p w14:paraId="0931FDDF" w14:textId="4E8F812A" w:rsidR="007B72BC" w:rsidRPr="007B72BC" w:rsidRDefault="00432F94" w:rsidP="007B72BC">
      <w:pPr>
        <w:jc w:val="both"/>
        <w:rPr>
          <w:rFonts w:cstheme="minorHAnsi"/>
          <w:b/>
          <w:color w:val="000000" w:themeColor="text1"/>
        </w:rPr>
      </w:pPr>
      <w:r>
        <w:rPr>
          <w:rFonts w:cstheme="minorHAnsi"/>
        </w:rPr>
        <w:t>W</w:t>
      </w:r>
      <w:r w:rsidR="0003270B">
        <w:rPr>
          <w:rFonts w:cstheme="minorHAnsi"/>
        </w:rPr>
        <w:t xml:space="preserve">e also performed group comparisons to determine whether there were any </w:t>
      </w:r>
      <w:r w:rsidR="0003270B" w:rsidRPr="004079EE">
        <w:rPr>
          <w:rFonts w:cstheme="minorHAnsi"/>
        </w:rPr>
        <w:t>meaningful differences bet</w:t>
      </w:r>
      <w:r w:rsidR="0003270B" w:rsidRPr="0071503A">
        <w:rPr>
          <w:rFonts w:cstheme="minorHAnsi"/>
        </w:rPr>
        <w:t>ween depressed and non</w:t>
      </w:r>
      <w:r w:rsidR="0003270B" w:rsidRPr="00432F94">
        <w:rPr>
          <w:rFonts w:cstheme="minorHAnsi"/>
        </w:rPr>
        <w:t xml:space="preserve">-depressed participants in terms of the variables resulting from the winning model when applied to </w:t>
      </w:r>
      <w:r w:rsidR="0003270B" w:rsidRPr="004079EE">
        <w:rPr>
          <w:rFonts w:cstheme="minorHAnsi"/>
        </w:rPr>
        <w:t xml:space="preserve">data from all 48 trials. </w:t>
      </w:r>
      <w:r w:rsidR="007B72BC" w:rsidRPr="007B72BC">
        <w:rPr>
          <w:rFonts w:cstheme="minorHAnsi"/>
        </w:rPr>
        <w:t xml:space="preserve">There were no group differences in terms of </w:t>
      </w:r>
      <w:r w:rsidR="007B72BC" w:rsidRPr="007B72BC">
        <w:rPr>
          <w:rFonts w:cstheme="minorHAnsi"/>
          <w:color w:val="000000"/>
          <w:sz w:val="32"/>
        </w:rPr>
        <w:t>γ</w:t>
      </w:r>
      <w:r w:rsidR="007B72BC" w:rsidRPr="007B72BC">
        <w:rPr>
          <w:rFonts w:cstheme="minorHAnsi"/>
          <w:color w:val="000000"/>
          <w:vertAlign w:val="subscript"/>
        </w:rPr>
        <w:t xml:space="preserve">S </w:t>
      </w:r>
      <w:r w:rsidR="007B72BC" w:rsidRPr="007B72BC">
        <w:rPr>
          <w:rFonts w:cstheme="minorHAnsi"/>
          <w:color w:val="000000"/>
        </w:rPr>
        <w:t xml:space="preserve">(t(59) = 1.046, p = 0.300, BF = 0.413), </w:t>
      </w:r>
      <w:r w:rsidR="007B72BC" w:rsidRPr="007B72BC">
        <w:rPr>
          <w:rFonts w:cstheme="minorHAnsi"/>
          <w:color w:val="000000"/>
          <w:sz w:val="32"/>
        </w:rPr>
        <w:t>γ</w:t>
      </w:r>
      <w:r w:rsidR="007B72BC" w:rsidRPr="007B72BC">
        <w:rPr>
          <w:rFonts w:cstheme="minorHAnsi"/>
          <w:color w:val="000000"/>
          <w:vertAlign w:val="subscript"/>
        </w:rPr>
        <w:t>G</w:t>
      </w:r>
      <w:r w:rsidR="007B72BC" w:rsidRPr="007B72BC">
        <w:rPr>
          <w:rFonts w:cstheme="minorHAnsi"/>
          <w:color w:val="000000"/>
        </w:rPr>
        <w:t xml:space="preserve"> (t(59) = -0.613, p = 0.542, BF = 0.305), sensitivity to the +140 transitions (t(59) = -0.042, p = 0.967, BF = 0.261), sensitivity to the +20 transitions (t(59) = -0.174, p = 0.862, BF = 0.264), sensitivity to the -20 transitions (t(59) = 1.014, p = 0.315, BF = 0.401) or sensitivity to the -140 transitions (t(59) = -0.430, p = 0.669, BF = 0.282).</w:t>
      </w:r>
    </w:p>
    <w:p w14:paraId="5DE4F8F3" w14:textId="77777777" w:rsidR="007B72BC" w:rsidRPr="007B72BC" w:rsidRDefault="007B72BC" w:rsidP="007B72BC">
      <w:pPr>
        <w:jc w:val="both"/>
        <w:rPr>
          <w:rFonts w:cstheme="minorHAnsi"/>
        </w:rPr>
      </w:pPr>
    </w:p>
    <w:p w14:paraId="342F712C" w14:textId="725AFBE0" w:rsidR="007B72BC" w:rsidRPr="007B72BC" w:rsidRDefault="007B72BC" w:rsidP="007B72BC">
      <w:pPr>
        <w:jc w:val="both"/>
        <w:rPr>
          <w:rFonts w:cstheme="minorHAnsi"/>
          <w:color w:val="000000"/>
        </w:rPr>
      </w:pPr>
      <w:r w:rsidRPr="007B72BC">
        <w:rPr>
          <w:rFonts w:cstheme="minorHAnsi"/>
        </w:rPr>
        <w:t xml:space="preserve">Finally, in depressed participants, there were no significant or meaningful correlations between </w:t>
      </w:r>
      <w:r w:rsidRPr="007B72BC">
        <w:rPr>
          <w:rFonts w:cstheme="minorHAnsi"/>
          <w:color w:val="000000"/>
          <w:sz w:val="32"/>
        </w:rPr>
        <w:t>γ</w:t>
      </w:r>
      <w:r w:rsidRPr="007B72BC">
        <w:rPr>
          <w:rFonts w:cstheme="minorHAnsi"/>
          <w:color w:val="000000"/>
          <w:vertAlign w:val="subscript"/>
        </w:rPr>
        <w:t>S</w:t>
      </w:r>
      <w:r w:rsidRPr="007B72BC">
        <w:rPr>
          <w:rFonts w:cstheme="minorHAnsi"/>
          <w:color w:val="000000"/>
        </w:rPr>
        <w:t xml:space="preserve">, </w:t>
      </w:r>
      <w:r w:rsidRPr="007B72BC">
        <w:rPr>
          <w:rFonts w:cstheme="minorHAnsi"/>
          <w:color w:val="000000"/>
          <w:sz w:val="32"/>
        </w:rPr>
        <w:t>γ</w:t>
      </w:r>
      <w:r w:rsidRPr="007B72BC">
        <w:rPr>
          <w:rFonts w:cstheme="minorHAnsi"/>
          <w:color w:val="000000"/>
          <w:vertAlign w:val="subscript"/>
        </w:rPr>
        <w:t>G</w:t>
      </w:r>
      <w:r w:rsidRPr="007B72BC">
        <w:rPr>
          <w:rFonts w:cstheme="minorHAnsi"/>
          <w:color w:val="000000"/>
        </w:rPr>
        <w:t xml:space="preserve"> or any of the reward sensitivities with BDI scores (all ps &gt; 0.165, all BFs &lt; 0.418), the number of depressive episodes (all ps &gt; 0.368, all BFs &lt; 0.329), self-reported anhedonia (as quantified using the BDI; all ps &gt; 0.415, all BFs &lt; 0.259), STAI trait anxiety scores (all ps &gt; 0.333, all BFs &lt; 0.366), STAI state anxiety scores (all ps &gt; 0.272, all BFs &lt; 0.318), or scores from section ‘O’ of the MINI (i.e. those scores denoting presence and severity of GAD; (all ps &gt; 0.178, all BFs &lt; 0.408).</w:t>
      </w:r>
    </w:p>
    <w:p w14:paraId="1CCEB3B6" w14:textId="0004C89A" w:rsidR="00576398" w:rsidRPr="004079EE" w:rsidRDefault="00576398" w:rsidP="007B72BC">
      <w:pPr>
        <w:jc w:val="both"/>
        <w:rPr>
          <w:rFonts w:cstheme="minorHAnsi"/>
        </w:rPr>
      </w:pPr>
    </w:p>
    <w:p w14:paraId="2D47366F" w14:textId="20001824" w:rsidR="00576398" w:rsidRDefault="00576398" w:rsidP="003F3A91">
      <w:pPr>
        <w:jc w:val="both"/>
        <w:rPr>
          <w:rFonts w:cstheme="minorHAnsi"/>
        </w:rPr>
      </w:pPr>
    </w:p>
    <w:p w14:paraId="3EAAF26C" w14:textId="3F22EECE" w:rsidR="00576398" w:rsidRDefault="00576398" w:rsidP="003F3A91">
      <w:pPr>
        <w:jc w:val="both"/>
        <w:rPr>
          <w:rFonts w:cstheme="minorHAnsi"/>
        </w:rPr>
      </w:pPr>
    </w:p>
    <w:p w14:paraId="3A3018F2" w14:textId="6239DA06" w:rsidR="00576398" w:rsidRDefault="00576398" w:rsidP="003F3A91">
      <w:pPr>
        <w:jc w:val="both"/>
        <w:rPr>
          <w:rFonts w:cstheme="minorHAnsi"/>
        </w:rPr>
      </w:pPr>
    </w:p>
    <w:p w14:paraId="606DF769" w14:textId="75B9722D" w:rsidR="00576398" w:rsidRDefault="00576398" w:rsidP="003F3A91">
      <w:pPr>
        <w:jc w:val="both"/>
        <w:rPr>
          <w:rFonts w:cstheme="minorHAnsi"/>
        </w:rPr>
      </w:pPr>
    </w:p>
    <w:p w14:paraId="665E0BED" w14:textId="40FC6C5F" w:rsidR="00576398" w:rsidRDefault="00576398" w:rsidP="003F3A91">
      <w:pPr>
        <w:jc w:val="both"/>
        <w:rPr>
          <w:rFonts w:cstheme="minorHAnsi"/>
        </w:rPr>
      </w:pPr>
    </w:p>
    <w:p w14:paraId="6487A3A8" w14:textId="77777777" w:rsidR="00576398" w:rsidRDefault="00576398" w:rsidP="00576398">
      <w:pPr>
        <w:spacing w:before="120" w:after="120" w:line="480" w:lineRule="auto"/>
        <w:ind w:firstLine="567"/>
        <w:jc w:val="both"/>
        <w:rPr>
          <w:rFonts w:ascii="Cambria" w:hAnsi="Cambria"/>
          <w:color w:val="000000"/>
        </w:rPr>
      </w:pPr>
    </w:p>
    <w:p w14:paraId="4E81459C" w14:textId="77777777" w:rsidR="00576398" w:rsidRDefault="00576398" w:rsidP="00576398">
      <w:pPr>
        <w:spacing w:before="120" w:after="120" w:line="480" w:lineRule="auto"/>
        <w:ind w:firstLine="567"/>
        <w:jc w:val="both"/>
        <w:rPr>
          <w:rFonts w:ascii="Cambria" w:hAnsi="Cambria"/>
          <w:color w:val="000000"/>
        </w:rPr>
      </w:pPr>
    </w:p>
    <w:bookmarkEnd w:id="0"/>
    <w:p w14:paraId="2ED65A38" w14:textId="77777777" w:rsidR="00576398" w:rsidRPr="00640332" w:rsidRDefault="00576398" w:rsidP="003F3A91">
      <w:pPr>
        <w:jc w:val="both"/>
        <w:rPr>
          <w:rFonts w:cstheme="minorHAnsi"/>
        </w:rPr>
      </w:pPr>
    </w:p>
    <w:sectPr w:rsidR="00576398" w:rsidRPr="00640332" w:rsidSect="000E6F51">
      <w:pgSz w:w="11900" w:h="16840"/>
      <w:pgMar w:top="1118" w:right="1440" w:bottom="86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C77"/>
    <w:rsid w:val="0003270B"/>
    <w:rsid w:val="00054A96"/>
    <w:rsid w:val="00062187"/>
    <w:rsid w:val="000E6F51"/>
    <w:rsid w:val="000F7EF7"/>
    <w:rsid w:val="00103678"/>
    <w:rsid w:val="00120E09"/>
    <w:rsid w:val="00131A10"/>
    <w:rsid w:val="00137DCE"/>
    <w:rsid w:val="001523A0"/>
    <w:rsid w:val="00173D81"/>
    <w:rsid w:val="0018378C"/>
    <w:rsid w:val="001F54A0"/>
    <w:rsid w:val="0022400A"/>
    <w:rsid w:val="00241AAF"/>
    <w:rsid w:val="00273FEC"/>
    <w:rsid w:val="00280345"/>
    <w:rsid w:val="002D54AD"/>
    <w:rsid w:val="002F22AA"/>
    <w:rsid w:val="00312BEA"/>
    <w:rsid w:val="00327ECC"/>
    <w:rsid w:val="003439C2"/>
    <w:rsid w:val="003B2B07"/>
    <w:rsid w:val="003B6D41"/>
    <w:rsid w:val="003D3CFA"/>
    <w:rsid w:val="003F3A91"/>
    <w:rsid w:val="00401085"/>
    <w:rsid w:val="004079EE"/>
    <w:rsid w:val="00432F94"/>
    <w:rsid w:val="0045318F"/>
    <w:rsid w:val="0046573D"/>
    <w:rsid w:val="00480235"/>
    <w:rsid w:val="00491A23"/>
    <w:rsid w:val="00492B9E"/>
    <w:rsid w:val="00496A4D"/>
    <w:rsid w:val="004976E4"/>
    <w:rsid w:val="004A1A90"/>
    <w:rsid w:val="004C0EF4"/>
    <w:rsid w:val="004E7C77"/>
    <w:rsid w:val="004F343B"/>
    <w:rsid w:val="004F4A83"/>
    <w:rsid w:val="00515AAE"/>
    <w:rsid w:val="005363AA"/>
    <w:rsid w:val="005604DB"/>
    <w:rsid w:val="00576398"/>
    <w:rsid w:val="005B4749"/>
    <w:rsid w:val="005D492B"/>
    <w:rsid w:val="00640332"/>
    <w:rsid w:val="00653DCF"/>
    <w:rsid w:val="006C1E63"/>
    <w:rsid w:val="0071329F"/>
    <w:rsid w:val="0071503A"/>
    <w:rsid w:val="00733CEC"/>
    <w:rsid w:val="0075505A"/>
    <w:rsid w:val="00770FBF"/>
    <w:rsid w:val="00795594"/>
    <w:rsid w:val="007B72BC"/>
    <w:rsid w:val="007D2A03"/>
    <w:rsid w:val="007E20AD"/>
    <w:rsid w:val="007F1F79"/>
    <w:rsid w:val="00832585"/>
    <w:rsid w:val="00857D6A"/>
    <w:rsid w:val="00864F49"/>
    <w:rsid w:val="00876516"/>
    <w:rsid w:val="00876FB2"/>
    <w:rsid w:val="008B4E2A"/>
    <w:rsid w:val="00907F0D"/>
    <w:rsid w:val="0092033C"/>
    <w:rsid w:val="00920FF3"/>
    <w:rsid w:val="00927985"/>
    <w:rsid w:val="0093135B"/>
    <w:rsid w:val="009521D1"/>
    <w:rsid w:val="009618ED"/>
    <w:rsid w:val="0097180E"/>
    <w:rsid w:val="00974F11"/>
    <w:rsid w:val="009855A1"/>
    <w:rsid w:val="009A073D"/>
    <w:rsid w:val="009E2670"/>
    <w:rsid w:val="00A31B23"/>
    <w:rsid w:val="00A74B9A"/>
    <w:rsid w:val="00A94597"/>
    <w:rsid w:val="00AA3016"/>
    <w:rsid w:val="00AC0C76"/>
    <w:rsid w:val="00AC5C66"/>
    <w:rsid w:val="00AE4D06"/>
    <w:rsid w:val="00AF1F0A"/>
    <w:rsid w:val="00AF765C"/>
    <w:rsid w:val="00B17080"/>
    <w:rsid w:val="00B31D7B"/>
    <w:rsid w:val="00B75933"/>
    <w:rsid w:val="00B76B78"/>
    <w:rsid w:val="00BE20D2"/>
    <w:rsid w:val="00BF4BED"/>
    <w:rsid w:val="00C20895"/>
    <w:rsid w:val="00C42029"/>
    <w:rsid w:val="00C47E42"/>
    <w:rsid w:val="00C63E57"/>
    <w:rsid w:val="00C87745"/>
    <w:rsid w:val="00CA108C"/>
    <w:rsid w:val="00CB39AE"/>
    <w:rsid w:val="00CF19A5"/>
    <w:rsid w:val="00D14FCA"/>
    <w:rsid w:val="00D45DB4"/>
    <w:rsid w:val="00D748EE"/>
    <w:rsid w:val="00DB1CBC"/>
    <w:rsid w:val="00DF6698"/>
    <w:rsid w:val="00E433BF"/>
    <w:rsid w:val="00E5095C"/>
    <w:rsid w:val="00E74399"/>
    <w:rsid w:val="00E93034"/>
    <w:rsid w:val="00E94823"/>
    <w:rsid w:val="00EA0303"/>
    <w:rsid w:val="00ED6927"/>
    <w:rsid w:val="00FC76E5"/>
    <w:rsid w:val="00FD299F"/>
    <w:rsid w:val="00FE1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05CD5"/>
  <w15:chartTrackingRefBased/>
  <w15:docId w15:val="{2AC9F482-7FD9-5A4B-B2EB-6D13500EF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7EF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F7EF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172994">
      <w:bodyDiv w:val="1"/>
      <w:marLeft w:val="0"/>
      <w:marRight w:val="0"/>
      <w:marTop w:val="0"/>
      <w:marBottom w:val="0"/>
      <w:divBdr>
        <w:top w:val="none" w:sz="0" w:space="0" w:color="auto"/>
        <w:left w:val="none" w:sz="0" w:space="0" w:color="auto"/>
        <w:bottom w:val="none" w:sz="0" w:space="0" w:color="auto"/>
        <w:right w:val="none" w:sz="0" w:space="0" w:color="auto"/>
      </w:divBdr>
      <w:divsChild>
        <w:div w:id="323120127">
          <w:marLeft w:val="0"/>
          <w:marRight w:val="0"/>
          <w:marTop w:val="0"/>
          <w:marBottom w:val="0"/>
          <w:divBdr>
            <w:top w:val="none" w:sz="0" w:space="0" w:color="auto"/>
            <w:left w:val="none" w:sz="0" w:space="0" w:color="auto"/>
            <w:bottom w:val="none" w:sz="0" w:space="0" w:color="auto"/>
            <w:right w:val="none" w:sz="0" w:space="0" w:color="auto"/>
          </w:divBdr>
        </w:div>
        <w:div w:id="1211498599">
          <w:marLeft w:val="0"/>
          <w:marRight w:val="0"/>
          <w:marTop w:val="0"/>
          <w:marBottom w:val="0"/>
          <w:divBdr>
            <w:top w:val="none" w:sz="0" w:space="0" w:color="auto"/>
            <w:left w:val="none" w:sz="0" w:space="0" w:color="auto"/>
            <w:bottom w:val="none" w:sz="0" w:space="0" w:color="auto"/>
            <w:right w:val="none" w:sz="0" w:space="0" w:color="auto"/>
          </w:divBdr>
        </w:div>
        <w:div w:id="1902474737">
          <w:marLeft w:val="0"/>
          <w:marRight w:val="0"/>
          <w:marTop w:val="0"/>
          <w:marBottom w:val="0"/>
          <w:divBdr>
            <w:top w:val="none" w:sz="0" w:space="0" w:color="auto"/>
            <w:left w:val="none" w:sz="0" w:space="0" w:color="auto"/>
            <w:bottom w:val="none" w:sz="0" w:space="0" w:color="auto"/>
            <w:right w:val="none" w:sz="0" w:space="0" w:color="auto"/>
          </w:divBdr>
        </w:div>
        <w:div w:id="939490067">
          <w:marLeft w:val="0"/>
          <w:marRight w:val="0"/>
          <w:marTop w:val="0"/>
          <w:marBottom w:val="0"/>
          <w:divBdr>
            <w:top w:val="none" w:sz="0" w:space="0" w:color="auto"/>
            <w:left w:val="none" w:sz="0" w:space="0" w:color="auto"/>
            <w:bottom w:val="none" w:sz="0" w:space="0" w:color="auto"/>
            <w:right w:val="none" w:sz="0" w:space="0" w:color="auto"/>
          </w:divBdr>
        </w:div>
        <w:div w:id="1011293988">
          <w:marLeft w:val="0"/>
          <w:marRight w:val="0"/>
          <w:marTop w:val="0"/>
          <w:marBottom w:val="0"/>
          <w:divBdr>
            <w:top w:val="none" w:sz="0" w:space="0" w:color="auto"/>
            <w:left w:val="none" w:sz="0" w:space="0" w:color="auto"/>
            <w:bottom w:val="none" w:sz="0" w:space="0" w:color="auto"/>
            <w:right w:val="none" w:sz="0" w:space="0" w:color="auto"/>
          </w:divBdr>
        </w:div>
        <w:div w:id="1092093882">
          <w:marLeft w:val="0"/>
          <w:marRight w:val="0"/>
          <w:marTop w:val="0"/>
          <w:marBottom w:val="0"/>
          <w:divBdr>
            <w:top w:val="none" w:sz="0" w:space="0" w:color="auto"/>
            <w:left w:val="none" w:sz="0" w:space="0" w:color="auto"/>
            <w:bottom w:val="none" w:sz="0" w:space="0" w:color="auto"/>
            <w:right w:val="none" w:sz="0" w:space="0" w:color="auto"/>
          </w:divBdr>
        </w:div>
        <w:div w:id="100029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860</Words>
  <Characters>4904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Faulkner</dc:creator>
  <cp:keywords/>
  <dc:description/>
  <cp:lastModifiedBy>Paul Faulkner</cp:lastModifiedBy>
  <cp:revision>3</cp:revision>
  <cp:lastPrinted>2020-10-07T21:43:00Z</cp:lastPrinted>
  <dcterms:created xsi:type="dcterms:W3CDTF">2020-12-23T12:47:00Z</dcterms:created>
  <dcterms:modified xsi:type="dcterms:W3CDTF">2020-12-23T13:48:00Z</dcterms:modified>
</cp:coreProperties>
</file>