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510CB4" w14:textId="02612A37" w:rsidR="00706CA5" w:rsidRPr="00ED52F4" w:rsidRDefault="00706CA5" w:rsidP="00706CA5">
      <w:pPr>
        <w:spacing w:line="480" w:lineRule="auto"/>
        <w:jc w:val="both"/>
        <w:rPr>
          <w:rFonts w:cs="Times New Roman"/>
          <w:b/>
          <w:lang w:val="en-US"/>
        </w:rPr>
      </w:pPr>
      <w:r w:rsidRPr="00ED52F4">
        <w:rPr>
          <w:rFonts w:cs="Times New Roman"/>
          <w:b/>
          <w:lang w:val="en-US"/>
        </w:rPr>
        <w:t>Appendix 1</w:t>
      </w:r>
    </w:p>
    <w:p w14:paraId="03D08030" w14:textId="77777777" w:rsidR="00706CA5" w:rsidRPr="00ED52F4" w:rsidRDefault="00706CA5" w:rsidP="00706CA5">
      <w:pPr>
        <w:spacing w:line="480" w:lineRule="auto"/>
        <w:jc w:val="both"/>
        <w:rPr>
          <w:rFonts w:cs="Times New Roman"/>
          <w:b/>
          <w:lang w:val="en-US"/>
        </w:rPr>
      </w:pPr>
      <w:r w:rsidRPr="00ED52F4">
        <w:rPr>
          <w:rFonts w:cs="Times New Roman"/>
          <w:b/>
          <w:lang w:val="en-US"/>
        </w:rPr>
        <w:t xml:space="preserve">Recommendations for the SSP process </w:t>
      </w:r>
    </w:p>
    <w:p w14:paraId="70D26F67" w14:textId="77777777" w:rsidR="00706CA5" w:rsidRPr="00ED52F4" w:rsidRDefault="00706CA5" w:rsidP="00706CA5">
      <w:pPr>
        <w:spacing w:line="480" w:lineRule="auto"/>
        <w:jc w:val="both"/>
        <w:rPr>
          <w:rFonts w:cs="Times New Roman"/>
          <w:lang w:val="en-US"/>
        </w:rPr>
      </w:pPr>
      <w:r w:rsidRPr="00ED52F4">
        <w:rPr>
          <w:rFonts w:cs="Times New Roman"/>
          <w:lang w:val="en-US"/>
        </w:rPr>
        <w:t>This section provides suggestions for optimal SSP. As a general rule, researchers should provide as much information as possible, preferably in a separate paragraph in the methods section. In particular, researchers should:</w:t>
      </w:r>
    </w:p>
    <w:p w14:paraId="5408A493"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 xml:space="preserve">Provide all information presented in </w:t>
      </w:r>
      <w:r w:rsidRPr="00ED52F4">
        <w:rPr>
          <w:rFonts w:cs="Times New Roman"/>
          <w:i/>
          <w:lang w:val="en-US"/>
        </w:rPr>
        <w:t>Box 1</w:t>
      </w:r>
      <w:r w:rsidRPr="00ED52F4">
        <w:rPr>
          <w:rFonts w:cs="Times New Roman"/>
          <w:lang w:val="en-US"/>
        </w:rPr>
        <w:t xml:space="preserve"> of the introduction.</w:t>
      </w:r>
    </w:p>
    <w:p w14:paraId="6A9E7371"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 xml:space="preserve">Assure that the specified SSP model fits the planned statistical analysis. For example, do not use </w:t>
      </w:r>
      <w:r w:rsidRPr="00ED52F4">
        <w:rPr>
          <w:rFonts w:cs="Times New Roman"/>
          <w:i/>
          <w:lang w:val="en-US"/>
        </w:rPr>
        <w:t>t</w:t>
      </w:r>
      <w:r w:rsidRPr="00ED52F4">
        <w:rPr>
          <w:rFonts w:cs="Times New Roman"/>
          <w:lang w:val="en-US"/>
        </w:rPr>
        <w:t xml:space="preserve">-tests during SSP if the planned analysis is based on interactions (e.g., ANCOVA or hierarchical models). </w:t>
      </w:r>
    </w:p>
    <w:p w14:paraId="5BBFA04C"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 xml:space="preserve">Specify alpha and beta level, including information on one- or two-sided testing. </w:t>
      </w:r>
    </w:p>
    <w:p w14:paraId="6175732D"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 xml:space="preserve">Provide a clear rationale for the expected treatment effect (preferably based on meta-analytic evidence). </w:t>
      </w:r>
    </w:p>
    <w:p w14:paraId="71D070F1"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 xml:space="preserve">Specify correlation among repeated measures as it influences estimates. Approximations can be found in literature, or can be derived from data sets. Bear in mind that treatment and larger time intervals (e.g. follow-up) will reduce this value. </w:t>
      </w:r>
    </w:p>
    <w:p w14:paraId="6489C775"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 xml:space="preserve">Provide evidence for expected dropout rates - again, preferably on basis of meta-analytic evidence (cf. </w:t>
      </w:r>
      <w:r w:rsidRPr="00ED52F4">
        <w:rPr>
          <w:rFonts w:cs="Times New Roman"/>
          <w:i/>
          <w:lang w:val="en-US"/>
        </w:rPr>
        <w:t>Table 2</w:t>
      </w:r>
      <w:r w:rsidRPr="00ED52F4">
        <w:rPr>
          <w:rFonts w:cs="Times New Roman"/>
          <w:lang w:val="en-US"/>
        </w:rPr>
        <w:t xml:space="preserve">). </w:t>
      </w:r>
    </w:p>
    <w:p w14:paraId="14B5C1BA"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 xml:space="preserve">Bear in mind that you may rely on </w:t>
      </w:r>
      <w:proofErr w:type="spellStart"/>
      <w:r w:rsidRPr="00ED52F4">
        <w:rPr>
          <w:rFonts w:cs="Times New Roman"/>
          <w:lang w:val="en-US"/>
        </w:rPr>
        <w:t>posthoc</w:t>
      </w:r>
      <w:proofErr w:type="spellEnd"/>
      <w:r w:rsidRPr="00ED52F4">
        <w:rPr>
          <w:rFonts w:cs="Times New Roman"/>
          <w:lang w:val="en-US"/>
        </w:rPr>
        <w:t xml:space="preserve"> tests or relevant subgroup analyses. At this, consider their distribution as subgroups will not always be balanced (e.g. gender). Distributions are also relevant across multi-center research sites [43].</w:t>
      </w:r>
    </w:p>
    <w:p w14:paraId="1BD5B777" w14:textId="77777777" w:rsidR="00706CA5" w:rsidRPr="00ED52F4" w:rsidRDefault="00706CA5" w:rsidP="00706CA5">
      <w:pPr>
        <w:pStyle w:val="ListParagraph"/>
        <w:spacing w:line="480" w:lineRule="auto"/>
        <w:jc w:val="both"/>
        <w:rPr>
          <w:rFonts w:cs="Times New Roman"/>
          <w:lang w:val="en-US"/>
        </w:rPr>
      </w:pPr>
    </w:p>
    <w:p w14:paraId="70EC213A" w14:textId="77777777" w:rsidR="00706CA5" w:rsidRPr="00ED52F4" w:rsidRDefault="00706CA5" w:rsidP="00706CA5">
      <w:pPr>
        <w:spacing w:line="480" w:lineRule="auto"/>
        <w:jc w:val="both"/>
        <w:rPr>
          <w:rFonts w:cs="Times New Roman"/>
          <w:b/>
          <w:lang w:val="en-US"/>
        </w:rPr>
      </w:pPr>
      <w:r w:rsidRPr="00ED52F4">
        <w:rPr>
          <w:rFonts w:cs="Times New Roman"/>
          <w:b/>
          <w:lang w:val="en-US"/>
        </w:rPr>
        <w:t xml:space="preserve">Recommendations for efficient SSP </w:t>
      </w:r>
    </w:p>
    <w:p w14:paraId="2DC39579" w14:textId="77777777" w:rsidR="00706CA5" w:rsidRPr="00ED52F4" w:rsidRDefault="00706CA5" w:rsidP="00706CA5">
      <w:pPr>
        <w:spacing w:line="480" w:lineRule="auto"/>
        <w:jc w:val="both"/>
        <w:rPr>
          <w:rFonts w:cs="Times New Roman"/>
          <w:lang w:val="en-US"/>
        </w:rPr>
      </w:pPr>
      <w:r w:rsidRPr="00ED52F4">
        <w:rPr>
          <w:rFonts w:cs="Times New Roman"/>
          <w:lang w:val="en-US"/>
        </w:rPr>
        <w:t>This paragraph provides considerations for the design of future studies. As a general strategy based on the present evaluation, more emphasis should be placed on intense assessment as it yields the advantages of increased statistical power together with the choice of studying therapy process in more detail:</w:t>
      </w:r>
    </w:p>
    <w:p w14:paraId="434A0FE9"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lastRenderedPageBreak/>
        <w:t>Regard study context in SSP. For example, larger effects can arguably be found in efficacy compared to effectiveness trials [33]. Conversely, be aware of risks when assessing effect size through pilot studies [34].</w:t>
      </w:r>
    </w:p>
    <w:p w14:paraId="0B512607"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Whenever study context restricts achievable sample size for addressing important research questions, high quality study design (e.g. high treatment fidelity, additional process analyses) together with a neat pre-registration process can be help to demonstrate rigor.</w:t>
      </w:r>
    </w:p>
    <w:p w14:paraId="432C9FDA"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 xml:space="preserve">In times of increased automatization, consider intense assessment during the active period of a trial to booster power. While occasionally added assessments lead to marginal improvements, intense assessment will result in considerable reductions of required sample size [23]. </w:t>
      </w:r>
    </w:p>
    <w:p w14:paraId="21FD48B6"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 xml:space="preserve">Do not substitute complex study designs by simple statistical models in SSP - e.g. do not calculate </w:t>
      </w:r>
      <w:r w:rsidRPr="00ED52F4">
        <w:rPr>
          <w:rFonts w:cs="Times New Roman"/>
          <w:i/>
          <w:lang w:val="en-US"/>
        </w:rPr>
        <w:t>t</w:t>
      </w:r>
      <w:r w:rsidRPr="00ED52F4">
        <w:rPr>
          <w:rFonts w:cs="Times New Roman"/>
          <w:lang w:val="en-US"/>
        </w:rPr>
        <w:t xml:space="preserve">-tests when the study design is factorial as you might sacrifice the advantage of repeated assessments. Instructions for more complex models (e.g. hierarchical models) can be found online [37]. Online courses for complex SSP are available (e.g. coursera.org). </w:t>
      </w:r>
    </w:p>
    <w:p w14:paraId="0CDB31C8"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Be aware of adaptive clinical trial designs that allow sample size reassessment [38-41]. Describe the termination mechanism in detail during trial pre-registration. Bayesian approaches exist as well.</w:t>
      </w:r>
    </w:p>
    <w:p w14:paraId="501179F5"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Some SSP calculators offer the choice between specifying “full model” or “interaction only”. Several blogs explain their difference in an easy to understand way [42]. Interaction only can sometimes result in too low estimates. For comparison, power curves based on computer simulation are provided in Appendix 1, and power tables for RCTs can be found online.</w:t>
      </w:r>
    </w:p>
    <w:p w14:paraId="49807D9A" w14:textId="77777777" w:rsidR="00706CA5" w:rsidRPr="00ED52F4" w:rsidRDefault="00706CA5" w:rsidP="00706CA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480" w:lineRule="auto"/>
        <w:jc w:val="both"/>
        <w:rPr>
          <w:rFonts w:cs="Times New Roman"/>
          <w:lang w:val="en-US"/>
        </w:rPr>
      </w:pPr>
      <w:r w:rsidRPr="00ED52F4">
        <w:rPr>
          <w:rFonts w:cs="Times New Roman"/>
          <w:lang w:val="en-US"/>
        </w:rPr>
        <w:t>Consider general strategies to optimize power, such as preventing dropout, maintaining program integrity, covariate adjustment (e.g. baseline), or imputation techniques.</w:t>
      </w:r>
    </w:p>
    <w:p w14:paraId="75D191BA" w14:textId="77777777" w:rsidR="00706CA5" w:rsidRPr="00ED52F4" w:rsidRDefault="00706CA5">
      <w:pPr>
        <w:suppressAutoHyphens w:val="0"/>
        <w:rPr>
          <w:smallCaps/>
          <w:sz w:val="36"/>
          <w:szCs w:val="40"/>
          <w:lang w:val="en-GB"/>
        </w:rPr>
      </w:pPr>
      <w:r w:rsidRPr="00ED52F4">
        <w:rPr>
          <w:smallCaps/>
          <w:sz w:val="36"/>
          <w:szCs w:val="40"/>
          <w:lang w:val="en-GB"/>
        </w:rPr>
        <w:br w:type="page"/>
      </w:r>
    </w:p>
    <w:p w14:paraId="4F7DD62E" w14:textId="7E935930" w:rsidR="00E02D6F" w:rsidRPr="00ED52F4" w:rsidRDefault="001E1A33">
      <w:pPr>
        <w:jc w:val="center"/>
        <w:rPr>
          <w:sz w:val="22"/>
        </w:rPr>
      </w:pPr>
      <w:r w:rsidRPr="00ED52F4">
        <w:rPr>
          <w:smallCaps/>
          <w:sz w:val="36"/>
          <w:szCs w:val="40"/>
        </w:rPr>
        <w:lastRenderedPageBreak/>
        <w:t>Rating</w:t>
      </w:r>
    </w:p>
    <w:p w14:paraId="298E7954" w14:textId="77777777" w:rsidR="00975577" w:rsidRPr="00ED52F4" w:rsidRDefault="00975577">
      <w:pPr>
        <w:jc w:val="center"/>
        <w:rPr>
          <w:smallCaps/>
          <w:sz w:val="36"/>
          <w:szCs w:val="40"/>
        </w:rPr>
      </w:pPr>
    </w:p>
    <w:p w14:paraId="59D16474" w14:textId="77777777" w:rsidR="00975577" w:rsidRPr="00ED52F4" w:rsidRDefault="00975577">
      <w:pPr>
        <w:rPr>
          <w:smallCaps/>
          <w:sz w:val="36"/>
          <w:szCs w:val="40"/>
        </w:rPr>
      </w:pPr>
    </w:p>
    <w:tbl>
      <w:tblPr>
        <w:tblW w:w="96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820"/>
      </w:tblGrid>
      <w:tr w:rsidR="00975577" w:rsidRPr="00ED52F4" w14:paraId="79161091" w14:textId="77777777" w:rsidTr="00456E36">
        <w:trPr>
          <w:trHeight w:val="1114"/>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CBDB5AB" w14:textId="14894D3C" w:rsidR="00975577" w:rsidRPr="00ED52F4" w:rsidRDefault="00280D7E" w:rsidP="001E1A33">
            <w:pPr>
              <w:pStyle w:val="Tabelleninhalt"/>
              <w:numPr>
                <w:ilvl w:val="0"/>
                <w:numId w:val="3"/>
              </w:numPr>
              <w:rPr>
                <w:sz w:val="22"/>
              </w:rPr>
            </w:pPr>
            <w:r w:rsidRPr="00ED52F4">
              <w:rPr>
                <w:sz w:val="22"/>
              </w:rPr>
              <w:t>Design</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4EF2647" w14:textId="77777777" w:rsidR="00975577" w:rsidRPr="00ED52F4" w:rsidRDefault="003C0936">
            <w:pPr>
              <w:pStyle w:val="Tabelleninhalt"/>
              <w:rPr>
                <w:sz w:val="22"/>
                <w:lang w:val="en-US"/>
              </w:rPr>
            </w:pPr>
            <w:r w:rsidRPr="00ED52F4">
              <w:rPr>
                <w:sz w:val="22"/>
                <w:lang w:val="en-US"/>
              </w:rPr>
              <w:t>1 = a vs b</w:t>
            </w:r>
          </w:p>
          <w:p w14:paraId="459C64BC" w14:textId="77777777" w:rsidR="00975577" w:rsidRPr="00ED52F4" w:rsidRDefault="003C0936">
            <w:pPr>
              <w:pStyle w:val="Tabelleninhalt"/>
              <w:rPr>
                <w:sz w:val="22"/>
                <w:lang w:val="en-US"/>
              </w:rPr>
            </w:pPr>
            <w:r w:rsidRPr="00ED52F4">
              <w:rPr>
                <w:sz w:val="22"/>
                <w:lang w:val="en-US"/>
              </w:rPr>
              <w:t>2 = a vs b vs c</w:t>
            </w:r>
          </w:p>
          <w:p w14:paraId="47651A71" w14:textId="417C7E3E" w:rsidR="00975577" w:rsidRPr="00ED52F4" w:rsidRDefault="003C0936" w:rsidP="00456E36">
            <w:pPr>
              <w:pStyle w:val="Tabelleninhalt"/>
              <w:rPr>
                <w:sz w:val="22"/>
                <w:lang w:val="en-GB"/>
              </w:rPr>
            </w:pPr>
            <w:r w:rsidRPr="00ED52F4">
              <w:rPr>
                <w:sz w:val="22"/>
                <w:lang w:val="en-GB"/>
              </w:rPr>
              <w:t xml:space="preserve">3 = </w:t>
            </w:r>
            <w:r w:rsidRPr="00ED52F4">
              <w:rPr>
                <w:rFonts w:ascii="Calibri" w:eastAsia="Calibri" w:hAnsi="Calibri" w:cs="Calibri"/>
                <w:sz w:val="22"/>
                <w:lang w:val="en-GB"/>
              </w:rPr>
              <w:t>a vs b vs c vs d</w:t>
            </w:r>
          </w:p>
          <w:p w14:paraId="0CB439B2" w14:textId="7FB8A16E" w:rsidR="00975577" w:rsidRPr="00ED52F4" w:rsidRDefault="00456E36" w:rsidP="00280D7E">
            <w:pPr>
              <w:rPr>
                <w:sz w:val="22"/>
                <w:lang w:val="en-GB"/>
              </w:rPr>
            </w:pPr>
            <w:r w:rsidRPr="00ED52F4">
              <w:rPr>
                <w:rFonts w:ascii="Calibri" w:eastAsia="Calibri" w:hAnsi="Calibri" w:cs="Calibri"/>
                <w:sz w:val="22"/>
                <w:lang w:val="en-GB"/>
              </w:rPr>
              <w:t>4</w:t>
            </w:r>
            <w:r w:rsidR="003C0936" w:rsidRPr="00ED52F4">
              <w:rPr>
                <w:sz w:val="22"/>
                <w:lang w:val="en-GB"/>
              </w:rPr>
              <w:t xml:space="preserve"> = </w:t>
            </w:r>
            <w:r w:rsidR="00280D7E" w:rsidRPr="00ED52F4">
              <w:rPr>
                <w:sz w:val="22"/>
                <w:lang w:val="en-GB"/>
              </w:rPr>
              <w:t>else</w:t>
            </w:r>
            <w:r w:rsidR="003C0936" w:rsidRPr="00ED52F4">
              <w:rPr>
                <w:sz w:val="22"/>
                <w:lang w:val="en-GB"/>
              </w:rPr>
              <w:t>:___</w:t>
            </w:r>
          </w:p>
        </w:tc>
      </w:tr>
      <w:tr w:rsidR="00975577" w:rsidRPr="00ED52F4" w14:paraId="3422D630" w14:textId="77777777" w:rsidTr="003A34B5">
        <w:trPr>
          <w:trHeight w:val="1487"/>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E867FA3" w14:textId="1805F665" w:rsidR="006F171D" w:rsidRPr="00ED52F4" w:rsidRDefault="00280D7E" w:rsidP="001E1A33">
            <w:pPr>
              <w:pStyle w:val="Tabelleninhalt"/>
              <w:numPr>
                <w:ilvl w:val="0"/>
                <w:numId w:val="3"/>
              </w:numPr>
              <w:rPr>
                <w:sz w:val="22"/>
              </w:rPr>
            </w:pPr>
            <w:r w:rsidRPr="00ED52F4">
              <w:rPr>
                <w:sz w:val="22"/>
              </w:rPr>
              <w:t xml:space="preserve">Comparisson </w:t>
            </w:r>
          </w:p>
          <w:p w14:paraId="68DB7EE2" w14:textId="77777777" w:rsidR="006F171D" w:rsidRPr="00ED52F4" w:rsidRDefault="006F171D">
            <w:pPr>
              <w:pStyle w:val="Tabelleninhalt"/>
              <w:rPr>
                <w:sz w:val="22"/>
              </w:rPr>
            </w:pPr>
          </w:p>
          <w:p w14:paraId="479F88CE" w14:textId="37CA3C69" w:rsidR="00975577" w:rsidRPr="00ED52F4" w:rsidRDefault="00975577">
            <w:pPr>
              <w:pStyle w:val="Tabelleninhalt"/>
              <w:rPr>
                <w:sz w:val="22"/>
              </w:rPr>
            </w:pP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E502578" w14:textId="71B3078B" w:rsidR="00975577" w:rsidRPr="00ED52F4" w:rsidRDefault="003C0936">
            <w:pPr>
              <w:pStyle w:val="Tabelleninhalt"/>
              <w:rPr>
                <w:sz w:val="22"/>
                <w:lang w:val="en-GB"/>
              </w:rPr>
            </w:pPr>
            <w:r w:rsidRPr="00ED52F4">
              <w:rPr>
                <w:sz w:val="22"/>
                <w:lang w:val="en-GB"/>
              </w:rPr>
              <w:t xml:space="preserve">1 = </w:t>
            </w:r>
            <w:r w:rsidR="00280D7E" w:rsidRPr="00ED52F4">
              <w:rPr>
                <w:sz w:val="22"/>
                <w:lang w:val="en-GB"/>
              </w:rPr>
              <w:t>active</w:t>
            </w:r>
            <w:r w:rsidR="001D1256" w:rsidRPr="00ED52F4">
              <w:rPr>
                <w:sz w:val="22"/>
                <w:lang w:val="en-GB"/>
              </w:rPr>
              <w:t xml:space="preserve"> (</w:t>
            </w:r>
            <w:r w:rsidR="00280D7E" w:rsidRPr="00ED52F4">
              <w:rPr>
                <w:sz w:val="22"/>
                <w:lang w:val="en-GB"/>
              </w:rPr>
              <w:t>unspecified</w:t>
            </w:r>
            <w:r w:rsidR="001D1256" w:rsidRPr="00ED52F4">
              <w:rPr>
                <w:sz w:val="22"/>
                <w:lang w:val="en-GB"/>
              </w:rPr>
              <w:t>)</w:t>
            </w:r>
          </w:p>
          <w:p w14:paraId="73BA563D" w14:textId="05D2BD49" w:rsidR="00975577" w:rsidRPr="00ED52F4" w:rsidRDefault="003C0936">
            <w:pPr>
              <w:pStyle w:val="Tabelleninhalt"/>
              <w:rPr>
                <w:sz w:val="22"/>
                <w:lang w:val="en-GB"/>
              </w:rPr>
            </w:pPr>
            <w:r w:rsidRPr="00ED52F4">
              <w:rPr>
                <w:sz w:val="22"/>
                <w:lang w:val="en-GB"/>
              </w:rPr>
              <w:t xml:space="preserve">2 = </w:t>
            </w:r>
            <w:r w:rsidR="00280D7E" w:rsidRPr="00ED52F4">
              <w:rPr>
                <w:sz w:val="22"/>
                <w:lang w:val="en-GB"/>
              </w:rPr>
              <w:t xml:space="preserve">active </w:t>
            </w:r>
            <w:r w:rsidRPr="00ED52F4">
              <w:rPr>
                <w:sz w:val="22"/>
                <w:lang w:val="en-GB"/>
              </w:rPr>
              <w:t>(</w:t>
            </w:r>
            <w:r w:rsidR="00280D7E" w:rsidRPr="00ED52F4">
              <w:rPr>
                <w:sz w:val="22"/>
                <w:lang w:val="en-GB"/>
              </w:rPr>
              <w:t>care / t</w:t>
            </w:r>
            <w:r w:rsidR="001D1256" w:rsidRPr="00ED52F4">
              <w:rPr>
                <w:sz w:val="22"/>
                <w:lang w:val="en-GB"/>
              </w:rPr>
              <w:t xml:space="preserve">reatment </w:t>
            </w:r>
            <w:r w:rsidRPr="00ED52F4">
              <w:rPr>
                <w:sz w:val="22"/>
                <w:lang w:val="en-GB"/>
              </w:rPr>
              <w:t>as usual)</w:t>
            </w:r>
          </w:p>
          <w:p w14:paraId="4E8B66B5" w14:textId="60E229B4" w:rsidR="00975577" w:rsidRPr="00ED52F4" w:rsidRDefault="003C0936">
            <w:pPr>
              <w:rPr>
                <w:sz w:val="22"/>
                <w:lang w:val="en-GB"/>
              </w:rPr>
            </w:pPr>
            <w:r w:rsidRPr="00ED52F4">
              <w:rPr>
                <w:sz w:val="22"/>
                <w:lang w:val="en-GB"/>
              </w:rPr>
              <w:t xml:space="preserve">3 = </w:t>
            </w:r>
            <w:r w:rsidR="00280D7E" w:rsidRPr="00ED52F4">
              <w:rPr>
                <w:sz w:val="22"/>
                <w:lang w:val="en-GB"/>
              </w:rPr>
              <w:t xml:space="preserve">active </w:t>
            </w:r>
            <w:r w:rsidRPr="00ED52F4">
              <w:rPr>
                <w:sz w:val="22"/>
                <w:lang w:val="en-GB"/>
              </w:rPr>
              <w:t>(minimal support)</w:t>
            </w:r>
          </w:p>
          <w:p w14:paraId="193D4E6D" w14:textId="19B07DD3" w:rsidR="00975577" w:rsidRPr="00ED52F4" w:rsidRDefault="003C0936">
            <w:pPr>
              <w:rPr>
                <w:sz w:val="22"/>
                <w:lang w:val="en-GB"/>
              </w:rPr>
            </w:pPr>
            <w:r w:rsidRPr="00ED52F4">
              <w:rPr>
                <w:sz w:val="22"/>
                <w:lang w:val="en-GB"/>
              </w:rPr>
              <w:t>5 = passiv</w:t>
            </w:r>
            <w:r w:rsidR="00280D7E" w:rsidRPr="00ED52F4">
              <w:rPr>
                <w:sz w:val="22"/>
                <w:lang w:val="en-GB"/>
              </w:rPr>
              <w:t>e</w:t>
            </w:r>
            <w:r w:rsidR="001D1256" w:rsidRPr="00ED52F4">
              <w:rPr>
                <w:sz w:val="22"/>
                <w:lang w:val="en-GB"/>
              </w:rPr>
              <w:t xml:space="preserve"> (</w:t>
            </w:r>
            <w:r w:rsidR="00280D7E" w:rsidRPr="00ED52F4">
              <w:rPr>
                <w:sz w:val="22"/>
                <w:lang w:val="en-GB"/>
              </w:rPr>
              <w:t>unspecified</w:t>
            </w:r>
            <w:r w:rsidR="001D1256" w:rsidRPr="00ED52F4">
              <w:rPr>
                <w:sz w:val="22"/>
                <w:lang w:val="en-GB"/>
              </w:rPr>
              <w:t>)</w:t>
            </w:r>
          </w:p>
          <w:p w14:paraId="5EDBDFBA" w14:textId="4A29E78A" w:rsidR="00975577" w:rsidRPr="00ED52F4" w:rsidRDefault="003C0936">
            <w:pPr>
              <w:rPr>
                <w:sz w:val="22"/>
              </w:rPr>
            </w:pPr>
            <w:r w:rsidRPr="00ED52F4">
              <w:rPr>
                <w:sz w:val="22"/>
              </w:rPr>
              <w:t>6 = passiv</w:t>
            </w:r>
            <w:r w:rsidR="00280D7E" w:rsidRPr="00ED52F4">
              <w:rPr>
                <w:sz w:val="22"/>
              </w:rPr>
              <w:t>e</w:t>
            </w:r>
            <w:r w:rsidR="001D1256" w:rsidRPr="00ED52F4">
              <w:rPr>
                <w:sz w:val="22"/>
              </w:rPr>
              <w:t xml:space="preserve"> (</w:t>
            </w:r>
            <w:r w:rsidR="00280D7E" w:rsidRPr="00ED52F4">
              <w:rPr>
                <w:sz w:val="22"/>
              </w:rPr>
              <w:t>waitlist</w:t>
            </w:r>
            <w:r w:rsidR="001D1256" w:rsidRPr="00ED52F4">
              <w:rPr>
                <w:sz w:val="22"/>
              </w:rPr>
              <w:t>)</w:t>
            </w:r>
          </w:p>
        </w:tc>
      </w:tr>
      <w:tr w:rsidR="00975577" w:rsidRPr="00ED52F4" w14:paraId="2323B768" w14:textId="77777777">
        <w:trPr>
          <w:trHeight w:val="2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77FAD54" w14:textId="2566B560" w:rsidR="00975577" w:rsidRPr="00ED52F4" w:rsidRDefault="00280D7E" w:rsidP="001E1A33">
            <w:pPr>
              <w:pStyle w:val="Tabelleninhalt"/>
              <w:numPr>
                <w:ilvl w:val="0"/>
                <w:numId w:val="3"/>
              </w:numPr>
              <w:rPr>
                <w:sz w:val="22"/>
              </w:rPr>
            </w:pPr>
            <w:r w:rsidRPr="00ED52F4">
              <w:rPr>
                <w:sz w:val="22"/>
              </w:rPr>
              <w:t>Sample size</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8294AB4" w14:textId="294E9988" w:rsidR="00975577" w:rsidRPr="00ED52F4" w:rsidRDefault="00AF052F" w:rsidP="00280D7E">
            <w:pPr>
              <w:pStyle w:val="Tabelleninhalt"/>
              <w:rPr>
                <w:sz w:val="22"/>
                <w:lang w:val="en-GB"/>
              </w:rPr>
            </w:pPr>
            <w:r w:rsidRPr="00ED52F4">
              <w:rPr>
                <w:sz w:val="22"/>
                <w:lang w:val="en-GB"/>
              </w:rPr>
              <w:br/>
              <w:t>(</w:t>
            </w:r>
            <w:r w:rsidR="00280D7E" w:rsidRPr="00ED52F4">
              <w:rPr>
                <w:sz w:val="22"/>
                <w:lang w:val="en-GB"/>
              </w:rPr>
              <w:t>according to</w:t>
            </w:r>
            <w:r w:rsidRPr="00ED52F4">
              <w:rPr>
                <w:sz w:val="22"/>
                <w:lang w:val="en-GB"/>
              </w:rPr>
              <w:t xml:space="preserve"> </w:t>
            </w:r>
            <w:r w:rsidR="00280D7E" w:rsidRPr="00ED52F4">
              <w:rPr>
                <w:sz w:val="22"/>
                <w:lang w:val="en-GB"/>
              </w:rPr>
              <w:t>CONSORT flow-c</w:t>
            </w:r>
            <w:r w:rsidRPr="00ED52F4">
              <w:rPr>
                <w:sz w:val="22"/>
                <w:lang w:val="en-GB"/>
              </w:rPr>
              <w:t>hart)</w:t>
            </w:r>
          </w:p>
        </w:tc>
      </w:tr>
      <w:tr w:rsidR="00975577" w:rsidRPr="00ED52F4" w14:paraId="3A906F7D" w14:textId="77777777">
        <w:trPr>
          <w:trHeight w:val="8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C3FC65B" w14:textId="34008AE7" w:rsidR="00975577" w:rsidRPr="00ED52F4" w:rsidRDefault="003C0936" w:rsidP="001E1A33">
            <w:pPr>
              <w:pStyle w:val="Tabelleninhalt"/>
              <w:numPr>
                <w:ilvl w:val="0"/>
                <w:numId w:val="3"/>
              </w:numPr>
              <w:rPr>
                <w:sz w:val="22"/>
                <w:lang w:val="en-GB"/>
              </w:rPr>
            </w:pPr>
            <w:r w:rsidRPr="00ED52F4">
              <w:rPr>
                <w:sz w:val="22"/>
                <w:lang w:val="en-GB"/>
              </w:rPr>
              <w:t xml:space="preserve">A priori </w:t>
            </w:r>
            <w:r w:rsidR="00280D7E" w:rsidRPr="00ED52F4">
              <w:rPr>
                <w:sz w:val="22"/>
                <w:lang w:val="en-GB"/>
              </w:rPr>
              <w:t>power analysis provided?</w:t>
            </w:r>
            <w:r w:rsidR="00AF052F" w:rsidRPr="00ED52F4">
              <w:rPr>
                <w:sz w:val="22"/>
                <w:lang w:val="en-GB"/>
              </w:rPr>
              <w:br/>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5A96607" w14:textId="45757F68" w:rsidR="00975577" w:rsidRPr="00ED52F4" w:rsidRDefault="003C0936">
            <w:pPr>
              <w:pStyle w:val="Tabelleninhalt"/>
              <w:rPr>
                <w:sz w:val="22"/>
                <w:lang w:val="en-GB"/>
              </w:rPr>
            </w:pPr>
            <w:r w:rsidRPr="00ED52F4">
              <w:rPr>
                <w:sz w:val="22"/>
                <w:lang w:val="en-GB"/>
              </w:rPr>
              <w:t xml:space="preserve">1 = </w:t>
            </w:r>
            <w:r w:rsidR="00280D7E" w:rsidRPr="00ED52F4">
              <w:rPr>
                <w:sz w:val="22"/>
                <w:lang w:val="en-GB"/>
              </w:rPr>
              <w:t xml:space="preserve">yes, </w:t>
            </w:r>
            <w:r w:rsidR="001E1A33" w:rsidRPr="00ED52F4">
              <w:rPr>
                <w:sz w:val="22"/>
                <w:lang w:val="en-GB"/>
              </w:rPr>
              <w:t>separate</w:t>
            </w:r>
            <w:r w:rsidR="00280D7E" w:rsidRPr="00ED52F4">
              <w:rPr>
                <w:sz w:val="22"/>
                <w:lang w:val="en-GB"/>
              </w:rPr>
              <w:t xml:space="preserve"> paragraph</w:t>
            </w:r>
          </w:p>
          <w:p w14:paraId="6EBBF3A1" w14:textId="6FA78954" w:rsidR="00AF052F" w:rsidRPr="00ED52F4" w:rsidRDefault="00AF052F">
            <w:pPr>
              <w:pStyle w:val="Tabelleninhalt"/>
              <w:rPr>
                <w:sz w:val="22"/>
                <w:lang w:val="en-GB"/>
              </w:rPr>
            </w:pPr>
            <w:r w:rsidRPr="00ED52F4">
              <w:rPr>
                <w:sz w:val="22"/>
                <w:lang w:val="en-GB"/>
              </w:rPr>
              <w:t xml:space="preserve">2 = </w:t>
            </w:r>
            <w:r w:rsidR="00280D7E" w:rsidRPr="00ED52F4">
              <w:rPr>
                <w:sz w:val="22"/>
                <w:lang w:val="en-GB"/>
              </w:rPr>
              <w:t xml:space="preserve">yes, provided </w:t>
            </w:r>
          </w:p>
          <w:p w14:paraId="7B31A4E9" w14:textId="4CC44914" w:rsidR="00975577" w:rsidRPr="00ED52F4" w:rsidRDefault="00AF052F">
            <w:pPr>
              <w:pStyle w:val="Tabelleninhalt"/>
              <w:rPr>
                <w:sz w:val="22"/>
                <w:lang w:val="en-GB"/>
              </w:rPr>
            </w:pPr>
            <w:r w:rsidRPr="00ED52F4">
              <w:rPr>
                <w:sz w:val="22"/>
                <w:lang w:val="en-GB"/>
              </w:rPr>
              <w:t>3</w:t>
            </w:r>
            <w:r w:rsidR="00280D7E" w:rsidRPr="00ED52F4">
              <w:rPr>
                <w:sz w:val="22"/>
                <w:lang w:val="en-GB"/>
              </w:rPr>
              <w:t xml:space="preserve"> = no</w:t>
            </w:r>
          </w:p>
        </w:tc>
      </w:tr>
      <w:tr w:rsidR="00CB6347" w:rsidRPr="00ED52F4" w14:paraId="54A119F2" w14:textId="77777777" w:rsidTr="006D3F70">
        <w:trPr>
          <w:trHeight w:val="341"/>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71C5BF0" w14:textId="6D9403BB" w:rsidR="00CB6347" w:rsidRPr="00ED52F4" w:rsidRDefault="00280D7E" w:rsidP="001E1A33">
            <w:pPr>
              <w:pStyle w:val="Tabelleninhalt"/>
              <w:numPr>
                <w:ilvl w:val="0"/>
                <w:numId w:val="3"/>
              </w:numPr>
              <w:rPr>
                <w:sz w:val="22"/>
                <w:lang w:val="en-US"/>
              </w:rPr>
            </w:pPr>
            <w:r w:rsidRPr="00ED52F4">
              <w:rPr>
                <w:sz w:val="22"/>
                <w:lang w:val="en-US"/>
              </w:rPr>
              <w:t>Comments</w:t>
            </w:r>
            <w:r w:rsidR="001E1A33" w:rsidRPr="00ED52F4">
              <w:rPr>
                <w:sz w:val="22"/>
                <w:lang w:val="en-US"/>
              </w:rPr>
              <w:t>1</w:t>
            </w:r>
            <w:r w:rsidR="00CB6347" w:rsidRPr="00ED52F4">
              <w:rPr>
                <w:sz w:val="22"/>
                <w:lang w:val="en-US"/>
              </w:rPr>
              <w:t>:</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5FFE280" w14:textId="77777777" w:rsidR="00CB6347" w:rsidRPr="00ED52F4" w:rsidRDefault="00CB6347" w:rsidP="006D3F70">
            <w:pPr>
              <w:pStyle w:val="Tabelleninhalt"/>
              <w:rPr>
                <w:sz w:val="22"/>
              </w:rPr>
            </w:pPr>
          </w:p>
        </w:tc>
      </w:tr>
      <w:tr w:rsidR="00AA772C" w:rsidRPr="00ED52F4" w14:paraId="1A7C4453" w14:textId="77777777">
        <w:trPr>
          <w:trHeight w:val="8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168529B" w14:textId="742093F9" w:rsidR="00AA772C" w:rsidRPr="00ED52F4" w:rsidRDefault="00280D7E" w:rsidP="001E1A33">
            <w:pPr>
              <w:pStyle w:val="Tabelleninhalt"/>
              <w:numPr>
                <w:ilvl w:val="0"/>
                <w:numId w:val="3"/>
              </w:numPr>
              <w:rPr>
                <w:sz w:val="22"/>
              </w:rPr>
            </w:pPr>
            <w:r w:rsidRPr="00ED52F4">
              <w:rPr>
                <w:sz w:val="22"/>
              </w:rPr>
              <w:t>S</w:t>
            </w:r>
            <w:r w:rsidR="008A362A" w:rsidRPr="00ED52F4">
              <w:rPr>
                <w:sz w:val="22"/>
              </w:rPr>
              <w:t>tudy context?</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9E47CB4" w14:textId="18E548C6" w:rsidR="00AA772C" w:rsidRPr="00ED52F4" w:rsidRDefault="00AA772C">
            <w:pPr>
              <w:pStyle w:val="Tabelleninhalt"/>
              <w:rPr>
                <w:sz w:val="22"/>
              </w:rPr>
            </w:pPr>
            <w:r w:rsidRPr="00ED52F4">
              <w:rPr>
                <w:sz w:val="22"/>
              </w:rPr>
              <w:t xml:space="preserve">1 = </w:t>
            </w:r>
            <w:r w:rsidR="00280D7E" w:rsidRPr="00ED52F4">
              <w:rPr>
                <w:sz w:val="22"/>
              </w:rPr>
              <w:t>e</w:t>
            </w:r>
            <w:r w:rsidRPr="00ED52F4">
              <w:rPr>
                <w:sz w:val="22"/>
              </w:rPr>
              <w:t>ffectiveness study</w:t>
            </w:r>
          </w:p>
          <w:p w14:paraId="1A35BC0F" w14:textId="4F7A7EED" w:rsidR="00AA772C" w:rsidRPr="00ED52F4" w:rsidRDefault="00280D7E">
            <w:pPr>
              <w:pStyle w:val="Tabelleninhalt"/>
              <w:rPr>
                <w:sz w:val="22"/>
              </w:rPr>
            </w:pPr>
            <w:r w:rsidRPr="00ED52F4">
              <w:rPr>
                <w:sz w:val="22"/>
              </w:rPr>
              <w:t>2 = e</w:t>
            </w:r>
            <w:r w:rsidR="00AA772C" w:rsidRPr="00ED52F4">
              <w:rPr>
                <w:sz w:val="22"/>
              </w:rPr>
              <w:t>fficacy study</w:t>
            </w:r>
          </w:p>
        </w:tc>
      </w:tr>
      <w:tr w:rsidR="00AA772C" w:rsidRPr="00ED52F4" w14:paraId="34167718" w14:textId="77777777" w:rsidTr="006D3F70">
        <w:trPr>
          <w:trHeight w:val="8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1DF896B" w14:textId="209F3113" w:rsidR="00AA772C" w:rsidRPr="00ED52F4" w:rsidRDefault="00280D7E" w:rsidP="001E1A33">
            <w:pPr>
              <w:pStyle w:val="Tabelleninhalt"/>
              <w:numPr>
                <w:ilvl w:val="0"/>
                <w:numId w:val="3"/>
              </w:numPr>
              <w:rPr>
                <w:sz w:val="22"/>
              </w:rPr>
            </w:pPr>
            <w:r w:rsidRPr="00ED52F4">
              <w:rPr>
                <w:sz w:val="22"/>
              </w:rPr>
              <w:t>Analysis priciple</w:t>
            </w:r>
            <w:r w:rsidR="008A362A" w:rsidRPr="00ED52F4">
              <w:rPr>
                <w:sz w:val="22"/>
              </w:rPr>
              <w:t>?</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CE3A7F0" w14:textId="16C7243A" w:rsidR="00AA772C" w:rsidRPr="00ED52F4" w:rsidRDefault="00AA772C" w:rsidP="006D3F70">
            <w:pPr>
              <w:pStyle w:val="Tabelleninhalt"/>
              <w:rPr>
                <w:sz w:val="22"/>
                <w:lang w:val="en-GB"/>
              </w:rPr>
            </w:pPr>
            <w:r w:rsidRPr="00ED52F4">
              <w:rPr>
                <w:sz w:val="22"/>
                <w:lang w:val="en-GB"/>
              </w:rPr>
              <w:t>1 = ITT</w:t>
            </w:r>
            <w:r w:rsidR="00280D7E" w:rsidRPr="00ED52F4">
              <w:rPr>
                <w:sz w:val="22"/>
                <w:lang w:val="en-GB"/>
              </w:rPr>
              <w:t xml:space="preserve"> (intention-to-treat)</w:t>
            </w:r>
          </w:p>
          <w:p w14:paraId="37A79BF2" w14:textId="665ED30F" w:rsidR="00AA772C" w:rsidRPr="00ED52F4" w:rsidRDefault="00280D7E" w:rsidP="00AA772C">
            <w:pPr>
              <w:pStyle w:val="Tabelleninhalt"/>
              <w:rPr>
                <w:sz w:val="22"/>
                <w:lang w:val="en-GB"/>
              </w:rPr>
            </w:pPr>
            <w:r w:rsidRPr="00ED52F4">
              <w:rPr>
                <w:sz w:val="22"/>
                <w:lang w:val="en-GB"/>
              </w:rPr>
              <w:t xml:space="preserve">2 = </w:t>
            </w:r>
            <w:r w:rsidR="00AA772C" w:rsidRPr="00ED52F4">
              <w:rPr>
                <w:sz w:val="22"/>
                <w:lang w:val="en-GB"/>
              </w:rPr>
              <w:t>PP</w:t>
            </w:r>
            <w:r w:rsidRPr="00ED52F4">
              <w:rPr>
                <w:sz w:val="22"/>
                <w:lang w:val="en-GB"/>
              </w:rPr>
              <w:t xml:space="preserve"> (per </w:t>
            </w:r>
            <w:r w:rsidR="001E1A33" w:rsidRPr="00ED52F4">
              <w:rPr>
                <w:sz w:val="22"/>
                <w:lang w:val="en-GB"/>
              </w:rPr>
              <w:t>protocol</w:t>
            </w:r>
            <w:r w:rsidRPr="00ED52F4">
              <w:rPr>
                <w:sz w:val="22"/>
                <w:lang w:val="en-GB"/>
              </w:rPr>
              <w:t>)</w:t>
            </w:r>
          </w:p>
        </w:tc>
      </w:tr>
      <w:tr w:rsidR="0087666D" w:rsidRPr="00ED52F4" w14:paraId="1B16359D" w14:textId="77777777" w:rsidTr="006D3F70">
        <w:trPr>
          <w:trHeight w:val="8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157F2CA" w14:textId="7F4D887A" w:rsidR="0087666D" w:rsidRPr="00ED52F4" w:rsidRDefault="008A362A" w:rsidP="001E1A33">
            <w:pPr>
              <w:pStyle w:val="Tabelleninhalt"/>
              <w:numPr>
                <w:ilvl w:val="0"/>
                <w:numId w:val="3"/>
              </w:numPr>
              <w:rPr>
                <w:sz w:val="22"/>
                <w:lang w:val="en-GB"/>
              </w:rPr>
            </w:pPr>
            <w:r w:rsidRPr="00ED52F4">
              <w:rPr>
                <w:sz w:val="22"/>
                <w:lang w:val="en-GB"/>
              </w:rPr>
              <w:t xml:space="preserve">Outcome identical to study </w:t>
            </w:r>
            <w:r w:rsidR="001E1A33" w:rsidRPr="00ED52F4">
              <w:rPr>
                <w:sz w:val="22"/>
                <w:lang w:val="en-GB"/>
              </w:rPr>
              <w:t>protocol</w:t>
            </w:r>
            <w:r w:rsidRPr="00ED52F4">
              <w:rPr>
                <w:sz w:val="22"/>
                <w:lang w:val="en-GB"/>
              </w:rPr>
              <w:t xml:space="preserve"> / pre-registration?</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B1209D0" w14:textId="3213D215" w:rsidR="0087666D" w:rsidRPr="00ED52F4" w:rsidRDefault="007C2C57" w:rsidP="006D3F70">
            <w:pPr>
              <w:pStyle w:val="Tabelleninhalt"/>
              <w:rPr>
                <w:sz w:val="22"/>
                <w:lang w:val="en-GB"/>
              </w:rPr>
            </w:pPr>
            <w:r w:rsidRPr="00ED52F4">
              <w:rPr>
                <w:sz w:val="22"/>
                <w:lang w:val="en-GB"/>
              </w:rPr>
              <w:t>1 = yes</w:t>
            </w:r>
          </w:p>
          <w:p w14:paraId="3853495F" w14:textId="718A9074" w:rsidR="0087666D" w:rsidRPr="00ED52F4" w:rsidRDefault="007C2C57" w:rsidP="006D3F70">
            <w:pPr>
              <w:pStyle w:val="Tabelleninhalt"/>
              <w:rPr>
                <w:sz w:val="22"/>
                <w:lang w:val="en-GB"/>
              </w:rPr>
            </w:pPr>
            <w:r w:rsidRPr="00ED52F4">
              <w:rPr>
                <w:sz w:val="22"/>
                <w:lang w:val="en-GB"/>
              </w:rPr>
              <w:t>2 = no</w:t>
            </w:r>
          </w:p>
          <w:p w14:paraId="160A100B" w14:textId="2DD8E457" w:rsidR="0087666D" w:rsidRPr="00ED52F4" w:rsidRDefault="0087666D" w:rsidP="007C2C57">
            <w:pPr>
              <w:pStyle w:val="Tabelleninhalt"/>
              <w:rPr>
                <w:sz w:val="22"/>
                <w:lang w:val="en-GB"/>
              </w:rPr>
            </w:pPr>
            <w:proofErr w:type="spellStart"/>
            <w:r w:rsidRPr="00ED52F4">
              <w:rPr>
                <w:sz w:val="22"/>
                <w:lang w:val="en-GB"/>
              </w:rPr>
              <w:t>n.a</w:t>
            </w:r>
            <w:proofErr w:type="spellEnd"/>
            <w:r w:rsidRPr="00ED52F4">
              <w:rPr>
                <w:sz w:val="22"/>
                <w:lang w:val="en-GB"/>
              </w:rPr>
              <w:t xml:space="preserve">. = </w:t>
            </w:r>
            <w:r w:rsidR="007C2C57" w:rsidRPr="00ED52F4">
              <w:rPr>
                <w:sz w:val="22"/>
                <w:lang w:val="en-GB"/>
              </w:rPr>
              <w:t xml:space="preserve">not applicable </w:t>
            </w:r>
          </w:p>
        </w:tc>
      </w:tr>
      <w:tr w:rsidR="00975577" w:rsidRPr="00ED52F4" w14:paraId="6E34F810" w14:textId="77777777">
        <w:trPr>
          <w:trHeight w:val="5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694EFBB" w14:textId="716763B2" w:rsidR="00975577" w:rsidRPr="00ED52F4" w:rsidRDefault="008A362A" w:rsidP="001E1A33">
            <w:pPr>
              <w:pStyle w:val="Tabelleninhalt"/>
              <w:numPr>
                <w:ilvl w:val="0"/>
                <w:numId w:val="3"/>
              </w:numPr>
              <w:rPr>
                <w:sz w:val="22"/>
                <w:lang w:val="en-GB"/>
              </w:rPr>
            </w:pPr>
            <w:r w:rsidRPr="00ED52F4">
              <w:rPr>
                <w:sz w:val="22"/>
                <w:lang w:val="en-GB"/>
              </w:rPr>
              <w:t>Expected effect size (in Cohen’s d)</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549E077" w14:textId="3364C8CA" w:rsidR="00975577" w:rsidRPr="00ED52F4" w:rsidRDefault="00975577">
            <w:pPr>
              <w:pStyle w:val="Tabelleninhalt"/>
              <w:rPr>
                <w:sz w:val="22"/>
                <w:lang w:val="en-GB"/>
              </w:rPr>
            </w:pPr>
          </w:p>
        </w:tc>
      </w:tr>
      <w:tr w:rsidR="00975577" w:rsidRPr="00ED52F4" w14:paraId="6C26CA6B" w14:textId="77777777">
        <w:trPr>
          <w:trHeight w:val="5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11D7EEB" w14:textId="6F7F26EB" w:rsidR="00975577" w:rsidRPr="00ED52F4" w:rsidRDefault="008A362A" w:rsidP="001E1A33">
            <w:pPr>
              <w:pStyle w:val="Tabelleninhalt"/>
              <w:numPr>
                <w:ilvl w:val="0"/>
                <w:numId w:val="3"/>
              </w:numPr>
              <w:rPr>
                <w:sz w:val="22"/>
                <w:lang w:val="en-GB"/>
              </w:rPr>
            </w:pPr>
            <w:r w:rsidRPr="00ED52F4">
              <w:rPr>
                <w:sz w:val="22"/>
                <w:lang w:val="en-GB"/>
              </w:rPr>
              <w:t>Rationale for expected effect provided?</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39AAFA5" w14:textId="65BBAEF5" w:rsidR="006F171D" w:rsidRPr="00ED52F4" w:rsidRDefault="006F171D">
            <w:pPr>
              <w:pStyle w:val="Tabelleninhalt"/>
              <w:rPr>
                <w:sz w:val="22"/>
                <w:lang w:val="en-US"/>
              </w:rPr>
            </w:pPr>
            <w:r w:rsidRPr="00ED52F4">
              <w:rPr>
                <w:sz w:val="22"/>
                <w:lang w:val="en-US"/>
              </w:rPr>
              <w:t xml:space="preserve">1 = </w:t>
            </w:r>
            <w:r w:rsidR="008A362A" w:rsidRPr="00ED52F4">
              <w:rPr>
                <w:sz w:val="22"/>
                <w:lang w:val="en-US"/>
              </w:rPr>
              <w:t>meta-analytic evidence or comparable</w:t>
            </w:r>
          </w:p>
          <w:p w14:paraId="40514893" w14:textId="1B6586DD" w:rsidR="006F171D" w:rsidRPr="00ED52F4" w:rsidRDefault="008A362A">
            <w:pPr>
              <w:pStyle w:val="Tabelleninhalt"/>
              <w:rPr>
                <w:sz w:val="22"/>
                <w:lang w:val="en-GB"/>
              </w:rPr>
            </w:pPr>
            <w:r w:rsidRPr="00ED52F4">
              <w:rPr>
                <w:sz w:val="22"/>
                <w:lang w:val="en-GB"/>
              </w:rPr>
              <w:t>2 = several studies</w:t>
            </w:r>
          </w:p>
          <w:p w14:paraId="095A0978" w14:textId="20F398F0" w:rsidR="006F171D" w:rsidRPr="00ED52F4" w:rsidRDefault="008A362A">
            <w:pPr>
              <w:pStyle w:val="Tabelleninhalt"/>
              <w:rPr>
                <w:sz w:val="22"/>
              </w:rPr>
            </w:pPr>
            <w:r w:rsidRPr="00ED52F4">
              <w:rPr>
                <w:sz w:val="22"/>
              </w:rPr>
              <w:t>3 = in house studies</w:t>
            </w:r>
          </w:p>
          <w:p w14:paraId="5E2A00CE" w14:textId="105E412D" w:rsidR="00975577" w:rsidRPr="00ED52F4" w:rsidRDefault="008A362A">
            <w:pPr>
              <w:pStyle w:val="Tabelleninhalt"/>
              <w:rPr>
                <w:sz w:val="22"/>
              </w:rPr>
            </w:pPr>
            <w:r w:rsidRPr="00ED52F4">
              <w:rPr>
                <w:sz w:val="22"/>
              </w:rPr>
              <w:t>4 = none</w:t>
            </w:r>
          </w:p>
          <w:p w14:paraId="0C6DD23B" w14:textId="36C2D96A" w:rsidR="00975577" w:rsidRPr="00ED52F4" w:rsidRDefault="00975577">
            <w:pPr>
              <w:pStyle w:val="Tabelleninhalt"/>
              <w:rPr>
                <w:sz w:val="22"/>
              </w:rPr>
            </w:pPr>
          </w:p>
        </w:tc>
      </w:tr>
      <w:tr w:rsidR="00DF451E" w:rsidRPr="00ED52F4" w14:paraId="639A4F81" w14:textId="77777777">
        <w:trPr>
          <w:trHeight w:val="5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730526D" w14:textId="625FFEDD" w:rsidR="00DF451E" w:rsidRPr="00ED52F4" w:rsidRDefault="008A362A" w:rsidP="001E1A33">
            <w:pPr>
              <w:pStyle w:val="Tabelleninhalt"/>
              <w:numPr>
                <w:ilvl w:val="0"/>
                <w:numId w:val="3"/>
              </w:numPr>
              <w:rPr>
                <w:sz w:val="22"/>
              </w:rPr>
            </w:pPr>
            <w:r w:rsidRPr="00ED52F4">
              <w:rPr>
                <w:sz w:val="22"/>
              </w:rPr>
              <w:t>Comments</w:t>
            </w:r>
            <w:r w:rsidR="001E1A33" w:rsidRPr="00ED52F4">
              <w:rPr>
                <w:sz w:val="22"/>
              </w:rPr>
              <w:t xml:space="preserve"> 2</w:t>
            </w:r>
            <w:r w:rsidRPr="00ED52F4">
              <w:rPr>
                <w:sz w:val="22"/>
              </w:rPr>
              <w:t>:</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3D6D447" w14:textId="2A9DB600" w:rsidR="00DF451E" w:rsidRPr="00ED52F4" w:rsidRDefault="00DF451E">
            <w:pPr>
              <w:pStyle w:val="Tabelleninhalt"/>
              <w:rPr>
                <w:sz w:val="22"/>
              </w:rPr>
            </w:pPr>
          </w:p>
        </w:tc>
      </w:tr>
      <w:tr w:rsidR="00975577" w:rsidRPr="00ED52F4" w14:paraId="7E8D8018" w14:textId="77777777">
        <w:trPr>
          <w:trHeight w:val="2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1E8EC0B" w14:textId="112218DC" w:rsidR="00975577" w:rsidRPr="00ED52F4" w:rsidRDefault="003C0936" w:rsidP="001E1A33">
            <w:pPr>
              <w:pStyle w:val="Tabelleninhalt"/>
              <w:numPr>
                <w:ilvl w:val="0"/>
                <w:numId w:val="3"/>
              </w:numPr>
              <w:rPr>
                <w:sz w:val="22"/>
              </w:rPr>
            </w:pPr>
            <w:r w:rsidRPr="00ED52F4">
              <w:rPr>
                <w:sz w:val="22"/>
              </w:rPr>
              <w:t xml:space="preserve">Alpha </w:t>
            </w:r>
            <w:r w:rsidR="008A362A" w:rsidRPr="00ED52F4">
              <w:rPr>
                <w:sz w:val="22"/>
              </w:rPr>
              <w:t>l</w:t>
            </w:r>
            <w:r w:rsidRPr="00ED52F4">
              <w:rPr>
                <w:sz w:val="22"/>
              </w:rPr>
              <w:t>evel</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F90BC1D" w14:textId="7F5BDFC9" w:rsidR="000A740E" w:rsidRPr="00ED52F4" w:rsidRDefault="000A740E">
            <w:pPr>
              <w:pStyle w:val="Tabelleninhalt"/>
              <w:rPr>
                <w:sz w:val="22"/>
              </w:rPr>
            </w:pPr>
          </w:p>
        </w:tc>
      </w:tr>
      <w:tr w:rsidR="00975577" w:rsidRPr="00ED52F4" w14:paraId="38E4C6EE" w14:textId="77777777">
        <w:trPr>
          <w:trHeight w:val="5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5781793" w14:textId="481999AC" w:rsidR="00975577" w:rsidRPr="00ED52F4" w:rsidRDefault="003C0936" w:rsidP="001E1A33">
            <w:pPr>
              <w:pStyle w:val="Tabelleninhalt"/>
              <w:numPr>
                <w:ilvl w:val="0"/>
                <w:numId w:val="3"/>
              </w:numPr>
              <w:rPr>
                <w:sz w:val="22"/>
                <w:lang w:val="en-US"/>
              </w:rPr>
            </w:pPr>
            <w:r w:rsidRPr="00ED52F4">
              <w:rPr>
                <w:sz w:val="22"/>
                <w:lang w:val="en-US"/>
              </w:rPr>
              <w:t>Power (Beta-</w:t>
            </w:r>
            <w:r w:rsidR="008A362A" w:rsidRPr="00ED52F4">
              <w:rPr>
                <w:sz w:val="22"/>
                <w:lang w:val="en-US"/>
              </w:rPr>
              <w:t>l</w:t>
            </w:r>
            <w:r w:rsidRPr="00ED52F4">
              <w:rPr>
                <w:sz w:val="22"/>
                <w:lang w:val="en-US"/>
              </w:rPr>
              <w:t>evel</w:t>
            </w:r>
            <w:r w:rsidR="00456E36" w:rsidRPr="00ED52F4">
              <w:rPr>
                <w:sz w:val="22"/>
                <w:lang w:val="en-US"/>
              </w:rPr>
              <w:t>, a-priori</w:t>
            </w:r>
            <w:r w:rsidRPr="00ED52F4">
              <w:rPr>
                <w:sz w:val="22"/>
                <w:lang w:val="en-US"/>
              </w:rPr>
              <w:t>)</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26ADE73" w14:textId="19292E95" w:rsidR="00975577" w:rsidRPr="00ED52F4" w:rsidRDefault="00975577">
            <w:pPr>
              <w:pStyle w:val="Tabelleninhalt"/>
              <w:rPr>
                <w:sz w:val="22"/>
                <w:lang w:val="en-GB"/>
              </w:rPr>
            </w:pPr>
          </w:p>
        </w:tc>
      </w:tr>
      <w:tr w:rsidR="00975577" w:rsidRPr="00ED52F4" w14:paraId="162D157C" w14:textId="77777777">
        <w:trPr>
          <w:trHeight w:val="2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BB07A8B" w14:textId="3438EBF9" w:rsidR="00975577" w:rsidRPr="00ED52F4" w:rsidRDefault="008A362A" w:rsidP="001E1A33">
            <w:pPr>
              <w:pStyle w:val="Tabelleninhalt"/>
              <w:numPr>
                <w:ilvl w:val="0"/>
                <w:numId w:val="3"/>
              </w:numPr>
              <w:rPr>
                <w:sz w:val="22"/>
              </w:rPr>
            </w:pPr>
            <w:r w:rsidRPr="00ED52F4">
              <w:rPr>
                <w:sz w:val="22"/>
              </w:rPr>
              <w:t>Correlation of repeated measures</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275A44E" w14:textId="06C18541" w:rsidR="00975577" w:rsidRPr="00ED52F4" w:rsidRDefault="00975577">
            <w:pPr>
              <w:pStyle w:val="Tabelleninhalt"/>
              <w:rPr>
                <w:sz w:val="22"/>
              </w:rPr>
            </w:pPr>
          </w:p>
        </w:tc>
      </w:tr>
      <w:tr w:rsidR="00975577" w:rsidRPr="00ED52F4" w14:paraId="28899F85" w14:textId="77777777" w:rsidTr="003A34B5">
        <w:trPr>
          <w:trHeight w:val="716"/>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A9E0505" w14:textId="32C35F23" w:rsidR="00975577" w:rsidRPr="00ED52F4" w:rsidRDefault="008A362A" w:rsidP="001E1A33">
            <w:pPr>
              <w:pStyle w:val="Tabelleninhalt"/>
              <w:numPr>
                <w:ilvl w:val="0"/>
                <w:numId w:val="3"/>
              </w:numPr>
              <w:rPr>
                <w:sz w:val="22"/>
              </w:rPr>
            </w:pPr>
            <w:r w:rsidRPr="00ED52F4">
              <w:rPr>
                <w:sz w:val="22"/>
              </w:rPr>
              <w:lastRenderedPageBreak/>
              <w:t>Adjustment for</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E515CB4" w14:textId="0C258BD3" w:rsidR="00975577" w:rsidRPr="00ED52F4" w:rsidRDefault="00AA772C" w:rsidP="00AA772C">
            <w:pPr>
              <w:pStyle w:val="Tabelleninhalt"/>
              <w:rPr>
                <w:sz w:val="22"/>
              </w:rPr>
            </w:pPr>
            <w:r w:rsidRPr="00ED52F4">
              <w:rPr>
                <w:sz w:val="22"/>
              </w:rPr>
              <w:t xml:space="preserve">1 = Drop-out </w:t>
            </w:r>
          </w:p>
          <w:p w14:paraId="47BC20D7" w14:textId="2563C4AE" w:rsidR="00AA772C" w:rsidRPr="00ED52F4" w:rsidRDefault="00AA772C" w:rsidP="00AA772C">
            <w:pPr>
              <w:pStyle w:val="Tabelleninhalt"/>
              <w:rPr>
                <w:sz w:val="22"/>
                <w:lang w:val="en-GB"/>
              </w:rPr>
            </w:pPr>
            <w:r w:rsidRPr="00ED52F4">
              <w:rPr>
                <w:sz w:val="22"/>
                <w:lang w:val="en-GB"/>
              </w:rPr>
              <w:t>2 = Missing-</w:t>
            </w:r>
            <w:r w:rsidR="008A362A" w:rsidRPr="00ED52F4">
              <w:rPr>
                <w:sz w:val="22"/>
                <w:lang w:val="en-GB"/>
              </w:rPr>
              <w:t>d</w:t>
            </w:r>
            <w:r w:rsidRPr="00ED52F4">
              <w:rPr>
                <w:sz w:val="22"/>
                <w:lang w:val="en-GB"/>
              </w:rPr>
              <w:t xml:space="preserve">ata </w:t>
            </w:r>
            <w:r w:rsidR="008A362A" w:rsidRPr="00ED52F4">
              <w:rPr>
                <w:sz w:val="22"/>
                <w:lang w:val="en-GB"/>
              </w:rPr>
              <w:t>h</w:t>
            </w:r>
            <w:r w:rsidR="001E1A33" w:rsidRPr="00ED52F4">
              <w:rPr>
                <w:sz w:val="22"/>
                <w:lang w:val="en-GB"/>
              </w:rPr>
              <w:t>andling (e.g.</w:t>
            </w:r>
            <w:r w:rsidR="008A362A" w:rsidRPr="00ED52F4">
              <w:rPr>
                <w:sz w:val="22"/>
                <w:lang w:val="en-GB"/>
              </w:rPr>
              <w:t xml:space="preserve"> MI)</w:t>
            </w:r>
            <w:r w:rsidRPr="00ED52F4">
              <w:rPr>
                <w:sz w:val="22"/>
                <w:lang w:val="en-GB"/>
              </w:rPr>
              <w:t xml:space="preserve"> </w:t>
            </w:r>
          </w:p>
          <w:p w14:paraId="425FB798" w14:textId="01D184F6" w:rsidR="00AA772C" w:rsidRPr="00ED52F4" w:rsidRDefault="00AA772C" w:rsidP="00AA772C">
            <w:pPr>
              <w:pStyle w:val="Tabelleninhalt"/>
              <w:rPr>
                <w:sz w:val="22"/>
              </w:rPr>
            </w:pPr>
            <w:r w:rsidRPr="00ED52F4">
              <w:rPr>
                <w:sz w:val="22"/>
              </w:rPr>
              <w:t xml:space="preserve">3 = </w:t>
            </w:r>
            <w:r w:rsidR="008A362A" w:rsidRPr="00ED52F4">
              <w:rPr>
                <w:sz w:val="22"/>
              </w:rPr>
              <w:t xml:space="preserve">else </w:t>
            </w:r>
            <w:r w:rsidRPr="00ED52F4">
              <w:rPr>
                <w:sz w:val="22"/>
              </w:rPr>
              <w:t>_______________</w:t>
            </w:r>
          </w:p>
          <w:p w14:paraId="01980F29" w14:textId="69C172C8" w:rsidR="00AA772C" w:rsidRPr="00ED52F4" w:rsidRDefault="00AA772C" w:rsidP="00AA772C">
            <w:pPr>
              <w:pStyle w:val="Tabelleninhalt"/>
              <w:rPr>
                <w:sz w:val="22"/>
              </w:rPr>
            </w:pPr>
            <w:r w:rsidRPr="00ED52F4">
              <w:rPr>
                <w:sz w:val="22"/>
              </w:rPr>
              <w:t xml:space="preserve">4 = </w:t>
            </w:r>
            <w:r w:rsidR="008A362A" w:rsidRPr="00ED52F4">
              <w:rPr>
                <w:sz w:val="22"/>
              </w:rPr>
              <w:t>none</w:t>
            </w:r>
          </w:p>
          <w:p w14:paraId="758C75A1" w14:textId="3D5D49AF" w:rsidR="00AA772C" w:rsidRPr="00ED52F4" w:rsidRDefault="00AA772C" w:rsidP="00AA772C">
            <w:pPr>
              <w:pStyle w:val="Tabelleninhalt"/>
              <w:rPr>
                <w:sz w:val="22"/>
              </w:rPr>
            </w:pPr>
          </w:p>
        </w:tc>
      </w:tr>
      <w:tr w:rsidR="008A362A" w:rsidRPr="00ED52F4" w14:paraId="7B0F60B9" w14:textId="77777777" w:rsidTr="00AC1534">
        <w:trPr>
          <w:trHeight w:val="716"/>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2B98443" w14:textId="47CEB82F" w:rsidR="008A362A" w:rsidRPr="00ED52F4" w:rsidRDefault="008A362A" w:rsidP="001E1A33">
            <w:pPr>
              <w:pStyle w:val="Tabelleninhalt"/>
              <w:numPr>
                <w:ilvl w:val="0"/>
                <w:numId w:val="3"/>
              </w:numPr>
              <w:rPr>
                <w:sz w:val="22"/>
                <w:lang w:val="en-GB"/>
              </w:rPr>
            </w:pPr>
            <w:r w:rsidRPr="00ED52F4">
              <w:rPr>
                <w:sz w:val="22"/>
                <w:lang w:val="en-GB"/>
              </w:rPr>
              <w:t xml:space="preserve">Drop out </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EC94957" w14:textId="522EB4D6" w:rsidR="008A362A" w:rsidRPr="00ED52F4" w:rsidRDefault="008A362A" w:rsidP="008A362A">
            <w:pPr>
              <w:pStyle w:val="Tabelleninhalt"/>
              <w:rPr>
                <w:sz w:val="22"/>
                <w:lang w:val="en-GB"/>
              </w:rPr>
            </w:pPr>
            <w:r w:rsidRPr="00ED52F4">
              <w:rPr>
                <w:sz w:val="22"/>
                <w:lang w:val="en-GB"/>
              </w:rPr>
              <w:br/>
              <w:t>(according to CONSORT flow-chart)</w:t>
            </w:r>
          </w:p>
        </w:tc>
      </w:tr>
      <w:tr w:rsidR="008A362A" w:rsidRPr="00ED52F4" w14:paraId="6CF6C361" w14:textId="77777777" w:rsidTr="00AC1534">
        <w:trPr>
          <w:trHeight w:val="716"/>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7FE9C69" w14:textId="6E5BF241" w:rsidR="008A362A" w:rsidRPr="00ED52F4" w:rsidRDefault="008A362A" w:rsidP="001E1A33">
            <w:pPr>
              <w:pStyle w:val="Tabelleninhalt"/>
              <w:numPr>
                <w:ilvl w:val="0"/>
                <w:numId w:val="3"/>
              </w:numPr>
              <w:rPr>
                <w:sz w:val="22"/>
              </w:rPr>
            </w:pPr>
            <w:r w:rsidRPr="00ED52F4">
              <w:rPr>
                <w:sz w:val="22"/>
              </w:rPr>
              <w:t>Software for power calculation</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DC31DB8" w14:textId="77777777" w:rsidR="008A362A" w:rsidRPr="00ED52F4" w:rsidRDefault="008A362A" w:rsidP="008A362A">
            <w:pPr>
              <w:pStyle w:val="Tabelleninhalt"/>
              <w:rPr>
                <w:sz w:val="22"/>
              </w:rPr>
            </w:pPr>
            <w:r w:rsidRPr="00ED52F4">
              <w:rPr>
                <w:sz w:val="22"/>
              </w:rPr>
              <w:t>1 = G*Power</w:t>
            </w:r>
          </w:p>
          <w:p w14:paraId="1D59FC68" w14:textId="77777777" w:rsidR="008A362A" w:rsidRPr="00ED52F4" w:rsidRDefault="008A362A" w:rsidP="008A362A">
            <w:pPr>
              <w:pStyle w:val="Tabelleninhalt"/>
              <w:rPr>
                <w:sz w:val="22"/>
              </w:rPr>
            </w:pPr>
            <w:r w:rsidRPr="00ED52F4">
              <w:rPr>
                <w:sz w:val="22"/>
              </w:rPr>
              <w:t>2 = else ______________</w:t>
            </w:r>
          </w:p>
          <w:p w14:paraId="05BE34A8" w14:textId="2034EECF" w:rsidR="008A362A" w:rsidRPr="00ED52F4" w:rsidRDefault="008A362A" w:rsidP="008A362A">
            <w:pPr>
              <w:pStyle w:val="Tabelleninhalt"/>
              <w:rPr>
                <w:sz w:val="22"/>
              </w:rPr>
            </w:pPr>
            <w:r w:rsidRPr="00ED52F4">
              <w:rPr>
                <w:sz w:val="22"/>
              </w:rPr>
              <w:t>3 = none</w:t>
            </w:r>
          </w:p>
        </w:tc>
      </w:tr>
      <w:tr w:rsidR="008A362A" w:rsidRPr="00ED52F4" w14:paraId="4FA9B69B" w14:textId="77777777" w:rsidTr="00456E36">
        <w:trPr>
          <w:trHeight w:val="1829"/>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1B262D6" w14:textId="7FDDCB07" w:rsidR="008A362A" w:rsidRPr="00ED52F4" w:rsidRDefault="008A362A" w:rsidP="001E1A33">
            <w:pPr>
              <w:pStyle w:val="Tabelleninhalt"/>
              <w:numPr>
                <w:ilvl w:val="0"/>
                <w:numId w:val="3"/>
              </w:numPr>
              <w:rPr>
                <w:sz w:val="22"/>
                <w:lang w:val="en-GB"/>
              </w:rPr>
            </w:pPr>
            <w:r w:rsidRPr="00ED52F4">
              <w:rPr>
                <w:sz w:val="22"/>
                <w:lang w:val="en-GB"/>
              </w:rPr>
              <w:t>Statistical test in power calculation</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E34CEF9" w14:textId="77777777" w:rsidR="008A362A" w:rsidRPr="00ED52F4" w:rsidRDefault="008A362A" w:rsidP="008A362A">
            <w:pPr>
              <w:pStyle w:val="Tabelleninhalt"/>
              <w:rPr>
                <w:sz w:val="22"/>
                <w:lang w:val="en-US"/>
              </w:rPr>
            </w:pPr>
            <w:r w:rsidRPr="00ED52F4">
              <w:rPr>
                <w:sz w:val="22"/>
                <w:lang w:val="en-US"/>
              </w:rPr>
              <w:t>1 = ANOVA</w:t>
            </w:r>
          </w:p>
          <w:p w14:paraId="6AF4D62F" w14:textId="77777777" w:rsidR="008A362A" w:rsidRPr="00ED52F4" w:rsidRDefault="008A362A" w:rsidP="008A362A">
            <w:pPr>
              <w:pStyle w:val="Tabelleninhalt"/>
              <w:rPr>
                <w:sz w:val="22"/>
                <w:lang w:val="en-US"/>
              </w:rPr>
            </w:pPr>
            <w:r w:rsidRPr="00ED52F4">
              <w:rPr>
                <w:sz w:val="22"/>
                <w:lang w:val="en-US"/>
              </w:rPr>
              <w:t>2 = ANCOVA</w:t>
            </w:r>
          </w:p>
          <w:p w14:paraId="63318A5F" w14:textId="7E9637AC" w:rsidR="008A362A" w:rsidRPr="00ED52F4" w:rsidRDefault="008A362A" w:rsidP="008A362A">
            <w:pPr>
              <w:pStyle w:val="Tabelleninhalt"/>
              <w:rPr>
                <w:sz w:val="22"/>
                <w:lang w:val="en-US"/>
              </w:rPr>
            </w:pPr>
            <w:r w:rsidRPr="00ED52F4">
              <w:rPr>
                <w:sz w:val="22"/>
                <w:lang w:val="en-US"/>
              </w:rPr>
              <w:t>3 = Regression</w:t>
            </w:r>
          </w:p>
          <w:p w14:paraId="4DC9BDF6" w14:textId="29FA8580" w:rsidR="008A362A" w:rsidRPr="00ED52F4" w:rsidRDefault="008A362A" w:rsidP="008A362A">
            <w:pPr>
              <w:pStyle w:val="Tabelleninhalt"/>
              <w:rPr>
                <w:sz w:val="22"/>
                <w:lang w:val="en-US"/>
              </w:rPr>
            </w:pPr>
            <w:r w:rsidRPr="00ED52F4">
              <w:rPr>
                <w:sz w:val="22"/>
                <w:lang w:val="en-US"/>
              </w:rPr>
              <w:t>4 = Chi 2</w:t>
            </w:r>
          </w:p>
          <w:p w14:paraId="664D8B21" w14:textId="5D364480" w:rsidR="008A362A" w:rsidRPr="00ED52F4" w:rsidRDefault="008A362A" w:rsidP="008A362A">
            <w:pPr>
              <w:pStyle w:val="Tabelleninhalt"/>
              <w:rPr>
                <w:sz w:val="22"/>
                <w:lang w:val="en-US"/>
              </w:rPr>
            </w:pPr>
            <w:r w:rsidRPr="00ED52F4">
              <w:rPr>
                <w:sz w:val="22"/>
                <w:lang w:val="en-US"/>
              </w:rPr>
              <w:t>5 = t-Test</w:t>
            </w:r>
          </w:p>
          <w:p w14:paraId="47DF535E" w14:textId="47EFBF03" w:rsidR="008A362A" w:rsidRPr="00ED52F4" w:rsidRDefault="008A362A" w:rsidP="008A362A">
            <w:pPr>
              <w:pStyle w:val="Tabelleninhalt"/>
              <w:rPr>
                <w:sz w:val="22"/>
                <w:lang w:val="de-AT"/>
              </w:rPr>
            </w:pPr>
            <w:r w:rsidRPr="00ED52F4">
              <w:rPr>
                <w:sz w:val="22"/>
                <w:lang w:val="de-AT"/>
              </w:rPr>
              <w:t>6 = LMM mixed models</w:t>
            </w:r>
          </w:p>
          <w:p w14:paraId="3CDB99D8" w14:textId="001142CB" w:rsidR="008A362A" w:rsidRPr="00ED52F4" w:rsidRDefault="008A362A" w:rsidP="008A362A">
            <w:pPr>
              <w:pStyle w:val="Tabelleninhalt"/>
              <w:rPr>
                <w:sz w:val="22"/>
              </w:rPr>
            </w:pPr>
            <w:r w:rsidRPr="00ED52F4">
              <w:rPr>
                <w:sz w:val="22"/>
              </w:rPr>
              <w:t>7 =  else _____________</w:t>
            </w:r>
          </w:p>
        </w:tc>
      </w:tr>
      <w:tr w:rsidR="008A362A" w:rsidRPr="00ED52F4" w14:paraId="11AE08B5" w14:textId="77777777" w:rsidTr="003A34B5">
        <w:trPr>
          <w:trHeight w:val="611"/>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CCF288F" w14:textId="17C14DB6" w:rsidR="008A362A" w:rsidRPr="00ED52F4" w:rsidRDefault="008A362A" w:rsidP="001E1A33">
            <w:pPr>
              <w:pStyle w:val="Tabelleninhalt"/>
              <w:numPr>
                <w:ilvl w:val="0"/>
                <w:numId w:val="3"/>
              </w:numPr>
              <w:rPr>
                <w:sz w:val="22"/>
              </w:rPr>
            </w:pPr>
            <w:r w:rsidRPr="00ED52F4">
              <w:rPr>
                <w:sz w:val="22"/>
              </w:rPr>
              <w:t>Comments</w:t>
            </w:r>
            <w:r w:rsidR="001E1A33" w:rsidRPr="00ED52F4">
              <w:rPr>
                <w:sz w:val="22"/>
              </w:rPr>
              <w:t xml:space="preserve"> 3</w:t>
            </w:r>
            <w:r w:rsidRPr="00ED52F4">
              <w:rPr>
                <w:sz w:val="22"/>
              </w:rPr>
              <w:t>:</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253BE07" w14:textId="51183D75" w:rsidR="008A362A" w:rsidRPr="00ED52F4" w:rsidRDefault="008A362A" w:rsidP="008A362A">
            <w:pPr>
              <w:pStyle w:val="Tabelleninhalt"/>
              <w:rPr>
                <w:sz w:val="22"/>
              </w:rPr>
            </w:pPr>
          </w:p>
        </w:tc>
      </w:tr>
      <w:tr w:rsidR="008A362A" w:rsidRPr="00ED52F4" w14:paraId="6F3365BB" w14:textId="77777777">
        <w:trPr>
          <w:trHeight w:val="5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C90CC76" w14:textId="5E9B6A6C" w:rsidR="008A362A" w:rsidRPr="00ED52F4" w:rsidRDefault="008A362A" w:rsidP="001E1A33">
            <w:pPr>
              <w:pStyle w:val="Tabelleninhalt"/>
              <w:numPr>
                <w:ilvl w:val="0"/>
                <w:numId w:val="3"/>
              </w:numPr>
              <w:rPr>
                <w:sz w:val="22"/>
              </w:rPr>
            </w:pPr>
            <w:r w:rsidRPr="00ED52F4">
              <w:rPr>
                <w:sz w:val="22"/>
              </w:rPr>
              <w:t>Calculated sample size</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3780A64" w14:textId="0B4E8E60" w:rsidR="008A362A" w:rsidRPr="00ED52F4" w:rsidRDefault="008A362A" w:rsidP="008A362A">
            <w:pPr>
              <w:pStyle w:val="Tabelleninhalt"/>
              <w:rPr>
                <w:sz w:val="22"/>
              </w:rPr>
            </w:pPr>
          </w:p>
        </w:tc>
      </w:tr>
      <w:tr w:rsidR="008A362A" w:rsidRPr="00ED52F4" w14:paraId="22377DD5" w14:textId="77777777">
        <w:trPr>
          <w:trHeight w:val="5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1D2BB1C" w14:textId="76784086" w:rsidR="008A362A" w:rsidRPr="00ED52F4" w:rsidRDefault="008A362A" w:rsidP="001E1A33">
            <w:pPr>
              <w:pStyle w:val="Tabelleninhalt"/>
              <w:numPr>
                <w:ilvl w:val="0"/>
                <w:numId w:val="3"/>
              </w:numPr>
              <w:rPr>
                <w:sz w:val="22"/>
              </w:rPr>
            </w:pPr>
            <w:r w:rsidRPr="00ED52F4">
              <w:rPr>
                <w:sz w:val="22"/>
              </w:rPr>
              <w:t>Posterior power (if applicable)</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303C207" w14:textId="6B67DB90" w:rsidR="008A362A" w:rsidRPr="00ED52F4" w:rsidRDefault="008A362A" w:rsidP="008A362A">
            <w:pPr>
              <w:pStyle w:val="Tabelleninhalt"/>
              <w:rPr>
                <w:sz w:val="22"/>
              </w:rPr>
            </w:pPr>
          </w:p>
        </w:tc>
      </w:tr>
      <w:tr w:rsidR="008A362A" w:rsidRPr="00ED52F4" w14:paraId="61E73B3A" w14:textId="77777777" w:rsidTr="00456E36">
        <w:trPr>
          <w:trHeight w:val="1663"/>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5E30E73" w14:textId="08E0E1B8" w:rsidR="008A362A" w:rsidRPr="00ED52F4" w:rsidRDefault="008A362A" w:rsidP="001E1A33">
            <w:pPr>
              <w:pStyle w:val="Tabelleninhalt"/>
              <w:numPr>
                <w:ilvl w:val="0"/>
                <w:numId w:val="3"/>
              </w:numPr>
              <w:rPr>
                <w:sz w:val="22"/>
              </w:rPr>
            </w:pPr>
            <w:r w:rsidRPr="00ED52F4">
              <w:rPr>
                <w:sz w:val="22"/>
              </w:rPr>
              <w:t>Statistical test (actually applied)</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B7FAA5A" w14:textId="77777777" w:rsidR="008A362A" w:rsidRPr="00ED52F4" w:rsidRDefault="008A362A" w:rsidP="008A362A">
            <w:pPr>
              <w:pStyle w:val="Tabelleninhalt"/>
              <w:rPr>
                <w:sz w:val="22"/>
                <w:lang w:val="en-US"/>
              </w:rPr>
            </w:pPr>
            <w:r w:rsidRPr="00ED52F4">
              <w:rPr>
                <w:sz w:val="22"/>
                <w:lang w:val="en-US"/>
              </w:rPr>
              <w:t>1 = ANOVA</w:t>
            </w:r>
          </w:p>
          <w:p w14:paraId="5BB7001B" w14:textId="77777777" w:rsidR="008A362A" w:rsidRPr="00ED52F4" w:rsidRDefault="008A362A" w:rsidP="008A362A">
            <w:pPr>
              <w:pStyle w:val="Tabelleninhalt"/>
              <w:rPr>
                <w:sz w:val="22"/>
                <w:lang w:val="en-US"/>
              </w:rPr>
            </w:pPr>
            <w:r w:rsidRPr="00ED52F4">
              <w:rPr>
                <w:sz w:val="22"/>
                <w:lang w:val="en-US"/>
              </w:rPr>
              <w:t>2 = ANCOVA</w:t>
            </w:r>
          </w:p>
          <w:p w14:paraId="168BFB9B" w14:textId="77777777" w:rsidR="008A362A" w:rsidRPr="00ED52F4" w:rsidRDefault="008A362A" w:rsidP="008A362A">
            <w:pPr>
              <w:pStyle w:val="Tabelleninhalt"/>
              <w:rPr>
                <w:sz w:val="22"/>
                <w:lang w:val="en-US"/>
              </w:rPr>
            </w:pPr>
            <w:r w:rsidRPr="00ED52F4">
              <w:rPr>
                <w:sz w:val="22"/>
                <w:lang w:val="en-US"/>
              </w:rPr>
              <w:t>3 = Regression</w:t>
            </w:r>
          </w:p>
          <w:p w14:paraId="13401D16" w14:textId="77777777" w:rsidR="008A362A" w:rsidRPr="00ED52F4" w:rsidRDefault="008A362A" w:rsidP="008A362A">
            <w:pPr>
              <w:pStyle w:val="Tabelleninhalt"/>
              <w:rPr>
                <w:sz w:val="22"/>
                <w:lang w:val="en-US"/>
              </w:rPr>
            </w:pPr>
            <w:r w:rsidRPr="00ED52F4">
              <w:rPr>
                <w:sz w:val="22"/>
                <w:lang w:val="en-US"/>
              </w:rPr>
              <w:t>4 = Chi 2</w:t>
            </w:r>
          </w:p>
          <w:p w14:paraId="1DA89C2D" w14:textId="77777777" w:rsidR="008A362A" w:rsidRPr="00ED52F4" w:rsidRDefault="008A362A" w:rsidP="008A362A">
            <w:pPr>
              <w:pStyle w:val="Tabelleninhalt"/>
              <w:rPr>
                <w:sz w:val="22"/>
                <w:lang w:val="en-US"/>
              </w:rPr>
            </w:pPr>
            <w:r w:rsidRPr="00ED52F4">
              <w:rPr>
                <w:sz w:val="22"/>
                <w:lang w:val="en-US"/>
              </w:rPr>
              <w:t>5 = t-Test</w:t>
            </w:r>
          </w:p>
          <w:p w14:paraId="687C3340" w14:textId="77777777" w:rsidR="008A362A" w:rsidRPr="00ED52F4" w:rsidRDefault="008A362A" w:rsidP="008A362A">
            <w:pPr>
              <w:pStyle w:val="Tabelleninhalt"/>
              <w:rPr>
                <w:sz w:val="22"/>
                <w:lang w:val="de-AT"/>
              </w:rPr>
            </w:pPr>
            <w:r w:rsidRPr="00ED52F4">
              <w:rPr>
                <w:sz w:val="22"/>
                <w:lang w:val="de-AT"/>
              </w:rPr>
              <w:t>6 = LMM mixed models</w:t>
            </w:r>
          </w:p>
          <w:p w14:paraId="004B401D" w14:textId="13640B46" w:rsidR="008A362A" w:rsidRPr="00ED52F4" w:rsidRDefault="008A362A" w:rsidP="008A362A">
            <w:pPr>
              <w:pStyle w:val="Tabelleninhalt"/>
              <w:rPr>
                <w:sz w:val="22"/>
              </w:rPr>
            </w:pPr>
            <w:r w:rsidRPr="00ED52F4">
              <w:rPr>
                <w:sz w:val="22"/>
              </w:rPr>
              <w:t>7 =  else _____________</w:t>
            </w:r>
          </w:p>
        </w:tc>
      </w:tr>
      <w:tr w:rsidR="008A362A" w:rsidRPr="00ED52F4" w14:paraId="2914C10A" w14:textId="77777777">
        <w:trPr>
          <w:trHeight w:val="2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48098FD" w14:textId="2EDCD350" w:rsidR="008A362A" w:rsidRPr="00ED52F4" w:rsidRDefault="008A362A" w:rsidP="001E1A33">
            <w:pPr>
              <w:pStyle w:val="Tabelleninhalt"/>
              <w:numPr>
                <w:ilvl w:val="0"/>
                <w:numId w:val="3"/>
              </w:numPr>
              <w:rPr>
                <w:sz w:val="22"/>
              </w:rPr>
            </w:pPr>
            <w:r w:rsidRPr="00ED52F4">
              <w:rPr>
                <w:sz w:val="22"/>
              </w:rPr>
              <w:t>Primary outcome signifikant?</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D136B5B" w14:textId="77777777" w:rsidR="008A362A" w:rsidRPr="00ED52F4" w:rsidRDefault="008A362A" w:rsidP="008A362A">
            <w:pPr>
              <w:pStyle w:val="Tabelleninhalt"/>
              <w:rPr>
                <w:sz w:val="22"/>
              </w:rPr>
            </w:pPr>
            <w:r w:rsidRPr="00ED52F4">
              <w:rPr>
                <w:sz w:val="22"/>
              </w:rPr>
              <w:t>1 = yes</w:t>
            </w:r>
          </w:p>
          <w:p w14:paraId="395C6829" w14:textId="7199B68B" w:rsidR="008A362A" w:rsidRPr="00ED52F4" w:rsidRDefault="008A362A" w:rsidP="008A362A">
            <w:pPr>
              <w:pStyle w:val="Tabelleninhalt"/>
              <w:rPr>
                <w:sz w:val="22"/>
              </w:rPr>
            </w:pPr>
            <w:r w:rsidRPr="00ED52F4">
              <w:rPr>
                <w:sz w:val="22"/>
              </w:rPr>
              <w:t>2 = no</w:t>
            </w:r>
          </w:p>
        </w:tc>
      </w:tr>
      <w:tr w:rsidR="008A362A" w:rsidRPr="00ED52F4" w14:paraId="01242DDE" w14:textId="77777777">
        <w:trPr>
          <w:trHeight w:val="2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C3E75CD" w14:textId="709EC9E0" w:rsidR="008A362A" w:rsidRPr="00ED52F4" w:rsidRDefault="008A362A" w:rsidP="001E1A33">
            <w:pPr>
              <w:pStyle w:val="Tabelleninhalt"/>
              <w:numPr>
                <w:ilvl w:val="0"/>
                <w:numId w:val="3"/>
              </w:numPr>
              <w:rPr>
                <w:sz w:val="22"/>
              </w:rPr>
            </w:pPr>
            <w:r w:rsidRPr="00ED52F4">
              <w:rPr>
                <w:sz w:val="22"/>
              </w:rPr>
              <w:t>Statistical value</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339F2CB" w14:textId="79AB03DC" w:rsidR="008A362A" w:rsidRPr="00ED52F4" w:rsidRDefault="008A362A" w:rsidP="008A362A">
            <w:pPr>
              <w:pStyle w:val="Tabelleninhalt"/>
              <w:rPr>
                <w:sz w:val="22"/>
              </w:rPr>
            </w:pPr>
            <w:r w:rsidRPr="00ED52F4">
              <w:rPr>
                <w:sz w:val="22"/>
              </w:rPr>
              <w:t>(T= ___ or F=___)</w:t>
            </w:r>
          </w:p>
        </w:tc>
      </w:tr>
      <w:tr w:rsidR="008A362A" w:rsidRPr="00ED52F4" w14:paraId="5508F509" w14:textId="77777777" w:rsidTr="00020BCC">
        <w:trPr>
          <w:trHeight w:val="5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4004223" w14:textId="2F71E12A" w:rsidR="008A362A" w:rsidRPr="00ED52F4" w:rsidRDefault="008A362A" w:rsidP="001E1A33">
            <w:pPr>
              <w:pStyle w:val="Tabelleninhalt"/>
              <w:numPr>
                <w:ilvl w:val="0"/>
                <w:numId w:val="3"/>
              </w:numPr>
              <w:rPr>
                <w:sz w:val="22"/>
                <w:lang w:val="en-GB"/>
              </w:rPr>
            </w:pPr>
            <w:r w:rsidRPr="00ED52F4">
              <w:rPr>
                <w:sz w:val="22"/>
                <w:lang w:val="en-GB"/>
              </w:rPr>
              <w:t>Reported effect size (primary outcome)</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5D63055" w14:textId="3ED7CFF7" w:rsidR="008A362A" w:rsidRPr="00ED52F4" w:rsidRDefault="008A362A" w:rsidP="008A362A">
            <w:pPr>
              <w:pStyle w:val="Tabelleninhalt"/>
              <w:rPr>
                <w:sz w:val="22"/>
                <w:lang w:val="en-GB"/>
              </w:rPr>
            </w:pPr>
          </w:p>
        </w:tc>
      </w:tr>
      <w:tr w:rsidR="008A362A" w:rsidRPr="00ED52F4" w14:paraId="2BE82D58" w14:textId="77777777" w:rsidTr="003A34B5">
        <w:trPr>
          <w:trHeight w:val="649"/>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3AD3109" w14:textId="217F5D19" w:rsidR="008A362A" w:rsidRPr="00ED52F4" w:rsidRDefault="008A362A" w:rsidP="001E1A33">
            <w:pPr>
              <w:pStyle w:val="Tabelleninhalt"/>
              <w:numPr>
                <w:ilvl w:val="0"/>
                <w:numId w:val="3"/>
              </w:numPr>
              <w:rPr>
                <w:sz w:val="22"/>
                <w:lang w:val="en-GB"/>
              </w:rPr>
            </w:pPr>
            <w:r w:rsidRPr="00ED52F4">
              <w:rPr>
                <w:sz w:val="22"/>
                <w:lang w:val="en-GB"/>
              </w:rPr>
              <w:t>Interpretation of results (does interpretation fit results)?</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63F0D26" w14:textId="4846FBE3" w:rsidR="008A362A" w:rsidRPr="00ED52F4" w:rsidRDefault="001E1A33" w:rsidP="008A362A">
            <w:pPr>
              <w:pStyle w:val="Tabelleninhalt"/>
              <w:rPr>
                <w:sz w:val="22"/>
              </w:rPr>
            </w:pPr>
            <w:r w:rsidRPr="00ED52F4">
              <w:rPr>
                <w:sz w:val="22"/>
              </w:rPr>
              <w:t>[insert text + comments]</w:t>
            </w:r>
          </w:p>
        </w:tc>
      </w:tr>
      <w:tr w:rsidR="001E1A33" w:rsidRPr="00ED52F4" w14:paraId="2EB765DB" w14:textId="77777777" w:rsidTr="004A3584">
        <w:trPr>
          <w:trHeight w:val="8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52047D6" w14:textId="1E05957D" w:rsidR="001E1A33" w:rsidRPr="00ED52F4" w:rsidRDefault="001E1A33" w:rsidP="001E1A33">
            <w:pPr>
              <w:pStyle w:val="Tabelleninhalt"/>
              <w:numPr>
                <w:ilvl w:val="0"/>
                <w:numId w:val="3"/>
              </w:numPr>
              <w:rPr>
                <w:sz w:val="22"/>
                <w:lang w:val="en-GB"/>
              </w:rPr>
            </w:pPr>
            <w:r w:rsidRPr="00ED52F4">
              <w:rPr>
                <w:sz w:val="22"/>
                <w:lang w:val="en-GB"/>
              </w:rPr>
              <w:t>How is statistical power being discussed?</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E4D18A6" w14:textId="246050B9" w:rsidR="001E1A33" w:rsidRPr="00ED52F4" w:rsidRDefault="001E1A33" w:rsidP="001E1A33">
            <w:pPr>
              <w:pStyle w:val="Tabelleninhalt"/>
              <w:rPr>
                <w:sz w:val="22"/>
              </w:rPr>
            </w:pPr>
            <w:r w:rsidRPr="00ED52F4">
              <w:rPr>
                <w:sz w:val="22"/>
              </w:rPr>
              <w:t>[insert text + comments]</w:t>
            </w:r>
          </w:p>
        </w:tc>
      </w:tr>
      <w:tr w:rsidR="001E1A33" w:rsidRPr="00ED52F4" w14:paraId="7DD0533C" w14:textId="77777777">
        <w:trPr>
          <w:trHeight w:val="8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6270068" w14:textId="6DCF0865" w:rsidR="001E1A33" w:rsidRPr="00ED52F4" w:rsidRDefault="001E1A33" w:rsidP="001E1A33">
            <w:pPr>
              <w:pStyle w:val="ListParagraph"/>
              <w:numPr>
                <w:ilvl w:val="0"/>
                <w:numId w:val="3"/>
              </w:numPr>
              <w:rPr>
                <w:sz w:val="22"/>
              </w:rPr>
            </w:pPr>
            <w:r w:rsidRPr="00ED52F4">
              <w:rPr>
                <w:rFonts w:eastAsia="Cambria" w:cs="Cambria"/>
                <w:sz w:val="22"/>
              </w:rPr>
              <w:t>Comments 4:</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B6C1E38" w14:textId="5CB32238" w:rsidR="001E1A33" w:rsidRPr="00ED52F4" w:rsidRDefault="001E1A33" w:rsidP="001E1A33">
            <w:pPr>
              <w:rPr>
                <w:sz w:val="22"/>
              </w:rPr>
            </w:pPr>
          </w:p>
        </w:tc>
      </w:tr>
      <w:tr w:rsidR="001E1A33" w:rsidRPr="00ED52F4" w14:paraId="384AE57A" w14:textId="77777777">
        <w:trPr>
          <w:trHeight w:val="892"/>
          <w:jc w:val="center"/>
        </w:trPr>
        <w:tc>
          <w:tcPr>
            <w:tcW w:w="48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75E6D8A" w14:textId="2C52442D" w:rsidR="001E1A33" w:rsidRPr="00ED52F4" w:rsidRDefault="001E1A33" w:rsidP="001E1A33">
            <w:pPr>
              <w:pStyle w:val="ListParagraph"/>
              <w:numPr>
                <w:ilvl w:val="0"/>
                <w:numId w:val="3"/>
              </w:numPr>
              <w:rPr>
                <w:rFonts w:eastAsia="Cambria" w:cs="Cambria"/>
                <w:sz w:val="22"/>
              </w:rPr>
            </w:pPr>
            <w:r w:rsidRPr="00ED52F4">
              <w:rPr>
                <w:rFonts w:eastAsia="Cambria" w:cs="Cambria"/>
                <w:sz w:val="22"/>
              </w:rPr>
              <w:lastRenderedPageBreak/>
              <w:t>General comments:</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C9D441C" w14:textId="77777777" w:rsidR="001E1A33" w:rsidRPr="00ED52F4" w:rsidRDefault="001E1A33" w:rsidP="001E1A33">
            <w:pPr>
              <w:rPr>
                <w:sz w:val="22"/>
              </w:rPr>
            </w:pPr>
          </w:p>
        </w:tc>
      </w:tr>
    </w:tbl>
    <w:p w14:paraId="3C161F9B" w14:textId="7746FB87" w:rsidR="00975577" w:rsidRPr="00ED52F4" w:rsidRDefault="001E1A33">
      <w:pPr>
        <w:widowControl w:val="0"/>
        <w:ind w:left="55" w:hanging="55"/>
        <w:jc w:val="center"/>
        <w:rPr>
          <w:sz w:val="22"/>
          <w:lang w:val="en-GB"/>
        </w:rPr>
      </w:pPr>
      <w:r w:rsidRPr="00ED52F4">
        <w:rPr>
          <w:sz w:val="22"/>
          <w:lang w:val="en-GB"/>
        </w:rPr>
        <w:t xml:space="preserve">All missing = 999; </w:t>
      </w:r>
      <w:proofErr w:type="spellStart"/>
      <w:proofErr w:type="gramStart"/>
      <w:r w:rsidRPr="00ED52F4">
        <w:rPr>
          <w:sz w:val="22"/>
          <w:lang w:val="en-GB"/>
        </w:rPr>
        <w:t>n.a</w:t>
      </w:r>
      <w:proofErr w:type="spellEnd"/>
      <w:proofErr w:type="gramEnd"/>
      <w:r w:rsidRPr="00ED52F4">
        <w:rPr>
          <w:sz w:val="22"/>
          <w:lang w:val="en-GB"/>
        </w:rPr>
        <w:t>. = 888</w:t>
      </w:r>
    </w:p>
    <w:p w14:paraId="37C74C0F" w14:textId="77777777" w:rsidR="000A740E" w:rsidRPr="00ED52F4" w:rsidRDefault="000A740E">
      <w:pPr>
        <w:widowControl w:val="0"/>
        <w:ind w:left="55" w:hanging="55"/>
        <w:jc w:val="center"/>
        <w:rPr>
          <w:sz w:val="22"/>
          <w:lang w:val="en-GB"/>
        </w:rPr>
      </w:pPr>
    </w:p>
    <w:p w14:paraId="73BDB19D" w14:textId="77777777" w:rsidR="000A740E" w:rsidRPr="00ED52F4" w:rsidRDefault="000A740E">
      <w:pPr>
        <w:widowControl w:val="0"/>
        <w:ind w:left="55" w:hanging="55"/>
        <w:jc w:val="center"/>
        <w:rPr>
          <w:sz w:val="22"/>
          <w:lang w:val="en-GB"/>
        </w:rPr>
      </w:pPr>
    </w:p>
    <w:p w14:paraId="4F53CFE4" w14:textId="22565D47" w:rsidR="000A740E" w:rsidRPr="00ED52F4" w:rsidRDefault="001E1A33" w:rsidP="000A740E">
      <w:pPr>
        <w:widowControl w:val="0"/>
        <w:ind w:left="55" w:hanging="55"/>
        <w:rPr>
          <w:sz w:val="22"/>
          <w:u w:val="single"/>
          <w:lang w:val="en-GB"/>
        </w:rPr>
      </w:pPr>
      <w:r w:rsidRPr="00ED52F4">
        <w:rPr>
          <w:sz w:val="22"/>
          <w:u w:val="single"/>
          <w:lang w:val="en-GB"/>
        </w:rPr>
        <w:t xml:space="preserve">Examples for comments 1 [2, 3, </w:t>
      </w:r>
      <w:proofErr w:type="gramStart"/>
      <w:r w:rsidRPr="00ED52F4">
        <w:rPr>
          <w:sz w:val="22"/>
          <w:u w:val="single"/>
          <w:lang w:val="en-GB"/>
        </w:rPr>
        <w:t>4</w:t>
      </w:r>
      <w:proofErr w:type="gramEnd"/>
      <w:r w:rsidRPr="00ED52F4">
        <w:rPr>
          <w:sz w:val="22"/>
          <w:u w:val="single"/>
          <w:lang w:val="en-GB"/>
        </w:rPr>
        <w:t>]</w:t>
      </w:r>
      <w:r w:rsidR="000A740E" w:rsidRPr="00ED52F4">
        <w:rPr>
          <w:sz w:val="22"/>
          <w:u w:val="single"/>
          <w:lang w:val="en-GB"/>
        </w:rPr>
        <w:t>:</w:t>
      </w:r>
    </w:p>
    <w:p w14:paraId="5D5B4168" w14:textId="77777777" w:rsidR="00AC1534" w:rsidRPr="00ED52F4" w:rsidRDefault="00AC1534" w:rsidP="000A740E">
      <w:pPr>
        <w:widowControl w:val="0"/>
        <w:ind w:left="55" w:hanging="55"/>
        <w:rPr>
          <w:sz w:val="22"/>
          <w:u w:val="single"/>
          <w:lang w:val="en-GB"/>
        </w:rPr>
      </w:pPr>
    </w:p>
    <w:p w14:paraId="3A310501" w14:textId="77777777" w:rsidR="00AC1534" w:rsidRPr="00ED52F4" w:rsidRDefault="00AC1534" w:rsidP="003A34B5">
      <w:pPr>
        <w:widowControl w:val="0"/>
        <w:ind w:left="55" w:hanging="55"/>
        <w:rPr>
          <w:sz w:val="22"/>
          <w:lang w:val="en-GB"/>
        </w:rPr>
      </w:pPr>
    </w:p>
    <w:p w14:paraId="02370EF0" w14:textId="77777777" w:rsidR="00831EAB" w:rsidRPr="00ED52F4" w:rsidRDefault="00831EAB" w:rsidP="003A34B5">
      <w:pPr>
        <w:widowControl w:val="0"/>
        <w:ind w:left="55" w:hanging="55"/>
        <w:rPr>
          <w:sz w:val="22"/>
          <w:lang w:val="en-GB"/>
        </w:rPr>
      </w:pPr>
    </w:p>
    <w:p w14:paraId="50C47D22" w14:textId="77777777" w:rsidR="00831EAB" w:rsidRPr="00ED52F4" w:rsidRDefault="00831EAB" w:rsidP="003A34B5">
      <w:pPr>
        <w:widowControl w:val="0"/>
        <w:ind w:left="55" w:hanging="55"/>
        <w:rPr>
          <w:sz w:val="22"/>
          <w:lang w:val="en-GB"/>
        </w:rPr>
      </w:pPr>
    </w:p>
    <w:p w14:paraId="1D0173EB" w14:textId="68597F40" w:rsidR="001E3454" w:rsidRPr="00ED52F4" w:rsidRDefault="001E3454">
      <w:pPr>
        <w:suppressAutoHyphens w:val="0"/>
        <w:rPr>
          <w:sz w:val="22"/>
          <w:lang w:val="en-GB"/>
        </w:rPr>
      </w:pPr>
      <w:r w:rsidRPr="00ED52F4">
        <w:rPr>
          <w:sz w:val="22"/>
          <w:lang w:val="en-GB"/>
        </w:rPr>
        <w:br w:type="page"/>
      </w:r>
    </w:p>
    <w:p w14:paraId="20C3C29F" w14:textId="77777777" w:rsidR="00831EAB" w:rsidRPr="00ED52F4" w:rsidRDefault="00831EAB" w:rsidP="003A34B5">
      <w:pPr>
        <w:widowControl w:val="0"/>
        <w:ind w:left="55" w:hanging="55"/>
        <w:rPr>
          <w:sz w:val="22"/>
          <w:lang w:val="en-GB"/>
        </w:rPr>
      </w:pPr>
    </w:p>
    <w:p w14:paraId="391B81AF" w14:textId="562CF394" w:rsidR="005C1E42" w:rsidRPr="00ED52F4" w:rsidRDefault="005C1E42" w:rsidP="003A34B5">
      <w:pPr>
        <w:widowControl w:val="0"/>
        <w:ind w:left="55" w:hanging="55"/>
        <w:rPr>
          <w:sz w:val="22"/>
          <w:lang w:val="en-GB"/>
        </w:rPr>
      </w:pPr>
      <w:r w:rsidRPr="00ED52F4">
        <w:rPr>
          <w:noProof/>
          <w:lang w:val="en-GB"/>
        </w:rPr>
        <w:drawing>
          <wp:inline distT="0" distB="0" distL="0" distR="0" wp14:anchorId="1589458B" wp14:editId="02B1DD99">
            <wp:extent cx="6236970" cy="2851785"/>
            <wp:effectExtent l="0" t="0" r="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7EE391" w14:textId="77777777" w:rsidR="005C1E42" w:rsidRPr="00ED52F4" w:rsidRDefault="005C1E42" w:rsidP="003A34B5">
      <w:pPr>
        <w:widowControl w:val="0"/>
        <w:ind w:left="55" w:hanging="55"/>
        <w:rPr>
          <w:sz w:val="22"/>
          <w:lang w:val="en-GB"/>
        </w:rPr>
      </w:pPr>
    </w:p>
    <w:p w14:paraId="08ED1389" w14:textId="77777777" w:rsidR="005C1E42" w:rsidRPr="00ED52F4" w:rsidRDefault="005C1E42" w:rsidP="003A34B5">
      <w:pPr>
        <w:widowControl w:val="0"/>
        <w:ind w:left="55" w:hanging="55"/>
        <w:rPr>
          <w:sz w:val="22"/>
          <w:lang w:val="en-GB"/>
        </w:rPr>
      </w:pPr>
    </w:p>
    <w:p w14:paraId="110E1C4A" w14:textId="77777777" w:rsidR="00831EAB" w:rsidRPr="00ED52F4" w:rsidRDefault="00831EAB" w:rsidP="003A34B5">
      <w:pPr>
        <w:widowControl w:val="0"/>
        <w:ind w:left="55" w:hanging="55"/>
        <w:rPr>
          <w:sz w:val="22"/>
          <w:lang w:val="en-GB"/>
        </w:rPr>
      </w:pPr>
    </w:p>
    <w:p w14:paraId="65600425" w14:textId="77777777" w:rsidR="00831EAB" w:rsidRPr="00ED52F4" w:rsidRDefault="00831EAB" w:rsidP="003A34B5">
      <w:pPr>
        <w:widowControl w:val="0"/>
        <w:ind w:left="55" w:hanging="55"/>
        <w:rPr>
          <w:sz w:val="22"/>
          <w:lang w:val="en-GB"/>
        </w:rPr>
      </w:pPr>
    </w:p>
    <w:p w14:paraId="7807348D" w14:textId="77777777" w:rsidR="00AC1534" w:rsidRPr="00ED52F4" w:rsidRDefault="00AC1534" w:rsidP="00AC1534">
      <w:pPr>
        <w:widowControl w:val="0"/>
        <w:ind w:left="55" w:hanging="55"/>
        <w:rPr>
          <w:sz w:val="22"/>
          <w:u w:val="single"/>
          <w:lang w:val="en-GB"/>
        </w:rPr>
      </w:pPr>
    </w:p>
    <w:p w14:paraId="02AF4073" w14:textId="719D9B16" w:rsidR="00EB29CA" w:rsidRPr="00ED52F4" w:rsidRDefault="005C1E42" w:rsidP="00AC1534">
      <w:pPr>
        <w:widowControl w:val="0"/>
        <w:ind w:left="55" w:hanging="55"/>
        <w:rPr>
          <w:sz w:val="22"/>
          <w:u w:val="single"/>
          <w:lang w:val="en-GB"/>
        </w:rPr>
      </w:pPr>
      <w:r w:rsidRPr="00ED52F4">
        <w:rPr>
          <w:noProof/>
          <w:lang w:val="en-GB"/>
        </w:rPr>
        <w:drawing>
          <wp:inline distT="0" distB="0" distL="0" distR="0" wp14:anchorId="45464C9B" wp14:editId="67732CA9">
            <wp:extent cx="6237027" cy="315214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BE33EC" w14:textId="77777777" w:rsidR="001E3454" w:rsidRPr="00ED52F4" w:rsidRDefault="001E3454" w:rsidP="00AC1534">
      <w:pPr>
        <w:widowControl w:val="0"/>
        <w:ind w:left="55" w:hanging="55"/>
        <w:rPr>
          <w:sz w:val="22"/>
          <w:u w:val="single"/>
          <w:lang w:val="en-GB"/>
        </w:rPr>
      </w:pPr>
    </w:p>
    <w:p w14:paraId="63DAC3D1" w14:textId="77777777" w:rsidR="001E3454" w:rsidRPr="00ED52F4" w:rsidRDefault="001E3454" w:rsidP="00AC1534">
      <w:pPr>
        <w:widowControl w:val="0"/>
        <w:ind w:left="55" w:hanging="55"/>
        <w:rPr>
          <w:sz w:val="22"/>
          <w:u w:val="single"/>
          <w:lang w:val="en-GB"/>
        </w:rPr>
      </w:pPr>
    </w:p>
    <w:p w14:paraId="5A971605" w14:textId="77777777" w:rsidR="001E3454" w:rsidRPr="00ED52F4" w:rsidRDefault="001E3454" w:rsidP="00AC1534">
      <w:pPr>
        <w:widowControl w:val="0"/>
        <w:ind w:left="55" w:hanging="55"/>
        <w:rPr>
          <w:sz w:val="22"/>
          <w:u w:val="single"/>
          <w:lang w:val="en-GB"/>
        </w:rPr>
      </w:pPr>
    </w:p>
    <w:p w14:paraId="7134A9A3" w14:textId="77777777" w:rsidR="001E3454" w:rsidRPr="00ED52F4" w:rsidRDefault="001E3454" w:rsidP="00AC1534">
      <w:pPr>
        <w:widowControl w:val="0"/>
        <w:ind w:left="55" w:hanging="55"/>
        <w:rPr>
          <w:sz w:val="22"/>
          <w:u w:val="single"/>
          <w:lang w:val="en-GB"/>
        </w:rPr>
      </w:pPr>
    </w:p>
    <w:p w14:paraId="0C5CBAAB" w14:textId="5C71EDB0" w:rsidR="001E3454" w:rsidRPr="00ED52F4" w:rsidRDefault="001E3454">
      <w:pPr>
        <w:suppressAutoHyphens w:val="0"/>
        <w:rPr>
          <w:sz w:val="22"/>
          <w:u w:val="single"/>
          <w:lang w:val="en-GB"/>
        </w:rPr>
      </w:pPr>
      <w:r w:rsidRPr="00ED52F4">
        <w:rPr>
          <w:sz w:val="22"/>
          <w:u w:val="single"/>
          <w:lang w:val="en-GB"/>
        </w:rPr>
        <w:br w:type="page"/>
      </w:r>
    </w:p>
    <w:p w14:paraId="19B8624A" w14:textId="7F6FD4FD" w:rsidR="001E3454" w:rsidRPr="00ED52F4" w:rsidRDefault="001E3454" w:rsidP="00AC1534">
      <w:pPr>
        <w:widowControl w:val="0"/>
        <w:ind w:left="55" w:hanging="55"/>
        <w:rPr>
          <w:b/>
          <w:lang w:val="en-GB"/>
        </w:rPr>
      </w:pPr>
      <w:r w:rsidRPr="00ED52F4">
        <w:rPr>
          <w:b/>
          <w:lang w:val="en-GB"/>
        </w:rPr>
        <w:lastRenderedPageBreak/>
        <w:t>Statistical power curves based on computer simulation</w:t>
      </w:r>
    </w:p>
    <w:p w14:paraId="0D70169F" w14:textId="77777777" w:rsidR="001E3454" w:rsidRPr="00ED52F4" w:rsidRDefault="001E3454" w:rsidP="00AC1534">
      <w:pPr>
        <w:widowControl w:val="0"/>
        <w:ind w:left="55" w:hanging="55"/>
        <w:rPr>
          <w:lang w:val="en-GB"/>
        </w:rPr>
      </w:pPr>
    </w:p>
    <w:p w14:paraId="202090C7" w14:textId="63EABFAF" w:rsidR="001E3454" w:rsidRPr="00ED52F4" w:rsidRDefault="001E3454" w:rsidP="000579BD">
      <w:pPr>
        <w:widowControl w:val="0"/>
        <w:jc w:val="both"/>
        <w:rPr>
          <w:lang w:val="en-GB"/>
        </w:rPr>
      </w:pPr>
      <w:r w:rsidRPr="00ED52F4">
        <w:rPr>
          <w:lang w:val="en-GB"/>
        </w:rPr>
        <w:t>Estimated power for ANOVA, ANCOVA, and short pre-to-post EMA for frequent sample sizes.</w:t>
      </w:r>
      <w:r w:rsidR="000310B2" w:rsidRPr="00ED52F4">
        <w:rPr>
          <w:lang w:val="en-GB"/>
        </w:rPr>
        <w:t xml:space="preserve"> Simulation parameters were based on several empirical studies. </w:t>
      </w:r>
      <w:r w:rsidR="000579BD" w:rsidRPr="00ED52F4">
        <w:rPr>
          <w:lang w:val="en-GB"/>
        </w:rPr>
        <w:t>4</w:t>
      </w:r>
      <w:r w:rsidR="000310B2" w:rsidRPr="00ED52F4">
        <w:rPr>
          <w:lang w:val="en-GB"/>
        </w:rPr>
        <w:t xml:space="preserve">000 virtual studies </w:t>
      </w:r>
      <w:r w:rsidR="000579BD" w:rsidRPr="00ED52F4">
        <w:rPr>
          <w:lang w:val="en-GB"/>
        </w:rPr>
        <w:t>(N=50-200) with 64 effect sizes</w:t>
      </w:r>
      <w:r w:rsidR="000310B2" w:rsidRPr="00ED52F4">
        <w:rPr>
          <w:lang w:val="en-GB"/>
        </w:rPr>
        <w:t xml:space="preserve"> were produced before the statistical test of interest was applied</w:t>
      </w:r>
      <w:r w:rsidR="000579BD" w:rsidRPr="00ED52F4">
        <w:rPr>
          <w:lang w:val="en-GB"/>
        </w:rPr>
        <w:t xml:space="preserve">. Power was logged as the proportion of positive over all applied tests. Linear mixed models produced comparable outcomes. The full study with further simulations is provided </w:t>
      </w:r>
      <w:hyperlink r:id="rId9" w:anchor="ec0005" w:history="1">
        <w:r w:rsidR="000579BD" w:rsidRPr="00ED52F4">
          <w:rPr>
            <w:rStyle w:val="Hyperlink"/>
            <w:b/>
            <w:color w:val="0070C0"/>
            <w:u w:val="none"/>
            <w:lang w:val="en-GB"/>
          </w:rPr>
          <w:t>here</w:t>
        </w:r>
      </w:hyperlink>
      <w:r w:rsidR="000579BD" w:rsidRPr="00ED52F4">
        <w:rPr>
          <w:lang w:val="en-GB"/>
        </w:rPr>
        <w:t xml:space="preserve">. Distance between solid and dashed blue lines: gains in power due to applying ANCOVA (with baseline level as covariate) instead of ANOVA. Distance between solid lines: gains in power due to multiple pre-post assessment. </w:t>
      </w:r>
    </w:p>
    <w:p w14:paraId="6B5E2F53" w14:textId="77777777" w:rsidR="001E3454" w:rsidRPr="00ED52F4" w:rsidRDefault="001E3454" w:rsidP="00AC1534">
      <w:pPr>
        <w:widowControl w:val="0"/>
        <w:ind w:left="55" w:hanging="55"/>
        <w:rPr>
          <w:lang w:val="en-GB"/>
        </w:rPr>
      </w:pPr>
    </w:p>
    <w:p w14:paraId="174A6593" w14:textId="5F887D04" w:rsidR="001E3454" w:rsidRPr="00ED52F4" w:rsidRDefault="001E3454" w:rsidP="00AC1534">
      <w:pPr>
        <w:widowControl w:val="0"/>
        <w:ind w:left="55" w:hanging="55"/>
        <w:rPr>
          <w:lang w:val="en-GB"/>
        </w:rPr>
      </w:pPr>
      <w:r w:rsidRPr="00ED52F4">
        <w:rPr>
          <w:noProof/>
          <w:lang w:val="en-GB"/>
        </w:rPr>
        <w:drawing>
          <wp:inline distT="0" distB="0" distL="0" distR="0" wp14:anchorId="42886828" wp14:editId="2732B64D">
            <wp:extent cx="6115050" cy="463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638675"/>
                    </a:xfrm>
                    <a:prstGeom prst="rect">
                      <a:avLst/>
                    </a:prstGeom>
                    <a:noFill/>
                    <a:ln>
                      <a:noFill/>
                    </a:ln>
                  </pic:spPr>
                </pic:pic>
              </a:graphicData>
            </a:graphic>
          </wp:inline>
        </w:drawing>
      </w:r>
    </w:p>
    <w:p w14:paraId="1C276F2D" w14:textId="1E5C47D2" w:rsidR="001E3454" w:rsidRDefault="001E3454" w:rsidP="00AC1534">
      <w:pPr>
        <w:widowControl w:val="0"/>
        <w:ind w:left="55" w:hanging="55"/>
        <w:rPr>
          <w:lang w:val="en-GB"/>
        </w:rPr>
      </w:pPr>
      <w:r w:rsidRPr="00ED52F4">
        <w:rPr>
          <w:lang w:val="en-GB"/>
        </w:rPr>
        <w:t xml:space="preserve">Note. ANCOVA = baseline covariate; MPPA = multiple pre-post-assessments (5-fold); </w:t>
      </w:r>
      <w:proofErr w:type="gramStart"/>
      <w:r w:rsidRPr="00ED52F4">
        <w:rPr>
          <w:lang w:val="en-GB"/>
        </w:rPr>
        <w:t>r(</w:t>
      </w:r>
      <w:proofErr w:type="gramEnd"/>
      <w:r w:rsidRPr="00ED52F4">
        <w:rPr>
          <w:lang w:val="en-GB"/>
        </w:rPr>
        <w:t xml:space="preserve">rep) = </w:t>
      </w:r>
      <w:r w:rsidR="000310B2" w:rsidRPr="00ED52F4">
        <w:rPr>
          <w:lang w:val="en-GB"/>
        </w:rPr>
        <w:t>correlation of repeated measures; r(pre-post) = correlation from pre- to post-assessment.</w:t>
      </w:r>
    </w:p>
    <w:p w14:paraId="2FE0E2B9" w14:textId="77777777" w:rsidR="001E3454" w:rsidRDefault="001E3454" w:rsidP="00AC1534">
      <w:pPr>
        <w:widowControl w:val="0"/>
        <w:ind w:left="55" w:hanging="55"/>
        <w:rPr>
          <w:lang w:val="en-GB"/>
        </w:rPr>
      </w:pPr>
    </w:p>
    <w:p w14:paraId="616690B9" w14:textId="77777777" w:rsidR="001E3454" w:rsidRDefault="001E3454" w:rsidP="00AC1534">
      <w:pPr>
        <w:widowControl w:val="0"/>
        <w:ind w:left="55" w:hanging="55"/>
        <w:rPr>
          <w:lang w:val="en-GB"/>
        </w:rPr>
      </w:pPr>
    </w:p>
    <w:p w14:paraId="36CAE7EB" w14:textId="77777777" w:rsidR="001E3454" w:rsidRPr="001E3454" w:rsidRDefault="001E3454" w:rsidP="00AC1534">
      <w:pPr>
        <w:widowControl w:val="0"/>
        <w:ind w:left="55" w:hanging="55"/>
        <w:rPr>
          <w:lang w:val="en-GB"/>
        </w:rPr>
      </w:pPr>
      <w:bookmarkStart w:id="0" w:name="_GoBack"/>
      <w:bookmarkEnd w:id="0"/>
    </w:p>
    <w:sectPr w:rsidR="001E3454" w:rsidRPr="001E3454">
      <w:footerReference w:type="default" r:id="rId11"/>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56230" w14:textId="77777777" w:rsidR="00797401" w:rsidRDefault="00797401">
      <w:r>
        <w:separator/>
      </w:r>
    </w:p>
  </w:endnote>
  <w:endnote w:type="continuationSeparator" w:id="0">
    <w:p w14:paraId="16CA73EB" w14:textId="77777777" w:rsidR="00797401" w:rsidRDefault="0079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782751"/>
      <w:docPartObj>
        <w:docPartGallery w:val="Page Numbers (Bottom of Page)"/>
        <w:docPartUnique/>
      </w:docPartObj>
    </w:sdtPr>
    <w:sdtEndPr>
      <w:rPr>
        <w:noProof/>
      </w:rPr>
    </w:sdtEndPr>
    <w:sdtContent>
      <w:p w14:paraId="371AA8EE" w14:textId="773DEF0D" w:rsidR="007C70F6" w:rsidRDefault="007C70F6">
        <w:pPr>
          <w:pStyle w:val="Footer"/>
          <w:jc w:val="right"/>
        </w:pPr>
        <w:r>
          <w:fldChar w:fldCharType="begin"/>
        </w:r>
        <w:r>
          <w:instrText xml:space="preserve"> PAGE   \* MERGEFORMAT </w:instrText>
        </w:r>
        <w:r>
          <w:fldChar w:fldCharType="separate"/>
        </w:r>
        <w:r w:rsidR="00ED52F4">
          <w:rPr>
            <w:noProof/>
          </w:rPr>
          <w:t>7</w:t>
        </w:r>
        <w:r>
          <w:rPr>
            <w:noProof/>
          </w:rPr>
          <w:fldChar w:fldCharType="end"/>
        </w:r>
      </w:p>
    </w:sdtContent>
  </w:sdt>
  <w:p w14:paraId="7DA944EC" w14:textId="77777777" w:rsidR="00975577" w:rsidRDefault="00975577">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F4E45" w14:textId="77777777" w:rsidR="00797401" w:rsidRDefault="00797401">
      <w:r>
        <w:separator/>
      </w:r>
    </w:p>
  </w:footnote>
  <w:footnote w:type="continuationSeparator" w:id="0">
    <w:p w14:paraId="5F0FC15D" w14:textId="77777777" w:rsidR="00797401" w:rsidRDefault="00797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230"/>
    <w:multiLevelType w:val="hybridMultilevel"/>
    <w:tmpl w:val="2E446CFC"/>
    <w:lvl w:ilvl="0" w:tplc="C1E0690A">
      <w:start w:val="14"/>
      <w:numFmt w:val="bullet"/>
      <w:lvlText w:val=""/>
      <w:lvlJc w:val="left"/>
      <w:pPr>
        <w:ind w:left="720" w:hanging="360"/>
      </w:pPr>
      <w:rPr>
        <w:rFonts w:ascii="Symbol" w:eastAsia="Arial Unicode MS" w:hAnsi="Symbol" w:cs="Arial Unicode M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AE3E51"/>
    <w:multiLevelType w:val="hybridMultilevel"/>
    <w:tmpl w:val="7E680464"/>
    <w:lvl w:ilvl="0" w:tplc="789673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B640E"/>
    <w:multiLevelType w:val="hybridMultilevel"/>
    <w:tmpl w:val="7B201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FD5877"/>
    <w:multiLevelType w:val="hybridMultilevel"/>
    <w:tmpl w:val="C66E22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77"/>
    <w:rsid w:val="000310B2"/>
    <w:rsid w:val="000579BD"/>
    <w:rsid w:val="000A740E"/>
    <w:rsid w:val="000B0685"/>
    <w:rsid w:val="001D1256"/>
    <w:rsid w:val="001E1A33"/>
    <w:rsid w:val="001E3454"/>
    <w:rsid w:val="001F3705"/>
    <w:rsid w:val="00276035"/>
    <w:rsid w:val="00280D7E"/>
    <w:rsid w:val="00387167"/>
    <w:rsid w:val="003954C3"/>
    <w:rsid w:val="003A34B5"/>
    <w:rsid w:val="003C0936"/>
    <w:rsid w:val="00456E36"/>
    <w:rsid w:val="0050336C"/>
    <w:rsid w:val="00593150"/>
    <w:rsid w:val="005C1E42"/>
    <w:rsid w:val="005F6B99"/>
    <w:rsid w:val="00602111"/>
    <w:rsid w:val="00661189"/>
    <w:rsid w:val="00664015"/>
    <w:rsid w:val="006F171D"/>
    <w:rsid w:val="00706CA5"/>
    <w:rsid w:val="00797401"/>
    <w:rsid w:val="007C2C57"/>
    <w:rsid w:val="007C70F6"/>
    <w:rsid w:val="00807036"/>
    <w:rsid w:val="00831EAB"/>
    <w:rsid w:val="0087666D"/>
    <w:rsid w:val="008A362A"/>
    <w:rsid w:val="0093326E"/>
    <w:rsid w:val="00975577"/>
    <w:rsid w:val="00AA772C"/>
    <w:rsid w:val="00AC1534"/>
    <w:rsid w:val="00AF052F"/>
    <w:rsid w:val="00B30AF0"/>
    <w:rsid w:val="00BC7407"/>
    <w:rsid w:val="00C40372"/>
    <w:rsid w:val="00CB6347"/>
    <w:rsid w:val="00DF451E"/>
    <w:rsid w:val="00E02D6F"/>
    <w:rsid w:val="00E57CFE"/>
    <w:rsid w:val="00EB29CA"/>
    <w:rsid w:val="00ED5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351"/>
  <w15:docId w15:val="{48076427-F87E-49E2-BD1B-2F258760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cs="Arial Unicode MS"/>
      <w:color w:val="000000"/>
      <w:kern w:val="2"/>
      <w:sz w:val="24"/>
      <w:szCs w:val="24"/>
      <w:u w:color="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abelleninhalt">
    <w:name w:val="Tabelleninhalt"/>
    <w:pPr>
      <w:suppressAutoHyphens/>
    </w:pPr>
    <w:rPr>
      <w:rFonts w:cs="Arial Unicode MS"/>
      <w:color w:val="000000"/>
      <w:kern w:val="2"/>
      <w:sz w:val="24"/>
      <w:szCs w:val="24"/>
      <w:u w:color="000000"/>
      <w:lang w:val="de-DE"/>
    </w:rPr>
  </w:style>
  <w:style w:type="character" w:styleId="CommentReference">
    <w:name w:val="annotation reference"/>
    <w:basedOn w:val="DefaultParagraphFont"/>
    <w:uiPriority w:val="99"/>
    <w:semiHidden/>
    <w:unhideWhenUsed/>
    <w:rsid w:val="001D1256"/>
    <w:rPr>
      <w:sz w:val="16"/>
      <w:szCs w:val="16"/>
    </w:rPr>
  </w:style>
  <w:style w:type="paragraph" w:styleId="CommentText">
    <w:name w:val="annotation text"/>
    <w:basedOn w:val="Normal"/>
    <w:link w:val="CommentTextChar"/>
    <w:uiPriority w:val="99"/>
    <w:semiHidden/>
    <w:unhideWhenUsed/>
    <w:rsid w:val="001D1256"/>
    <w:rPr>
      <w:sz w:val="20"/>
      <w:szCs w:val="20"/>
    </w:rPr>
  </w:style>
  <w:style w:type="character" w:customStyle="1" w:styleId="CommentTextChar">
    <w:name w:val="Comment Text Char"/>
    <w:basedOn w:val="DefaultParagraphFont"/>
    <w:link w:val="CommentText"/>
    <w:uiPriority w:val="99"/>
    <w:semiHidden/>
    <w:rsid w:val="001D1256"/>
    <w:rPr>
      <w:rFonts w:cs="Arial Unicode MS"/>
      <w:color w:val="000000"/>
      <w:kern w:val="2"/>
      <w:u w:color="000000"/>
      <w:lang w:val="de-DE"/>
    </w:rPr>
  </w:style>
  <w:style w:type="paragraph" w:styleId="CommentSubject">
    <w:name w:val="annotation subject"/>
    <w:basedOn w:val="CommentText"/>
    <w:next w:val="CommentText"/>
    <w:link w:val="CommentSubjectChar"/>
    <w:uiPriority w:val="99"/>
    <w:semiHidden/>
    <w:unhideWhenUsed/>
    <w:rsid w:val="001D1256"/>
    <w:rPr>
      <w:b/>
      <w:bCs/>
    </w:rPr>
  </w:style>
  <w:style w:type="character" w:customStyle="1" w:styleId="CommentSubjectChar">
    <w:name w:val="Comment Subject Char"/>
    <w:basedOn w:val="CommentTextChar"/>
    <w:link w:val="CommentSubject"/>
    <w:uiPriority w:val="99"/>
    <w:semiHidden/>
    <w:rsid w:val="001D1256"/>
    <w:rPr>
      <w:rFonts w:cs="Arial Unicode MS"/>
      <w:b/>
      <w:bCs/>
      <w:color w:val="000000"/>
      <w:kern w:val="2"/>
      <w:u w:color="000000"/>
      <w:lang w:val="de-DE"/>
    </w:rPr>
  </w:style>
  <w:style w:type="paragraph" w:styleId="BalloonText">
    <w:name w:val="Balloon Text"/>
    <w:basedOn w:val="Normal"/>
    <w:link w:val="BalloonTextChar"/>
    <w:uiPriority w:val="99"/>
    <w:semiHidden/>
    <w:unhideWhenUsed/>
    <w:rsid w:val="001D1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256"/>
    <w:rPr>
      <w:rFonts w:ascii="Segoe UI" w:hAnsi="Segoe UI" w:cs="Segoe UI"/>
      <w:color w:val="000000"/>
      <w:kern w:val="2"/>
      <w:sz w:val="18"/>
      <w:szCs w:val="18"/>
      <w:u w:color="000000"/>
      <w:lang w:val="de-DE"/>
    </w:rPr>
  </w:style>
  <w:style w:type="paragraph" w:styleId="ListParagraph">
    <w:name w:val="List Paragraph"/>
    <w:basedOn w:val="Normal"/>
    <w:uiPriority w:val="34"/>
    <w:qFormat/>
    <w:rsid w:val="007C70F6"/>
    <w:pPr>
      <w:ind w:left="720"/>
      <w:contextualSpacing/>
    </w:pPr>
  </w:style>
  <w:style w:type="paragraph" w:styleId="Header">
    <w:name w:val="header"/>
    <w:basedOn w:val="Normal"/>
    <w:link w:val="HeaderChar"/>
    <w:uiPriority w:val="99"/>
    <w:unhideWhenUsed/>
    <w:rsid w:val="007C70F6"/>
    <w:pPr>
      <w:tabs>
        <w:tab w:val="center" w:pos="4536"/>
        <w:tab w:val="right" w:pos="9072"/>
      </w:tabs>
    </w:pPr>
  </w:style>
  <w:style w:type="character" w:customStyle="1" w:styleId="HeaderChar">
    <w:name w:val="Header Char"/>
    <w:basedOn w:val="DefaultParagraphFont"/>
    <w:link w:val="Header"/>
    <w:uiPriority w:val="99"/>
    <w:rsid w:val="007C70F6"/>
    <w:rPr>
      <w:rFonts w:cs="Arial Unicode MS"/>
      <w:color w:val="000000"/>
      <w:kern w:val="2"/>
      <w:sz w:val="24"/>
      <w:szCs w:val="24"/>
      <w:u w:color="000000"/>
      <w:lang w:val="de-DE"/>
    </w:rPr>
  </w:style>
  <w:style w:type="paragraph" w:styleId="Footer">
    <w:name w:val="footer"/>
    <w:basedOn w:val="Normal"/>
    <w:link w:val="FooterChar"/>
    <w:uiPriority w:val="99"/>
    <w:unhideWhenUsed/>
    <w:rsid w:val="007C70F6"/>
    <w:pPr>
      <w:tabs>
        <w:tab w:val="center" w:pos="4536"/>
        <w:tab w:val="right" w:pos="9072"/>
      </w:tabs>
    </w:pPr>
  </w:style>
  <w:style w:type="character" w:customStyle="1" w:styleId="FooterChar">
    <w:name w:val="Footer Char"/>
    <w:basedOn w:val="DefaultParagraphFont"/>
    <w:link w:val="Footer"/>
    <w:uiPriority w:val="99"/>
    <w:rsid w:val="007C70F6"/>
    <w:rPr>
      <w:rFonts w:cs="Arial Unicode MS"/>
      <w:color w:val="000000"/>
      <w:kern w:val="2"/>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sciencedirect.com/science/article/pii/S221478291930082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b="0"/>
              <a:t>Distribution</a:t>
            </a:r>
            <a:r>
              <a:rPr lang="en-GB" sz="1400" b="0" baseline="0"/>
              <a:t> of achieved s</a:t>
            </a:r>
            <a:r>
              <a:rPr lang="en-GB" sz="1400" b="0"/>
              <a:t>ample sizes </a:t>
            </a:r>
          </a:p>
        </c:rich>
      </c:tx>
      <c:layout>
        <c:manualLayout>
          <c:xMode val="edge"/>
          <c:yMode val="edge"/>
          <c:x val="0.10316307437746214"/>
          <c:y val="2.6720106880427523E-2"/>
        </c:manualLayout>
      </c:layout>
      <c:overlay val="0"/>
    </c:title>
    <c:autoTitleDeleted val="0"/>
    <c:plotArea>
      <c:layout/>
      <c:barChart>
        <c:barDir val="col"/>
        <c:grouping val="clustered"/>
        <c:varyColors val="0"/>
        <c:ser>
          <c:idx val="0"/>
          <c:order val="0"/>
          <c:tx>
            <c:v>Frequency</c:v>
          </c:tx>
          <c:invertIfNegative val="0"/>
          <c:cat>
            <c:strRef>
              <c:f>Sheet8!$A$2:$A$17</c:f>
              <c:strCache>
                <c:ptCount val="16"/>
                <c:pt idx="0">
                  <c:v>50</c:v>
                </c:pt>
                <c:pt idx="1">
                  <c:v>75</c:v>
                </c:pt>
                <c:pt idx="2">
                  <c:v>100</c:v>
                </c:pt>
                <c:pt idx="3">
                  <c:v>125</c:v>
                </c:pt>
                <c:pt idx="4">
                  <c:v>150</c:v>
                </c:pt>
                <c:pt idx="5">
                  <c:v>200</c:v>
                </c:pt>
                <c:pt idx="6">
                  <c:v>250</c:v>
                </c:pt>
                <c:pt idx="7">
                  <c:v>300</c:v>
                </c:pt>
                <c:pt idx="8">
                  <c:v>400</c:v>
                </c:pt>
                <c:pt idx="9">
                  <c:v>500</c:v>
                </c:pt>
                <c:pt idx="10">
                  <c:v>600</c:v>
                </c:pt>
                <c:pt idx="11">
                  <c:v>700</c:v>
                </c:pt>
                <c:pt idx="12">
                  <c:v>800</c:v>
                </c:pt>
                <c:pt idx="13">
                  <c:v>900</c:v>
                </c:pt>
                <c:pt idx="14">
                  <c:v>1000</c:v>
                </c:pt>
                <c:pt idx="15">
                  <c:v>More</c:v>
                </c:pt>
              </c:strCache>
            </c:strRef>
          </c:cat>
          <c:val>
            <c:numRef>
              <c:f>Sheet8!$B$2:$B$17</c:f>
              <c:numCache>
                <c:formatCode>General</c:formatCode>
                <c:ptCount val="16"/>
                <c:pt idx="0">
                  <c:v>8</c:v>
                </c:pt>
                <c:pt idx="1">
                  <c:v>8</c:v>
                </c:pt>
                <c:pt idx="2">
                  <c:v>10</c:v>
                </c:pt>
                <c:pt idx="3">
                  <c:v>5</c:v>
                </c:pt>
                <c:pt idx="4">
                  <c:v>8</c:v>
                </c:pt>
                <c:pt idx="5">
                  <c:v>7</c:v>
                </c:pt>
                <c:pt idx="6">
                  <c:v>2</c:v>
                </c:pt>
                <c:pt idx="7">
                  <c:v>0</c:v>
                </c:pt>
                <c:pt idx="8">
                  <c:v>1</c:v>
                </c:pt>
                <c:pt idx="9">
                  <c:v>2</c:v>
                </c:pt>
                <c:pt idx="10">
                  <c:v>2</c:v>
                </c:pt>
                <c:pt idx="11">
                  <c:v>0</c:v>
                </c:pt>
                <c:pt idx="12">
                  <c:v>1</c:v>
                </c:pt>
                <c:pt idx="13">
                  <c:v>0</c:v>
                </c:pt>
                <c:pt idx="14">
                  <c:v>1</c:v>
                </c:pt>
                <c:pt idx="15">
                  <c:v>0</c:v>
                </c:pt>
              </c:numCache>
            </c:numRef>
          </c:val>
        </c:ser>
        <c:dLbls>
          <c:showLegendKey val="0"/>
          <c:showVal val="0"/>
          <c:showCatName val="0"/>
          <c:showSerName val="0"/>
          <c:showPercent val="0"/>
          <c:showBubbleSize val="0"/>
        </c:dLbls>
        <c:gapWidth val="150"/>
        <c:axId val="1380566624"/>
        <c:axId val="1380569888"/>
      </c:barChart>
      <c:lineChart>
        <c:grouping val="standard"/>
        <c:varyColors val="0"/>
        <c:ser>
          <c:idx val="1"/>
          <c:order val="1"/>
          <c:tx>
            <c:v>Cumulative %</c:v>
          </c:tx>
          <c:cat>
            <c:strRef>
              <c:f>Sheet8!$A$2:$A$17</c:f>
              <c:strCache>
                <c:ptCount val="16"/>
                <c:pt idx="0">
                  <c:v>50</c:v>
                </c:pt>
                <c:pt idx="1">
                  <c:v>75</c:v>
                </c:pt>
                <c:pt idx="2">
                  <c:v>100</c:v>
                </c:pt>
                <c:pt idx="3">
                  <c:v>125</c:v>
                </c:pt>
                <c:pt idx="4">
                  <c:v>150</c:v>
                </c:pt>
                <c:pt idx="5">
                  <c:v>200</c:v>
                </c:pt>
                <c:pt idx="6">
                  <c:v>250</c:v>
                </c:pt>
                <c:pt idx="7">
                  <c:v>300</c:v>
                </c:pt>
                <c:pt idx="8">
                  <c:v>400</c:v>
                </c:pt>
                <c:pt idx="9">
                  <c:v>500</c:v>
                </c:pt>
                <c:pt idx="10">
                  <c:v>600</c:v>
                </c:pt>
                <c:pt idx="11">
                  <c:v>700</c:v>
                </c:pt>
                <c:pt idx="12">
                  <c:v>800</c:v>
                </c:pt>
                <c:pt idx="13">
                  <c:v>900</c:v>
                </c:pt>
                <c:pt idx="14">
                  <c:v>1000</c:v>
                </c:pt>
                <c:pt idx="15">
                  <c:v>More</c:v>
                </c:pt>
              </c:strCache>
            </c:strRef>
          </c:cat>
          <c:val>
            <c:numRef>
              <c:f>Sheet8!$C$2:$C$17</c:f>
              <c:numCache>
                <c:formatCode>0.00%</c:formatCode>
                <c:ptCount val="16"/>
                <c:pt idx="0">
                  <c:v>0.14545454545454545</c:v>
                </c:pt>
                <c:pt idx="1">
                  <c:v>0.29090909090909089</c:v>
                </c:pt>
                <c:pt idx="2">
                  <c:v>0.47272727272727272</c:v>
                </c:pt>
                <c:pt idx="3">
                  <c:v>0.5636363636363636</c:v>
                </c:pt>
                <c:pt idx="4">
                  <c:v>0.70909090909090911</c:v>
                </c:pt>
                <c:pt idx="5">
                  <c:v>0.83636363636363631</c:v>
                </c:pt>
                <c:pt idx="6">
                  <c:v>0.87272727272727268</c:v>
                </c:pt>
                <c:pt idx="7">
                  <c:v>0.87272727272727268</c:v>
                </c:pt>
                <c:pt idx="8">
                  <c:v>0.89090909090909087</c:v>
                </c:pt>
                <c:pt idx="9">
                  <c:v>0.92727272727272725</c:v>
                </c:pt>
                <c:pt idx="10">
                  <c:v>0.96363636363636362</c:v>
                </c:pt>
                <c:pt idx="11">
                  <c:v>0.96363636363636362</c:v>
                </c:pt>
                <c:pt idx="12">
                  <c:v>0.98181818181818181</c:v>
                </c:pt>
                <c:pt idx="13">
                  <c:v>0.98181818181818181</c:v>
                </c:pt>
                <c:pt idx="14">
                  <c:v>1</c:v>
                </c:pt>
                <c:pt idx="15">
                  <c:v>1</c:v>
                </c:pt>
              </c:numCache>
            </c:numRef>
          </c:val>
          <c:smooth val="0"/>
        </c:ser>
        <c:dLbls>
          <c:showLegendKey val="0"/>
          <c:showVal val="0"/>
          <c:showCatName val="0"/>
          <c:showSerName val="0"/>
          <c:showPercent val="0"/>
          <c:showBubbleSize val="0"/>
        </c:dLbls>
        <c:marker val="1"/>
        <c:smooth val="0"/>
        <c:axId val="1536466592"/>
        <c:axId val="1536463328"/>
      </c:lineChart>
      <c:catAx>
        <c:axId val="1380566624"/>
        <c:scaling>
          <c:orientation val="minMax"/>
        </c:scaling>
        <c:delete val="0"/>
        <c:axPos val="b"/>
        <c:title>
          <c:tx>
            <c:rich>
              <a:bodyPr/>
              <a:lstStyle/>
              <a:p>
                <a:pPr>
                  <a:defRPr/>
                </a:pPr>
                <a:r>
                  <a:rPr lang="en-GB"/>
                  <a:t>Sample size</a:t>
                </a:r>
              </a:p>
            </c:rich>
          </c:tx>
          <c:overlay val="0"/>
        </c:title>
        <c:numFmt formatCode="General" sourceLinked="1"/>
        <c:majorTickMark val="out"/>
        <c:minorTickMark val="none"/>
        <c:tickLblPos val="nextTo"/>
        <c:crossAx val="1380569888"/>
        <c:crosses val="autoZero"/>
        <c:auto val="1"/>
        <c:lblAlgn val="ctr"/>
        <c:lblOffset val="100"/>
        <c:noMultiLvlLbl val="0"/>
      </c:catAx>
      <c:valAx>
        <c:axId val="1380569888"/>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1380566624"/>
        <c:crosses val="autoZero"/>
        <c:crossBetween val="between"/>
      </c:valAx>
      <c:valAx>
        <c:axId val="1536463328"/>
        <c:scaling>
          <c:orientation val="minMax"/>
        </c:scaling>
        <c:delete val="0"/>
        <c:axPos val="r"/>
        <c:numFmt formatCode="0.00%" sourceLinked="1"/>
        <c:majorTickMark val="out"/>
        <c:minorTickMark val="none"/>
        <c:tickLblPos val="nextTo"/>
        <c:crossAx val="1536466592"/>
        <c:crosses val="max"/>
        <c:crossBetween val="between"/>
      </c:valAx>
      <c:catAx>
        <c:axId val="1536466592"/>
        <c:scaling>
          <c:orientation val="minMax"/>
        </c:scaling>
        <c:delete val="1"/>
        <c:axPos val="b"/>
        <c:numFmt formatCode="General" sourceLinked="1"/>
        <c:majorTickMark val="out"/>
        <c:minorTickMark val="none"/>
        <c:tickLblPos val="nextTo"/>
        <c:crossAx val="1536463328"/>
        <c:crosses val="autoZero"/>
        <c:auto val="1"/>
        <c:lblAlgn val="ctr"/>
        <c:lblOffset val="100"/>
        <c:noMultiLvlLbl val="0"/>
      </c:cat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b="0"/>
              <a:t>Distribution of expected</a:t>
            </a:r>
            <a:r>
              <a:rPr lang="en-GB" sz="1400" b="0" baseline="0"/>
              <a:t> effect sizes</a:t>
            </a:r>
            <a:endParaRPr lang="en-GB" sz="1400" b="0"/>
          </a:p>
        </c:rich>
      </c:tx>
      <c:layout>
        <c:manualLayout>
          <c:xMode val="edge"/>
          <c:yMode val="edge"/>
          <c:x val="0.1080681976796696"/>
          <c:y val="2.4174053182917002E-2"/>
        </c:manualLayout>
      </c:layout>
      <c:overlay val="0"/>
    </c:title>
    <c:autoTitleDeleted val="0"/>
    <c:plotArea>
      <c:layout/>
      <c:barChart>
        <c:barDir val="col"/>
        <c:grouping val="clustered"/>
        <c:varyColors val="0"/>
        <c:ser>
          <c:idx val="0"/>
          <c:order val="0"/>
          <c:tx>
            <c:v>Frequency</c:v>
          </c:tx>
          <c:invertIfNegative val="0"/>
          <c:cat>
            <c:strRef>
              <c:f>Sheet4!$A$2:$A$10</c:f>
              <c:strCache>
                <c:ptCount val="9"/>
                <c:pt idx="0">
                  <c:v>&lt; 0,27</c:v>
                </c:pt>
                <c:pt idx="1">
                  <c:v>&lt; 0,36</c:v>
                </c:pt>
                <c:pt idx="2">
                  <c:v>&lt; 0,45</c:v>
                </c:pt>
                <c:pt idx="3">
                  <c:v>&lt; 0,54</c:v>
                </c:pt>
                <c:pt idx="4">
                  <c:v>&lt; 0,64</c:v>
                </c:pt>
                <c:pt idx="5">
                  <c:v>&lt; 0,73</c:v>
                </c:pt>
                <c:pt idx="6">
                  <c:v>&lt; 0,82</c:v>
                </c:pt>
                <c:pt idx="7">
                  <c:v>&lt; 0,91</c:v>
                </c:pt>
                <c:pt idx="8">
                  <c:v>1</c:v>
                </c:pt>
              </c:strCache>
            </c:strRef>
          </c:cat>
          <c:val>
            <c:numRef>
              <c:f>Sheet4!$B$2:$B$10</c:f>
              <c:numCache>
                <c:formatCode>General</c:formatCode>
                <c:ptCount val="9"/>
                <c:pt idx="0">
                  <c:v>1</c:v>
                </c:pt>
                <c:pt idx="1">
                  <c:v>2</c:v>
                </c:pt>
                <c:pt idx="2">
                  <c:v>1</c:v>
                </c:pt>
                <c:pt idx="3">
                  <c:v>12</c:v>
                </c:pt>
                <c:pt idx="4">
                  <c:v>2</c:v>
                </c:pt>
                <c:pt idx="5">
                  <c:v>2</c:v>
                </c:pt>
                <c:pt idx="6">
                  <c:v>1</c:v>
                </c:pt>
                <c:pt idx="7">
                  <c:v>0</c:v>
                </c:pt>
                <c:pt idx="8">
                  <c:v>3</c:v>
                </c:pt>
              </c:numCache>
            </c:numRef>
          </c:val>
        </c:ser>
        <c:dLbls>
          <c:showLegendKey val="0"/>
          <c:showVal val="0"/>
          <c:showCatName val="0"/>
          <c:showSerName val="0"/>
          <c:showPercent val="0"/>
          <c:showBubbleSize val="0"/>
        </c:dLbls>
        <c:gapWidth val="150"/>
        <c:axId val="1536456256"/>
        <c:axId val="1536467680"/>
      </c:barChart>
      <c:lineChart>
        <c:grouping val="standard"/>
        <c:varyColors val="0"/>
        <c:ser>
          <c:idx val="1"/>
          <c:order val="1"/>
          <c:tx>
            <c:v>Cumulative %</c:v>
          </c:tx>
          <c:cat>
            <c:strRef>
              <c:f>Sheet4!$A$2:$A$10</c:f>
              <c:strCache>
                <c:ptCount val="9"/>
                <c:pt idx="0">
                  <c:v>&lt; 0,27</c:v>
                </c:pt>
                <c:pt idx="1">
                  <c:v>&lt; 0,36</c:v>
                </c:pt>
                <c:pt idx="2">
                  <c:v>&lt; 0,45</c:v>
                </c:pt>
                <c:pt idx="3">
                  <c:v>&lt; 0,54</c:v>
                </c:pt>
                <c:pt idx="4">
                  <c:v>&lt; 0,64</c:v>
                </c:pt>
                <c:pt idx="5">
                  <c:v>&lt; 0,73</c:v>
                </c:pt>
                <c:pt idx="6">
                  <c:v>&lt; 0,82</c:v>
                </c:pt>
                <c:pt idx="7">
                  <c:v>&lt; 0,91</c:v>
                </c:pt>
                <c:pt idx="8">
                  <c:v>1</c:v>
                </c:pt>
              </c:strCache>
            </c:strRef>
          </c:cat>
          <c:val>
            <c:numRef>
              <c:f>Sheet4!$C$2:$C$10</c:f>
              <c:numCache>
                <c:formatCode>0.00%</c:formatCode>
                <c:ptCount val="9"/>
                <c:pt idx="0">
                  <c:v>4.1666666666666664E-2</c:v>
                </c:pt>
                <c:pt idx="1">
                  <c:v>0.125</c:v>
                </c:pt>
                <c:pt idx="2">
                  <c:v>0.16666666666666666</c:v>
                </c:pt>
                <c:pt idx="3">
                  <c:v>0.66666666666666663</c:v>
                </c:pt>
                <c:pt idx="4">
                  <c:v>0.75</c:v>
                </c:pt>
                <c:pt idx="5">
                  <c:v>0.83333333333333337</c:v>
                </c:pt>
                <c:pt idx="6">
                  <c:v>0.875</c:v>
                </c:pt>
                <c:pt idx="7">
                  <c:v>0.875</c:v>
                </c:pt>
                <c:pt idx="8">
                  <c:v>1</c:v>
                </c:pt>
              </c:numCache>
            </c:numRef>
          </c:val>
          <c:smooth val="0"/>
        </c:ser>
        <c:dLbls>
          <c:showLegendKey val="0"/>
          <c:showVal val="0"/>
          <c:showCatName val="0"/>
          <c:showSerName val="0"/>
          <c:showPercent val="0"/>
          <c:showBubbleSize val="0"/>
        </c:dLbls>
        <c:marker val="1"/>
        <c:smooth val="0"/>
        <c:axId val="1536458976"/>
        <c:axId val="1536462240"/>
      </c:lineChart>
      <c:catAx>
        <c:axId val="1536456256"/>
        <c:scaling>
          <c:orientation val="minMax"/>
        </c:scaling>
        <c:delete val="0"/>
        <c:axPos val="b"/>
        <c:title>
          <c:tx>
            <c:rich>
              <a:bodyPr/>
              <a:lstStyle/>
              <a:p>
                <a:pPr>
                  <a:defRPr/>
                </a:pPr>
                <a:r>
                  <a:rPr lang="en-GB"/>
                  <a:t>Cohen's</a:t>
                </a:r>
                <a:r>
                  <a:rPr lang="en-GB" baseline="0"/>
                  <a:t> d</a:t>
                </a:r>
              </a:p>
            </c:rich>
          </c:tx>
          <c:overlay val="0"/>
        </c:title>
        <c:numFmt formatCode="General" sourceLinked="1"/>
        <c:majorTickMark val="out"/>
        <c:minorTickMark val="none"/>
        <c:tickLblPos val="nextTo"/>
        <c:crossAx val="1536467680"/>
        <c:crosses val="autoZero"/>
        <c:auto val="1"/>
        <c:lblAlgn val="ctr"/>
        <c:lblOffset val="100"/>
        <c:noMultiLvlLbl val="0"/>
      </c:catAx>
      <c:valAx>
        <c:axId val="1536467680"/>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1536456256"/>
        <c:crosses val="autoZero"/>
        <c:crossBetween val="between"/>
      </c:valAx>
      <c:valAx>
        <c:axId val="1536462240"/>
        <c:scaling>
          <c:orientation val="minMax"/>
        </c:scaling>
        <c:delete val="0"/>
        <c:axPos val="r"/>
        <c:numFmt formatCode="0.00%" sourceLinked="1"/>
        <c:majorTickMark val="out"/>
        <c:minorTickMark val="none"/>
        <c:tickLblPos val="nextTo"/>
        <c:crossAx val="1536458976"/>
        <c:crosses val="max"/>
        <c:crossBetween val="between"/>
      </c:valAx>
      <c:catAx>
        <c:axId val="1536458976"/>
        <c:scaling>
          <c:orientation val="minMax"/>
        </c:scaling>
        <c:delete val="1"/>
        <c:axPos val="b"/>
        <c:numFmt formatCode="General" sourceLinked="1"/>
        <c:majorTickMark val="out"/>
        <c:minorTickMark val="none"/>
        <c:tickLblPos val="nextTo"/>
        <c:crossAx val="1536462240"/>
        <c:crosses val="autoZero"/>
        <c:auto val="1"/>
        <c:lblAlgn val="ctr"/>
        <c:lblOffset val="100"/>
        <c:noMultiLvlLbl val="0"/>
      </c:cat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955</Words>
  <Characters>5445</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Schuster Salzburg</dc:creator>
  <cp:lastModifiedBy>Raphael Schuster</cp:lastModifiedBy>
  <cp:revision>9</cp:revision>
  <dcterms:created xsi:type="dcterms:W3CDTF">2020-04-17T15:01:00Z</dcterms:created>
  <dcterms:modified xsi:type="dcterms:W3CDTF">2021-03-22T13:32:00Z</dcterms:modified>
</cp:coreProperties>
</file>