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45B2C" w14:textId="2E8DE367" w:rsidR="00C851B7" w:rsidRDefault="00C851B7" w:rsidP="00F14631">
      <w:pPr>
        <w:jc w:val="center"/>
        <w:rPr>
          <w:b/>
          <w:bCs/>
          <w:sz w:val="36"/>
          <w:szCs w:val="36"/>
        </w:rPr>
      </w:pPr>
      <w:r w:rsidRPr="00C851B7">
        <w:rPr>
          <w:b/>
          <w:bCs/>
          <w:sz w:val="36"/>
          <w:szCs w:val="36"/>
        </w:rPr>
        <w:t>Supplementary Materials for</w:t>
      </w:r>
    </w:p>
    <w:p w14:paraId="1459B1A6" w14:textId="77777777" w:rsidR="00C851B7" w:rsidRPr="00C851B7" w:rsidRDefault="00C851B7" w:rsidP="00F14631">
      <w:pPr>
        <w:jc w:val="center"/>
        <w:rPr>
          <w:b/>
          <w:bCs/>
          <w:sz w:val="36"/>
          <w:szCs w:val="36"/>
        </w:rPr>
      </w:pPr>
    </w:p>
    <w:p w14:paraId="220CB3FD" w14:textId="1312A3B7" w:rsidR="00F12D31" w:rsidRPr="006218C2" w:rsidRDefault="00F12D31" w:rsidP="00F12D31">
      <w:pPr>
        <w:rPr>
          <w:rFonts w:ascii="Calibri" w:hAnsi="Calibri" w:cs="Calibri"/>
          <w:b/>
          <w:bCs/>
          <w:sz w:val="36"/>
          <w:szCs w:val="36"/>
        </w:rPr>
      </w:pPr>
      <w:r>
        <w:rPr>
          <w:rFonts w:ascii="Calibri" w:hAnsi="Calibri" w:cs="Calibri"/>
          <w:b/>
          <w:bCs/>
          <w:sz w:val="36"/>
          <w:szCs w:val="36"/>
        </w:rPr>
        <w:t>Resting-state</w:t>
      </w:r>
      <w:r w:rsidRPr="006218C2">
        <w:rPr>
          <w:rFonts w:ascii="Calibri" w:hAnsi="Calibri" w:cs="Calibri"/>
          <w:b/>
          <w:bCs/>
          <w:sz w:val="36"/>
          <w:szCs w:val="36"/>
        </w:rPr>
        <w:t xml:space="preserve"> </w:t>
      </w:r>
      <w:r>
        <w:rPr>
          <w:rFonts w:ascii="Calibri" w:hAnsi="Calibri" w:cs="Calibri"/>
          <w:b/>
          <w:bCs/>
          <w:sz w:val="36"/>
          <w:szCs w:val="36"/>
        </w:rPr>
        <w:t>C</w:t>
      </w:r>
      <w:r w:rsidRPr="006218C2">
        <w:rPr>
          <w:rFonts w:ascii="Calibri" w:hAnsi="Calibri" w:cs="Calibri"/>
          <w:b/>
          <w:bCs/>
          <w:sz w:val="36"/>
          <w:szCs w:val="36"/>
        </w:rPr>
        <w:t xml:space="preserve">onnectivity </w:t>
      </w:r>
      <w:r>
        <w:rPr>
          <w:rFonts w:ascii="Calibri" w:hAnsi="Calibri" w:cs="Calibri"/>
          <w:b/>
          <w:bCs/>
          <w:sz w:val="36"/>
          <w:szCs w:val="36"/>
        </w:rPr>
        <w:t>Subtype of Comorbid PTSD and Alcohol Use Disorder Moderates Improvement from Integrated Prolonged Exposure Therapy</w:t>
      </w:r>
      <w:r w:rsidR="005E10CB">
        <w:rPr>
          <w:rFonts w:ascii="Calibri" w:hAnsi="Calibri" w:cs="Calibri"/>
          <w:b/>
          <w:bCs/>
          <w:sz w:val="36"/>
          <w:szCs w:val="36"/>
        </w:rPr>
        <w:t xml:space="preserve"> in Veterans</w:t>
      </w:r>
    </w:p>
    <w:p w14:paraId="4ED89204" w14:textId="65667559" w:rsidR="00C851B7" w:rsidRDefault="00C851B7" w:rsidP="00F14631">
      <w:pPr>
        <w:jc w:val="center"/>
        <w:rPr>
          <w:rFonts w:ascii="Calibri" w:hAnsi="Calibri" w:cs="Calibri"/>
          <w:b/>
          <w:bCs/>
          <w:sz w:val="36"/>
          <w:szCs w:val="36"/>
        </w:rPr>
      </w:pPr>
    </w:p>
    <w:p w14:paraId="3AE3535B" w14:textId="3E01A433" w:rsidR="00C851B7" w:rsidRDefault="00C851B7" w:rsidP="00C851B7">
      <w:pPr>
        <w:rPr>
          <w:rFonts w:ascii="Calibri" w:hAnsi="Calibri" w:cs="Calibri"/>
          <w:b/>
          <w:bCs/>
          <w:sz w:val="36"/>
          <w:szCs w:val="36"/>
        </w:rPr>
      </w:pPr>
    </w:p>
    <w:p w14:paraId="1A57F241" w14:textId="516AFA94" w:rsidR="00C851B7" w:rsidRPr="00BF4EDB" w:rsidRDefault="00C851B7" w:rsidP="00C851B7">
      <w:pPr>
        <w:rPr>
          <w:rFonts w:ascii="Cambria" w:hAnsi="Cambria"/>
        </w:rPr>
      </w:pPr>
      <w:r w:rsidRPr="00BF4EDB">
        <w:rPr>
          <w:rFonts w:ascii="Cambria" w:hAnsi="Cambria"/>
        </w:rPr>
        <w:t>Daniel M. Stout, Ph.D.</w:t>
      </w:r>
      <w:r w:rsidRPr="00BF4EDB">
        <w:rPr>
          <w:rFonts w:ascii="Cambria" w:hAnsi="Cambria"/>
          <w:vertAlign w:val="superscript"/>
        </w:rPr>
        <w:t>1,2,3*</w:t>
      </w:r>
      <w:r w:rsidRPr="00BF4EDB">
        <w:rPr>
          <w:rFonts w:ascii="Cambria" w:hAnsi="Cambria"/>
        </w:rPr>
        <w:t>; Katia M. Harl</w:t>
      </w:r>
      <w:r w:rsidR="00CA0A61">
        <w:rPr>
          <w:rFonts w:ascii="Cambria" w:hAnsi="Cambria"/>
        </w:rPr>
        <w:t>é</w:t>
      </w:r>
      <w:r w:rsidRPr="00BF4EDB">
        <w:rPr>
          <w:rFonts w:ascii="Cambria" w:hAnsi="Cambria"/>
        </w:rPr>
        <w:t>, Ph.D.</w:t>
      </w:r>
      <w:r w:rsidRPr="00BF4EDB">
        <w:rPr>
          <w:rFonts w:ascii="Cambria" w:hAnsi="Cambria"/>
          <w:vertAlign w:val="superscript"/>
        </w:rPr>
        <w:t>2,3</w:t>
      </w:r>
      <w:r w:rsidRPr="00BF4EDB">
        <w:rPr>
          <w:rFonts w:ascii="Cambria" w:hAnsi="Cambria"/>
        </w:rPr>
        <w:t xml:space="preserve">; Sonya B. Norman, Ph.D. </w:t>
      </w:r>
      <w:r w:rsidRPr="00BF4EDB">
        <w:rPr>
          <w:rFonts w:ascii="Cambria" w:hAnsi="Cambria"/>
          <w:vertAlign w:val="superscript"/>
        </w:rPr>
        <w:t>1,2,3</w:t>
      </w:r>
      <w:r>
        <w:rPr>
          <w:rFonts w:ascii="Cambria" w:hAnsi="Cambria"/>
          <w:vertAlign w:val="superscript"/>
        </w:rPr>
        <w:t>,4</w:t>
      </w:r>
      <w:r w:rsidRPr="00BF4EDB">
        <w:rPr>
          <w:rFonts w:ascii="Cambria" w:hAnsi="Cambria"/>
        </w:rPr>
        <w:t>;  Alan N. Simmons, Ph.D.</w:t>
      </w:r>
      <w:r w:rsidRPr="00BF4EDB">
        <w:rPr>
          <w:rFonts w:ascii="Cambria" w:hAnsi="Cambria"/>
          <w:vertAlign w:val="superscript"/>
        </w:rPr>
        <w:t>1,2</w:t>
      </w:r>
      <w:r w:rsidRPr="00BF4EDB">
        <w:rPr>
          <w:rFonts w:ascii="Cambria" w:hAnsi="Cambria"/>
        </w:rPr>
        <w:t>;  &amp; Andrea D. Spadoni, Ph.D.</w:t>
      </w:r>
      <w:r w:rsidRPr="00BF4EDB">
        <w:rPr>
          <w:rFonts w:ascii="Cambria" w:hAnsi="Cambria"/>
          <w:vertAlign w:val="superscript"/>
        </w:rPr>
        <w:t>1,2</w:t>
      </w:r>
    </w:p>
    <w:p w14:paraId="3AF5783D" w14:textId="77777777" w:rsidR="00C851B7" w:rsidRPr="00BF4EDB" w:rsidRDefault="00C851B7" w:rsidP="00C851B7">
      <w:pPr>
        <w:rPr>
          <w:rFonts w:ascii="Cambria" w:hAnsi="Cambria"/>
          <w:b/>
          <w:bCs/>
          <w:sz w:val="36"/>
          <w:szCs w:val="36"/>
        </w:rPr>
      </w:pPr>
    </w:p>
    <w:p w14:paraId="761280B7" w14:textId="77777777" w:rsidR="00C851B7" w:rsidRPr="00BF4EDB" w:rsidRDefault="00C851B7" w:rsidP="00C851B7">
      <w:pPr>
        <w:rPr>
          <w:rFonts w:ascii="Cambria" w:eastAsia="Times New Roman" w:hAnsi="Cambria" w:cs="Arial"/>
          <w:color w:val="000000"/>
          <w:shd w:val="clear" w:color="auto" w:fill="FFFFFF"/>
        </w:rPr>
      </w:pPr>
      <w:r w:rsidRPr="00BF4EDB">
        <w:rPr>
          <w:rFonts w:ascii="Cambria" w:eastAsia="Times New Roman" w:hAnsi="Cambria" w:cs="Arial"/>
          <w:color w:val="000000"/>
          <w:shd w:val="clear" w:color="auto" w:fill="FFFFFF"/>
          <w:vertAlign w:val="superscript"/>
        </w:rPr>
        <w:t>1</w:t>
      </w:r>
      <w:r w:rsidRPr="00BF4EDB">
        <w:rPr>
          <w:rFonts w:ascii="Cambria" w:eastAsia="Times New Roman" w:hAnsi="Cambria" w:cs="Arial"/>
          <w:color w:val="000000"/>
          <w:shd w:val="clear" w:color="auto" w:fill="FFFFFF"/>
        </w:rPr>
        <w:t>Center of Excellence for Stress and Mental Health, VA San Diego Healthcare System, San Diego, CA, USA</w:t>
      </w:r>
    </w:p>
    <w:p w14:paraId="3EE0F467" w14:textId="77777777" w:rsidR="00C851B7" w:rsidRPr="00BF4EDB" w:rsidRDefault="00C851B7" w:rsidP="00C851B7">
      <w:pPr>
        <w:rPr>
          <w:rFonts w:ascii="Cambria" w:eastAsia="Times New Roman" w:hAnsi="Cambria" w:cs="Arial"/>
          <w:color w:val="000000"/>
          <w:shd w:val="clear" w:color="auto" w:fill="FFFFFF"/>
          <w:vertAlign w:val="superscript"/>
        </w:rPr>
      </w:pPr>
      <w:r w:rsidRPr="00BF4EDB">
        <w:rPr>
          <w:rFonts w:ascii="Cambria" w:eastAsia="Times New Roman" w:hAnsi="Cambria" w:cs="Arial"/>
          <w:color w:val="000000"/>
          <w:shd w:val="clear" w:color="auto" w:fill="FFFFFF"/>
          <w:vertAlign w:val="superscript"/>
        </w:rPr>
        <w:t>2</w:t>
      </w:r>
      <w:r w:rsidRPr="00BF4EDB">
        <w:rPr>
          <w:rFonts w:ascii="Cambria" w:eastAsia="Times New Roman" w:hAnsi="Cambria" w:cs="Arial"/>
          <w:color w:val="000000"/>
          <w:shd w:val="clear" w:color="auto" w:fill="FFFFFF"/>
        </w:rPr>
        <w:t>Research Service, VA San Diego Healthcare System, San Diego, CA, USA</w:t>
      </w:r>
    </w:p>
    <w:p w14:paraId="570CDA13" w14:textId="77777777" w:rsidR="00C851B7" w:rsidRPr="00BF4EDB" w:rsidRDefault="00C851B7" w:rsidP="00C851B7">
      <w:pPr>
        <w:rPr>
          <w:rFonts w:ascii="Cambria" w:eastAsia="Times New Roman" w:hAnsi="Cambria" w:cs="Times New Roman"/>
        </w:rPr>
      </w:pPr>
      <w:r w:rsidRPr="00BF4EDB">
        <w:rPr>
          <w:rFonts w:ascii="Cambria" w:eastAsia="Times New Roman" w:hAnsi="Cambria" w:cs="Arial"/>
          <w:color w:val="000000"/>
          <w:shd w:val="clear" w:color="auto" w:fill="FFFFFF"/>
          <w:vertAlign w:val="superscript"/>
        </w:rPr>
        <w:t>3</w:t>
      </w:r>
      <w:r w:rsidRPr="00BF4EDB">
        <w:rPr>
          <w:rFonts w:ascii="Cambria" w:eastAsia="Times New Roman" w:hAnsi="Cambria" w:cs="Arial"/>
          <w:color w:val="000000"/>
          <w:shd w:val="clear" w:color="auto" w:fill="FFFFFF"/>
        </w:rPr>
        <w:t>Department of Psychiatry, University of California San Diego, San Diego, CA, USA</w:t>
      </w:r>
    </w:p>
    <w:p w14:paraId="2316EFC2" w14:textId="77777777" w:rsidR="00C851B7" w:rsidRPr="00BF4EDB" w:rsidRDefault="00C851B7" w:rsidP="00C851B7">
      <w:pPr>
        <w:autoSpaceDE w:val="0"/>
        <w:autoSpaceDN w:val="0"/>
        <w:adjustRightInd w:val="0"/>
        <w:rPr>
          <w:rFonts w:ascii="Cambria" w:hAnsi="Cambria" w:cs="Times New Roman"/>
        </w:rPr>
      </w:pPr>
      <w:r w:rsidRPr="00BF4EDB">
        <w:rPr>
          <w:rFonts w:ascii="Cambria" w:hAnsi="Cambria" w:cs="Times New Roman"/>
          <w:vertAlign w:val="superscript"/>
        </w:rPr>
        <w:t>4</w:t>
      </w:r>
      <w:r w:rsidRPr="00BF4EDB">
        <w:rPr>
          <w:rFonts w:ascii="Cambria" w:hAnsi="Cambria" w:cs="Times New Roman"/>
        </w:rPr>
        <w:t>National Center for PTSD, White River Junction, Vermont, USA</w:t>
      </w:r>
    </w:p>
    <w:p w14:paraId="6004FFB5" w14:textId="3AD2B206" w:rsidR="00C851B7" w:rsidRDefault="00C851B7" w:rsidP="00F14631">
      <w:pPr>
        <w:jc w:val="center"/>
        <w:rPr>
          <w:rFonts w:ascii="Calibri" w:hAnsi="Calibri" w:cs="Calibri"/>
          <w:b/>
          <w:bCs/>
          <w:sz w:val="36"/>
          <w:szCs w:val="36"/>
        </w:rPr>
      </w:pPr>
    </w:p>
    <w:p w14:paraId="40045FE7" w14:textId="02E004F4" w:rsidR="00C851B7" w:rsidRDefault="00C851B7" w:rsidP="00F14631">
      <w:pPr>
        <w:jc w:val="center"/>
        <w:rPr>
          <w:rFonts w:ascii="Calibri" w:hAnsi="Calibri" w:cs="Calibri"/>
          <w:b/>
          <w:bCs/>
          <w:sz w:val="36"/>
          <w:szCs w:val="36"/>
        </w:rPr>
      </w:pPr>
    </w:p>
    <w:p w14:paraId="141074D6" w14:textId="77777777" w:rsidR="00C851B7" w:rsidRPr="00BF4EDB" w:rsidRDefault="00C851B7" w:rsidP="00C851B7">
      <w:pPr>
        <w:rPr>
          <w:rFonts w:ascii="Cambria" w:hAnsi="Cambria"/>
        </w:rPr>
      </w:pPr>
      <w:r w:rsidRPr="00BF4EDB">
        <w:rPr>
          <w:rFonts w:ascii="Cambria" w:hAnsi="Cambria"/>
        </w:rPr>
        <w:t>*Corresponding Author</w:t>
      </w:r>
    </w:p>
    <w:p w14:paraId="565EE53F" w14:textId="77777777" w:rsidR="00C851B7" w:rsidRPr="00BF4EDB" w:rsidRDefault="00C851B7" w:rsidP="00C851B7">
      <w:pPr>
        <w:rPr>
          <w:rFonts w:ascii="Cambria" w:hAnsi="Cambria"/>
          <w:b/>
          <w:bCs/>
          <w:sz w:val="36"/>
          <w:szCs w:val="36"/>
        </w:rPr>
      </w:pPr>
    </w:p>
    <w:p w14:paraId="118D81DF" w14:textId="77777777" w:rsidR="00C851B7" w:rsidRPr="00BF4EDB" w:rsidRDefault="00C851B7" w:rsidP="00C851B7">
      <w:pPr>
        <w:rPr>
          <w:rFonts w:ascii="Cambria" w:hAnsi="Cambria"/>
          <w:b/>
          <w:bCs/>
          <w:sz w:val="36"/>
          <w:szCs w:val="36"/>
        </w:rPr>
      </w:pPr>
    </w:p>
    <w:p w14:paraId="7CBC15A2" w14:textId="77777777" w:rsidR="00C851B7" w:rsidRPr="00BF4EDB" w:rsidRDefault="00C851B7" w:rsidP="00C851B7">
      <w:pPr>
        <w:rPr>
          <w:rFonts w:ascii="Cambria" w:hAnsi="Cambria"/>
          <w:sz w:val="22"/>
          <w:szCs w:val="22"/>
        </w:rPr>
      </w:pPr>
    </w:p>
    <w:p w14:paraId="5696EEF2" w14:textId="77777777" w:rsidR="00C851B7" w:rsidRPr="00BF4EDB" w:rsidRDefault="00C851B7" w:rsidP="00C851B7">
      <w:pPr>
        <w:rPr>
          <w:rFonts w:ascii="Cambria" w:hAnsi="Cambria"/>
        </w:rPr>
      </w:pPr>
    </w:p>
    <w:p w14:paraId="7759A6EF" w14:textId="77777777" w:rsidR="00C851B7" w:rsidRPr="00BF4EDB" w:rsidRDefault="00C851B7" w:rsidP="00C851B7">
      <w:pPr>
        <w:rPr>
          <w:rFonts w:ascii="Cambria" w:hAnsi="Cambria"/>
        </w:rPr>
      </w:pPr>
    </w:p>
    <w:p w14:paraId="456603AD" w14:textId="77777777" w:rsidR="00C851B7" w:rsidRPr="00BF4EDB" w:rsidRDefault="00C851B7" w:rsidP="00C851B7">
      <w:pPr>
        <w:rPr>
          <w:rFonts w:ascii="Cambria" w:hAnsi="Cambria"/>
        </w:rPr>
      </w:pPr>
    </w:p>
    <w:p w14:paraId="75A7F091" w14:textId="77777777" w:rsidR="00C851B7" w:rsidRPr="00BF4EDB" w:rsidRDefault="00C851B7" w:rsidP="00C851B7">
      <w:pPr>
        <w:rPr>
          <w:rFonts w:ascii="Cambria" w:hAnsi="Cambria"/>
        </w:rPr>
      </w:pPr>
    </w:p>
    <w:p w14:paraId="46C4DA05" w14:textId="77777777" w:rsidR="00C851B7" w:rsidRPr="00BF4EDB" w:rsidRDefault="00C851B7" w:rsidP="00C851B7">
      <w:pPr>
        <w:rPr>
          <w:rFonts w:ascii="Cambria" w:hAnsi="Cambria"/>
        </w:rPr>
      </w:pPr>
    </w:p>
    <w:p w14:paraId="08ECC8A9" w14:textId="77777777" w:rsidR="00C851B7" w:rsidRPr="00BF4EDB" w:rsidRDefault="00C851B7" w:rsidP="00C851B7">
      <w:pPr>
        <w:rPr>
          <w:rFonts w:ascii="Cambria" w:hAnsi="Cambria"/>
        </w:rPr>
      </w:pPr>
    </w:p>
    <w:p w14:paraId="7EDAC2DF" w14:textId="77777777" w:rsidR="00C851B7" w:rsidRPr="00BF4EDB" w:rsidRDefault="00C851B7" w:rsidP="00C851B7">
      <w:pPr>
        <w:rPr>
          <w:rFonts w:ascii="Cambria" w:hAnsi="Cambria"/>
        </w:rPr>
      </w:pPr>
    </w:p>
    <w:p w14:paraId="2972F028" w14:textId="77777777" w:rsidR="00C851B7" w:rsidRPr="00BF4EDB" w:rsidRDefault="00C851B7" w:rsidP="00C851B7">
      <w:pPr>
        <w:rPr>
          <w:rFonts w:ascii="Cambria" w:hAnsi="Cambria"/>
        </w:rPr>
      </w:pPr>
    </w:p>
    <w:p w14:paraId="3973EDD9" w14:textId="77777777" w:rsidR="00C851B7" w:rsidRPr="00BF4EDB" w:rsidRDefault="00C851B7" w:rsidP="00C851B7">
      <w:pPr>
        <w:rPr>
          <w:rFonts w:ascii="Cambria" w:hAnsi="Cambria"/>
        </w:rPr>
      </w:pPr>
    </w:p>
    <w:p w14:paraId="2F7863F7" w14:textId="77777777" w:rsidR="00C851B7" w:rsidRPr="00BF4EDB" w:rsidRDefault="00C851B7" w:rsidP="00C851B7">
      <w:pPr>
        <w:rPr>
          <w:rFonts w:ascii="Cambria" w:hAnsi="Cambria"/>
        </w:rPr>
      </w:pPr>
    </w:p>
    <w:p w14:paraId="389FD52B" w14:textId="77777777" w:rsidR="00C851B7" w:rsidRPr="00BF4EDB" w:rsidRDefault="00C851B7" w:rsidP="00C851B7">
      <w:pPr>
        <w:rPr>
          <w:rFonts w:ascii="Cambria" w:hAnsi="Cambria"/>
        </w:rPr>
      </w:pPr>
    </w:p>
    <w:p w14:paraId="66C1B5AD" w14:textId="77777777" w:rsidR="00C851B7" w:rsidRPr="00BF4EDB" w:rsidRDefault="00C851B7" w:rsidP="00C851B7">
      <w:pPr>
        <w:rPr>
          <w:rFonts w:ascii="Cambria" w:hAnsi="Cambria"/>
        </w:rPr>
      </w:pPr>
      <w:r w:rsidRPr="00BF4EDB">
        <w:rPr>
          <w:rFonts w:ascii="Cambria" w:hAnsi="Cambria"/>
        </w:rPr>
        <w:t>Daniel M. Stout, Ph.D.</w:t>
      </w:r>
    </w:p>
    <w:p w14:paraId="30638CA2" w14:textId="77777777" w:rsidR="00C851B7" w:rsidRPr="00BF4EDB" w:rsidRDefault="00C851B7" w:rsidP="00C851B7">
      <w:pPr>
        <w:rPr>
          <w:rFonts w:ascii="Cambria" w:hAnsi="Cambria"/>
        </w:rPr>
      </w:pPr>
      <w:r w:rsidRPr="00BF4EDB">
        <w:rPr>
          <w:rFonts w:ascii="Cambria" w:hAnsi="Cambria"/>
        </w:rPr>
        <w:t>Center of Excellence for Stress and Mental Health</w:t>
      </w:r>
    </w:p>
    <w:p w14:paraId="7616F412" w14:textId="77777777" w:rsidR="00C851B7" w:rsidRPr="00BF4EDB" w:rsidRDefault="00C851B7" w:rsidP="00C851B7">
      <w:pPr>
        <w:rPr>
          <w:rFonts w:ascii="Cambria" w:hAnsi="Cambria"/>
        </w:rPr>
      </w:pPr>
      <w:r w:rsidRPr="00BF4EDB">
        <w:rPr>
          <w:rFonts w:ascii="Cambria" w:hAnsi="Cambria"/>
        </w:rPr>
        <w:t>VA San Diego Healthcare System</w:t>
      </w:r>
    </w:p>
    <w:p w14:paraId="699E52D8" w14:textId="77777777" w:rsidR="00C851B7" w:rsidRPr="00BF4EDB" w:rsidRDefault="00C851B7" w:rsidP="00C851B7">
      <w:pPr>
        <w:rPr>
          <w:rFonts w:ascii="Cambria" w:hAnsi="Cambria"/>
        </w:rPr>
      </w:pPr>
      <w:r w:rsidRPr="00BF4EDB">
        <w:rPr>
          <w:rFonts w:ascii="Cambria" w:hAnsi="Cambria"/>
        </w:rPr>
        <w:t>3350 La Jolla Village Drive</w:t>
      </w:r>
    </w:p>
    <w:p w14:paraId="79DD0F7E" w14:textId="77777777" w:rsidR="00C851B7" w:rsidRPr="00BF4EDB" w:rsidRDefault="00C851B7" w:rsidP="00C851B7">
      <w:pPr>
        <w:rPr>
          <w:rFonts w:ascii="Cambria" w:hAnsi="Cambria"/>
        </w:rPr>
      </w:pPr>
      <w:r w:rsidRPr="00BF4EDB">
        <w:rPr>
          <w:rFonts w:ascii="Cambria" w:hAnsi="Cambria"/>
        </w:rPr>
        <w:t>San Diego, CA 92161</w:t>
      </w:r>
    </w:p>
    <w:p w14:paraId="672AA48F" w14:textId="39BAE6EA" w:rsidR="00C851B7" w:rsidRDefault="00C851B7" w:rsidP="00C851B7">
      <w:pPr>
        <w:rPr>
          <w:rFonts w:ascii="Calibri" w:hAnsi="Calibri" w:cs="Calibri"/>
          <w:b/>
          <w:bCs/>
          <w:sz w:val="36"/>
          <w:szCs w:val="36"/>
        </w:rPr>
      </w:pPr>
      <w:r w:rsidRPr="00BF4EDB">
        <w:rPr>
          <w:rFonts w:ascii="Cambria" w:hAnsi="Cambria"/>
        </w:rPr>
        <w:t xml:space="preserve">Email: </w:t>
      </w:r>
      <w:hyperlink r:id="rId8" w:history="1">
        <w:r w:rsidR="00984630" w:rsidRPr="00260DE1">
          <w:rPr>
            <w:rStyle w:val="Hyperlink"/>
            <w:rFonts w:ascii="Cambria" w:hAnsi="Cambria"/>
          </w:rPr>
          <w:t>dastout@health.ucsd.edu</w:t>
        </w:r>
      </w:hyperlink>
    </w:p>
    <w:p w14:paraId="7942CD80" w14:textId="12D29C51" w:rsidR="00B2111A" w:rsidRDefault="00B2111A" w:rsidP="00B2111A"/>
    <w:p w14:paraId="7459568B" w14:textId="49DD0038" w:rsidR="00060D4D" w:rsidRPr="00060D4D" w:rsidRDefault="00060D4D" w:rsidP="00060D4D">
      <w:pPr>
        <w:autoSpaceDE w:val="0"/>
        <w:autoSpaceDN w:val="0"/>
        <w:adjustRightInd w:val="0"/>
        <w:spacing w:line="480" w:lineRule="auto"/>
        <w:rPr>
          <w:rFonts w:ascii="Cambria" w:hAnsi="Cambria"/>
          <w:b/>
          <w:bCs/>
          <w:color w:val="1A171C"/>
        </w:rPr>
      </w:pPr>
      <w:r w:rsidRPr="00BF4EDB">
        <w:rPr>
          <w:rFonts w:ascii="Cambria" w:hAnsi="Cambria"/>
          <w:b/>
          <w:bCs/>
          <w:color w:val="1A171C"/>
        </w:rPr>
        <w:lastRenderedPageBreak/>
        <w:t>fMRI Acquisition and Preprocessing</w:t>
      </w:r>
    </w:p>
    <w:p w14:paraId="38582DC7" w14:textId="77777777" w:rsidR="00060D4D" w:rsidRPr="00BF4EDB" w:rsidRDefault="00060D4D" w:rsidP="00060D4D">
      <w:pPr>
        <w:autoSpaceDE w:val="0"/>
        <w:autoSpaceDN w:val="0"/>
        <w:adjustRightInd w:val="0"/>
        <w:spacing w:line="480" w:lineRule="auto"/>
        <w:ind w:firstLine="720"/>
        <w:rPr>
          <w:rFonts w:ascii="Cambria" w:hAnsi="Cambria" w:cs="Times New Roman"/>
          <w:sz w:val="18"/>
          <w:szCs w:val="18"/>
        </w:rPr>
      </w:pPr>
      <w:r w:rsidRPr="00BF4EDB">
        <w:rPr>
          <w:rFonts w:ascii="Cambria" w:hAnsi="Cambria" w:cs="Times New Roman"/>
        </w:rPr>
        <w:t xml:space="preserve">MRI data were acquired using a 3T </w:t>
      </w:r>
      <w:r>
        <w:rPr>
          <w:rFonts w:ascii="Cambria" w:hAnsi="Cambria" w:cs="Times New Roman"/>
        </w:rPr>
        <w:t xml:space="preserve">Siemens Prisma </w:t>
      </w:r>
      <w:r w:rsidRPr="00BF4EDB">
        <w:rPr>
          <w:rFonts w:ascii="Cambria" w:hAnsi="Cambria" w:cs="Times New Roman"/>
        </w:rPr>
        <w:t xml:space="preserve">scanner, which was equipped with a </w:t>
      </w:r>
      <w:r>
        <w:rPr>
          <w:rFonts w:ascii="Cambria" w:hAnsi="Cambria" w:cs="Times New Roman"/>
        </w:rPr>
        <w:t>twelve</w:t>
      </w:r>
      <w:r w:rsidRPr="00BF4EDB">
        <w:rPr>
          <w:rFonts w:ascii="Cambria" w:hAnsi="Cambria" w:cs="Times New Roman"/>
        </w:rPr>
        <w:t>-channel headcoil. High resolution T</w:t>
      </w:r>
      <w:r w:rsidRPr="00BF4EDB">
        <w:rPr>
          <w:rFonts w:ascii="Cambria" w:hAnsi="Cambria" w:cs="Times New Roman"/>
          <w:vertAlign w:val="subscript"/>
        </w:rPr>
        <w:t>1</w:t>
      </w:r>
      <w:r w:rsidRPr="00BF4EDB">
        <w:rPr>
          <w:rFonts w:ascii="Cambria" w:hAnsi="Cambria" w:cs="Times New Roman"/>
        </w:rPr>
        <w:t>-weighted anatomical images were acquired using a spoiled gradient recalled echo sequence (FOV = 25 cm; matrix = 256 X 256; 1</w:t>
      </w:r>
      <w:r>
        <w:rPr>
          <w:rFonts w:ascii="Cambria" w:hAnsi="Cambria" w:cs="Times New Roman"/>
        </w:rPr>
        <w:t>60</w:t>
      </w:r>
      <w:r w:rsidRPr="00BF4EDB">
        <w:rPr>
          <w:rFonts w:ascii="Cambria" w:hAnsi="Cambria" w:cs="Times New Roman"/>
        </w:rPr>
        <w:t xml:space="preserve"> sagittal slices; 1 mm thickness; TR = </w:t>
      </w:r>
      <w:r>
        <w:rPr>
          <w:rFonts w:ascii="Cambria" w:hAnsi="Cambria" w:cs="Times New Roman"/>
        </w:rPr>
        <w:t xml:space="preserve">2 </w:t>
      </w:r>
      <w:r w:rsidRPr="00BF4EDB">
        <w:rPr>
          <w:rFonts w:ascii="Cambria" w:hAnsi="Cambria" w:cs="Times New Roman"/>
        </w:rPr>
        <w:t xml:space="preserve">s; TE = 4 ms; flip angle = 12°). An 8.5 minute functional scan </w:t>
      </w:r>
      <w:r>
        <w:rPr>
          <w:rFonts w:ascii="Cambria" w:hAnsi="Cambria" w:cs="Times New Roman"/>
        </w:rPr>
        <w:t xml:space="preserve">(eyes-open) </w:t>
      </w:r>
      <w:r w:rsidRPr="00BF4EDB">
        <w:rPr>
          <w:rFonts w:ascii="Cambria" w:hAnsi="Cambria" w:cs="Times New Roman"/>
        </w:rPr>
        <w:t>was acquired using a T</w:t>
      </w:r>
      <w:r w:rsidRPr="00BF4EDB">
        <w:rPr>
          <w:rFonts w:ascii="Cambria" w:hAnsi="Cambria" w:cs="Times New Roman"/>
          <w:vertAlign w:val="subscript"/>
        </w:rPr>
        <w:t>2</w:t>
      </w:r>
      <w:r w:rsidRPr="000E1047">
        <w:rPr>
          <w:rFonts w:ascii="Cambria" w:hAnsi="Cambria" w:cs="Times New Roman"/>
          <w:vertAlign w:val="superscript"/>
        </w:rPr>
        <w:t>*</w:t>
      </w:r>
      <w:r w:rsidRPr="00BF4EDB">
        <w:rPr>
          <w:rFonts w:ascii="Cambria" w:hAnsi="Cambria" w:cs="Times New Roman"/>
        </w:rPr>
        <w:t>-weighted echo planar image (EPI) sequence (matrix = 64 X 64; 30 axial slices; in-plane resolution = 3.4 X 3.4 X 4; TR = 2s; TE = 30; flip-angle = 80°).</w:t>
      </w:r>
      <w:r>
        <w:rPr>
          <w:rFonts w:ascii="Cambria" w:hAnsi="Cambria" w:cs="Times New Roman"/>
        </w:rPr>
        <w:t xml:space="preserve"> </w:t>
      </w:r>
    </w:p>
    <w:p w14:paraId="30B9C304" w14:textId="3E5E3365" w:rsidR="00060D4D" w:rsidRPr="00060D4D" w:rsidRDefault="00060D4D" w:rsidP="00060D4D">
      <w:pPr>
        <w:autoSpaceDE w:val="0"/>
        <w:autoSpaceDN w:val="0"/>
        <w:adjustRightInd w:val="0"/>
        <w:spacing w:line="480" w:lineRule="auto"/>
        <w:ind w:firstLine="720"/>
        <w:rPr>
          <w:rFonts w:ascii="Cambria" w:hAnsi="Cambria" w:cs="Times New Roman"/>
        </w:rPr>
      </w:pPr>
      <w:r w:rsidRPr="00BF4EDB">
        <w:rPr>
          <w:rFonts w:ascii="Cambria" w:hAnsi="Cambria" w:cs="Times New Roman"/>
        </w:rPr>
        <w:t xml:space="preserve">Imaging analysis was conducted using a combination of AFNI </w:t>
      </w:r>
      <w:r>
        <w:rPr>
          <w:rFonts w:ascii="Cambria" w:hAnsi="Cambria" w:cs="Times New Roman"/>
        </w:rPr>
        <w:fldChar w:fldCharType="begin" w:fldLock="1"/>
      </w:r>
      <w:r>
        <w:rPr>
          <w:rFonts w:ascii="Cambria" w:hAnsi="Cambria" w:cs="Times New Roman"/>
        </w:rPr>
        <w:instrText>ADDIN CSL_CITATION {"citationItems":[{"id":"ITEM-1","itemData":{"DOI":"//dx.doi.org/10.1006/cbmr.1996.0014","ISSN":"0010-4809","abstract":"A package of computer programs for analysis and visualization of three-dimensional human brain functional magnetic resonance imaging (FMRI) results is described. The software can color overlay neural activation maps onto higher resolution anatomical scans. Slices in each cardinal plane can be viewed simultaneously. Manual placement of markers on anatomical landmarks allows transformation of anatomical and functional scans into stereotaxic (Talairach–Tournoux) coordinates. The techniques for automatically generating transformed functional data sets from manually labeled anatomical data sets are described. Facilities are provided for several types of statistical analyses of multiple 3D functional data sets. The programs are written in ANSI C and Motif 1.2 to run on Unix workstations.","author":[{"dropping-particle":"","family":"Cox","given":"Robert W","non-dropping-particle":"","parse-names":false,"suffix":""}],"container-title":"Computers and Biomedical Research","id":"ITEM-1","issue":"3","issued":{"date-parts":[["1996"]]},"note":"ID: 226","page":"162-173","title":"AFNI: Software for Analysis and Visualization of Functional Magnetic Resonance Neuroimages","type":"article-journal","volume":"29"},"uris":["http://www.mendeley.com/documents/?uuid=9c622c1a-f9d4-3d5d-ae99-379ee4020f5e"]}],"mendeley":{"formattedCitation":"(Cox, 1996)","plainTextFormattedCitation":"(Cox, 1996)","previouslyFormattedCitation":"(Cox, 1996)"},"properties":{"noteIndex":0},"schema":"https://github.com/citation-style-language/schema/raw/master/csl-citation.json"}</w:instrText>
      </w:r>
      <w:r>
        <w:rPr>
          <w:rFonts w:ascii="Cambria" w:hAnsi="Cambria" w:cs="Times New Roman"/>
        </w:rPr>
        <w:fldChar w:fldCharType="separate"/>
      </w:r>
      <w:r w:rsidRPr="00BF0A8B">
        <w:rPr>
          <w:rFonts w:ascii="Cambria" w:hAnsi="Cambria" w:cs="Times New Roman"/>
          <w:noProof/>
        </w:rPr>
        <w:t>(Cox, 1996)</w:t>
      </w:r>
      <w:r>
        <w:rPr>
          <w:rFonts w:ascii="Cambria" w:hAnsi="Cambria" w:cs="Times New Roman"/>
        </w:rPr>
        <w:fldChar w:fldCharType="end"/>
      </w:r>
      <w:r w:rsidRPr="00BF4EDB">
        <w:rPr>
          <w:rFonts w:ascii="Cambria" w:hAnsi="Cambria" w:cs="Times New Roman"/>
        </w:rPr>
        <w:t xml:space="preserve"> and ANTsR (https://github.com/ANTsX/ANTsR). T1 images were inhomogeneity-corrected to enhance registration using the N4 bias correction method </w:t>
      </w:r>
      <w:r>
        <w:rPr>
          <w:rFonts w:ascii="Cambria" w:hAnsi="Cambria" w:cs="Times New Roman"/>
        </w:rPr>
        <w:fldChar w:fldCharType="begin" w:fldLock="1"/>
      </w:r>
      <w:r>
        <w:rPr>
          <w:rFonts w:ascii="Cambria" w:hAnsi="Cambria" w:cs="Times New Roman"/>
        </w:rPr>
        <w:instrText>ADDIN CSL_CITATION {"citationItems":[{"id":"ITEM-1","itemData":{"DOI":"10.1109/TMI.2010.2046908","ISSN":"0278-0062","abstract":"A variant of the popular nonparametric nonuniform intensity normalization (N3) algorithm is proposed for bias field correction. Given the superb performance of N3 and its public availability, it has been the subject of several evaluation studies. These studies have demonstrated the importance of certain parameters associated with the B-spline least-squares fitting. We propose the substitution of a recently developed fast and robust B-spline approximation routine and a modified hierarchical optimization scheme for improved bias field correction over the original N3 algorithm. Similar to the N3 algorithm, we also make the source code, testing, and technical documentation of our contribution, which we denote as “N4ITK,” available to the public through the Insight Toolkit of the National Institutes of Health. Performance assessment is demonstrated using simulated data from the publicly available Brainweb database, hyperpolarized (3) He lung image data, and 9.4T postmortem hippocampus data. ","author":[{"dropping-particle":"","family":"Tustison","given":"Nicholas J","non-dropping-particle":"","parse-names":false,"suffix":""},{"dropping-particle":"","family":"Avants","given":"Brian B","non-dropping-particle":"","parse-names":false,"suffix":""},{"dropping-particle":"","family":"Cook","given":"Philip A","non-dropping-particle":"","parse-names":false,"suffix":""},{"dropping-particle":"","family":"Zheng","given":"Yuanjie","non-dropping-particle":"","parse-names":false,"suffix":""},{"dropping-particle":"","family":"Egan","given":"Alexander","non-dropping-particle":"","parse-names":false,"suffix":""},{"dropping-particle":"","family":"Yushkevich","given":"Paul A","non-dropping-particle":"","parse-names":false,"suffix":""},{"dropping-particle":"","family":"Gee","given":"James C","non-dropping-particle":"","parse-names":false,"suffix":""}],"container-title":"IEEE transactions on medical imaging","id":"ITEM-1","issue":"6","issued":{"date-parts":[["2010","6","8"]]},"page":"1310-1320","title":"N4ITK: Improved N3 Bias Correction","type":"article-journal","volume":"29"},"uris":["http://www.mendeley.com/documents/?uuid=98527ca3-2b78-47f1-a075-eb077d5bc6ea"]}],"mendeley":{"formattedCitation":"(Tustison et al., 2010)","plainTextFormattedCitation":"(Tustison et al., 2010)","previouslyFormattedCitation":"(Tustison et al., 2010)"},"properties":{"noteIndex":0},"schema":"https://github.com/citation-style-language/schema/raw/master/csl-citation.json"}</w:instrText>
      </w:r>
      <w:r>
        <w:rPr>
          <w:rFonts w:ascii="Cambria" w:hAnsi="Cambria" w:cs="Times New Roman"/>
        </w:rPr>
        <w:fldChar w:fldCharType="separate"/>
      </w:r>
      <w:r w:rsidRPr="00BF0A8B">
        <w:rPr>
          <w:rFonts w:ascii="Cambria" w:hAnsi="Cambria" w:cs="Times New Roman"/>
          <w:noProof/>
        </w:rPr>
        <w:t>(Tustison et al., 2010)</w:t>
      </w:r>
      <w:r>
        <w:rPr>
          <w:rFonts w:ascii="Cambria" w:hAnsi="Cambria" w:cs="Times New Roman"/>
        </w:rPr>
        <w:fldChar w:fldCharType="end"/>
      </w:r>
      <w:r w:rsidRPr="00BF4EDB">
        <w:rPr>
          <w:rFonts w:ascii="Cambria" w:hAnsi="Cambria" w:cs="Times New Roman"/>
        </w:rPr>
        <w:t xml:space="preserve">. Each subject’s T1 was brain extracted, diffeomorphically registered to the 1mm mni_icbm152_nlin template, and segmented using ANTS </w:t>
      </w:r>
      <w:r>
        <w:rPr>
          <w:rFonts w:ascii="Cambria" w:hAnsi="Cambria" w:cs="Times New Roman"/>
        </w:rPr>
        <w:fldChar w:fldCharType="begin" w:fldLock="1"/>
      </w:r>
      <w:r>
        <w:rPr>
          <w:rFonts w:ascii="Cambria" w:hAnsi="Cambria" w:cs="Times New Roman"/>
        </w:rPr>
        <w:instrText>ADDIN CSL_CITATION {"citationItems":[{"id":"ITEM-1","itemData":{"DOI":"10.1016/j.neuroimage.2010.09.025 [doi]","ISSN":"1095-9572","abstract":"The United States National Institutes of Health (NIH) commit significant support to open-source data and software resources in order to foment reproducibility in the biomedical imaging sciences. Here, we report and evaluate a recent product of this commitment: Advanced Neuroimaging Tools (ANTs), which is approaching its 2.0 release. The ANTs open source software library consists of a suite of state-of-the-art image registration, segmentation and template building tools for quantitative morphometric analysis. In this work, we use ANTs to quantify, for the first time, the impact of similarity metrics on the affine and deformable components of a template-based normalization study. We detail the ANTs implementation of three similarity metrics: squared intensity difference, a new and faster cross-correlation, and voxel-wise mutual information. We then use two-fold cross-validation to compare their performance on openly available, manually labeled, T1-weighted MRI brain image data of 40 subjects (UCLA's LPBA40 dataset). We report evaluation results on cortical and whole brain labels for both the affine and deformable components of the registration. Results indicate that the best ANTs methods are competitive with existing brain extraction results (Jaccard=0.958) and cortical labeling approaches. Mutual information affine mapping combined with cross-correlation diffeomorphic mapping gave the best cortical labeling results (Jaccard=0.669+/-0.022). Furthermore, our two-fold cross-validation allows us to quantify the similarity of templates derived from different subgroups. Our open code, data and evaluation scripts set performance benchmark parameters for this state-of-the-art toolkit. This is the first study to use a consistent transformation framework to provide a reproducible evaluation of the isolated effect of the similarity metric on optimal template construction and brain labeling.","author":[{"dropping-particle":"","family":"Avants","given":"B B","non-dropping-particle":"","parse-names":false,"suffix":""},{"dropping-particle":"","family":"Tustison","given":"N J","non-dropping-particle":"","parse-names":false,"suffix":""},{"dropping-particle":"","family":"Song","given":"G","non-dropping-particle":"","parse-names":false,"suffix":""},{"dropping-particle":"","family":"Cook","given":"P A","non-dropping-particle":"","parse-names":false,"suffix":""},{"dropping-particle":"","family":"Klein","given":"A","non-dropping-particle":"","parse-names":false,"suffix":""},{"dropping-particle":"","family":"Gee","given":"J C","non-dropping-particle":"","parse-names":false,"suffix":""}],"container-title":"NeuroImage","id":"ITEM-1","issue":"3","issued":{"date-parts":[["2011","2","1"]]},"note":"LR: 20170220; CI: Copyright (c) 2010; GR: R01 DA022807-01A1/DA/NIDA NIH HHS/United States; GR: R01 NS033662/NS/NINDS NIH HHS/United States; GR: L40 DA025520-02/DA/NIDA NIH HHS/United States; GR: L40 DA025520/DA/NIDA NIH HHS/United States; GR: R01 DA022807/DA/NIDA NIH HHS/United States; GR: L40 DA025520-01/DA/NIDA NIH HHS/United States; GR: R21 DA015886-01/DA/NIDA NIH HHS/United States; GR: R01EB006266-01/EB/NIBIB NIH HHS/United States; GR: R01 EB006266/EB/NIBIB NIH HHS/United States; GR: R01 NS033662-04/NS/NINDS NIH HHS/United States; GR: R01 EB006266-01/EB/NIBIB NIH HHS/United States; GR: R21 DA015886/DA/NIDA NIH HHS/United States; JID: 9215515; NIHMS238501; OID: NLM: NIHMS238501; OID: NLM: PMC3065962; 2010/05/21 [received]; 2010/09/02 [revised]; 2010/09/08 [accepted]; ppublish","page":"2033-2044","publisher":"Elsevier Inc","publisher-place":"Penn Image Computing and Science Laboratory, University of Pennsylvania, Philadelphia, PA 19104, USA. avants@grasp.cis.upenn.edu","title":"A reproducible evaluation of ANTs similarity metric performance in brain image registration","type":"article-journal","volume":"54"},"uris":["http://www.mendeley.com/documents/?uuid=5b9b7380-6efb-351b-b86a-99761677fdf6"]},{"id":"ITEM-2","itemData":{"DOI":"//dx.doi.org/10.1016/j.neuroimage.2008.12.037","ISBN":"1053-8119","abstract":"All fields of neuroscience that employ brain imaging need to communicate their results with reference to anatomical regions. In particular, comparative morphometry and group analysis of functional and physiological data require coregistration of brains to establish correspondences across brain structures. It is well established that linear registration of one brain to another is inadequate for aligning brain structures, so numerous algorithms have emerged to nonlinearly register brains to one another. This study is the largest evaluation of nonlinear deformation algorithms applied to brain image registration ever conducted. Fourteen algorithms from laboratories around the world are evaluated using 8 different error measures. More than 45,000 registrations between 80 manually labeled brains were performed by algorithms including: AIR, ANIMAL, ART, Diffeomorphic Demons, FNIRT, IRTK, JRD-fluid, ROMEO, SICLE, SyN, and four different SPM5 algorithms (“SPM2-type” and regular Normalization, Unified Segmentation, and the DARTEL Toolbox). All of these registrations were preceded by linear registration between the same image pairs using FLIRT. One of the most significant findings of this study is that the relative performances of the registration methods under comparison appear to be little affected by the choice of subject population, labeling protocol, and type of overlap measure. This is important because it suggests that the findings are generalizable to new subject populations that are labeled or evaluated using different labeling protocols. Furthermore, we ranked the 14 methods according to three completely independent analyses (permutation tests, one-way ANOVA tests, and indifference-zone ranking) and derived three almost identical top rankings of the methods. ART, SyN, IRTK, and SPM's DARTEL Toolbox gave the best results according to overlap and distance measures, with ART and SyN delivering the most consistently high accuracy across subjects and label sets. Updates will be published on the http://www.mindboggle.info/papers/ website. \"","author":[{"dropping-particle":"","family":"Klein","given":"Arno","non-dropping-particle":"","parse-names":false,"suffix":""},{"dropping-particle":"","family":"Andersson","given":"Jesper","non-dropping-particle":"","parse-names":false,"suffix":""},{"dropping-particle":"","family":"Ardekani","given":"Babak A","non-dropping-particle":"","parse-names":false,"suffix":""},{"dropping-particle":"","family":"Ashburner","given":"John","non-dropping-particle":"","parse-names":false,"suffix":""},{"dropping-particle":"","family":"Avants","given":"Brian","non-dropping-particle":"","parse-names":false,"suffix":""},{"dropping-particle":"","family":"Chiang","given":"Ming-Chang","non-dropping-particle":"","parse-names":false,"suffix":""},{"dropping-particle":"","family":"Christensen","given":"Gary E","non-dropping-particle":"","parse-names":false,"suffix":""},{"dropping-particle":"","family":"Collins","given":"D Louis","non-dropping-particle":"","parse-names":false,"suffix":""},{"dropping-particle":"","family":"Gee","given":"James","non-dropping-particle":"","parse-names":false,"suffix":""},{"dropping-particle":"","family":"Hellier","given":"Pierre","non-dropping-particle":"","parse-names":false,"suffix":""},{"dropping-particle":"","family":"Song","given":"Joo Hyun","non-dropping-particle":"","parse-names":false,"suffix":""},{"dropping-particle":"","family":"Jenkinson","given":"Mark","non-dropping-particle":"","parse-names":false,"suffix":""},{"dropping-particle":"","family":"Lepage","given":"Claude","non-dropping-particle":"","parse-names":false,"suffix":""},{"dropping-particle":"","family":"Rueckert","given":"Daniel","non-dropping-particle":"","parse-names":false,"suffix":""},{"dropping-particle":"","family":"Thompson","given":"Paul","non-dropping-particle":"","parse-names":false,"suffix":""},{"dropping-particle":"","family":"Vercauteren","given":"Tom","non-dropping-particle":"","parse-names":false,"suffix":""},{"dropping-particle":"","family":"Woods","given":"Roger P","non-dropping-particle":"","parse-names":false,"suffix":""},{"dropping-particle":"","family":"Mann","given":"J John","non-dropping-particle":"","parse-names":false,"suffix":""},{"dropping-particle":"V","family":"Parsey","given":"Ramin","non-dropping-particle":"","parse-names":false,"suffix":""}],"container-title":"NeuroImage","id":"ITEM-2","issue":"3","issued":{"date-parts":[["2009"]]},"note":"ID: 4; ID: 272508","page":"786-802","title":"Evaluation of 14 nonlinear deformation algorithms applied to human brain MRI registration","type":"article","volume":"46"},"uris":["http://www.mendeley.com/documents/?uuid=c79081f0-2cc8-301a-92b2-69a29da465b0"]}],"mendeley":{"formattedCitation":"(Avants et al., 2011; Klein et al., 2009)","plainTextFormattedCitation":"(Avants et al., 2011; Klein et al., 2009)","previouslyFormattedCitation":"(Avants et al., 2011; Klein et al., 2009)"},"properties":{"noteIndex":0},"schema":"https://github.com/citation-style-language/schema/raw/master/csl-citation.json"}</w:instrText>
      </w:r>
      <w:r>
        <w:rPr>
          <w:rFonts w:ascii="Cambria" w:hAnsi="Cambria" w:cs="Times New Roman"/>
        </w:rPr>
        <w:fldChar w:fldCharType="separate"/>
      </w:r>
      <w:r w:rsidRPr="00BF0A8B">
        <w:rPr>
          <w:rFonts w:ascii="Cambria" w:hAnsi="Cambria" w:cs="Times New Roman"/>
          <w:noProof/>
        </w:rPr>
        <w:t>(Avants et al., 2011; Klein et al., 2009)</w:t>
      </w:r>
      <w:r>
        <w:rPr>
          <w:rFonts w:ascii="Cambria" w:hAnsi="Cambria" w:cs="Times New Roman"/>
        </w:rPr>
        <w:fldChar w:fldCharType="end"/>
      </w:r>
      <w:r w:rsidRPr="00BF4EDB">
        <w:rPr>
          <w:rFonts w:ascii="Cambria" w:hAnsi="Cambria" w:cs="Times New Roman"/>
        </w:rPr>
        <w:t>. For preprocessing of the functional images, the first three EPI volumes were removed to allow for scanner equilibration. Next, EPI images were despiked, slice-time corrected, outliers were truncated and N4 biased corrected. EPI images were</w:t>
      </w:r>
      <w:r>
        <w:rPr>
          <w:rFonts w:ascii="Cambria" w:hAnsi="Cambria" w:cs="Times New Roman"/>
        </w:rPr>
        <w:t xml:space="preserve"> then</w:t>
      </w:r>
      <w:r w:rsidRPr="00BF4EDB">
        <w:rPr>
          <w:rFonts w:ascii="Cambria" w:hAnsi="Cambria" w:cs="Times New Roman"/>
        </w:rPr>
        <w:t xml:space="preserve"> temporally whitened to reduce bold-signal temporal autocorrelation, motion corrected, and noise components were removed using </w:t>
      </w:r>
      <w:proofErr w:type="spellStart"/>
      <w:r w:rsidRPr="00BF4EDB">
        <w:rPr>
          <w:rFonts w:ascii="Cambria" w:hAnsi="Cambria" w:cs="Times New Roman"/>
        </w:rPr>
        <w:t>CompCor</w:t>
      </w:r>
      <w:proofErr w:type="spellEnd"/>
      <w:r w:rsidRPr="00BF4EDB">
        <w:rPr>
          <w:rFonts w:ascii="Cambria" w:hAnsi="Cambria" w:cs="Times New Roman"/>
        </w:rPr>
        <w:t xml:space="preserve"> </w:t>
      </w:r>
      <w:r>
        <w:rPr>
          <w:rFonts w:ascii="Cambria" w:hAnsi="Cambria" w:cs="Times New Roman"/>
        </w:rPr>
        <w:fldChar w:fldCharType="begin" w:fldLock="1"/>
      </w:r>
      <w:r>
        <w:rPr>
          <w:rFonts w:ascii="Cambria" w:hAnsi="Cambria" w:cs="Times New Roman"/>
        </w:rPr>
        <w:instrText>ADDIN CSL_CITATION {"citationItems":[{"id":"ITEM-1","itemData":{"DOI":"10.1016/j.neuroimage.2007.04.042","ISBN":"1053-8119 (Print)\\n1053-8119 (Linking)","ISSN":"10538119","PMID":"17560126","abstract":"A component based method (CompCor) for the reduction of noise in both blood oxygenation level-dependent (BOLD) and perfusion-based functional magnetic resonance imaging (fMRI) data is presented. In the proposed method, significant principal components are derived from noise regions-of-interest (ROI) in which the time series data are unlikely to be modulated by neural activity. These components are then included as nuisance parameters within general linear models for BOLD and perfusion-based fMRI time series data. Two approaches for the determination of the noise ROI are considered. The first method uses high-resolution anatomical data to define a region of interest composed primarily of white matter and cerebrospinal fluid, while the second method defines a region based upon the temporal standard deviation of the time series data. With the application of CompCor, the temporal standard deviation of resting-state perfusion and BOLD data in gray matter regions was significantly reduced as compared to either no correction or the application of a previously described retrospective image based correction scheme (RETROICOR). For both functional perfusion and BOLD data, the application of CompCor significantly increased the number of activated voxels as compared to no correction. In addition, for functional BOLD data, there were significantly more activated voxels detected with CompCor as compared to RETROICOR. In comparison to RETROICOR, CompCor has the advantage of not requiring external monitoring of physiological fluctuations. ?? 2007 Elsevier Inc. All rights reserved.","author":[{"dropping-particle":"","family":"Behzadi","given":"Yashar","non-dropping-particle":"","parse-names":false,"suffix":""},{"dropping-particle":"","family":"Restom","given":"Khaled","non-dropping-particle":"","parse-names":false,"suffix":""},{"dropping-particle":"","family":"Liau","given":"Joy","non-dropping-particle":"","parse-names":false,"suffix":""},{"dropping-particle":"","family":"Liu","given":"Thomas T.","non-dropping-particle":"","parse-names":false,"suffix":""}],"container-title":"NeuroImage","id":"ITEM-1","issue":"1","issued":{"date-parts":[["2007","8","1"]]},"page":"90-101","title":"A component based noise correction method (CompCor) for BOLD and perfusion based fMRI","type":"article-journal","volume":"37"},"uris":["http://www.mendeley.com/documents/?uuid=6f68cc54-3150-40d0-bd8e-736c405f10c1"]}],"mendeley":{"formattedCitation":"(Behzadi, Restom, Liau, &amp; Liu, 2007)","plainTextFormattedCitation":"(Behzadi, Restom, Liau, &amp; Liu, 2007)","previouslyFormattedCitation":"(Behzadi, Restom, Liau, &amp; Liu, 2007)"},"properties":{"noteIndex":0},"schema":"https://github.com/citation-style-language/schema/raw/master/csl-citation.json"}</w:instrText>
      </w:r>
      <w:r>
        <w:rPr>
          <w:rFonts w:ascii="Cambria" w:hAnsi="Cambria" w:cs="Times New Roman"/>
        </w:rPr>
        <w:fldChar w:fldCharType="separate"/>
      </w:r>
      <w:r w:rsidRPr="00BF0A8B">
        <w:rPr>
          <w:rFonts w:ascii="Cambria" w:hAnsi="Cambria" w:cs="Times New Roman"/>
          <w:noProof/>
        </w:rPr>
        <w:t>(Behzadi, Restom, Liau, &amp; Liu, 2007)</w:t>
      </w:r>
      <w:r>
        <w:rPr>
          <w:rFonts w:ascii="Cambria" w:hAnsi="Cambria" w:cs="Times New Roman"/>
        </w:rPr>
        <w:fldChar w:fldCharType="end"/>
      </w:r>
      <w:r w:rsidRPr="00BF4EDB">
        <w:rPr>
          <w:rFonts w:ascii="Cambria" w:hAnsi="Cambria" w:cs="Times New Roman"/>
        </w:rPr>
        <w:t xml:space="preserve">, spatially smoothed using </w:t>
      </w:r>
      <w:proofErr w:type="spellStart"/>
      <w:r w:rsidRPr="00BF4EDB">
        <w:rPr>
          <w:rFonts w:ascii="Cambria" w:hAnsi="Cambria" w:cs="Times New Roman"/>
        </w:rPr>
        <w:t>Perona</w:t>
      </w:r>
      <w:proofErr w:type="spellEnd"/>
      <w:r w:rsidRPr="00BF4EDB">
        <w:rPr>
          <w:rFonts w:ascii="Cambria" w:hAnsi="Cambria" w:cs="Times New Roman"/>
        </w:rPr>
        <w:t xml:space="preserve">-Malik anisotropic diffusion </w:t>
      </w:r>
      <w:r>
        <w:rPr>
          <w:rFonts w:ascii="Cambria" w:hAnsi="Cambria" w:cs="Times New Roman"/>
        </w:rPr>
        <w:fldChar w:fldCharType="begin" w:fldLock="1"/>
      </w:r>
      <w:r>
        <w:rPr>
          <w:rFonts w:ascii="Cambria" w:hAnsi="Cambria" w:cs="Times New Roman"/>
        </w:rPr>
        <w:instrText>ADDIN CSL_CITATION {"citationItems":[{"id":"ITEM-1","itemData":{"DOI":"10.1088/0031-9155/56/15/025","ISBN":"1361-6560","ISSN":"00319155","PMID":"21772082","abstract":"Spatial smoothing using isotropic Gaussian kernels to remove noise reduces spatial resolution and increases the partial volume effect of functional magnetic resonance images (fMRI), thereby reducing localization power. To minimize these limitations, we propose a novel anisotropic smoothing method for fMRI data. To extract an anisotropic tensor for each voxel of the functional data, we derived an intensity gradient using the distance transformation of the segmented gray matter of the fMRI-coregistered T1-weighted image. The intensity gradient was then used to determine the anisotropic smoothing kernel at each voxel of the fMRI data. Performance evaluations on both real and simulated data showed that the proposed method had 10% higher statistical power and about 20% higher gray matter localization compared to isotropic smoothing and robustness to the registration errors (up to 4 mm translations and 4° rotations) between T1 structural images and fMRI data. The proposed method also showed higher performance than the anisotropic smoothing with diffusion gradients derived from the fMRI intensity data.","author":[{"dropping-particle":"","family":"Nam","given":"Haewon","non-dropping-particle":"","parse-names":false,"suffix":""},{"dropping-particle":"","family":"Lee","given":"Dongha","non-dropping-particle":"","parse-names":false,"suffix":""},{"dropping-particle":"","family":"Lee","given":"Jong Doo","non-dropping-particle":"","parse-names":false,"suffix":""},{"dropping-particle":"","family":"Park","given":"Hae Jeong","non-dropping-particle":"","parse-names":false,"suffix":""}],"container-title":"Physics in Medicine and Biology","id":"ITEM-1","issue":"15","issued":{"date-parts":[["2011","8"]]},"language":"eng","page":"5063-5077","publisher-place":"England","title":"A method for anisotropic spatial smoothing of functional magnetic resonance images using distance transformation of a structural image","type":"article-journal","volume":"56"},"uris":["http://www.mendeley.com/documents/?uuid=c8e88c38-0ef0-49e6-aece-708fe69d3d66"]}],"mendeley":{"formattedCitation":"(Nam, Lee, Lee, &amp; Park, 2011)","plainTextFormattedCitation":"(Nam, Lee, Lee, &amp; Park, 2011)","previouslyFormattedCitation":"(Nam, Lee, Lee, &amp; Park, 2011)"},"properties":{"noteIndex":0},"schema":"https://github.com/citation-style-language/schema/raw/master/csl-citation.json"}</w:instrText>
      </w:r>
      <w:r>
        <w:rPr>
          <w:rFonts w:ascii="Cambria" w:hAnsi="Cambria" w:cs="Times New Roman"/>
        </w:rPr>
        <w:fldChar w:fldCharType="separate"/>
      </w:r>
      <w:r w:rsidRPr="00BF0A8B">
        <w:rPr>
          <w:rFonts w:ascii="Cambria" w:hAnsi="Cambria" w:cs="Times New Roman"/>
          <w:noProof/>
        </w:rPr>
        <w:t>(Nam, Lee, Lee, &amp; Park, 2011)</w:t>
      </w:r>
      <w:r>
        <w:rPr>
          <w:rFonts w:ascii="Cambria" w:hAnsi="Cambria" w:cs="Times New Roman"/>
        </w:rPr>
        <w:fldChar w:fldCharType="end"/>
      </w:r>
      <w:r w:rsidRPr="00BF4EDB">
        <w:rPr>
          <w:rFonts w:ascii="Cambria" w:hAnsi="Cambria" w:cs="Times New Roman"/>
        </w:rPr>
        <w:t xml:space="preserve">, and band-pass filtered (.001 - .01 Hz). Corrected EPI images were </w:t>
      </w:r>
      <w:proofErr w:type="spellStart"/>
      <w:r w:rsidRPr="00BF4EDB">
        <w:rPr>
          <w:rFonts w:ascii="Cambria" w:hAnsi="Cambria" w:cs="Times New Roman"/>
        </w:rPr>
        <w:t>coregistered</w:t>
      </w:r>
      <w:proofErr w:type="spellEnd"/>
      <w:r w:rsidRPr="00BF4EDB">
        <w:rPr>
          <w:rFonts w:ascii="Cambria" w:hAnsi="Cambria" w:cs="Times New Roman"/>
        </w:rPr>
        <w:t xml:space="preserve"> to the individual standardized T1 image using SyNBold. Forward and inverse registration transformations were concatenated and applied in a single step to minimize excess </w:t>
      </w:r>
      <w:r w:rsidRPr="00BF4EDB">
        <w:rPr>
          <w:rFonts w:ascii="Cambria" w:hAnsi="Cambria" w:cs="Times New Roman"/>
        </w:rPr>
        <w:lastRenderedPageBreak/>
        <w:t>blurring of images.</w:t>
      </w:r>
      <w:r>
        <w:rPr>
          <w:rFonts w:ascii="Cambria" w:hAnsi="Cambria" w:cs="Times New Roman"/>
        </w:rPr>
        <w:t xml:space="preserve"> </w:t>
      </w:r>
      <w:r w:rsidRPr="00BF4EDB">
        <w:rPr>
          <w:rFonts w:ascii="Cambria" w:hAnsi="Cambria" w:cs="Times New Roman"/>
        </w:rPr>
        <w:t>DVARs (&gt;2.5 SD) and framewise displacement (</w:t>
      </w:r>
      <w:r>
        <w:rPr>
          <w:rFonts w:ascii="Cambria" w:hAnsi="Cambria" w:cs="Times New Roman"/>
        </w:rPr>
        <w:t xml:space="preserve">mean </w:t>
      </w:r>
      <w:r w:rsidRPr="00BF4EDB">
        <w:rPr>
          <w:rFonts w:ascii="Cambria" w:hAnsi="Cambria" w:cs="Times New Roman"/>
        </w:rPr>
        <w:t xml:space="preserve">FD &gt;.3mm) were used to remove subjects due to excess motion (n=1). </w:t>
      </w:r>
    </w:p>
    <w:p w14:paraId="50BBDE8F" w14:textId="77777777" w:rsidR="00060D4D" w:rsidRDefault="00060D4D" w:rsidP="00060D4D">
      <w:pPr>
        <w:rPr>
          <w:rFonts w:ascii="Cambria" w:hAnsi="Cambria"/>
          <w:b/>
          <w:bCs/>
        </w:rPr>
      </w:pPr>
    </w:p>
    <w:p w14:paraId="5BBB6782" w14:textId="47BA4A29" w:rsidR="00F12D31" w:rsidRDefault="00334626" w:rsidP="00334626">
      <w:pPr>
        <w:jc w:val="center"/>
        <w:rPr>
          <w:rFonts w:ascii="Cambria" w:hAnsi="Cambria"/>
          <w:b/>
          <w:bCs/>
        </w:rPr>
      </w:pPr>
      <w:r>
        <w:rPr>
          <w:rFonts w:ascii="Cambria" w:hAnsi="Cambria"/>
          <w:b/>
          <w:bCs/>
          <w:noProof/>
        </w:rPr>
        <w:drawing>
          <wp:inline distT="0" distB="0" distL="0" distR="0" wp14:anchorId="2FA4A762" wp14:editId="4A98D8D2">
            <wp:extent cx="5219700" cy="408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219700" cy="4089400"/>
                    </a:xfrm>
                    <a:prstGeom prst="rect">
                      <a:avLst/>
                    </a:prstGeom>
                  </pic:spPr>
                </pic:pic>
              </a:graphicData>
            </a:graphic>
          </wp:inline>
        </w:drawing>
      </w:r>
    </w:p>
    <w:p w14:paraId="3F1221AA" w14:textId="35A2419D" w:rsidR="00334626" w:rsidRDefault="00334626" w:rsidP="00B2111A">
      <w:pPr>
        <w:rPr>
          <w:rFonts w:ascii="Cambria" w:hAnsi="Cambria"/>
          <w:b/>
          <w:bCs/>
        </w:rPr>
      </w:pPr>
    </w:p>
    <w:p w14:paraId="6666A0E5" w14:textId="33410AA8" w:rsidR="00334626" w:rsidRPr="00573D19" w:rsidRDefault="00334626" w:rsidP="00334626">
      <w:pPr>
        <w:rPr>
          <w:rFonts w:ascii="Cambria" w:hAnsi="Cambria"/>
          <w:noProof/>
          <w:sz w:val="22"/>
          <w:szCs w:val="22"/>
        </w:rPr>
      </w:pPr>
      <w:r w:rsidRPr="00573D19">
        <w:rPr>
          <w:rFonts w:ascii="Cambria" w:hAnsi="Cambria"/>
          <w:b/>
          <w:bCs/>
          <w:noProof/>
          <w:sz w:val="22"/>
          <w:szCs w:val="22"/>
        </w:rPr>
        <w:t>Supplementary Figure 1</w:t>
      </w:r>
      <w:r w:rsidRPr="00573D19">
        <w:rPr>
          <w:rFonts w:ascii="Cambria" w:hAnsi="Cambria"/>
          <w:noProof/>
          <w:sz w:val="22"/>
          <w:szCs w:val="22"/>
        </w:rPr>
        <w:t>. Subgrouping within group iterative multiple model estimation (S-GIMME) analysis pipeline. (a) Regions of interest (ROI’s) were chosen based upon meta-analysis of PTSD</w:t>
      </w:r>
      <w:r w:rsidR="00F45584">
        <w:rPr>
          <w:rFonts w:ascii="Cambria" w:hAnsi="Cambria"/>
          <w:noProof/>
          <w:sz w:val="22"/>
          <w:szCs w:val="22"/>
        </w:rPr>
        <w:t xml:space="preserve"> and </w:t>
      </w:r>
      <w:r w:rsidRPr="00573D19">
        <w:rPr>
          <w:rFonts w:ascii="Cambria" w:hAnsi="Cambria"/>
          <w:noProof/>
          <w:sz w:val="22"/>
          <w:szCs w:val="22"/>
        </w:rPr>
        <w:t>AUD detailed</w:t>
      </w:r>
      <w:r w:rsidR="006624F5" w:rsidRPr="00573D19">
        <w:rPr>
          <w:rFonts w:ascii="Cambria" w:hAnsi="Cambria"/>
          <w:noProof/>
          <w:sz w:val="22"/>
          <w:szCs w:val="22"/>
        </w:rPr>
        <w:t xml:space="preserve"> </w:t>
      </w:r>
      <w:r w:rsidR="006624F5" w:rsidRPr="00573D19">
        <w:rPr>
          <w:rFonts w:ascii="Cambria" w:hAnsi="Cambria"/>
          <w:noProof/>
          <w:sz w:val="22"/>
          <w:szCs w:val="22"/>
        </w:rPr>
        <w:fldChar w:fldCharType="begin" w:fldLock="1"/>
      </w:r>
      <w:r w:rsidR="006624F5" w:rsidRPr="00573D19">
        <w:rPr>
          <w:rFonts w:ascii="Cambria" w:hAnsi="Cambria"/>
          <w:noProof/>
          <w:sz w:val="22"/>
          <w:szCs w:val="22"/>
        </w:rPr>
        <w:instrText>ADDIN CSL_CITATION {"citationItems":[{"id":"ITEM-1","itemData":{"DOI":"https://doi.org/10.1016/j.ynstr.2018.09.009","ISSN":"2352-2895","abstract":"The considerable comorbidity of posttraumatic stress disorder (PTSD) and alcohol use disorders (AUD) poses a greater public health burden than either condition alone. Although there is a substantial body of evidence linking the direct neurotoxic effect of heavy drinking to gray matter (GM) deficits, as well as a growing body of literature supporting a strong association between PTSD and GM alterations, there is scant research interrogating the direct interaction of the two disorders. In order to generate data-driven, specific hypotheses regarding the overlapping neural substrates of PTSD and AUD, we conducted a meta-analysis of GM volumes in each disorder relative to healthy control subjects. We found shared GM deficits in the anterior cingulate cortex (ACC) across both disorders relative to healthy control participants. These findings suggest that reduced volumes of the ACC across PTSD and AUD may have implications for the development, expression, or treatment of symptoms linked to these frequently co-existing disorders. Recommendations are made for future work aimed at delineating the specific and shared effects of traumatic stress and alcoholism on neural integrity.","author":[{"dropping-particle":"","family":"Klaming","given":"Ruth","non-dropping-particle":"","parse-names":false,"suffix":""},{"dropping-particle":"","family":"Harlé","given":"Katia M","non-dropping-particle":"","parse-names":false,"suffix":""},{"dropping-particle":"","family":"Infante","given":"M Alejandra","non-dropping-particle":"","parse-names":false,"suffix":""},{"dropping-particle":"","family":"Bomyea","given":"Jessica","non-dropping-particle":"","parse-names":false,"suffix":""},{"dropping-particle":"","family":"Kim","given":"Charles","non-dropping-particle":"","parse-names":false,"suffix":""},{"dropping-particle":"","family":"Spadoni","given":"Andrea D","non-dropping-particle":"","parse-names":false,"suffix":""}],"container-title":"Neurobiology of Stress","id":"ITEM-1","issued":{"date-parts":[["2019"]]},"page":"100132","title":"Shared gray matter reductions across alcohol use disorder and posttraumatic stress disorder in the anterior cingulate cortex: A dual meta-analysis","type":"article-journal","volume":"10"},"uris":["http://www.mendeley.com/documents/?uuid=6130dcd6-2872-4213-8444-370894c2867e"]}],"mendeley":{"formattedCitation":"(Klaming et al., 2019)","plainTextFormattedCitation":"(Klaming et al., 2019)","previouslyFormattedCitation":"(Klaming et al., 2019)"},"properties":{"noteIndex":0},"schema":"https://github.com/citation-style-language/schema/raw/master/csl-citation.json"}</w:instrText>
      </w:r>
      <w:r w:rsidR="006624F5" w:rsidRPr="00573D19">
        <w:rPr>
          <w:rFonts w:ascii="Cambria" w:hAnsi="Cambria"/>
          <w:noProof/>
          <w:sz w:val="22"/>
          <w:szCs w:val="22"/>
        </w:rPr>
        <w:fldChar w:fldCharType="separate"/>
      </w:r>
      <w:r w:rsidR="006624F5" w:rsidRPr="00573D19">
        <w:rPr>
          <w:rFonts w:ascii="Cambria" w:hAnsi="Cambria"/>
          <w:noProof/>
          <w:sz w:val="22"/>
          <w:szCs w:val="22"/>
        </w:rPr>
        <w:t>(Klaming et al., 2019)</w:t>
      </w:r>
      <w:r w:rsidR="006624F5" w:rsidRPr="00573D19">
        <w:rPr>
          <w:rFonts w:ascii="Cambria" w:hAnsi="Cambria"/>
          <w:noProof/>
          <w:sz w:val="22"/>
          <w:szCs w:val="22"/>
        </w:rPr>
        <w:fldChar w:fldCharType="end"/>
      </w:r>
      <w:r w:rsidRPr="00573D19">
        <w:rPr>
          <w:rFonts w:ascii="Cambria" w:hAnsi="Cambria"/>
          <w:noProof/>
          <w:sz w:val="22"/>
          <w:szCs w:val="22"/>
        </w:rPr>
        <w:t xml:space="preserve">. (a) Time series from these ROIs were then entered into S-GIMME. (b) Using a unified structural equation modeling strategy, S-GIMME identifies and models auto-regressive, lagged (t -1), and contemporaneous paths common to the majority of the sample. (c) Next, S-GIMME uses Walktrap </w:t>
      </w:r>
      <w:r w:rsidR="006624F5" w:rsidRPr="00573D19">
        <w:rPr>
          <w:rFonts w:ascii="Cambria" w:hAnsi="Cambria"/>
          <w:noProof/>
          <w:sz w:val="22"/>
          <w:szCs w:val="22"/>
        </w:rPr>
        <w:fldChar w:fldCharType="begin" w:fldLock="1"/>
      </w:r>
      <w:r w:rsidR="006624F5" w:rsidRPr="00573D19">
        <w:rPr>
          <w:rFonts w:ascii="Cambria" w:hAnsi="Cambria"/>
          <w:noProof/>
          <w:sz w:val="22"/>
          <w:szCs w:val="22"/>
        </w:rPr>
        <w:instrText>ADDIN CSL_CITATION {"citationItems":[{"id":"ITEM-1","itemData":{"DOI":"10.1088/1742-5468/2012/08/p08001","ISSN":"1742-5468","abstract":"Community detection is one of the most active fields in complex network analysis, due to its potential value in practical applications. Many works inspired by  different paradigms are devoted to the development of algorithmic solutions allowing the network structure in such cohesive subgroups to be revealed. Comparative studies reported in the literature usually rely on a performance measure considering the community structure as a partition (Rand index, normalized mutual information, etc). However, this type of comparison neglects the topological properties of the communities. In this paper, we present a comprehensive comparative study of a representative set of community detection methods, in which we adopt both types of evaluation. Community-oriented topological measures are used to qualify the communities and evaluate their deviation from the reference structure. In order to mimic real-world systems, we use artificially generated realistic networks. It turns out there is no equivalence between the two approaches: a high performance does not necessarily correspond to correct topological properties, and vice versa. They can therefore be considered as complementary, and we recommend applying both of them in order to perform a complete and accurate assessment.","author":[{"dropping-particle":"","family":"Orman","given":"Günce Keziban","non-dropping-particle":"","parse-names":false,"suffix":""},{"dropping-particle":"","family":"Labatut","given":"Vincent","non-dropping-particle":"","parse-names":false,"suffix":""},{"dropping-particle":"","family":"Cherifi","given":"Hocine","non-dropping-particle":"","parse-names":false,"suffix":""}],"container-title":"Journal of Statistical Mechanics: Theory and Experiment","id":"ITEM-1","issue":"08","issued":{"date-parts":[["2012"]]},"page":"P08001","publisher":"IOP Publishing","title":"Comparative evaluation of community detection algorithms: a topological approach","type":"article-journal","volume":"2012"},"uris":["http://www.mendeley.com/documents/?uuid=b377e9c0-132c-4f74-8df8-18b97759a812"]}],"mendeley":{"formattedCitation":"(Orman, Labatut, &amp; Cherifi, 2012)","plainTextFormattedCitation":"(Orman, Labatut, &amp; Cherifi, 2012)","previouslyFormattedCitation":"(Orman, Labatut, &amp; Cherifi, 2012)"},"properties":{"noteIndex":0},"schema":"https://github.com/citation-style-language/schema/raw/master/csl-citation.json"}</w:instrText>
      </w:r>
      <w:r w:rsidR="006624F5" w:rsidRPr="00573D19">
        <w:rPr>
          <w:rFonts w:ascii="Cambria" w:hAnsi="Cambria"/>
          <w:noProof/>
          <w:sz w:val="22"/>
          <w:szCs w:val="22"/>
        </w:rPr>
        <w:fldChar w:fldCharType="separate"/>
      </w:r>
      <w:r w:rsidR="006624F5" w:rsidRPr="00573D19">
        <w:rPr>
          <w:rFonts w:ascii="Cambria" w:hAnsi="Cambria"/>
          <w:noProof/>
          <w:sz w:val="22"/>
          <w:szCs w:val="22"/>
        </w:rPr>
        <w:t>(Orman, Labatut, &amp; Cherifi, 2012)</w:t>
      </w:r>
      <w:r w:rsidR="006624F5" w:rsidRPr="00573D19">
        <w:rPr>
          <w:rFonts w:ascii="Cambria" w:hAnsi="Cambria"/>
          <w:noProof/>
          <w:sz w:val="22"/>
          <w:szCs w:val="22"/>
        </w:rPr>
        <w:fldChar w:fldCharType="end"/>
      </w:r>
      <w:r w:rsidRPr="00573D19">
        <w:rPr>
          <w:rFonts w:ascii="Cambria" w:hAnsi="Cambria"/>
          <w:noProof/>
          <w:sz w:val="22"/>
          <w:szCs w:val="22"/>
        </w:rPr>
        <w:t xml:space="preserve"> community detection to cluster subjects into subtypes. (d) Effective connectivity profiles are then derived for each subgroup. S-GIMME also estimates individual subject-level connectivity profiles. </w:t>
      </w:r>
    </w:p>
    <w:p w14:paraId="37CCAE09" w14:textId="423D68CF" w:rsidR="00334626" w:rsidRDefault="00334626" w:rsidP="00B2111A">
      <w:pPr>
        <w:rPr>
          <w:rFonts w:ascii="Cambria" w:hAnsi="Cambria"/>
          <w:b/>
          <w:bCs/>
        </w:rPr>
      </w:pPr>
    </w:p>
    <w:p w14:paraId="48EAA95C" w14:textId="6D70184B" w:rsidR="00334626" w:rsidRDefault="00334626" w:rsidP="00B2111A">
      <w:pPr>
        <w:rPr>
          <w:rFonts w:ascii="Cambria" w:hAnsi="Cambria"/>
          <w:b/>
          <w:bCs/>
        </w:rPr>
      </w:pPr>
    </w:p>
    <w:p w14:paraId="0060E857" w14:textId="20BE0515" w:rsidR="00334626" w:rsidRDefault="00334626" w:rsidP="00B2111A">
      <w:pPr>
        <w:rPr>
          <w:rFonts w:ascii="Cambria" w:hAnsi="Cambria"/>
          <w:b/>
          <w:bCs/>
        </w:rPr>
      </w:pPr>
    </w:p>
    <w:p w14:paraId="34D5C84E" w14:textId="087219C1" w:rsidR="00334626" w:rsidRDefault="00334626" w:rsidP="00B2111A">
      <w:pPr>
        <w:rPr>
          <w:rFonts w:ascii="Cambria" w:hAnsi="Cambria"/>
          <w:b/>
          <w:bCs/>
        </w:rPr>
      </w:pPr>
    </w:p>
    <w:p w14:paraId="3ACA9C95" w14:textId="49E5874A" w:rsidR="00B2111A" w:rsidRDefault="00646230" w:rsidP="00B2111A">
      <w:pPr>
        <w:rPr>
          <w:rFonts w:ascii="Cambria" w:hAnsi="Cambria"/>
          <w:b/>
          <w:bCs/>
        </w:rPr>
      </w:pPr>
      <w:r>
        <w:rPr>
          <w:rFonts w:ascii="Cambria" w:hAnsi="Cambria"/>
          <w:b/>
          <w:bCs/>
        </w:rPr>
        <w:t>Comparison of I-PE and I-CS on a subset of the larger clinical trial</w:t>
      </w:r>
    </w:p>
    <w:p w14:paraId="0CD9287B" w14:textId="01F29C14" w:rsidR="001B107F" w:rsidRDefault="001B107F" w:rsidP="00B2111A">
      <w:pPr>
        <w:rPr>
          <w:rFonts w:ascii="Cambria" w:hAnsi="Cambria"/>
          <w:b/>
          <w:bCs/>
        </w:rPr>
      </w:pPr>
    </w:p>
    <w:p w14:paraId="535A50E1" w14:textId="310C462C" w:rsidR="001B107F" w:rsidRDefault="001B107F" w:rsidP="00F3446B">
      <w:pPr>
        <w:spacing w:line="480" w:lineRule="auto"/>
        <w:rPr>
          <w:rFonts w:ascii="Cambria" w:hAnsi="Cambria"/>
        </w:rPr>
      </w:pPr>
      <w:r>
        <w:rPr>
          <w:rFonts w:ascii="Cambria" w:hAnsi="Cambria"/>
          <w:b/>
          <w:bCs/>
        </w:rPr>
        <w:tab/>
      </w:r>
      <w:r>
        <w:rPr>
          <w:rFonts w:ascii="Cambria" w:hAnsi="Cambria"/>
        </w:rPr>
        <w:t>The sample used in our current report (</w:t>
      </w:r>
      <w:r>
        <w:rPr>
          <w:rFonts w:ascii="Cambria" w:hAnsi="Cambria"/>
          <w:i/>
          <w:iCs/>
        </w:rPr>
        <w:t>n</w:t>
      </w:r>
      <w:r>
        <w:rPr>
          <w:rFonts w:ascii="Cambria" w:hAnsi="Cambria"/>
        </w:rPr>
        <w:t xml:space="preserve"> = 59) is a subset of </w:t>
      </w:r>
      <w:r w:rsidR="00F3446B">
        <w:rPr>
          <w:rFonts w:ascii="Cambria" w:hAnsi="Cambria"/>
        </w:rPr>
        <w:t xml:space="preserve">subjects from the </w:t>
      </w:r>
      <w:r>
        <w:rPr>
          <w:rFonts w:ascii="Cambria" w:hAnsi="Cambria"/>
        </w:rPr>
        <w:t>larger clinical trial (</w:t>
      </w:r>
      <w:r>
        <w:rPr>
          <w:rFonts w:ascii="Cambria" w:hAnsi="Cambria"/>
          <w:i/>
          <w:iCs/>
        </w:rPr>
        <w:t>n</w:t>
      </w:r>
      <w:r>
        <w:rPr>
          <w:rFonts w:ascii="Cambria" w:hAnsi="Cambria"/>
        </w:rPr>
        <w:t xml:space="preserve"> = 119) examining the efficacy of Integrated-Prolonged Exposure (I-</w:t>
      </w:r>
      <w:r>
        <w:rPr>
          <w:rFonts w:ascii="Cambria" w:hAnsi="Cambria"/>
        </w:rPr>
        <w:lastRenderedPageBreak/>
        <w:t xml:space="preserve">PE) compared to Integrated-Coping Skills (I-CS) on treating PTSD symptoms and drinking behavior (See </w:t>
      </w:r>
      <w:r w:rsidR="006624F5">
        <w:rPr>
          <w:rFonts w:ascii="Cambria" w:hAnsi="Cambria"/>
        </w:rPr>
        <w:fldChar w:fldCharType="begin" w:fldLock="1"/>
      </w:r>
      <w:r w:rsidR="006624F5">
        <w:rPr>
          <w:rFonts w:ascii="Cambria" w:hAnsi="Cambria"/>
        </w:rPr>
        <w:instrText>ADDIN CSL_CITATION {"citationItems":[{"id":"ITEM-1","itemData":{"DOI":"10.1001/jamapsychiatry.2019.0638","ISSN":"2168-622X","abstract":"Co-occurrence of posttraumatic stress disorder (PTSD) and alcohol use disorder (AUD) is common and associated with psychiatric and functional problems. Understanding whether exposure therapy is tolerable and efficacious for treating PTSD and AUD is critical to ensure that best practice treatments are available.To compare the efficacy of integrated (ie, targeting both PTSD and alcohol use) prolonged exposure (I-PE) therapy with present-centered integrated coping skills (I-CS) therapy, a more commonly available treatment, in reducing PTSD symptoms and alcohol use.This prospective randomized clinical trial with masked assessments considered 186 veterans seeking Veterans Affairs mental health services. A total of 119 veterans with PTSD and AUD were randomized. Data were collected from February 1, 2013, to May 31, 2017, before treatment, after treatment, and at 3- and 6-month follow-ups. Intention-to-treat analyses were performed.Veterans underwent I-PE (Concurrent Treatment of PTSD and Substance Use Disorder Using Prolonged Exposure) or I-CS (Seeking Safety) therapy.A priori planned outcomes were PTSD symptoms (Clinician Administered PTSD Scale for DSM-5) and percentage of heavy drinking days (Timeline Follow-Back) before treatment, after treatment, and at 3- and 6-month follow-ups.A total of 119 veterans (mean [SD] age, 41.6 [12.6] years; 107 [89.9%] male) were randomized. Linear mixture models found that PTSD symptoms decreased in both conditions, with a significantly greater decrease for I-PE treatment compared with I-CS treatment (treatment × time interaction, −2.83; F3,233.1 = 4.92; Cohen d = 0.41; P = .002). The percentage of heavy drinking days improved in both conditions but was not statistically different between I-PE and I-CS treatment (treatment × time interaction, 1.8%; F3,209.9 = 0.18; Cohen d = 0.04; P = .91).The I-PE arm had a greater reduction in PTSD symptoms than the I-CS arm and comparable drinking decreases. The study provides evidence that exposure therapy is more efficacious in treating PTSD than a more commonly available integrated treatment without exposure for comorbid PTSD and AUD.ClinicalTrials.gov identifier: NCT01601067","author":[{"dropping-particle":"","family":"Norman","given":"Sonya B","non-dropping-particle":"","parse-names":false,"suffix":""},{"dropping-particle":"","family":"Trim","given":"Ryan","non-dropping-particle":"","parse-names":false,"suffix":""},{"dropping-particle":"","family":"Haller","given":"Moira","non-dropping-particle":"","parse-names":false,"suffix":""},{"dropping-particle":"","family":"Davis","given":"Brittany C","non-dropping-particle":"","parse-names":false,"suffix":""},{"dropping-particle":"","family":"Myers","given":"Ursula S","non-dropping-particle":"","parse-names":false,"suffix":""},{"dropping-particle":"","family":"Colvonen","given":"Peter J","non-dropping-particle":"","parse-names":false,"suffix":""},{"dropping-particle":"","family":"Blanes","given":"Erika","non-dropping-particle":"","parse-names":false,"suffix":""},{"dropping-particle":"","family":"Lyons","given":"Robert","non-dropping-particle":"","parse-names":false,"suffix":""},{"dropping-particle":"","family":"Siegel","given":"Emma Y","non-dropping-particle":"","parse-names":false,"suffix":""},{"dropping-particle":"","family":"Angkaw","given":"Abigail C","non-dropping-particle":"","parse-names":false,"suffix":""},{"dropping-particle":"","family":"Norman","given":"Gregory J","non-dropping-particle":"","parse-names":false,"suffix":""},{"dropping-particle":"","family":"Mayes","given":"Tina","non-dropping-particle":"","parse-names":false,"suffix":""}],"container-title":"JAMA Psychiatry","id":"ITEM-1","issue":"8","issued":{"date-parts":[["2019","8","1"]]},"page":"791-799","title":"Efficacy of Integrated Exposure Therapy vs Integrated Coping Skills Therapy for Comorbid Posttraumatic Stress Disorder and Alcohol Use Disorder: A Randomized Clinical Trial","type":"article-journal","volume":"76"},"uris":["http://www.mendeley.com/documents/?uuid=882b52dc-4900-4ef1-bf7b-5c0d55063b01"]}],"mendeley":{"formattedCitation":"(Norman et al., 2019)","manualFormatting":"Norman et al., 2019)","plainTextFormattedCitation":"(Norman et al., 2019)","previouslyFormattedCitation":"(Norman et al., 2019)"},"properties":{"noteIndex":0},"schema":"https://github.com/citation-style-language/schema/raw/master/csl-citation.json"}</w:instrText>
      </w:r>
      <w:r w:rsidR="006624F5">
        <w:rPr>
          <w:rFonts w:ascii="Cambria" w:hAnsi="Cambria"/>
        </w:rPr>
        <w:fldChar w:fldCharType="separate"/>
      </w:r>
      <w:r w:rsidR="006624F5" w:rsidRPr="006624F5">
        <w:rPr>
          <w:rFonts w:ascii="Cambria" w:hAnsi="Cambria"/>
          <w:noProof/>
        </w:rPr>
        <w:t>Norman et al., 2019)</w:t>
      </w:r>
      <w:r w:rsidR="006624F5">
        <w:rPr>
          <w:rFonts w:ascii="Cambria" w:hAnsi="Cambria"/>
        </w:rPr>
        <w:fldChar w:fldCharType="end"/>
      </w:r>
      <w:r>
        <w:rPr>
          <w:rFonts w:ascii="Cambria" w:hAnsi="Cambria"/>
        </w:rPr>
        <w:t xml:space="preserve">. Norman and colleagues found that I-PE led to a stronger reduction in PTSD symptoms compared to I-CS but was no different in reducing percent heavy drinking days. As part of our primary model investigating resting-state effective connectivity subtypes on PTSD symptoms and drinking behavior, we also included </w:t>
      </w:r>
      <w:r w:rsidR="00F3446B">
        <w:rPr>
          <w:rFonts w:ascii="Cambria" w:hAnsi="Cambria"/>
        </w:rPr>
        <w:t xml:space="preserve">Therapy Group as a factor to examine whether Therapy group moderated the effect of connectivity subtypes on clinical outcomes. As </w:t>
      </w:r>
      <w:r w:rsidR="00334626">
        <w:rPr>
          <w:rFonts w:ascii="Cambria" w:hAnsi="Cambria"/>
        </w:rPr>
        <w:t xml:space="preserve">stated </w:t>
      </w:r>
      <w:r w:rsidR="00F3446B">
        <w:rPr>
          <w:rFonts w:ascii="Cambria" w:hAnsi="Cambria"/>
        </w:rPr>
        <w:t>in the main report, Therapy group interact</w:t>
      </w:r>
      <w:r w:rsidR="001A2FA4">
        <w:rPr>
          <w:rFonts w:ascii="Cambria" w:hAnsi="Cambria"/>
        </w:rPr>
        <w:t>ed</w:t>
      </w:r>
      <w:r w:rsidR="00F3446B">
        <w:rPr>
          <w:rFonts w:ascii="Cambria" w:hAnsi="Cambria"/>
        </w:rPr>
        <w:t xml:space="preserve"> with resting-state effective connectivity derived subtypes, </w:t>
      </w:r>
      <w:r w:rsidR="00F3446B">
        <w:rPr>
          <w:rFonts w:ascii="Cambria" w:hAnsi="Cambria"/>
          <w:i/>
          <w:iCs/>
        </w:rPr>
        <w:t>F</w:t>
      </w:r>
      <w:r w:rsidR="00F3446B">
        <w:rPr>
          <w:rFonts w:ascii="Cambria" w:hAnsi="Cambria"/>
        </w:rPr>
        <w:t xml:space="preserve"> (</w:t>
      </w:r>
      <w:r w:rsidR="001A2FA4">
        <w:rPr>
          <w:rFonts w:ascii="Cambria" w:hAnsi="Cambria"/>
        </w:rPr>
        <w:t>1</w:t>
      </w:r>
      <w:r w:rsidR="00F3446B">
        <w:rPr>
          <w:rFonts w:ascii="Cambria" w:hAnsi="Cambria"/>
        </w:rPr>
        <w:t>,</w:t>
      </w:r>
      <w:r w:rsidR="001A2FA4">
        <w:rPr>
          <w:rFonts w:ascii="Cambria" w:hAnsi="Cambria"/>
        </w:rPr>
        <w:t>41.2</w:t>
      </w:r>
      <w:r w:rsidR="00F3446B">
        <w:rPr>
          <w:rFonts w:ascii="Cambria" w:hAnsi="Cambria"/>
        </w:rPr>
        <w:t xml:space="preserve">) = </w:t>
      </w:r>
      <w:r w:rsidR="001A2FA4">
        <w:rPr>
          <w:rFonts w:ascii="Cambria" w:hAnsi="Cambria"/>
        </w:rPr>
        <w:t>4.58</w:t>
      </w:r>
      <w:r w:rsidR="00F3446B">
        <w:rPr>
          <w:rFonts w:ascii="Cambria" w:hAnsi="Cambria"/>
        </w:rPr>
        <w:t xml:space="preserve">, </w:t>
      </w:r>
      <w:r w:rsidR="00F3446B">
        <w:rPr>
          <w:rFonts w:ascii="Cambria" w:hAnsi="Cambria"/>
          <w:i/>
          <w:iCs/>
        </w:rPr>
        <w:t>p</w:t>
      </w:r>
      <w:r w:rsidR="00F3446B">
        <w:rPr>
          <w:rFonts w:ascii="Cambria" w:hAnsi="Cambria"/>
        </w:rPr>
        <w:t xml:space="preserve"> = .</w:t>
      </w:r>
      <w:r w:rsidR="001A2FA4">
        <w:rPr>
          <w:rFonts w:ascii="Cambria" w:hAnsi="Cambria"/>
        </w:rPr>
        <w:t>038</w:t>
      </w:r>
      <w:r w:rsidR="00F3446B">
        <w:rPr>
          <w:rFonts w:ascii="Cambria" w:hAnsi="Cambria"/>
        </w:rPr>
        <w:t xml:space="preserve">. </w:t>
      </w:r>
    </w:p>
    <w:p w14:paraId="349AC749" w14:textId="4DBB30CC" w:rsidR="001B107F" w:rsidRPr="001B107F" w:rsidRDefault="00F3446B" w:rsidP="005A1C6F">
      <w:pPr>
        <w:spacing w:line="480" w:lineRule="auto"/>
        <w:rPr>
          <w:rFonts w:ascii="Cambria" w:hAnsi="Cambria"/>
        </w:rPr>
      </w:pPr>
      <w:r>
        <w:rPr>
          <w:rFonts w:ascii="Cambria" w:hAnsi="Cambria"/>
        </w:rPr>
        <w:tab/>
      </w:r>
      <w:r w:rsidR="001A2FA4">
        <w:rPr>
          <w:rFonts w:ascii="Cambria" w:hAnsi="Cambria"/>
        </w:rPr>
        <w:t>L</w:t>
      </w:r>
      <w:r>
        <w:rPr>
          <w:rFonts w:ascii="Cambria" w:hAnsi="Cambria"/>
        </w:rPr>
        <w:t xml:space="preserve">ike the results reported in the larger sample (Norman et al., 2019), </w:t>
      </w:r>
      <w:r w:rsidR="00646230">
        <w:rPr>
          <w:rFonts w:ascii="Cambria" w:hAnsi="Cambria"/>
        </w:rPr>
        <w:t xml:space="preserve">for the CAPS-5 Total Scores </w:t>
      </w:r>
      <w:r>
        <w:rPr>
          <w:rFonts w:ascii="Cambria" w:hAnsi="Cambria"/>
        </w:rPr>
        <w:t xml:space="preserve">we </w:t>
      </w:r>
      <w:r w:rsidR="00646230">
        <w:rPr>
          <w:rFonts w:ascii="Cambria" w:hAnsi="Cambria"/>
        </w:rPr>
        <w:t>observed</w:t>
      </w:r>
      <w:r>
        <w:rPr>
          <w:rFonts w:ascii="Cambria" w:hAnsi="Cambria"/>
        </w:rPr>
        <w:t xml:space="preserve"> a main effect of Therapy Group, </w:t>
      </w:r>
      <w:r w:rsidRPr="00F3446B">
        <w:rPr>
          <w:rFonts w:ascii="Cambria" w:hAnsi="Cambria"/>
          <w:i/>
          <w:iCs/>
        </w:rPr>
        <w:t>F</w:t>
      </w:r>
      <w:r>
        <w:rPr>
          <w:rFonts w:ascii="Cambria" w:hAnsi="Cambria"/>
        </w:rPr>
        <w:t>(1,</w:t>
      </w:r>
      <w:r w:rsidR="00F5147A">
        <w:rPr>
          <w:rFonts w:ascii="Cambria" w:hAnsi="Cambria"/>
        </w:rPr>
        <w:t>50.07</w:t>
      </w:r>
      <w:r>
        <w:rPr>
          <w:rFonts w:ascii="Cambria" w:hAnsi="Cambria"/>
        </w:rPr>
        <w:t xml:space="preserve">) = </w:t>
      </w:r>
      <w:r w:rsidR="00F5147A">
        <w:rPr>
          <w:rFonts w:ascii="Cambria" w:hAnsi="Cambria"/>
        </w:rPr>
        <w:t>7</w:t>
      </w:r>
      <w:r>
        <w:rPr>
          <w:rFonts w:ascii="Cambria" w:hAnsi="Cambria"/>
        </w:rPr>
        <w:t>.</w:t>
      </w:r>
      <w:r w:rsidR="00F5147A">
        <w:rPr>
          <w:rFonts w:ascii="Cambria" w:hAnsi="Cambria"/>
        </w:rPr>
        <w:t>50</w:t>
      </w:r>
      <w:r>
        <w:rPr>
          <w:rFonts w:ascii="Cambria" w:hAnsi="Cambria"/>
        </w:rPr>
        <w:t xml:space="preserve">, </w:t>
      </w:r>
      <w:r>
        <w:rPr>
          <w:rFonts w:ascii="Cambria" w:hAnsi="Cambria"/>
          <w:i/>
          <w:iCs/>
        </w:rPr>
        <w:t>p</w:t>
      </w:r>
      <w:r>
        <w:rPr>
          <w:rFonts w:ascii="Cambria" w:hAnsi="Cambria"/>
        </w:rPr>
        <w:t xml:space="preserve"> = .0</w:t>
      </w:r>
      <w:r w:rsidR="00F5147A">
        <w:rPr>
          <w:rFonts w:ascii="Cambria" w:hAnsi="Cambria"/>
        </w:rPr>
        <w:t>09</w:t>
      </w:r>
      <w:r>
        <w:rPr>
          <w:rFonts w:ascii="Cambria" w:hAnsi="Cambria"/>
        </w:rPr>
        <w:t xml:space="preserve">. This was qualified by a significant Therapy Group </w:t>
      </w:r>
      <m:oMath>
        <m:r>
          <w:rPr>
            <w:rFonts w:ascii="Cambria Math" w:hAnsi="Cambria Math"/>
          </w:rPr>
          <m:t>×</m:t>
        </m:r>
      </m:oMath>
      <w:r>
        <w:rPr>
          <w:rFonts w:ascii="Cambria" w:eastAsiaTheme="minorEastAsia" w:hAnsi="Cambria"/>
        </w:rPr>
        <w:t xml:space="preserve"> Time interaction, </w:t>
      </w:r>
      <w:r>
        <w:rPr>
          <w:rFonts w:ascii="Cambria" w:eastAsiaTheme="minorEastAsia" w:hAnsi="Cambria"/>
          <w:i/>
          <w:iCs/>
        </w:rPr>
        <w:t>F</w:t>
      </w:r>
      <w:r>
        <w:rPr>
          <w:rFonts w:ascii="Cambria" w:eastAsiaTheme="minorEastAsia" w:hAnsi="Cambria"/>
        </w:rPr>
        <w:t xml:space="preserve">(1, </w:t>
      </w:r>
      <w:r w:rsidR="00F5147A">
        <w:rPr>
          <w:rFonts w:ascii="Cambria" w:eastAsiaTheme="minorEastAsia" w:hAnsi="Cambria"/>
        </w:rPr>
        <w:t>41.17</w:t>
      </w:r>
      <w:r>
        <w:rPr>
          <w:rFonts w:ascii="Cambria" w:eastAsiaTheme="minorEastAsia" w:hAnsi="Cambria"/>
        </w:rPr>
        <w:t>) = 1</w:t>
      </w:r>
      <w:r w:rsidR="00F5147A">
        <w:rPr>
          <w:rFonts w:ascii="Cambria" w:eastAsiaTheme="minorEastAsia" w:hAnsi="Cambria"/>
        </w:rPr>
        <w:t>9</w:t>
      </w:r>
      <w:r>
        <w:rPr>
          <w:rFonts w:ascii="Cambria" w:eastAsiaTheme="minorEastAsia" w:hAnsi="Cambria"/>
        </w:rPr>
        <w:t>.</w:t>
      </w:r>
      <w:r w:rsidR="00F5147A">
        <w:rPr>
          <w:rFonts w:ascii="Cambria" w:eastAsiaTheme="minorEastAsia" w:hAnsi="Cambria"/>
        </w:rPr>
        <w:t>97</w:t>
      </w:r>
      <w:r>
        <w:rPr>
          <w:rFonts w:ascii="Cambria" w:eastAsiaTheme="minorEastAsia" w:hAnsi="Cambria"/>
        </w:rPr>
        <w:t xml:space="preserve">, </w:t>
      </w:r>
      <w:r>
        <w:rPr>
          <w:rFonts w:ascii="Cambria" w:eastAsiaTheme="minorEastAsia" w:hAnsi="Cambria"/>
          <w:i/>
          <w:iCs/>
        </w:rPr>
        <w:t>p</w:t>
      </w:r>
      <w:r>
        <w:rPr>
          <w:rFonts w:ascii="Cambria" w:eastAsiaTheme="minorEastAsia" w:hAnsi="Cambria"/>
        </w:rPr>
        <w:t xml:space="preserve"> = </w:t>
      </w:r>
      <w:r w:rsidR="00F5147A">
        <w:rPr>
          <w:rFonts w:ascii="Cambria" w:eastAsiaTheme="minorEastAsia" w:hAnsi="Cambria"/>
        </w:rPr>
        <w:t xml:space="preserve">6.03 </w:t>
      </w:r>
      <m:oMath>
        <m:r>
          <w:rPr>
            <w:rFonts w:ascii="Cambria Math" w:eastAsiaTheme="minorEastAsia" w:hAnsi="Cambria Math"/>
          </w:rPr>
          <m:t>×</m:t>
        </m:r>
      </m:oMath>
      <w:r w:rsidR="00F5147A">
        <w:rPr>
          <w:rFonts w:ascii="Cambria" w:eastAsiaTheme="minorEastAsia" w:hAnsi="Cambria"/>
        </w:rPr>
        <w:t xml:space="preserve"> 10</w:t>
      </w:r>
      <w:r w:rsidR="00F5147A" w:rsidRPr="00F5147A">
        <w:rPr>
          <w:rFonts w:ascii="Cambria" w:eastAsiaTheme="minorEastAsia" w:hAnsi="Cambria"/>
          <w:vertAlign w:val="superscript"/>
        </w:rPr>
        <w:t>-5</w:t>
      </w:r>
      <w:r>
        <w:rPr>
          <w:rFonts w:ascii="Cambria" w:eastAsiaTheme="minorEastAsia" w:hAnsi="Cambria"/>
        </w:rPr>
        <w:t xml:space="preserve">. </w:t>
      </w:r>
      <w:r w:rsidR="00646230">
        <w:rPr>
          <w:rFonts w:ascii="Cambria" w:eastAsiaTheme="minorEastAsia" w:hAnsi="Cambria"/>
        </w:rPr>
        <w:t xml:space="preserve">There were no differences between the Therapy Groups at the pre-treatment baseline assessment, </w:t>
      </w:r>
      <w:r w:rsidR="00646230">
        <w:rPr>
          <w:rFonts w:ascii="Cambria" w:eastAsiaTheme="minorEastAsia" w:hAnsi="Cambria"/>
          <w:i/>
          <w:iCs/>
        </w:rPr>
        <w:t xml:space="preserve">p </w:t>
      </w:r>
      <w:r w:rsidR="00646230">
        <w:rPr>
          <w:rFonts w:ascii="Cambria" w:eastAsiaTheme="minorEastAsia" w:hAnsi="Cambria"/>
        </w:rPr>
        <w:t>= .</w:t>
      </w:r>
      <w:r w:rsidR="0011750E">
        <w:rPr>
          <w:rFonts w:ascii="Cambria" w:eastAsiaTheme="minorEastAsia" w:hAnsi="Cambria"/>
        </w:rPr>
        <w:t>99</w:t>
      </w:r>
      <w:r w:rsidR="00646230">
        <w:rPr>
          <w:rFonts w:ascii="Cambria" w:eastAsiaTheme="minorEastAsia" w:hAnsi="Cambria"/>
        </w:rPr>
        <w:t xml:space="preserve">. However, subjects completing I-PE showed a greater decrease in PTSD symptoms at post-treatment than the I-CS group, </w:t>
      </w:r>
      <w:r w:rsidR="0011750E">
        <w:rPr>
          <w:rFonts w:ascii="Cambria" w:eastAsiaTheme="minorEastAsia" w:hAnsi="Cambria"/>
          <w:i/>
          <w:iCs/>
        </w:rPr>
        <w:t>t</w:t>
      </w:r>
      <w:r w:rsidR="0011750E">
        <w:rPr>
          <w:rFonts w:ascii="Cambria" w:eastAsiaTheme="minorEastAsia" w:hAnsi="Cambria"/>
        </w:rPr>
        <w:t xml:space="preserve">(78.7) = 4.31 </w:t>
      </w:r>
      <w:r w:rsidR="00646230">
        <w:rPr>
          <w:rFonts w:ascii="Cambria" w:eastAsiaTheme="minorEastAsia" w:hAnsi="Cambria"/>
          <w:i/>
          <w:iCs/>
        </w:rPr>
        <w:t>p</w:t>
      </w:r>
      <w:r w:rsidR="00646230">
        <w:rPr>
          <w:rFonts w:ascii="Cambria" w:eastAsiaTheme="minorEastAsia" w:hAnsi="Cambria"/>
        </w:rPr>
        <w:t xml:space="preserve"> </w:t>
      </w:r>
      <w:r w:rsidR="0011750E">
        <w:rPr>
          <w:rFonts w:ascii="Cambria" w:eastAsiaTheme="minorEastAsia" w:hAnsi="Cambria"/>
        </w:rPr>
        <w:t>&lt;</w:t>
      </w:r>
      <w:r w:rsidR="00646230">
        <w:rPr>
          <w:rFonts w:ascii="Cambria" w:eastAsiaTheme="minorEastAsia" w:hAnsi="Cambria"/>
        </w:rPr>
        <w:t xml:space="preserve"> .000</w:t>
      </w:r>
      <w:r w:rsidR="0011750E">
        <w:rPr>
          <w:rFonts w:ascii="Cambria" w:eastAsiaTheme="minorEastAsia" w:hAnsi="Cambria"/>
        </w:rPr>
        <w:t>1</w:t>
      </w:r>
      <w:r w:rsidR="00646230">
        <w:rPr>
          <w:rFonts w:ascii="Cambria" w:eastAsiaTheme="minorEastAsia" w:hAnsi="Cambria"/>
        </w:rPr>
        <w:t xml:space="preserve"> (see Supplemental Figure </w:t>
      </w:r>
      <w:r w:rsidR="00334626">
        <w:rPr>
          <w:rFonts w:ascii="Cambria" w:eastAsiaTheme="minorEastAsia" w:hAnsi="Cambria"/>
        </w:rPr>
        <w:t>2</w:t>
      </w:r>
      <w:r w:rsidR="00646230">
        <w:rPr>
          <w:rFonts w:ascii="Cambria" w:eastAsiaTheme="minorEastAsia" w:hAnsi="Cambria"/>
        </w:rPr>
        <w:t xml:space="preserve">a). There was no main effect or interactions of Therapy group on percent heavy drinking days (PHDD), </w:t>
      </w:r>
      <w:r w:rsidR="00646230">
        <w:rPr>
          <w:rFonts w:ascii="Cambria" w:eastAsiaTheme="minorEastAsia" w:hAnsi="Cambria"/>
          <w:i/>
          <w:iCs/>
        </w:rPr>
        <w:t>p</w:t>
      </w:r>
      <w:r w:rsidR="00646230">
        <w:rPr>
          <w:rFonts w:ascii="Cambria" w:eastAsiaTheme="minorEastAsia" w:hAnsi="Cambria"/>
        </w:rPr>
        <w:t>s &gt; .</w:t>
      </w:r>
      <w:r w:rsidR="0011750E">
        <w:rPr>
          <w:rFonts w:ascii="Cambria" w:eastAsiaTheme="minorEastAsia" w:hAnsi="Cambria"/>
        </w:rPr>
        <w:t>45</w:t>
      </w:r>
      <w:r w:rsidR="00646230">
        <w:rPr>
          <w:rFonts w:ascii="Cambria" w:eastAsiaTheme="minorEastAsia" w:hAnsi="Cambria"/>
        </w:rPr>
        <w:t xml:space="preserve"> (see Supplemental Figure </w:t>
      </w:r>
      <w:r w:rsidR="00334626">
        <w:rPr>
          <w:rFonts w:ascii="Cambria" w:eastAsiaTheme="minorEastAsia" w:hAnsi="Cambria"/>
        </w:rPr>
        <w:t>2</w:t>
      </w:r>
      <w:r w:rsidR="00646230">
        <w:rPr>
          <w:rFonts w:ascii="Cambria" w:eastAsiaTheme="minorEastAsia" w:hAnsi="Cambria"/>
        </w:rPr>
        <w:t xml:space="preserve">b). In summary, we show that the primary </w:t>
      </w:r>
      <w:r w:rsidR="00334626">
        <w:rPr>
          <w:rFonts w:ascii="Cambria" w:eastAsiaTheme="minorEastAsia" w:hAnsi="Cambria"/>
        </w:rPr>
        <w:t xml:space="preserve">clinical trial </w:t>
      </w:r>
      <w:r w:rsidR="00646230">
        <w:rPr>
          <w:rFonts w:ascii="Cambria" w:eastAsiaTheme="minorEastAsia" w:hAnsi="Cambria"/>
        </w:rPr>
        <w:t>results remain significant when using approximately half of the sample reported in the larger clinical trial (Norman et al., 2019).</w:t>
      </w:r>
    </w:p>
    <w:p w14:paraId="16C652F0" w14:textId="77777777" w:rsidR="00583119" w:rsidRDefault="00583119" w:rsidP="005A1C6F">
      <w:pPr>
        <w:rPr>
          <w:rFonts w:ascii="Cambria" w:hAnsi="Cambria"/>
          <w:b/>
          <w:bCs/>
        </w:rPr>
      </w:pPr>
    </w:p>
    <w:p w14:paraId="31EB516D" w14:textId="77777777" w:rsidR="00583119" w:rsidRDefault="00583119" w:rsidP="005A1C6F">
      <w:pPr>
        <w:rPr>
          <w:rFonts w:ascii="Cambria" w:hAnsi="Cambria"/>
          <w:b/>
          <w:bCs/>
        </w:rPr>
      </w:pPr>
    </w:p>
    <w:p w14:paraId="25A301F7" w14:textId="5132D692" w:rsidR="00583119" w:rsidRDefault="00583119" w:rsidP="00583119">
      <w:pPr>
        <w:jc w:val="center"/>
        <w:rPr>
          <w:rFonts w:ascii="Cambria" w:hAnsi="Cambria"/>
          <w:b/>
          <w:bCs/>
        </w:rPr>
      </w:pPr>
      <w:r>
        <w:rPr>
          <w:noProof/>
        </w:rPr>
        <w:lastRenderedPageBreak/>
        <w:drawing>
          <wp:inline distT="0" distB="0" distL="0" distR="0" wp14:anchorId="265E8279" wp14:editId="12C010DC">
            <wp:extent cx="32004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3200400" cy="5486400"/>
                    </a:xfrm>
                    <a:prstGeom prst="rect">
                      <a:avLst/>
                    </a:prstGeom>
                  </pic:spPr>
                </pic:pic>
              </a:graphicData>
            </a:graphic>
          </wp:inline>
        </w:drawing>
      </w:r>
    </w:p>
    <w:p w14:paraId="1FECC9DA" w14:textId="6E6CF334" w:rsidR="00886D5B" w:rsidRPr="00573D19" w:rsidRDefault="00886D5B" w:rsidP="005A1C6F">
      <w:pPr>
        <w:rPr>
          <w:rFonts w:ascii="Cambria" w:hAnsi="Cambria"/>
          <w:sz w:val="22"/>
          <w:szCs w:val="22"/>
        </w:rPr>
      </w:pPr>
      <w:r w:rsidRPr="00573D19">
        <w:rPr>
          <w:rFonts w:ascii="Cambria" w:hAnsi="Cambria"/>
          <w:b/>
          <w:bCs/>
          <w:sz w:val="22"/>
          <w:szCs w:val="22"/>
        </w:rPr>
        <w:t xml:space="preserve">Supplemental Figure </w:t>
      </w:r>
      <w:r w:rsidR="00334626" w:rsidRPr="00573D19">
        <w:rPr>
          <w:rFonts w:ascii="Cambria" w:hAnsi="Cambria"/>
          <w:b/>
          <w:bCs/>
          <w:sz w:val="22"/>
          <w:szCs w:val="22"/>
        </w:rPr>
        <w:t>2</w:t>
      </w:r>
      <w:r w:rsidRPr="00573D19">
        <w:rPr>
          <w:rFonts w:ascii="Cambria" w:hAnsi="Cambria"/>
          <w:b/>
          <w:bCs/>
          <w:sz w:val="22"/>
          <w:szCs w:val="22"/>
        </w:rPr>
        <w:t xml:space="preserve">. </w:t>
      </w:r>
      <w:r w:rsidRPr="00573D19">
        <w:rPr>
          <w:rFonts w:ascii="Cambria" w:hAnsi="Cambria"/>
          <w:sz w:val="22"/>
          <w:szCs w:val="22"/>
        </w:rPr>
        <w:t>Comparison of I-PE and I-CS on a subset of the larger clinical trial. (</w:t>
      </w:r>
      <w:r w:rsidRPr="00573D19">
        <w:rPr>
          <w:rFonts w:ascii="Cambria" w:hAnsi="Cambria"/>
          <w:b/>
          <w:bCs/>
          <w:sz w:val="22"/>
          <w:szCs w:val="22"/>
        </w:rPr>
        <w:t>a</w:t>
      </w:r>
      <w:r w:rsidRPr="00573D19">
        <w:rPr>
          <w:rFonts w:ascii="Cambria" w:hAnsi="Cambria"/>
          <w:sz w:val="22"/>
          <w:szCs w:val="22"/>
        </w:rPr>
        <w:t xml:space="preserve">) Box-plots depicting the significant Therapy Group </w:t>
      </w:r>
      <m:oMath>
        <m:r>
          <w:rPr>
            <w:rFonts w:ascii="Cambria Math" w:hAnsi="Cambria Math"/>
            <w:sz w:val="22"/>
            <w:szCs w:val="22"/>
          </w:rPr>
          <m:t>×</m:t>
        </m:r>
      </m:oMath>
      <w:r w:rsidRPr="00573D19">
        <w:rPr>
          <w:rFonts w:ascii="Cambria" w:eastAsiaTheme="minorEastAsia" w:hAnsi="Cambria"/>
          <w:sz w:val="22"/>
          <w:szCs w:val="22"/>
        </w:rPr>
        <w:t xml:space="preserve"> Time interaction on CAPS-5 total scores. Subjects assigned to the I-PE group had significantly lower PTSD severity after completing treatment compared to the I-CS group.</w:t>
      </w:r>
      <w:r w:rsidR="008F4BFC" w:rsidRPr="00573D19">
        <w:rPr>
          <w:rFonts w:ascii="Cambria" w:eastAsiaTheme="minorEastAsia" w:hAnsi="Cambria"/>
          <w:sz w:val="22"/>
          <w:szCs w:val="22"/>
        </w:rPr>
        <w:t xml:space="preserve"> *</w:t>
      </w:r>
      <w:r w:rsidR="008F4BFC" w:rsidRPr="00573D19">
        <w:rPr>
          <w:rFonts w:ascii="Cambria" w:eastAsiaTheme="minorEastAsia" w:hAnsi="Cambria"/>
          <w:i/>
          <w:iCs/>
          <w:sz w:val="22"/>
          <w:szCs w:val="22"/>
        </w:rPr>
        <w:t xml:space="preserve">p </w:t>
      </w:r>
      <w:r w:rsidR="008F4BFC" w:rsidRPr="00573D19">
        <w:rPr>
          <w:rFonts w:ascii="Cambria" w:eastAsiaTheme="minorEastAsia" w:hAnsi="Cambria"/>
          <w:sz w:val="22"/>
          <w:szCs w:val="22"/>
        </w:rPr>
        <w:t xml:space="preserve">= 6.03 </w:t>
      </w:r>
      <m:oMath>
        <m:r>
          <w:rPr>
            <w:rFonts w:ascii="Cambria Math" w:eastAsiaTheme="minorEastAsia" w:hAnsi="Cambria Math"/>
            <w:sz w:val="22"/>
            <w:szCs w:val="22"/>
          </w:rPr>
          <m:t>×</m:t>
        </m:r>
      </m:oMath>
      <w:r w:rsidR="008F4BFC" w:rsidRPr="00573D19">
        <w:rPr>
          <w:rFonts w:ascii="Cambria" w:eastAsiaTheme="minorEastAsia" w:hAnsi="Cambria"/>
          <w:sz w:val="22"/>
          <w:szCs w:val="22"/>
        </w:rPr>
        <w:t xml:space="preserve"> 10</w:t>
      </w:r>
      <w:r w:rsidR="008F4BFC" w:rsidRPr="00573D19">
        <w:rPr>
          <w:rFonts w:ascii="Cambria" w:eastAsiaTheme="minorEastAsia" w:hAnsi="Cambria"/>
          <w:sz w:val="22"/>
          <w:szCs w:val="22"/>
          <w:vertAlign w:val="superscript"/>
        </w:rPr>
        <w:t>-5</w:t>
      </w:r>
      <w:r w:rsidR="008F4BFC" w:rsidRPr="00573D19">
        <w:rPr>
          <w:rFonts w:ascii="Cambria" w:hAnsi="Cambria"/>
          <w:sz w:val="22"/>
          <w:szCs w:val="22"/>
        </w:rPr>
        <w:t>.</w:t>
      </w:r>
      <w:r w:rsidR="008F4BFC" w:rsidRPr="00573D19">
        <w:rPr>
          <w:rFonts w:ascii="Cambria" w:eastAsiaTheme="minorEastAsia" w:hAnsi="Cambria"/>
          <w:sz w:val="22"/>
          <w:szCs w:val="22"/>
        </w:rPr>
        <w:t xml:space="preserve"> </w:t>
      </w:r>
      <w:r w:rsidRPr="00573D19">
        <w:rPr>
          <w:rFonts w:ascii="Cambria" w:eastAsiaTheme="minorEastAsia" w:hAnsi="Cambria"/>
          <w:sz w:val="22"/>
          <w:szCs w:val="22"/>
        </w:rPr>
        <w:t>(</w:t>
      </w:r>
      <w:r w:rsidRPr="00573D19">
        <w:rPr>
          <w:rFonts w:ascii="Cambria" w:eastAsiaTheme="minorEastAsia" w:hAnsi="Cambria"/>
          <w:b/>
          <w:bCs/>
          <w:sz w:val="22"/>
          <w:szCs w:val="22"/>
        </w:rPr>
        <w:t>b</w:t>
      </w:r>
      <w:r w:rsidRPr="00573D19">
        <w:rPr>
          <w:rFonts w:ascii="Cambria" w:eastAsiaTheme="minorEastAsia" w:hAnsi="Cambria"/>
          <w:sz w:val="22"/>
          <w:szCs w:val="22"/>
        </w:rPr>
        <w:t xml:space="preserve">) Box-plots depicting the non-significant effect of Therapy Group on Percent Heaving Drinking Days. Both </w:t>
      </w:r>
      <w:r w:rsidR="004766A1" w:rsidRPr="00573D19">
        <w:rPr>
          <w:rFonts w:ascii="Cambria" w:eastAsiaTheme="minorEastAsia" w:hAnsi="Cambria"/>
          <w:sz w:val="22"/>
          <w:szCs w:val="22"/>
        </w:rPr>
        <w:t>treatments were associated with</w:t>
      </w:r>
      <w:r w:rsidRPr="00573D19">
        <w:rPr>
          <w:rFonts w:ascii="Cambria" w:eastAsiaTheme="minorEastAsia" w:hAnsi="Cambria"/>
          <w:sz w:val="22"/>
          <w:szCs w:val="22"/>
        </w:rPr>
        <w:t xml:space="preserve"> decreased drinking behavior similarly. </w:t>
      </w:r>
      <w:r w:rsidR="0094580B" w:rsidRPr="00573D19">
        <w:rPr>
          <w:rFonts w:ascii="Cambria" w:eastAsiaTheme="minorEastAsia" w:hAnsi="Cambria"/>
          <w:sz w:val="22"/>
          <w:szCs w:val="22"/>
        </w:rPr>
        <w:t>I-CS = Integrated Coping Skills. I-PE = Integrated Prolonged Exposure.</w:t>
      </w:r>
    </w:p>
    <w:p w14:paraId="0423187D" w14:textId="4EC69E87" w:rsidR="003A4E7A" w:rsidRDefault="00A33BC0" w:rsidP="00F12D31"/>
    <w:p w14:paraId="6E7BB7C4" w14:textId="1E6BF196" w:rsidR="008F3FAA" w:rsidRDefault="008F3FAA" w:rsidP="00F14631">
      <w:pPr>
        <w:jc w:val="center"/>
      </w:pPr>
    </w:p>
    <w:p w14:paraId="56444249" w14:textId="69EECFCC" w:rsidR="00B72367" w:rsidRDefault="00B72367" w:rsidP="00B85B00"/>
    <w:p w14:paraId="51C58BB7" w14:textId="4789E9DB" w:rsidR="00E63541" w:rsidRPr="00AA22A4" w:rsidRDefault="00E63541" w:rsidP="00AA22A4">
      <w:pPr>
        <w:spacing w:line="480" w:lineRule="auto"/>
        <w:rPr>
          <w:rFonts w:ascii="Cambria" w:eastAsia="Times New Roman" w:hAnsi="Cambria" w:cs="Segoe UI"/>
          <w:b/>
          <w:bCs/>
          <w:color w:val="201F1E"/>
          <w:shd w:val="clear" w:color="auto" w:fill="FFFFFF"/>
        </w:rPr>
      </w:pPr>
      <w:r w:rsidRPr="00AA22A4">
        <w:rPr>
          <w:rFonts w:ascii="Cambria" w:eastAsia="Times New Roman" w:hAnsi="Cambria" w:cs="Segoe UI"/>
          <w:b/>
          <w:bCs/>
          <w:color w:val="201F1E"/>
          <w:shd w:val="clear" w:color="auto" w:fill="FFFFFF"/>
        </w:rPr>
        <w:t>Exploratory connectivity-derived subgroup analyses</w:t>
      </w:r>
    </w:p>
    <w:p w14:paraId="64222CFA" w14:textId="3B5562D6" w:rsidR="00E63541" w:rsidRPr="00AA22A4" w:rsidRDefault="00E63541" w:rsidP="00AA22A4">
      <w:pPr>
        <w:spacing w:line="480" w:lineRule="auto"/>
        <w:ind w:firstLine="360"/>
        <w:rPr>
          <w:rFonts w:ascii="Cambria" w:eastAsia="Times New Roman" w:hAnsi="Cambria" w:cs="Segoe UI"/>
          <w:color w:val="201F1E"/>
          <w:shd w:val="clear" w:color="auto" w:fill="FFFFFF"/>
        </w:rPr>
      </w:pPr>
      <w:r w:rsidRPr="00AA22A4">
        <w:rPr>
          <w:rFonts w:ascii="Cambria" w:eastAsia="Times New Roman" w:hAnsi="Cambria" w:cs="Segoe UI"/>
          <w:color w:val="201F1E"/>
          <w:shd w:val="clear" w:color="auto" w:fill="FFFFFF"/>
        </w:rPr>
        <w:t xml:space="preserve">We conducted a series of exploratory analyses to further characterize the neural, behavioral, and clinical differences between the connectivity-derived subgroups. Due to the </w:t>
      </w:r>
      <w:r w:rsidRPr="00AA22A4">
        <w:rPr>
          <w:rFonts w:ascii="Cambria" w:eastAsia="Times New Roman" w:hAnsi="Cambria" w:cs="Segoe UI"/>
          <w:color w:val="201F1E"/>
          <w:shd w:val="clear" w:color="auto" w:fill="FFFFFF"/>
        </w:rPr>
        <w:lastRenderedPageBreak/>
        <w:t>exploratory nature of these analyses, correction for multiple comparisons was not completed. Therefore, the following results should be interpreted with caution and for hypothesis generation purposes only.</w:t>
      </w:r>
    </w:p>
    <w:p w14:paraId="0FB82118" w14:textId="13A90EEC" w:rsidR="00E63541" w:rsidRPr="00AA22A4" w:rsidRDefault="00E63541" w:rsidP="00AA22A4">
      <w:pPr>
        <w:spacing w:line="480" w:lineRule="auto"/>
        <w:ind w:firstLine="360"/>
        <w:rPr>
          <w:rFonts w:ascii="Cambria" w:eastAsia="Times New Roman" w:hAnsi="Cambria" w:cs="Segoe UI"/>
          <w:color w:val="201F1E"/>
          <w:shd w:val="clear" w:color="auto" w:fill="FFFFFF"/>
        </w:rPr>
      </w:pPr>
      <w:r w:rsidRPr="00AA22A4">
        <w:rPr>
          <w:rFonts w:ascii="Cambria" w:eastAsia="Times New Roman" w:hAnsi="Cambria" w:cs="Segoe UI"/>
          <w:b/>
          <w:bCs/>
          <w:color w:val="201F1E"/>
          <w:shd w:val="clear" w:color="auto" w:fill="FFFFFF"/>
        </w:rPr>
        <w:t xml:space="preserve">PTSD symptom type differences. </w:t>
      </w:r>
      <w:r w:rsidRPr="00AA22A4">
        <w:rPr>
          <w:rFonts w:ascii="Cambria" w:eastAsia="Times New Roman" w:hAnsi="Cambria" w:cs="Segoe UI"/>
          <w:color w:val="201F1E"/>
          <w:shd w:val="clear" w:color="auto" w:fill="FFFFFF"/>
        </w:rPr>
        <w:t xml:space="preserve">We conducted a series of independent </w:t>
      </w:r>
      <w:r w:rsidRPr="00AA22A4">
        <w:rPr>
          <w:rFonts w:ascii="Cambria" w:eastAsia="Times New Roman" w:hAnsi="Cambria" w:cs="Segoe UI"/>
          <w:i/>
          <w:iCs/>
          <w:color w:val="201F1E"/>
          <w:shd w:val="clear" w:color="auto" w:fill="FFFFFF"/>
        </w:rPr>
        <w:t>t</w:t>
      </w:r>
      <w:r w:rsidRPr="00AA22A4">
        <w:rPr>
          <w:rFonts w:ascii="Cambria" w:eastAsia="Times New Roman" w:hAnsi="Cambria" w:cs="Segoe UI"/>
          <w:color w:val="201F1E"/>
          <w:shd w:val="clear" w:color="auto" w:fill="FFFFFF"/>
        </w:rPr>
        <w:t xml:space="preserve">-tests to examine connectivity subgroup differences on PTSD symptom type (e.g., re-experiencing, avoidance, negative cognition &amp; mood, and hyperarousal). </w:t>
      </w:r>
      <w:r w:rsidR="00945136" w:rsidRPr="00AA22A4">
        <w:rPr>
          <w:rFonts w:ascii="Cambria" w:eastAsia="Times New Roman" w:hAnsi="Cambria" w:cs="Segoe UI"/>
          <w:color w:val="201F1E"/>
          <w:shd w:val="clear" w:color="auto" w:fill="FFFFFF"/>
        </w:rPr>
        <w:t xml:space="preserve">Connectivity subgroups did not differ on pretreatment or post-treatment CAPS symptom cluster scores, </w:t>
      </w:r>
      <w:r w:rsidR="00945136" w:rsidRPr="00AA22A4">
        <w:rPr>
          <w:rFonts w:ascii="Cambria" w:eastAsia="Times New Roman" w:hAnsi="Cambria" w:cs="Segoe UI"/>
          <w:i/>
          <w:iCs/>
          <w:color w:val="201F1E"/>
          <w:shd w:val="clear" w:color="auto" w:fill="FFFFFF"/>
        </w:rPr>
        <w:t>p</w:t>
      </w:r>
      <w:r w:rsidR="00945136" w:rsidRPr="00AA22A4">
        <w:rPr>
          <w:rFonts w:ascii="Cambria" w:eastAsia="Times New Roman" w:hAnsi="Cambria" w:cs="Segoe UI"/>
          <w:color w:val="201F1E"/>
          <w:shd w:val="clear" w:color="auto" w:fill="FFFFFF"/>
        </w:rPr>
        <w:t xml:space="preserve">s &gt; .52. </w:t>
      </w:r>
      <w:r w:rsidRPr="00AA22A4">
        <w:rPr>
          <w:rFonts w:ascii="Cambria" w:eastAsia="Times New Roman" w:hAnsi="Cambria" w:cs="Segoe UI"/>
          <w:color w:val="201F1E"/>
          <w:shd w:val="clear" w:color="auto" w:fill="FFFFFF"/>
        </w:rPr>
        <w:t xml:space="preserve">To further probe connectivity subgroup treatment </w:t>
      </w:r>
      <w:r w:rsidR="00945136" w:rsidRPr="00AA22A4">
        <w:rPr>
          <w:rFonts w:ascii="Cambria" w:eastAsia="Times New Roman" w:hAnsi="Cambria" w:cs="Segoe UI"/>
          <w:color w:val="201F1E"/>
          <w:shd w:val="clear" w:color="auto" w:fill="FFFFFF"/>
        </w:rPr>
        <w:t xml:space="preserve">moderation </w:t>
      </w:r>
      <w:r w:rsidRPr="00AA22A4">
        <w:rPr>
          <w:rFonts w:ascii="Cambria" w:eastAsia="Times New Roman" w:hAnsi="Cambria" w:cs="Segoe UI"/>
          <w:color w:val="201F1E"/>
          <w:shd w:val="clear" w:color="auto" w:fill="FFFFFF"/>
        </w:rPr>
        <w:t>outcomes for PTSD symptoms</w:t>
      </w:r>
      <w:r w:rsidR="00945136" w:rsidRPr="00AA22A4">
        <w:rPr>
          <w:rFonts w:ascii="Cambria" w:eastAsia="Times New Roman" w:hAnsi="Cambria" w:cs="Segoe UI"/>
          <w:color w:val="201F1E"/>
          <w:shd w:val="clear" w:color="auto" w:fill="FFFFFF"/>
        </w:rPr>
        <w:t xml:space="preserve"> clusters</w:t>
      </w:r>
      <w:r w:rsidRPr="00AA22A4">
        <w:rPr>
          <w:rFonts w:ascii="Cambria" w:eastAsia="Times New Roman" w:hAnsi="Cambria" w:cs="Segoe UI"/>
          <w:color w:val="201F1E"/>
          <w:shd w:val="clear" w:color="auto" w:fill="FFFFFF"/>
        </w:rPr>
        <w:t>, we conducted exploratory analyses where we computed four separate models, one for each symptom type</w:t>
      </w:r>
      <w:r w:rsidR="00945136" w:rsidRPr="00AA22A4">
        <w:rPr>
          <w:rFonts w:ascii="Cambria" w:eastAsia="Times New Roman" w:hAnsi="Cambria" w:cs="Segoe UI"/>
          <w:color w:val="201F1E"/>
          <w:shd w:val="clear" w:color="auto" w:fill="FFFFFF"/>
        </w:rPr>
        <w:t xml:space="preserve"> (4 symptom types)</w:t>
      </w:r>
      <w:r w:rsidRPr="00AA22A4">
        <w:rPr>
          <w:rFonts w:ascii="Cambria" w:eastAsia="Times New Roman" w:hAnsi="Cambria" w:cs="Segoe UI"/>
          <w:color w:val="201F1E"/>
          <w:shd w:val="clear" w:color="auto" w:fill="FFFFFF"/>
        </w:rPr>
        <w:t xml:space="preserve">. The models were identical to our primary model </w:t>
      </w:r>
      <w:r w:rsidR="00945136" w:rsidRPr="00AA22A4">
        <w:rPr>
          <w:rFonts w:ascii="Cambria" w:eastAsia="Times New Roman" w:hAnsi="Cambria" w:cs="Segoe UI"/>
          <w:color w:val="201F1E"/>
          <w:shd w:val="clear" w:color="auto" w:fill="FFFFFF"/>
        </w:rPr>
        <w:t xml:space="preserve">detailed in the main report </w:t>
      </w:r>
      <w:r w:rsidRPr="00AA22A4">
        <w:rPr>
          <w:rFonts w:ascii="Cambria" w:eastAsia="Times New Roman" w:hAnsi="Cambria" w:cs="Segoe UI"/>
          <w:color w:val="201F1E"/>
          <w:shd w:val="clear" w:color="auto" w:fill="FFFFFF"/>
        </w:rPr>
        <w:t xml:space="preserve">except that the dependent variable was the CAPS-5 symptom type score (e.g., re-experiencing, avoidance, negative cognition &amp; mood, and hyperarousal). Results revealed that functional connectivity derived subgroups were primarily moderating the PTSD symptoms of avoidance (subgroup x therapy group x time interaction, </w:t>
      </w:r>
      <w:r w:rsidRPr="00AA22A4">
        <w:rPr>
          <w:rFonts w:ascii="Cambria" w:eastAsia="Times New Roman" w:hAnsi="Cambria" w:cs="Segoe UI"/>
          <w:i/>
          <w:iCs/>
          <w:color w:val="201F1E"/>
          <w:shd w:val="clear" w:color="auto" w:fill="FFFFFF"/>
        </w:rPr>
        <w:t>p</w:t>
      </w:r>
      <w:r w:rsidRPr="00AA22A4">
        <w:rPr>
          <w:rFonts w:ascii="Cambria" w:eastAsia="Times New Roman" w:hAnsi="Cambria" w:cs="Segoe UI"/>
          <w:color w:val="201F1E"/>
          <w:shd w:val="clear" w:color="auto" w:fill="FFFFFF"/>
        </w:rPr>
        <w:t xml:space="preserve"> = </w:t>
      </w:r>
      <w:r w:rsidR="00945136" w:rsidRPr="00AA22A4">
        <w:rPr>
          <w:rFonts w:ascii="Cambria" w:eastAsia="Times New Roman" w:hAnsi="Cambria" w:cs="Segoe UI"/>
          <w:color w:val="201F1E"/>
          <w:shd w:val="clear" w:color="auto" w:fill="FFFFFF"/>
        </w:rPr>
        <w:t>.017</w:t>
      </w:r>
      <w:r w:rsidRPr="00AA22A4">
        <w:rPr>
          <w:rFonts w:ascii="Cambria" w:eastAsia="Times New Roman" w:hAnsi="Cambria" w:cs="Segoe UI"/>
          <w:color w:val="201F1E"/>
          <w:shd w:val="clear" w:color="auto" w:fill="FFFFFF"/>
        </w:rPr>
        <w:t>)</w:t>
      </w:r>
      <w:r w:rsidRPr="00AA22A4">
        <w:rPr>
          <w:rFonts w:ascii="Cambria" w:eastAsia="Times New Roman" w:hAnsi="Cambria" w:cs="Segoe UI"/>
          <w:i/>
          <w:iCs/>
          <w:color w:val="201F1E"/>
          <w:shd w:val="clear" w:color="auto" w:fill="FFFFFF"/>
        </w:rPr>
        <w:t xml:space="preserve"> </w:t>
      </w:r>
      <w:r w:rsidRPr="00AA22A4">
        <w:rPr>
          <w:rFonts w:ascii="Cambria" w:eastAsia="Times New Roman" w:hAnsi="Cambria" w:cs="Segoe UI"/>
          <w:color w:val="201F1E"/>
          <w:shd w:val="clear" w:color="auto" w:fill="FFFFFF"/>
        </w:rPr>
        <w:t xml:space="preserve">and hyperarousal (subgroup x therapy group x time interaction, </w:t>
      </w:r>
      <w:r w:rsidRPr="00AA22A4">
        <w:rPr>
          <w:rFonts w:ascii="Cambria" w:eastAsia="Times New Roman" w:hAnsi="Cambria" w:cs="Segoe UI"/>
          <w:i/>
          <w:iCs/>
          <w:color w:val="201F1E"/>
          <w:shd w:val="clear" w:color="auto" w:fill="FFFFFF"/>
        </w:rPr>
        <w:t>p</w:t>
      </w:r>
      <w:r w:rsidRPr="00AA22A4">
        <w:rPr>
          <w:rFonts w:ascii="Cambria" w:eastAsia="Times New Roman" w:hAnsi="Cambria" w:cs="Segoe UI"/>
          <w:color w:val="201F1E"/>
          <w:shd w:val="clear" w:color="auto" w:fill="FFFFFF"/>
        </w:rPr>
        <w:t xml:space="preserve"> =</w:t>
      </w:r>
      <w:r w:rsidR="00945136" w:rsidRPr="00AA22A4">
        <w:rPr>
          <w:rFonts w:ascii="Cambria" w:eastAsia="Times New Roman" w:hAnsi="Cambria" w:cs="Segoe UI"/>
          <w:color w:val="201F1E"/>
          <w:shd w:val="clear" w:color="auto" w:fill="FFFFFF"/>
        </w:rPr>
        <w:t xml:space="preserve"> .006</w:t>
      </w:r>
      <w:r w:rsidRPr="00AA22A4">
        <w:rPr>
          <w:rFonts w:ascii="Cambria" w:eastAsia="Times New Roman" w:hAnsi="Cambria" w:cs="Segoe UI"/>
          <w:color w:val="201F1E"/>
          <w:shd w:val="clear" w:color="auto" w:fill="FFFFFF"/>
        </w:rPr>
        <w:t xml:space="preserve"> ;See </w:t>
      </w:r>
      <w:r w:rsidRPr="00AA22A4">
        <w:rPr>
          <w:rFonts w:ascii="Cambria" w:eastAsia="Times New Roman" w:hAnsi="Cambria" w:cs="Segoe UI"/>
          <w:b/>
          <w:bCs/>
          <w:color w:val="201F1E"/>
          <w:shd w:val="clear" w:color="auto" w:fill="FFFFFF"/>
        </w:rPr>
        <w:t xml:space="preserve">Supplemental Figure </w:t>
      </w:r>
      <w:r w:rsidR="00945136" w:rsidRPr="00AA22A4">
        <w:rPr>
          <w:rFonts w:ascii="Cambria" w:eastAsia="Times New Roman" w:hAnsi="Cambria" w:cs="Segoe UI"/>
          <w:b/>
          <w:bCs/>
          <w:color w:val="201F1E"/>
          <w:shd w:val="clear" w:color="auto" w:fill="FFFFFF"/>
        </w:rPr>
        <w:t>3, panels b &amp; d</w:t>
      </w:r>
      <w:r w:rsidRPr="00AA22A4">
        <w:rPr>
          <w:rFonts w:ascii="Cambria" w:eastAsia="Times New Roman" w:hAnsi="Cambria" w:cs="Segoe UI"/>
          <w:color w:val="201F1E"/>
          <w:shd w:val="clear" w:color="auto" w:fill="FFFFFF"/>
        </w:rPr>
        <w:t xml:space="preserve">). </w:t>
      </w:r>
      <w:r w:rsidR="00945136" w:rsidRPr="00AA22A4">
        <w:rPr>
          <w:rFonts w:ascii="Cambria" w:eastAsia="Times New Roman" w:hAnsi="Cambria" w:cs="Segoe UI"/>
          <w:color w:val="201F1E"/>
          <w:shd w:val="clear" w:color="auto" w:fill="FFFFFF"/>
        </w:rPr>
        <w:t xml:space="preserve">Subgroups did not moderate treatment outcome for the other two symptoms (three-way interaction </w:t>
      </w:r>
      <w:r w:rsidR="00945136" w:rsidRPr="00AA22A4">
        <w:rPr>
          <w:rFonts w:ascii="Cambria" w:eastAsia="Times New Roman" w:hAnsi="Cambria" w:cs="Segoe UI"/>
          <w:i/>
          <w:iCs/>
          <w:color w:val="201F1E"/>
          <w:shd w:val="clear" w:color="auto" w:fill="FFFFFF"/>
        </w:rPr>
        <w:t>p</w:t>
      </w:r>
      <w:r w:rsidR="00945136" w:rsidRPr="00AA22A4">
        <w:rPr>
          <w:rFonts w:ascii="Cambria" w:eastAsia="Times New Roman" w:hAnsi="Cambria" w:cs="Segoe UI"/>
          <w:color w:val="201F1E"/>
          <w:shd w:val="clear" w:color="auto" w:fill="FFFFFF"/>
        </w:rPr>
        <w:t xml:space="preserve">s &gt; .26). </w:t>
      </w:r>
    </w:p>
    <w:p w14:paraId="678D2488" w14:textId="5F511415" w:rsidR="00E63541" w:rsidRPr="00C6676B" w:rsidRDefault="00C6676B" w:rsidP="006624F5">
      <w:pPr>
        <w:rPr>
          <w:rFonts w:ascii="Cambria" w:eastAsia="Times New Roman" w:hAnsi="Cambria" w:cs="Times New Roman"/>
        </w:rPr>
      </w:pPr>
      <w:r>
        <w:rPr>
          <w:rFonts w:ascii="Cambria" w:eastAsia="Times New Roman" w:hAnsi="Cambria" w:cs="Times New Roman"/>
          <w:b/>
          <w:bCs/>
        </w:rPr>
        <w:tab/>
      </w:r>
      <w:r w:rsidR="00C64752">
        <w:rPr>
          <w:rFonts w:ascii="Cambria" w:eastAsia="Times New Roman" w:hAnsi="Cambria" w:cs="Times New Roman"/>
        </w:rPr>
        <w:t xml:space="preserve"> </w:t>
      </w:r>
    </w:p>
    <w:p w14:paraId="4782D9AE" w14:textId="4643FC35" w:rsidR="00E63541" w:rsidRDefault="00945136" w:rsidP="00945136">
      <w:pPr>
        <w:jc w:val="center"/>
        <w:rPr>
          <w:rFonts w:ascii="Cambria" w:eastAsia="Times New Roman" w:hAnsi="Cambria" w:cs="Times New Roman"/>
          <w:b/>
          <w:bCs/>
        </w:rPr>
      </w:pPr>
      <w:r w:rsidRPr="00E974B0">
        <w:rPr>
          <w:rFonts w:ascii="Cambria" w:eastAsia="Times New Roman" w:hAnsi="Cambria" w:cs="Segoe UI"/>
          <w:noProof/>
          <w:color w:val="201F1E"/>
          <w:sz w:val="22"/>
          <w:szCs w:val="22"/>
          <w:shd w:val="clear" w:color="auto" w:fill="FFFFFF"/>
        </w:rPr>
        <w:lastRenderedPageBreak/>
        <w:drawing>
          <wp:inline distT="0" distB="0" distL="0" distR="0" wp14:anchorId="392F450A" wp14:editId="65785005">
            <wp:extent cx="4320721" cy="47135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4323495" cy="4716540"/>
                    </a:xfrm>
                    <a:prstGeom prst="rect">
                      <a:avLst/>
                    </a:prstGeom>
                  </pic:spPr>
                </pic:pic>
              </a:graphicData>
            </a:graphic>
          </wp:inline>
        </w:drawing>
      </w:r>
    </w:p>
    <w:p w14:paraId="67C50DB6" w14:textId="77777777" w:rsidR="00E63541" w:rsidRDefault="00E63541" w:rsidP="006624F5">
      <w:pPr>
        <w:rPr>
          <w:rFonts w:ascii="Cambria" w:eastAsia="Times New Roman" w:hAnsi="Cambria" w:cs="Times New Roman"/>
          <w:b/>
          <w:bCs/>
        </w:rPr>
      </w:pPr>
    </w:p>
    <w:p w14:paraId="156FAF04" w14:textId="17013334" w:rsidR="00E63541" w:rsidRPr="00AA22A4" w:rsidRDefault="00AA22A4" w:rsidP="006624F5">
      <w:pPr>
        <w:rPr>
          <w:rFonts w:ascii="Cambria" w:eastAsia="Times New Roman" w:hAnsi="Cambria" w:cs="Times New Roman"/>
        </w:rPr>
      </w:pPr>
      <w:r>
        <w:rPr>
          <w:rFonts w:ascii="Cambria" w:eastAsia="Times New Roman" w:hAnsi="Cambria" w:cs="Times New Roman"/>
          <w:b/>
          <w:bCs/>
        </w:rPr>
        <w:t>Supplementary Figure 3</w:t>
      </w:r>
      <w:r>
        <w:rPr>
          <w:rFonts w:ascii="Cambria" w:eastAsia="Times New Roman" w:hAnsi="Cambria" w:cs="Times New Roman"/>
        </w:rPr>
        <w:t xml:space="preserve">. Bar plots depicting the subgroup connectivity treatment moderation analyses on PTSD symptom sub-clusters. (a) Non-significant treatment moderation for CAPS-5 re-experiencing symptoms. (b) Significant treatment moderation for CAPS-5 avoidance symptoms where Subgroup 2 benefited more from I-PE. (c) Non-significant treatment moderation for CAPS-5 negative cognition &amp; mood symptoms. (d) Significant treatment moderation for CAPS-5 hyperarousal symptoms where Subgroup 2 benefited more from I-PE, and to a lesser extent Subgroup 1 benefited more from I-CS. I-PE = integrated prolonged exposure. I-CS= integrated coping skills. </w:t>
      </w:r>
    </w:p>
    <w:p w14:paraId="74D8D452" w14:textId="3D56320B" w:rsidR="00E63541" w:rsidRDefault="00E63541" w:rsidP="006624F5">
      <w:pPr>
        <w:rPr>
          <w:rFonts w:ascii="Cambria" w:eastAsia="Times New Roman" w:hAnsi="Cambria" w:cs="Times New Roman"/>
          <w:b/>
          <w:bCs/>
        </w:rPr>
      </w:pPr>
    </w:p>
    <w:p w14:paraId="348129B6" w14:textId="5A2A00D5" w:rsidR="00E63541" w:rsidRDefault="00E63541" w:rsidP="006624F5">
      <w:pPr>
        <w:rPr>
          <w:rFonts w:ascii="Cambria" w:eastAsia="Times New Roman" w:hAnsi="Cambria" w:cs="Times New Roman"/>
          <w:b/>
          <w:bCs/>
        </w:rPr>
      </w:pPr>
    </w:p>
    <w:p w14:paraId="186EE3CB" w14:textId="7125923F" w:rsidR="00E63541" w:rsidRDefault="00E63541" w:rsidP="006624F5">
      <w:pPr>
        <w:rPr>
          <w:rFonts w:ascii="Cambria" w:eastAsia="Times New Roman" w:hAnsi="Cambria" w:cs="Times New Roman"/>
          <w:b/>
          <w:bCs/>
        </w:rPr>
      </w:pPr>
    </w:p>
    <w:p w14:paraId="4968813C" w14:textId="1E9B41E8" w:rsidR="00E63541" w:rsidRDefault="000F0EB7" w:rsidP="000F0EB7">
      <w:pPr>
        <w:spacing w:line="480" w:lineRule="auto"/>
        <w:ind w:firstLine="720"/>
        <w:rPr>
          <w:rFonts w:ascii="Cambria" w:eastAsia="Times New Roman" w:hAnsi="Cambria" w:cs="Times New Roman"/>
          <w:b/>
          <w:bCs/>
        </w:rPr>
      </w:pPr>
      <w:r>
        <w:rPr>
          <w:rFonts w:ascii="Cambria" w:eastAsia="Times New Roman" w:hAnsi="Cambria" w:cs="Times New Roman"/>
          <w:b/>
          <w:bCs/>
        </w:rPr>
        <w:t>Diagnostic comorbidity</w:t>
      </w:r>
      <w:r>
        <w:rPr>
          <w:rFonts w:ascii="Cambria" w:eastAsia="Times New Roman" w:hAnsi="Cambria" w:cs="Times New Roman"/>
        </w:rPr>
        <w:t xml:space="preserve">. We next examined whether there were any diagnostic comorbidity differences between the connectivity-derived subgroups. </w:t>
      </w:r>
      <w:r w:rsidR="002031FC">
        <w:rPr>
          <w:rFonts w:ascii="Cambria" w:eastAsia="Times New Roman" w:hAnsi="Cambria" w:cs="Times New Roman"/>
        </w:rPr>
        <w:t xml:space="preserve">Veterans were assessed </w:t>
      </w:r>
      <w:r w:rsidR="00D80155">
        <w:rPr>
          <w:rFonts w:ascii="Cambria" w:eastAsia="Times New Roman" w:hAnsi="Cambria" w:cs="Times New Roman"/>
        </w:rPr>
        <w:t xml:space="preserve">by trained </w:t>
      </w:r>
      <w:r w:rsidR="002031FC">
        <w:rPr>
          <w:rFonts w:ascii="Cambria" w:eastAsia="Times New Roman" w:hAnsi="Cambria" w:cs="Times New Roman"/>
        </w:rPr>
        <w:t xml:space="preserve">for primary psychiatric disorders using the Mini International Neuropsychiatric Interview for the Diagnostic and Statistical Manual for Psychiatric </w:t>
      </w:r>
      <w:r w:rsidR="002031FC">
        <w:rPr>
          <w:rFonts w:ascii="Cambria" w:eastAsia="Times New Roman" w:hAnsi="Cambria" w:cs="Times New Roman"/>
        </w:rPr>
        <w:lastRenderedPageBreak/>
        <w:t>Disorders, Version 5 (MINI;</w:t>
      </w:r>
      <w:r w:rsidR="002031FC">
        <w:rPr>
          <w:rFonts w:ascii="Cambria" w:eastAsia="Times New Roman" w:hAnsi="Cambria" w:cs="Times New Roman"/>
        </w:rPr>
        <w:fldChar w:fldCharType="begin" w:fldLock="1"/>
      </w:r>
      <w:r w:rsidR="00D80155">
        <w:rPr>
          <w:rFonts w:ascii="Cambria" w:eastAsia="Times New Roman" w:hAnsi="Cambria" w:cs="Times New Roman"/>
        </w:rPr>
        <w:instrText>ADDIN CSL_CITATION {"citationItems":[{"id":"ITEM-1","itemData":{"DOI":"10.1016/S0924-9338(99)80239-9","ISBN":"0160-6689","ISSN":"01606689","PMID":"9881538","abstract":"The Mini-International Neuropsychiatric Interview (M.I.N.I.) is a short structured diagnostic interview, developed jointly by psychiatrists and clinicians in the United States and Europe, for DSM-IV and ICD-10 psychiatric disorders. With an administration time of approximately 15 minutes, it was designed to meet the need for a short but accurate structured psychiatric interview for multicenter clinical trials and epidemiology studies and to be used as a first step in outcome tracking in nonresearch clinical settings. The authors describe the development of the M.I.N.I. and its family of interviews: the M.I.N.I.-Screen, the M.I.N.I.-Plus, and the M.I.N.I.-Kid. They report on validation of the M.I.N.I. in relation to the Structured Clinical Interview for DSM-III-R, Patient Version, the Composite International Diagnostic Interview, and expert professional opinion, and they comment on potential applications for this interview.","author":[{"dropping-particle":"V.","family":"Sheehan","given":"David","non-dropping-particle":"","parse-names":false,"suffix":""},{"dropping-particle":"","family":"Lecrubier","given":"Yves","non-dropping-particle":"","parse-names":false,"suffix":""},{"dropping-particle":"","family":"Sheehan","given":"K. Harnett","non-dropping-particle":"","parse-names":false,"suffix":""},{"dropping-particle":"","family":"Amorim","given":"Patricia","non-dropping-particle":"","parse-names":false,"suffix":""},{"dropping-particle":"","family":"Janavs","given":"Juris","non-dropping-particle":"","parse-names":false,"suffix":""},{"dropping-particle":"","family":"Weiller","given":"Emmanuelle","non-dropping-particle":"","parse-names":false,"suffix":""},{"dropping-particle":"","family":"Hergueta","given":"Thierry","non-dropping-particle":"","parse-names":false,"suffix":""},{"dropping-particle":"","family":"Baker","given":"Roxy","non-dropping-particle":"","parse-names":false,"suffix":""},{"dropping-particle":"","family":"Dunbar","given":"Geoffrey C.","non-dropping-particle":"","parse-names":false,"suffix":""}],"container-title":"Journal of Clinical Psychiatry","id":"ITEM-1","issue":"SUPPL. 20","issued":{"date-parts":[["1998"]]},"language":"eng","page":"22-33","publisher-place":"United States","title":"The Mini-International Neuropsychiatric Interview (M.I.N.I.): The development and validation of a structured diagnostic psychiatric interview for DSM-IV and ICD-10","type":"article-journal","volume":"59"},"uris":["http://www.mendeley.com/documents/?uuid=e291f59a-cf33-4cf1-a7e4-05d91bb1fc9b"]}],"mendeley":{"formattedCitation":"(Sheehan et al., 1998)","manualFormatting":" Sheehan et al., 1998)","plainTextFormattedCitation":"(Sheehan et al., 1998)"},"properties":{"noteIndex":0},"schema":"https://github.com/citation-style-language/schema/raw/master/csl-citation.json"}</w:instrText>
      </w:r>
      <w:r w:rsidR="002031FC">
        <w:rPr>
          <w:rFonts w:ascii="Cambria" w:eastAsia="Times New Roman" w:hAnsi="Cambria" w:cs="Times New Roman"/>
        </w:rPr>
        <w:fldChar w:fldCharType="separate"/>
      </w:r>
      <w:r w:rsidR="00D80155">
        <w:rPr>
          <w:rFonts w:ascii="Cambria" w:eastAsia="Times New Roman" w:hAnsi="Cambria" w:cs="Times New Roman"/>
          <w:noProof/>
        </w:rPr>
        <w:t xml:space="preserve"> </w:t>
      </w:r>
      <w:r w:rsidR="002031FC" w:rsidRPr="002031FC">
        <w:rPr>
          <w:rFonts w:ascii="Cambria" w:eastAsia="Times New Roman" w:hAnsi="Cambria" w:cs="Times New Roman"/>
          <w:noProof/>
        </w:rPr>
        <w:t>Sheehan et al., 1998)</w:t>
      </w:r>
      <w:r w:rsidR="002031FC">
        <w:rPr>
          <w:rFonts w:ascii="Cambria" w:eastAsia="Times New Roman" w:hAnsi="Cambria" w:cs="Times New Roman"/>
        </w:rPr>
        <w:fldChar w:fldCharType="end"/>
      </w:r>
      <w:r w:rsidR="002031FC">
        <w:rPr>
          <w:rFonts w:ascii="Cambria" w:eastAsia="Times New Roman" w:hAnsi="Cambria" w:cs="Times New Roman"/>
        </w:rPr>
        <w:t xml:space="preserve">. </w:t>
      </w:r>
      <w:r w:rsidR="00D80155">
        <w:rPr>
          <w:rFonts w:ascii="Cambria" w:eastAsia="Times New Roman" w:hAnsi="Cambria" w:cs="Times New Roman"/>
        </w:rPr>
        <w:t xml:space="preserve">Results indicate that </w:t>
      </w:r>
      <w:r>
        <w:rPr>
          <w:rFonts w:ascii="Cambria" w:eastAsia="Times New Roman" w:hAnsi="Cambria" w:cs="Times New Roman"/>
        </w:rPr>
        <w:t xml:space="preserve">there were no differences between the subgroups on mood disorders </w:t>
      </w:r>
      <w:r w:rsidR="002031FC">
        <w:rPr>
          <w:rFonts w:ascii="Cambria" w:eastAsia="Times New Roman" w:hAnsi="Cambria" w:cs="Times New Roman"/>
        </w:rPr>
        <w:t>(</w:t>
      </w:r>
      <m:oMath>
        <m:r>
          <m:rPr>
            <m:sty m:val="p"/>
          </m:rPr>
          <w:rPr>
            <w:rFonts w:ascii="Cambria Math" w:hAnsi="Cambria Math" w:cs="Segoe UI"/>
            <w:color w:val="201F1E"/>
            <w:shd w:val="clear" w:color="auto" w:fill="FFFFFF"/>
          </w:rPr>
          <m:t>χ</m:t>
        </m:r>
      </m:oMath>
      <w:r w:rsidRPr="0029240F">
        <w:rPr>
          <w:rFonts w:ascii="Cambria" w:hAnsi="Cambria" w:cs="Segoe UI"/>
          <w:color w:val="201F1E"/>
          <w:shd w:val="clear" w:color="auto" w:fill="FFFFFF"/>
          <w:vertAlign w:val="superscript"/>
        </w:rPr>
        <w:t>2</w:t>
      </w:r>
      <w:r w:rsidRPr="00394C27">
        <w:rPr>
          <w:rFonts w:ascii="Cambria" w:hAnsi="Cambria" w:cs="Segoe UI"/>
          <w:color w:val="201F1E"/>
          <w:shd w:val="clear" w:color="auto" w:fill="FFFFFF"/>
          <w:vertAlign w:val="superscript"/>
        </w:rPr>
        <w:t xml:space="preserve"> </w:t>
      </w:r>
      <w:r w:rsidRPr="00394C27">
        <w:rPr>
          <w:rFonts w:ascii="Cambria" w:hAnsi="Cambria" w:cs="Segoe UI"/>
          <w:color w:val="201F1E"/>
          <w:shd w:val="clear" w:color="auto" w:fill="FFFFFF"/>
        </w:rPr>
        <w:t xml:space="preserve">= </w:t>
      </w:r>
      <w:r>
        <w:rPr>
          <w:rFonts w:ascii="Cambria" w:hAnsi="Cambria" w:cs="Segoe UI"/>
          <w:color w:val="201F1E"/>
          <w:shd w:val="clear" w:color="auto" w:fill="FFFFFF"/>
        </w:rPr>
        <w:t>0.06</w:t>
      </w:r>
      <w:r w:rsidRPr="00394C27">
        <w:rPr>
          <w:rFonts w:ascii="Cambria" w:hAnsi="Cambria" w:cs="Segoe UI"/>
          <w:color w:val="201F1E"/>
          <w:shd w:val="clear" w:color="auto" w:fill="FFFFFF"/>
        </w:rPr>
        <w:t xml:space="preserve">, </w:t>
      </w:r>
      <w:r w:rsidRPr="000F0EB7">
        <w:rPr>
          <w:rFonts w:ascii="Cambria" w:hAnsi="Cambria" w:cs="Segoe UI"/>
          <w:i/>
          <w:iCs/>
          <w:color w:val="201F1E"/>
          <w:shd w:val="clear" w:color="auto" w:fill="FFFFFF"/>
        </w:rPr>
        <w:t>p</w:t>
      </w:r>
      <w:r w:rsidRPr="00394C27">
        <w:rPr>
          <w:rFonts w:ascii="Cambria" w:hAnsi="Cambria" w:cs="Segoe UI"/>
          <w:color w:val="201F1E"/>
          <w:shd w:val="clear" w:color="auto" w:fill="FFFFFF"/>
        </w:rPr>
        <w:t xml:space="preserve"> = 0.</w:t>
      </w:r>
      <w:r w:rsidR="002031FC">
        <w:rPr>
          <w:rFonts w:ascii="Cambria" w:hAnsi="Cambria" w:cs="Segoe UI"/>
          <w:color w:val="201F1E"/>
          <w:shd w:val="clear" w:color="auto" w:fill="FFFFFF"/>
        </w:rPr>
        <w:t>81)</w:t>
      </w:r>
      <w:r>
        <w:rPr>
          <w:rFonts w:ascii="Cambria" w:hAnsi="Cambria" w:cs="Segoe UI"/>
          <w:color w:val="201F1E"/>
          <w:shd w:val="clear" w:color="auto" w:fill="FFFFFF"/>
        </w:rPr>
        <w:t xml:space="preserve"> </w:t>
      </w:r>
      <w:r>
        <w:rPr>
          <w:rFonts w:ascii="Cambria" w:eastAsia="Times New Roman" w:hAnsi="Cambria" w:cs="Times New Roman"/>
        </w:rPr>
        <w:t>or anxiety disorders</w:t>
      </w:r>
      <w:r w:rsidR="002031FC">
        <w:rPr>
          <w:rFonts w:ascii="Cambria" w:eastAsia="Times New Roman" w:hAnsi="Cambria" w:cs="Times New Roman"/>
        </w:rPr>
        <w:t xml:space="preserve"> (</w:t>
      </w:r>
      <m:oMath>
        <m:r>
          <m:rPr>
            <m:sty m:val="p"/>
          </m:rPr>
          <w:rPr>
            <w:rFonts w:ascii="Cambria Math" w:hAnsi="Cambria Math" w:cs="Segoe UI"/>
            <w:color w:val="201F1E"/>
            <w:shd w:val="clear" w:color="auto" w:fill="FFFFFF"/>
          </w:rPr>
          <m:t>χ</m:t>
        </m:r>
      </m:oMath>
      <w:r w:rsidR="002031FC" w:rsidRPr="0029240F">
        <w:rPr>
          <w:rFonts w:ascii="Cambria" w:hAnsi="Cambria" w:cs="Segoe UI"/>
          <w:color w:val="201F1E"/>
          <w:shd w:val="clear" w:color="auto" w:fill="FFFFFF"/>
          <w:vertAlign w:val="superscript"/>
        </w:rPr>
        <w:t>2</w:t>
      </w:r>
      <w:r w:rsidR="002031FC" w:rsidRPr="00394C27">
        <w:rPr>
          <w:rFonts w:ascii="Cambria" w:hAnsi="Cambria" w:cs="Segoe UI"/>
          <w:color w:val="201F1E"/>
          <w:shd w:val="clear" w:color="auto" w:fill="FFFFFF"/>
          <w:vertAlign w:val="superscript"/>
        </w:rPr>
        <w:t xml:space="preserve"> </w:t>
      </w:r>
      <w:r w:rsidR="002031FC" w:rsidRPr="00394C27">
        <w:rPr>
          <w:rFonts w:ascii="Cambria" w:hAnsi="Cambria" w:cs="Segoe UI"/>
          <w:color w:val="201F1E"/>
          <w:shd w:val="clear" w:color="auto" w:fill="FFFFFF"/>
        </w:rPr>
        <w:t xml:space="preserve">= </w:t>
      </w:r>
      <w:r w:rsidR="002031FC">
        <w:rPr>
          <w:rFonts w:ascii="Cambria" w:hAnsi="Cambria" w:cs="Segoe UI"/>
          <w:color w:val="201F1E"/>
          <w:shd w:val="clear" w:color="auto" w:fill="FFFFFF"/>
        </w:rPr>
        <w:t>0.28</w:t>
      </w:r>
      <w:r w:rsidR="002031FC" w:rsidRPr="00394C27">
        <w:rPr>
          <w:rFonts w:ascii="Cambria" w:hAnsi="Cambria" w:cs="Segoe UI"/>
          <w:color w:val="201F1E"/>
          <w:shd w:val="clear" w:color="auto" w:fill="FFFFFF"/>
        </w:rPr>
        <w:t xml:space="preserve">, </w:t>
      </w:r>
      <w:r w:rsidR="002031FC" w:rsidRPr="000F0EB7">
        <w:rPr>
          <w:rFonts w:ascii="Cambria" w:hAnsi="Cambria" w:cs="Segoe UI"/>
          <w:i/>
          <w:iCs/>
          <w:color w:val="201F1E"/>
          <w:shd w:val="clear" w:color="auto" w:fill="FFFFFF"/>
        </w:rPr>
        <w:t>p</w:t>
      </w:r>
      <w:r w:rsidR="002031FC" w:rsidRPr="00394C27">
        <w:rPr>
          <w:rFonts w:ascii="Cambria" w:hAnsi="Cambria" w:cs="Segoe UI"/>
          <w:color w:val="201F1E"/>
          <w:shd w:val="clear" w:color="auto" w:fill="FFFFFF"/>
        </w:rPr>
        <w:t xml:space="preserve"> = 0.</w:t>
      </w:r>
      <w:r w:rsidR="002031FC">
        <w:rPr>
          <w:rFonts w:ascii="Cambria" w:hAnsi="Cambria" w:cs="Segoe UI"/>
          <w:color w:val="201F1E"/>
          <w:shd w:val="clear" w:color="auto" w:fill="FFFFFF"/>
        </w:rPr>
        <w:t>59)</w:t>
      </w:r>
      <w:r w:rsidR="002031FC">
        <w:rPr>
          <w:rFonts w:ascii="Cambria" w:eastAsia="Times New Roman" w:hAnsi="Cambria" w:cs="Times New Roman"/>
        </w:rPr>
        <w:t xml:space="preserve"> </w:t>
      </w:r>
      <w:r>
        <w:rPr>
          <w:rFonts w:ascii="Cambria" w:eastAsia="Times New Roman" w:hAnsi="Cambria" w:cs="Times New Roman"/>
        </w:rPr>
        <w:t xml:space="preserve">, or number of psychiatric disorders </w:t>
      </w:r>
      <w:r w:rsidR="002031FC">
        <w:rPr>
          <w:rFonts w:ascii="Cambria" w:eastAsia="Times New Roman" w:hAnsi="Cambria" w:cs="Times New Roman"/>
        </w:rPr>
        <w:t xml:space="preserve">diagnosed </w:t>
      </w:r>
      <w:r>
        <w:rPr>
          <w:rFonts w:ascii="Cambria" w:eastAsia="Times New Roman" w:hAnsi="Cambria" w:cs="Times New Roman"/>
        </w:rPr>
        <w:t>(</w:t>
      </w:r>
      <w:r w:rsidR="00D80155">
        <w:rPr>
          <w:rFonts w:ascii="Cambria" w:eastAsia="Times New Roman" w:hAnsi="Cambria" w:cs="Times New Roman"/>
          <w:i/>
          <w:iCs/>
        </w:rPr>
        <w:t>t</w:t>
      </w:r>
      <w:r w:rsidR="00D80155">
        <w:rPr>
          <w:rFonts w:ascii="Cambria" w:eastAsia="Times New Roman" w:hAnsi="Cambria" w:cs="Times New Roman"/>
        </w:rPr>
        <w:t xml:space="preserve"> = -0.74, </w:t>
      </w:r>
      <w:r w:rsidR="00D80155">
        <w:rPr>
          <w:rFonts w:ascii="Cambria" w:eastAsia="Times New Roman" w:hAnsi="Cambria" w:cs="Times New Roman"/>
          <w:i/>
          <w:iCs/>
        </w:rPr>
        <w:t>p</w:t>
      </w:r>
      <w:r w:rsidR="00D80155">
        <w:rPr>
          <w:rFonts w:ascii="Cambria" w:eastAsia="Times New Roman" w:hAnsi="Cambria" w:cs="Times New Roman"/>
        </w:rPr>
        <w:t xml:space="preserve"> = .46</w:t>
      </w:r>
      <w:r>
        <w:rPr>
          <w:rFonts w:ascii="Cambria" w:eastAsia="Times New Roman" w:hAnsi="Cambria" w:cs="Times New Roman"/>
        </w:rPr>
        <w:t xml:space="preserve">), see </w:t>
      </w:r>
      <w:r w:rsidRPr="00C64752">
        <w:rPr>
          <w:rFonts w:ascii="Cambria" w:eastAsia="Times New Roman" w:hAnsi="Cambria" w:cs="Times New Roman"/>
          <w:b/>
          <w:bCs/>
        </w:rPr>
        <w:t>Supplementary Table 1</w:t>
      </w:r>
      <w:r>
        <w:rPr>
          <w:rFonts w:ascii="Cambria" w:eastAsia="Times New Roman" w:hAnsi="Cambria" w:cs="Times New Roman"/>
        </w:rPr>
        <w:t>.</w:t>
      </w:r>
    </w:p>
    <w:p w14:paraId="3776F7D7" w14:textId="6A0EB591" w:rsidR="00E63541" w:rsidRDefault="00E63541" w:rsidP="006624F5">
      <w:pPr>
        <w:rPr>
          <w:rFonts w:ascii="Cambria" w:eastAsia="Times New Roman" w:hAnsi="Cambria" w:cs="Times New Roman"/>
          <w:b/>
          <w:bCs/>
        </w:rPr>
      </w:pPr>
    </w:p>
    <w:tbl>
      <w:tblPr>
        <w:tblStyle w:val="TableGrid"/>
        <w:tblpPr w:leftFromText="180" w:rightFromText="180" w:vertAnchor="page" w:horzAnchor="margin" w:tblpY="3987"/>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070"/>
        <w:gridCol w:w="2160"/>
        <w:gridCol w:w="2070"/>
        <w:gridCol w:w="1890"/>
        <w:gridCol w:w="1160"/>
      </w:tblGrid>
      <w:tr w:rsidR="00D80155" w14:paraId="79DE7860" w14:textId="77777777" w:rsidTr="007E73FE">
        <w:tc>
          <w:tcPr>
            <w:tcW w:w="9350" w:type="dxa"/>
            <w:gridSpan w:val="5"/>
            <w:tcBorders>
              <w:bottom w:val="single" w:sz="4" w:space="0" w:color="auto"/>
            </w:tcBorders>
          </w:tcPr>
          <w:p w14:paraId="2699EB24" w14:textId="5C3BE1F5" w:rsidR="00D80155" w:rsidRPr="00D80155" w:rsidRDefault="00D80155" w:rsidP="007E73FE">
            <w:pPr>
              <w:ind w:hanging="108"/>
              <w:rPr>
                <w:rFonts w:ascii="Cambria" w:hAnsi="Cambria"/>
                <w:b/>
                <w:bCs/>
              </w:rPr>
            </w:pPr>
            <w:r w:rsidRPr="00D80155">
              <w:rPr>
                <w:rFonts w:ascii="Cambria" w:hAnsi="Cambria"/>
                <w:b/>
                <w:bCs/>
              </w:rPr>
              <w:t xml:space="preserve">Supplementary Table 1. Diagnostic comorbidity </w:t>
            </w:r>
          </w:p>
        </w:tc>
      </w:tr>
      <w:tr w:rsidR="00D80155" w14:paraId="68FB2E2E" w14:textId="77777777" w:rsidTr="00D80155">
        <w:tc>
          <w:tcPr>
            <w:tcW w:w="2070" w:type="dxa"/>
            <w:tcBorders>
              <w:top w:val="single" w:sz="4" w:space="0" w:color="auto"/>
              <w:bottom w:val="single" w:sz="4" w:space="0" w:color="auto"/>
            </w:tcBorders>
            <w:shd w:val="clear" w:color="auto" w:fill="D9D9D9" w:themeFill="background1" w:themeFillShade="D9"/>
          </w:tcPr>
          <w:p w14:paraId="66BCF2D5" w14:textId="237C654E" w:rsidR="00D80155" w:rsidRPr="00D80155" w:rsidRDefault="00D80155" w:rsidP="007E73FE">
            <w:pPr>
              <w:rPr>
                <w:rFonts w:ascii="Cambria" w:hAnsi="Cambria"/>
                <w:b/>
                <w:bCs/>
              </w:rPr>
            </w:pPr>
            <w:r w:rsidRPr="00D80155">
              <w:rPr>
                <w:rFonts w:ascii="Cambria" w:hAnsi="Cambria"/>
                <w:b/>
                <w:bCs/>
              </w:rPr>
              <w:t>Measure</w:t>
            </w:r>
          </w:p>
        </w:tc>
        <w:tc>
          <w:tcPr>
            <w:tcW w:w="2160" w:type="dxa"/>
            <w:tcBorders>
              <w:top w:val="single" w:sz="4" w:space="0" w:color="auto"/>
              <w:bottom w:val="single" w:sz="4" w:space="0" w:color="auto"/>
            </w:tcBorders>
            <w:shd w:val="clear" w:color="auto" w:fill="D9D9D9" w:themeFill="background1" w:themeFillShade="D9"/>
          </w:tcPr>
          <w:p w14:paraId="79BCCE3C" w14:textId="0B0D6A99" w:rsidR="00D80155" w:rsidRPr="00D80155" w:rsidRDefault="00D80155" w:rsidP="007E73FE">
            <w:pPr>
              <w:jc w:val="center"/>
              <w:rPr>
                <w:rFonts w:ascii="Cambria" w:hAnsi="Cambria"/>
                <w:b/>
                <w:bCs/>
              </w:rPr>
            </w:pPr>
            <w:r w:rsidRPr="00D80155">
              <w:rPr>
                <w:rFonts w:ascii="Cambria" w:hAnsi="Cambria"/>
                <w:b/>
                <w:bCs/>
              </w:rPr>
              <w:t xml:space="preserve">Subgroup 1 </w:t>
            </w:r>
          </w:p>
        </w:tc>
        <w:tc>
          <w:tcPr>
            <w:tcW w:w="2070" w:type="dxa"/>
            <w:tcBorders>
              <w:top w:val="single" w:sz="4" w:space="0" w:color="auto"/>
              <w:bottom w:val="single" w:sz="4" w:space="0" w:color="auto"/>
            </w:tcBorders>
            <w:shd w:val="clear" w:color="auto" w:fill="D9D9D9" w:themeFill="background1" w:themeFillShade="D9"/>
          </w:tcPr>
          <w:p w14:paraId="5B40D379" w14:textId="1CBF3498" w:rsidR="00D80155" w:rsidRPr="00D80155" w:rsidRDefault="00D80155" w:rsidP="007E73FE">
            <w:pPr>
              <w:jc w:val="center"/>
              <w:rPr>
                <w:rFonts w:ascii="Cambria" w:hAnsi="Cambria"/>
                <w:b/>
                <w:bCs/>
              </w:rPr>
            </w:pPr>
            <w:r w:rsidRPr="00D80155">
              <w:rPr>
                <w:rFonts w:ascii="Cambria" w:hAnsi="Cambria"/>
                <w:b/>
                <w:bCs/>
              </w:rPr>
              <w:t xml:space="preserve">Subgroup 2 </w:t>
            </w:r>
          </w:p>
        </w:tc>
        <w:tc>
          <w:tcPr>
            <w:tcW w:w="1890" w:type="dxa"/>
            <w:tcBorders>
              <w:top w:val="single" w:sz="4" w:space="0" w:color="auto"/>
              <w:bottom w:val="single" w:sz="4" w:space="0" w:color="auto"/>
            </w:tcBorders>
            <w:shd w:val="clear" w:color="auto" w:fill="D9D9D9" w:themeFill="background1" w:themeFillShade="D9"/>
          </w:tcPr>
          <w:p w14:paraId="60FDB693" w14:textId="623AD29D" w:rsidR="00D80155" w:rsidRPr="00D80155" w:rsidRDefault="00D80155" w:rsidP="007E73FE">
            <w:pPr>
              <w:jc w:val="center"/>
              <w:rPr>
                <w:rFonts w:ascii="Cambria" w:hAnsi="Cambria"/>
                <w:b/>
                <w:bCs/>
              </w:rPr>
            </w:pPr>
            <w:r w:rsidRPr="00D80155">
              <w:rPr>
                <w:rFonts w:ascii="Cambria" w:hAnsi="Cambria"/>
                <w:b/>
                <w:bCs/>
              </w:rPr>
              <w:t>statistic</w:t>
            </w:r>
          </w:p>
        </w:tc>
        <w:tc>
          <w:tcPr>
            <w:tcW w:w="1160" w:type="dxa"/>
            <w:tcBorders>
              <w:top w:val="single" w:sz="4" w:space="0" w:color="auto"/>
              <w:bottom w:val="single" w:sz="4" w:space="0" w:color="auto"/>
            </w:tcBorders>
            <w:shd w:val="clear" w:color="auto" w:fill="D9D9D9" w:themeFill="background1" w:themeFillShade="D9"/>
          </w:tcPr>
          <w:p w14:paraId="00521BA5" w14:textId="77777777" w:rsidR="00D80155" w:rsidRPr="00D80155" w:rsidRDefault="00D80155" w:rsidP="007E73FE">
            <w:pPr>
              <w:jc w:val="center"/>
              <w:rPr>
                <w:rFonts w:ascii="Cambria" w:hAnsi="Cambria"/>
                <w:b/>
                <w:bCs/>
              </w:rPr>
            </w:pPr>
            <w:r w:rsidRPr="00D80155">
              <w:rPr>
                <w:rFonts w:ascii="Cambria" w:hAnsi="Cambria"/>
                <w:b/>
                <w:bCs/>
              </w:rPr>
              <w:t>p-value</w:t>
            </w:r>
          </w:p>
        </w:tc>
      </w:tr>
      <w:tr w:rsidR="00D80155" w14:paraId="5444C832" w14:textId="77777777" w:rsidTr="00D80155">
        <w:tc>
          <w:tcPr>
            <w:tcW w:w="2070" w:type="dxa"/>
            <w:tcBorders>
              <w:top w:val="single" w:sz="4" w:space="0" w:color="auto"/>
            </w:tcBorders>
          </w:tcPr>
          <w:p w14:paraId="07277F1F" w14:textId="21E8BF06" w:rsidR="00D80155" w:rsidRPr="00D80155" w:rsidRDefault="00D80155" w:rsidP="007E73FE">
            <w:pPr>
              <w:ind w:firstLine="162"/>
              <w:rPr>
                <w:rFonts w:ascii="Cambria" w:hAnsi="Cambria"/>
                <w:sz w:val="20"/>
                <w:szCs w:val="20"/>
              </w:rPr>
            </w:pPr>
            <w:r w:rsidRPr="00D80155">
              <w:rPr>
                <w:rFonts w:ascii="Cambria" w:hAnsi="Cambria"/>
                <w:sz w:val="20"/>
                <w:szCs w:val="20"/>
              </w:rPr>
              <w:t>Mood Disorder</w:t>
            </w:r>
          </w:p>
        </w:tc>
        <w:tc>
          <w:tcPr>
            <w:tcW w:w="2160" w:type="dxa"/>
            <w:tcBorders>
              <w:top w:val="single" w:sz="4" w:space="0" w:color="auto"/>
            </w:tcBorders>
          </w:tcPr>
          <w:p w14:paraId="1144730D" w14:textId="1753F5E7" w:rsidR="00D80155" w:rsidRPr="00D80155" w:rsidRDefault="00D80155" w:rsidP="007E73FE">
            <w:pPr>
              <w:jc w:val="center"/>
              <w:rPr>
                <w:rFonts w:ascii="Cambria" w:hAnsi="Cambria"/>
                <w:sz w:val="20"/>
                <w:szCs w:val="20"/>
              </w:rPr>
            </w:pPr>
            <w:r w:rsidRPr="00D80155">
              <w:rPr>
                <w:rFonts w:ascii="Cambria" w:hAnsi="Cambria"/>
                <w:sz w:val="20"/>
                <w:szCs w:val="20"/>
              </w:rPr>
              <w:t>48.48% (16/33)</w:t>
            </w:r>
          </w:p>
        </w:tc>
        <w:tc>
          <w:tcPr>
            <w:tcW w:w="2070" w:type="dxa"/>
            <w:tcBorders>
              <w:top w:val="single" w:sz="4" w:space="0" w:color="auto"/>
            </w:tcBorders>
          </w:tcPr>
          <w:p w14:paraId="09FE6256" w14:textId="630FA19C" w:rsidR="00D80155" w:rsidRPr="00D80155" w:rsidRDefault="00D80155" w:rsidP="007E73FE">
            <w:pPr>
              <w:jc w:val="center"/>
              <w:rPr>
                <w:rFonts w:ascii="Cambria" w:hAnsi="Cambria"/>
                <w:sz w:val="20"/>
                <w:szCs w:val="20"/>
              </w:rPr>
            </w:pPr>
            <w:r w:rsidRPr="00D80155">
              <w:rPr>
                <w:rFonts w:ascii="Cambria" w:hAnsi="Cambria"/>
                <w:sz w:val="20"/>
                <w:szCs w:val="20"/>
              </w:rPr>
              <w:t>45% (9/20)</w:t>
            </w:r>
          </w:p>
        </w:tc>
        <w:tc>
          <w:tcPr>
            <w:tcW w:w="1890" w:type="dxa"/>
            <w:tcBorders>
              <w:top w:val="single" w:sz="4" w:space="0" w:color="auto"/>
            </w:tcBorders>
          </w:tcPr>
          <w:p w14:paraId="7F0F41F3" w14:textId="4B98A00B" w:rsidR="00D80155" w:rsidRPr="00D80155" w:rsidRDefault="00D80155" w:rsidP="007E73FE">
            <w:pPr>
              <w:jc w:val="center"/>
              <w:rPr>
                <w:rFonts w:ascii="Cambria" w:hAnsi="Cambria"/>
                <w:sz w:val="20"/>
                <w:szCs w:val="20"/>
              </w:rPr>
            </w:pPr>
            <m:oMath>
              <m:r>
                <m:rPr>
                  <m:sty m:val="p"/>
                </m:rPr>
                <w:rPr>
                  <w:rFonts w:ascii="Cambria Math" w:hAnsi="Cambria Math" w:cs="Segoe UI"/>
                  <w:color w:val="201F1E"/>
                  <w:sz w:val="20"/>
                  <w:szCs w:val="20"/>
                  <w:shd w:val="clear" w:color="auto" w:fill="FFFFFF"/>
                </w:rPr>
                <m:t>χ</m:t>
              </m:r>
            </m:oMath>
            <w:r w:rsidRPr="00D80155">
              <w:rPr>
                <w:rFonts w:ascii="Cambria" w:hAnsi="Cambria" w:cs="Segoe UI"/>
                <w:color w:val="201F1E"/>
                <w:sz w:val="20"/>
                <w:szCs w:val="20"/>
                <w:shd w:val="clear" w:color="auto" w:fill="FFFFFF"/>
                <w:vertAlign w:val="superscript"/>
              </w:rPr>
              <w:t xml:space="preserve">2 </w:t>
            </w:r>
            <w:r w:rsidRPr="00D80155">
              <w:rPr>
                <w:rFonts w:ascii="Cambria" w:hAnsi="Cambria" w:cs="Segoe UI"/>
                <w:color w:val="201F1E"/>
                <w:sz w:val="20"/>
                <w:szCs w:val="20"/>
                <w:shd w:val="clear" w:color="auto" w:fill="FFFFFF"/>
              </w:rPr>
              <w:t>= 0.06</w:t>
            </w:r>
          </w:p>
        </w:tc>
        <w:tc>
          <w:tcPr>
            <w:tcW w:w="1160" w:type="dxa"/>
            <w:tcBorders>
              <w:top w:val="single" w:sz="4" w:space="0" w:color="auto"/>
            </w:tcBorders>
          </w:tcPr>
          <w:p w14:paraId="0761F6C6" w14:textId="79A66247" w:rsidR="00D80155" w:rsidRPr="00D80155" w:rsidRDefault="00D80155" w:rsidP="007E73FE">
            <w:pPr>
              <w:jc w:val="center"/>
              <w:rPr>
                <w:rFonts w:ascii="Cambria" w:hAnsi="Cambria"/>
                <w:sz w:val="20"/>
                <w:szCs w:val="20"/>
              </w:rPr>
            </w:pPr>
            <w:r w:rsidRPr="00D80155">
              <w:rPr>
                <w:rFonts w:ascii="Cambria" w:hAnsi="Cambria"/>
                <w:sz w:val="20"/>
                <w:szCs w:val="20"/>
              </w:rPr>
              <w:t>.81</w:t>
            </w:r>
          </w:p>
        </w:tc>
      </w:tr>
      <w:tr w:rsidR="00D80155" w14:paraId="466E6DEC" w14:textId="77777777" w:rsidTr="00D80155">
        <w:tc>
          <w:tcPr>
            <w:tcW w:w="2070" w:type="dxa"/>
          </w:tcPr>
          <w:p w14:paraId="6DC0FDD4" w14:textId="5CB2E873" w:rsidR="00D80155" w:rsidRPr="00D80155" w:rsidRDefault="00D80155" w:rsidP="007E73FE">
            <w:pPr>
              <w:ind w:firstLine="162"/>
              <w:rPr>
                <w:rFonts w:ascii="Cambria" w:hAnsi="Cambria"/>
                <w:sz w:val="20"/>
                <w:szCs w:val="20"/>
              </w:rPr>
            </w:pPr>
            <w:r w:rsidRPr="00D80155">
              <w:rPr>
                <w:rFonts w:ascii="Cambria" w:hAnsi="Cambria"/>
                <w:sz w:val="20"/>
                <w:szCs w:val="20"/>
              </w:rPr>
              <w:t>Anxiety Disorder</w:t>
            </w:r>
          </w:p>
        </w:tc>
        <w:tc>
          <w:tcPr>
            <w:tcW w:w="2160" w:type="dxa"/>
          </w:tcPr>
          <w:p w14:paraId="1FD69BCA" w14:textId="24683DE3" w:rsidR="00D80155" w:rsidRPr="00D80155" w:rsidRDefault="00D80155" w:rsidP="007E73FE">
            <w:pPr>
              <w:jc w:val="center"/>
              <w:rPr>
                <w:rFonts w:ascii="Cambria" w:hAnsi="Cambria"/>
                <w:sz w:val="20"/>
                <w:szCs w:val="20"/>
              </w:rPr>
            </w:pPr>
            <w:r>
              <w:rPr>
                <w:rFonts w:ascii="Cambria" w:hAnsi="Cambria"/>
                <w:sz w:val="20"/>
                <w:szCs w:val="20"/>
              </w:rPr>
              <w:t>84.85% (28/33)</w:t>
            </w:r>
          </w:p>
        </w:tc>
        <w:tc>
          <w:tcPr>
            <w:tcW w:w="2070" w:type="dxa"/>
          </w:tcPr>
          <w:p w14:paraId="07234BE9" w14:textId="5AC92256" w:rsidR="00D80155" w:rsidRPr="00D80155" w:rsidRDefault="005E10CB" w:rsidP="007E73FE">
            <w:pPr>
              <w:jc w:val="center"/>
              <w:rPr>
                <w:rFonts w:ascii="Cambria" w:hAnsi="Cambria"/>
                <w:sz w:val="20"/>
                <w:szCs w:val="20"/>
              </w:rPr>
            </w:pPr>
            <w:r>
              <w:rPr>
                <w:rFonts w:ascii="Cambria" w:hAnsi="Cambria"/>
                <w:sz w:val="20"/>
                <w:szCs w:val="20"/>
              </w:rPr>
              <w:t>90% (18/20)</w:t>
            </w:r>
          </w:p>
        </w:tc>
        <w:tc>
          <w:tcPr>
            <w:tcW w:w="1890" w:type="dxa"/>
          </w:tcPr>
          <w:p w14:paraId="7023CD9C" w14:textId="4CAF9D9D" w:rsidR="00D80155" w:rsidRPr="00D80155" w:rsidRDefault="00D80155" w:rsidP="007E73FE">
            <w:pPr>
              <w:jc w:val="center"/>
              <w:rPr>
                <w:rFonts w:ascii="Cambria" w:hAnsi="Cambria"/>
                <w:sz w:val="20"/>
                <w:szCs w:val="20"/>
              </w:rPr>
            </w:pPr>
            <m:oMath>
              <m:r>
                <m:rPr>
                  <m:sty m:val="p"/>
                </m:rPr>
                <w:rPr>
                  <w:rFonts w:ascii="Cambria Math" w:hAnsi="Cambria Math" w:cs="Segoe UI"/>
                  <w:color w:val="201F1E"/>
                  <w:sz w:val="20"/>
                  <w:szCs w:val="20"/>
                  <w:shd w:val="clear" w:color="auto" w:fill="FFFFFF"/>
                </w:rPr>
                <m:t>χ</m:t>
              </m:r>
            </m:oMath>
            <w:r w:rsidRPr="00D80155">
              <w:rPr>
                <w:rFonts w:ascii="Cambria" w:hAnsi="Cambria" w:cs="Segoe UI"/>
                <w:color w:val="201F1E"/>
                <w:sz w:val="20"/>
                <w:szCs w:val="20"/>
                <w:shd w:val="clear" w:color="auto" w:fill="FFFFFF"/>
                <w:vertAlign w:val="superscript"/>
              </w:rPr>
              <w:t xml:space="preserve">2 </w:t>
            </w:r>
            <w:r w:rsidRPr="00D80155">
              <w:rPr>
                <w:rFonts w:ascii="Cambria" w:hAnsi="Cambria" w:cs="Segoe UI"/>
                <w:color w:val="201F1E"/>
                <w:sz w:val="20"/>
                <w:szCs w:val="20"/>
                <w:shd w:val="clear" w:color="auto" w:fill="FFFFFF"/>
              </w:rPr>
              <w:t>= 0.</w:t>
            </w:r>
            <w:r>
              <w:rPr>
                <w:rFonts w:ascii="Cambria" w:hAnsi="Cambria" w:cs="Segoe UI"/>
                <w:color w:val="201F1E"/>
                <w:sz w:val="20"/>
                <w:szCs w:val="20"/>
                <w:shd w:val="clear" w:color="auto" w:fill="FFFFFF"/>
              </w:rPr>
              <w:t>28</w:t>
            </w:r>
          </w:p>
        </w:tc>
        <w:tc>
          <w:tcPr>
            <w:tcW w:w="1160" w:type="dxa"/>
          </w:tcPr>
          <w:p w14:paraId="2893BAB5" w14:textId="1D9DEEF8" w:rsidR="00D80155" w:rsidRPr="00D80155" w:rsidRDefault="00D80155" w:rsidP="007E73FE">
            <w:pPr>
              <w:jc w:val="center"/>
              <w:rPr>
                <w:rFonts w:ascii="Cambria" w:hAnsi="Cambria"/>
                <w:sz w:val="20"/>
                <w:szCs w:val="20"/>
              </w:rPr>
            </w:pPr>
            <w:r w:rsidRPr="00D80155">
              <w:rPr>
                <w:rFonts w:ascii="Cambria" w:hAnsi="Cambria"/>
                <w:sz w:val="20"/>
                <w:szCs w:val="20"/>
              </w:rPr>
              <w:t>.</w:t>
            </w:r>
            <w:r>
              <w:rPr>
                <w:rFonts w:ascii="Cambria" w:hAnsi="Cambria"/>
                <w:sz w:val="20"/>
                <w:szCs w:val="20"/>
              </w:rPr>
              <w:t>59</w:t>
            </w:r>
          </w:p>
        </w:tc>
      </w:tr>
      <w:tr w:rsidR="00D80155" w14:paraId="1FE8ECED" w14:textId="77777777" w:rsidTr="00D80155">
        <w:tc>
          <w:tcPr>
            <w:tcW w:w="2070" w:type="dxa"/>
          </w:tcPr>
          <w:p w14:paraId="157BCB1B" w14:textId="27D0C2E9" w:rsidR="00D80155" w:rsidRPr="00D80155" w:rsidRDefault="00D80155" w:rsidP="007E73FE">
            <w:pPr>
              <w:ind w:firstLine="162"/>
              <w:rPr>
                <w:rFonts w:ascii="Cambria" w:hAnsi="Cambria"/>
                <w:sz w:val="20"/>
                <w:szCs w:val="20"/>
              </w:rPr>
            </w:pPr>
            <w:r w:rsidRPr="00D80155">
              <w:rPr>
                <w:rFonts w:ascii="Cambria" w:hAnsi="Cambria"/>
                <w:sz w:val="20"/>
                <w:szCs w:val="20"/>
              </w:rPr>
              <w:t>Total Diagnoses</w:t>
            </w:r>
          </w:p>
        </w:tc>
        <w:tc>
          <w:tcPr>
            <w:tcW w:w="2160" w:type="dxa"/>
          </w:tcPr>
          <w:p w14:paraId="492B9284" w14:textId="7FB9B7AD" w:rsidR="00D80155" w:rsidRPr="00D80155" w:rsidRDefault="005E10CB" w:rsidP="007E73FE">
            <w:pPr>
              <w:jc w:val="center"/>
              <w:rPr>
                <w:rFonts w:ascii="Cambria" w:hAnsi="Cambria"/>
                <w:sz w:val="20"/>
                <w:szCs w:val="20"/>
              </w:rPr>
            </w:pPr>
            <w:r>
              <w:rPr>
                <w:rFonts w:ascii="Cambria" w:hAnsi="Cambria"/>
                <w:sz w:val="20"/>
                <w:szCs w:val="20"/>
              </w:rPr>
              <w:t>8.64</w:t>
            </w:r>
          </w:p>
        </w:tc>
        <w:tc>
          <w:tcPr>
            <w:tcW w:w="2070" w:type="dxa"/>
          </w:tcPr>
          <w:p w14:paraId="27A0A546" w14:textId="47A51CCB" w:rsidR="00D80155" w:rsidRPr="00D80155" w:rsidRDefault="005E10CB" w:rsidP="007E73FE">
            <w:pPr>
              <w:jc w:val="center"/>
              <w:rPr>
                <w:rFonts w:ascii="Cambria" w:hAnsi="Cambria"/>
                <w:sz w:val="20"/>
                <w:szCs w:val="20"/>
              </w:rPr>
            </w:pPr>
            <w:r>
              <w:rPr>
                <w:rFonts w:ascii="Cambria" w:hAnsi="Cambria"/>
                <w:sz w:val="20"/>
                <w:szCs w:val="20"/>
              </w:rPr>
              <w:t>9.45</w:t>
            </w:r>
          </w:p>
        </w:tc>
        <w:tc>
          <w:tcPr>
            <w:tcW w:w="1890" w:type="dxa"/>
          </w:tcPr>
          <w:p w14:paraId="58F147AB" w14:textId="6EE2B30D" w:rsidR="00D80155" w:rsidRPr="005E10CB" w:rsidRDefault="005E10CB" w:rsidP="007E73FE">
            <w:pPr>
              <w:jc w:val="center"/>
              <w:rPr>
                <w:rFonts w:ascii="Cambria" w:hAnsi="Cambria"/>
                <w:sz w:val="20"/>
                <w:szCs w:val="20"/>
              </w:rPr>
            </w:pPr>
            <w:r>
              <w:rPr>
                <w:rFonts w:ascii="Cambria" w:hAnsi="Cambria"/>
                <w:i/>
                <w:iCs/>
                <w:sz w:val="20"/>
                <w:szCs w:val="20"/>
              </w:rPr>
              <w:t xml:space="preserve">t </w:t>
            </w:r>
            <w:r>
              <w:rPr>
                <w:rFonts w:ascii="Cambria" w:hAnsi="Cambria"/>
                <w:sz w:val="20"/>
                <w:szCs w:val="20"/>
              </w:rPr>
              <w:t>= -0.74</w:t>
            </w:r>
          </w:p>
        </w:tc>
        <w:tc>
          <w:tcPr>
            <w:tcW w:w="1160" w:type="dxa"/>
          </w:tcPr>
          <w:p w14:paraId="3B5751C6" w14:textId="5253A37A" w:rsidR="00D80155" w:rsidRPr="00D80155" w:rsidRDefault="005E10CB" w:rsidP="007E73FE">
            <w:pPr>
              <w:jc w:val="center"/>
              <w:rPr>
                <w:rFonts w:ascii="Cambria" w:hAnsi="Cambria"/>
                <w:sz w:val="20"/>
                <w:szCs w:val="20"/>
              </w:rPr>
            </w:pPr>
            <w:r>
              <w:rPr>
                <w:rFonts w:ascii="Cambria" w:hAnsi="Cambria"/>
                <w:sz w:val="20"/>
                <w:szCs w:val="20"/>
              </w:rPr>
              <w:t>.46</w:t>
            </w:r>
          </w:p>
        </w:tc>
      </w:tr>
      <w:tr w:rsidR="00D80155" w14:paraId="1E5D03ED" w14:textId="77777777" w:rsidTr="007E73FE">
        <w:tc>
          <w:tcPr>
            <w:tcW w:w="9350" w:type="dxa"/>
            <w:gridSpan w:val="5"/>
            <w:tcBorders>
              <w:top w:val="single" w:sz="4" w:space="0" w:color="auto"/>
            </w:tcBorders>
          </w:tcPr>
          <w:p w14:paraId="30A75462" w14:textId="67125CD1" w:rsidR="00D80155" w:rsidRPr="00D80155" w:rsidRDefault="00D80155" w:rsidP="00D80155">
            <w:pPr>
              <w:ind w:left="-104"/>
              <w:rPr>
                <w:rFonts w:ascii="Times New Roman" w:eastAsia="Times New Roman" w:hAnsi="Times New Roman" w:cs="Times New Roman"/>
                <w:sz w:val="20"/>
                <w:szCs w:val="20"/>
              </w:rPr>
            </w:pPr>
            <w:r>
              <w:rPr>
                <w:rFonts w:ascii="Calibri" w:hAnsi="Calibri"/>
                <w:i/>
                <w:iCs/>
                <w:sz w:val="20"/>
                <w:szCs w:val="20"/>
              </w:rPr>
              <w:t>Note.</w:t>
            </w:r>
            <w:r>
              <w:rPr>
                <w:rFonts w:ascii="Calibri" w:hAnsi="Calibri"/>
                <w:sz w:val="20"/>
                <w:szCs w:val="20"/>
              </w:rPr>
              <w:t xml:space="preserve"> Mood disorder was considered any current or past depressive disorder. Anxiety disorder was operationalized as any current Panic, Agoraphobia, Social Phobia, or Generalized Anxiety Disorder. </w:t>
            </w:r>
          </w:p>
        </w:tc>
      </w:tr>
    </w:tbl>
    <w:p w14:paraId="515859EF" w14:textId="457F12FF" w:rsidR="00E63541" w:rsidRDefault="00E63541" w:rsidP="006624F5">
      <w:pPr>
        <w:rPr>
          <w:rFonts w:ascii="Cambria" w:eastAsia="Times New Roman" w:hAnsi="Cambria" w:cs="Times New Roman"/>
          <w:b/>
          <w:bCs/>
        </w:rPr>
      </w:pPr>
    </w:p>
    <w:p w14:paraId="37088D10" w14:textId="5E188324" w:rsidR="00E63541" w:rsidRDefault="00E63541" w:rsidP="006624F5">
      <w:pPr>
        <w:rPr>
          <w:rFonts w:ascii="Cambria" w:eastAsia="Times New Roman" w:hAnsi="Cambria" w:cs="Times New Roman"/>
          <w:b/>
          <w:bCs/>
        </w:rPr>
      </w:pPr>
    </w:p>
    <w:p w14:paraId="4A884859" w14:textId="2FA78DD7" w:rsidR="006624F5" w:rsidRPr="000E6BA9" w:rsidRDefault="006624F5" w:rsidP="00AA22A4">
      <w:pPr>
        <w:spacing w:line="480" w:lineRule="auto"/>
        <w:rPr>
          <w:rFonts w:ascii="Cambria" w:eastAsia="Times New Roman" w:hAnsi="Cambria" w:cs="Times New Roman"/>
          <w:b/>
          <w:bCs/>
        </w:rPr>
      </w:pPr>
      <w:r w:rsidRPr="000E6BA9">
        <w:rPr>
          <w:rFonts w:ascii="Cambria" w:eastAsia="Times New Roman" w:hAnsi="Cambria" w:cs="Times New Roman"/>
          <w:b/>
          <w:bCs/>
        </w:rPr>
        <w:t>Volumetric Analysis</w:t>
      </w:r>
    </w:p>
    <w:p w14:paraId="694C4A4F" w14:textId="61B6C515" w:rsidR="006624F5" w:rsidRDefault="006624F5" w:rsidP="005E10CB">
      <w:pPr>
        <w:spacing w:line="480" w:lineRule="auto"/>
        <w:ind w:firstLine="720"/>
        <w:rPr>
          <w:rFonts w:ascii="Cambria" w:hAnsi="Cambria" w:cs="Arial"/>
          <w:color w:val="222222"/>
          <w:shd w:val="clear" w:color="auto" w:fill="FFFFFF"/>
        </w:rPr>
      </w:pPr>
      <w:r w:rsidRPr="000E6BA9">
        <w:rPr>
          <w:rFonts w:ascii="Cambria" w:eastAsia="Times New Roman" w:hAnsi="Cambria" w:cs="Times New Roman"/>
        </w:rPr>
        <w:t xml:space="preserve">Cortical and subcortical segmentation of the </w:t>
      </w:r>
      <w:r w:rsidRPr="00583119">
        <w:rPr>
          <w:rFonts w:ascii="Cambria" w:eastAsia="Times New Roman" w:hAnsi="Cambria" w:cs="Times New Roman"/>
        </w:rPr>
        <w:t xml:space="preserve">T1 images </w:t>
      </w:r>
      <w:r w:rsidRPr="000E6BA9">
        <w:rPr>
          <w:rFonts w:ascii="Cambria" w:eastAsia="Times New Roman" w:hAnsi="Cambria" w:cs="Times New Roman"/>
        </w:rPr>
        <w:t>were</w:t>
      </w:r>
      <w:r w:rsidRPr="00583119">
        <w:rPr>
          <w:rFonts w:ascii="Cambria" w:eastAsia="Times New Roman" w:hAnsi="Cambria" w:cs="Times New Roman"/>
        </w:rPr>
        <w:t xml:space="preserve"> processed using </w:t>
      </w:r>
      <w:proofErr w:type="spellStart"/>
      <w:r w:rsidRPr="00583119">
        <w:rPr>
          <w:rFonts w:ascii="Cambria" w:eastAsia="Times New Roman" w:hAnsi="Cambria" w:cs="Times New Roman"/>
        </w:rPr>
        <w:t>FreeSurfer</w:t>
      </w:r>
      <w:proofErr w:type="spellEnd"/>
      <w:r w:rsidRPr="00583119">
        <w:rPr>
          <w:rFonts w:ascii="Cambria" w:eastAsia="Times New Roman" w:hAnsi="Cambria" w:cs="Times New Roman"/>
        </w:rPr>
        <w:t xml:space="preserve"> </w:t>
      </w:r>
      <w:r w:rsidRPr="000E6BA9">
        <w:rPr>
          <w:rFonts w:ascii="Cambria" w:eastAsia="Times New Roman" w:hAnsi="Cambria" w:cs="Times New Roman"/>
        </w:rPr>
        <w:t xml:space="preserve">(version 6.0 </w:t>
      </w:r>
      <w:r w:rsidRPr="00583119">
        <w:rPr>
          <w:rFonts w:ascii="Cambria" w:eastAsia="Times New Roman" w:hAnsi="Cambria" w:cs="Times New Roman"/>
        </w:rPr>
        <w:t>0</w:t>
      </w:r>
      <w:r w:rsidRPr="000E6BA9">
        <w:rPr>
          <w:rFonts w:ascii="Cambria" w:eastAsia="Times New Roman" w:hAnsi="Cambria" w:cs="Times New Roman"/>
        </w:rPr>
        <w:t xml:space="preserve">; </w:t>
      </w:r>
      <w:r w:rsidRPr="00583119">
        <w:rPr>
          <w:rFonts w:ascii="Cambria" w:eastAsia="Times New Roman" w:hAnsi="Cambria" w:cs="Times New Roman"/>
        </w:rPr>
        <w:t>http://surfer.nmr.mgh.harvard.edu;</w:t>
      </w:r>
      <w:r>
        <w:rPr>
          <w:rFonts w:ascii="Cambria" w:eastAsia="Times New Roman" w:hAnsi="Cambria" w:cs="Times New Roman"/>
        </w:rPr>
        <w:fldChar w:fldCharType="begin" w:fldLock="1"/>
      </w:r>
      <w:r w:rsidR="002B353D">
        <w:rPr>
          <w:rFonts w:ascii="Cambria" w:eastAsia="Times New Roman" w:hAnsi="Cambria" w:cs="Times New Roman"/>
        </w:rPr>
        <w:instrText>ADDIN CSL_CITATION {"citationItems":[{"id":"ITEM-1","itemData":{"DOI":"10.1073/pnas.200033797","abstract":"Accurate and automated methods for measuring the thickness of human cerebral cortex could provide powerful tools for diagnosing and studying a variety of neurodegenerative and psychiatric disorders. Manual methods for estimating cortical thickness from neuroimaging data are labor intensive, requiring several days of effort by a trained anatomist. Furthermore, the highly folded nature of the cortex is problematic for manual techniques, frequently resulting in measurement errors in regions in which the cortical surface is not perpendicular to any of the cardinal axes. As a consequence, it has been impractical to obtain accurate thickness estimates for the entire cortex in individual subjects, or group statistics for patient or control populations. Here, we present an automated method for accurately measuring the thickness of the cerebral cortex across the entire brain and for generating cross-subject statistics in a coordinate system based on cortical anatomy. The intersubject standard deviation of the thickness measures is shown to be less than 0.5 mm, implying the ability to detect focal atrophy in small populations or even individual subjects. The reliability and accuracy of this new method are assessed by within-subject test–retest studies, as well as by comparison of cross-subject regional thickness measures with published values.","author":[{"dropping-particle":"","family":"Fischl","given":"Bruce","non-dropping-particle":"","parse-names":false,"suffix":""},{"dropping-particle":"","family":"Dale","given":"Anders M","non-dropping-particle":"","parse-names":false,"suffix":""}],"container-title":"Proceedings of the National Academy of Sciences","id":"ITEM-1","issue":"20","issued":{"date-parts":[["2000","9","26"]]},"page":"11050 LP  - 11055","title":"Measuring the thickness of the human cerebral cortex from magnetic resonance images","type":"article-journal","volume":"97"},"uris":["http://www.mendeley.com/documents/?uuid=74c0960c-4d2a-4fd7-96f9-9a7bf703e887"]}],"mendeley":{"formattedCitation":"(Fischl &amp; Dale, 2000)","manualFormatting":" Fischl &amp; Dale, 2000)","plainTextFormattedCitation":"(Fischl &amp; Dale, 2000)","previouslyFormattedCitation":"(Fischl &amp; Dale, 2000)"},"properties":{"noteIndex":0},"schema":"https://github.com/citation-style-language/schema/raw/master/csl-citation.json"}</w:instrText>
      </w:r>
      <w:r>
        <w:rPr>
          <w:rFonts w:ascii="Cambria" w:eastAsia="Times New Roman" w:hAnsi="Cambria" w:cs="Times New Roman"/>
        </w:rPr>
        <w:fldChar w:fldCharType="separate"/>
      </w:r>
      <w:r>
        <w:rPr>
          <w:rFonts w:ascii="Cambria" w:eastAsia="Times New Roman" w:hAnsi="Cambria" w:cs="Times New Roman"/>
          <w:noProof/>
        </w:rPr>
        <w:t xml:space="preserve"> </w:t>
      </w:r>
      <w:r w:rsidRPr="006624F5">
        <w:rPr>
          <w:rFonts w:ascii="Cambria" w:eastAsia="Times New Roman" w:hAnsi="Cambria" w:cs="Times New Roman"/>
          <w:noProof/>
        </w:rPr>
        <w:t>Fischl &amp; Dale, 2000)</w:t>
      </w:r>
      <w:r>
        <w:rPr>
          <w:rFonts w:ascii="Cambria" w:eastAsia="Times New Roman" w:hAnsi="Cambria" w:cs="Times New Roman"/>
        </w:rPr>
        <w:fldChar w:fldCharType="end"/>
      </w:r>
      <w:r w:rsidRPr="00583119">
        <w:rPr>
          <w:rFonts w:ascii="Cambria" w:eastAsia="Times New Roman" w:hAnsi="Cambria" w:cs="Times New Roman"/>
        </w:rPr>
        <w:t xml:space="preserve">. </w:t>
      </w:r>
      <w:r w:rsidRPr="000E6BA9">
        <w:rPr>
          <w:rFonts w:ascii="Cambria" w:eastAsia="Times New Roman" w:hAnsi="Cambria" w:cs="Times New Roman"/>
        </w:rPr>
        <w:t xml:space="preserve">Images were motion corrected, and automatically segmented into different tissue types: grey matter, white matter, Cerebrospinal fluid, and the skull. Data were smoothed (8mm full-width at half-maximum). Segmentations were registered to the MNI template. Segmentations were extracted using the </w:t>
      </w:r>
      <w:r w:rsidRPr="000E6BA9">
        <w:rPr>
          <w:rFonts w:ascii="Cambria" w:hAnsi="Cambria" w:cs="Arial"/>
          <w:color w:val="222222"/>
          <w:shd w:val="clear" w:color="auto" w:fill="FFFFFF"/>
        </w:rPr>
        <w:t>Desikan/</w:t>
      </w:r>
      <w:proofErr w:type="spellStart"/>
      <w:r w:rsidRPr="000E6BA9">
        <w:rPr>
          <w:rFonts w:ascii="Cambria" w:hAnsi="Cambria" w:cs="Arial"/>
          <w:color w:val="222222"/>
          <w:shd w:val="clear" w:color="auto" w:fill="FFFFFF"/>
        </w:rPr>
        <w:t>Killiany</w:t>
      </w:r>
      <w:proofErr w:type="spellEnd"/>
      <w:r w:rsidRPr="000E6BA9">
        <w:rPr>
          <w:rFonts w:ascii="Cambria" w:hAnsi="Cambria" w:cs="Arial"/>
          <w:color w:val="222222"/>
          <w:shd w:val="clear" w:color="auto" w:fill="FFFFFF"/>
        </w:rPr>
        <w:t xml:space="preserve"> atlas</w:t>
      </w:r>
      <w:r>
        <w:rPr>
          <w:rFonts w:ascii="Cambria" w:hAnsi="Cambria" w:cs="Arial"/>
          <w:color w:val="222222"/>
          <w:shd w:val="clear" w:color="auto" w:fill="FFFFFF"/>
        </w:rPr>
        <w:t xml:space="preserve"> </w:t>
      </w:r>
      <w:r>
        <w:rPr>
          <w:rFonts w:ascii="Cambria" w:hAnsi="Cambria" w:cs="Arial"/>
          <w:color w:val="222222"/>
          <w:shd w:val="clear" w:color="auto" w:fill="FFFFFF"/>
        </w:rPr>
        <w:fldChar w:fldCharType="begin" w:fldLock="1"/>
      </w:r>
      <w:r>
        <w:rPr>
          <w:rFonts w:ascii="Cambria" w:hAnsi="Cambria" w:cs="Arial"/>
          <w:color w:val="222222"/>
          <w:shd w:val="clear" w:color="auto" w:fill="FFFFFF"/>
        </w:rPr>
        <w:instrText>ADDIN CSL_CITATION {"citationItems":[{"id":"ITEM-1","itemData":{"DOI":"//dx.doi.org/10.1016/j.neuroimage.2006.01.021","ISSN":"1053-8119","abstract":"In this study, we have assessed the validity and reliability of an automated labeling system that we have developed for subdividing the human cerebral cortex on magnetic resonance images into gyral based regions of interest (ROIs). Using a dataset of 40 MRI scans we manually identified 34 cortical ROIs in each of the individual hemispheres. This information was then encoded in the form of an atlas that was utilized to automatically label ROIs. To examine the validity, as well as the intra- and inter-rater reliability of the automated system, we used both intraclass correlation coefficients (ICC), and a new method known as mean distance maps, to assess the degree of mismatch between the manual and the automated sets of ROIs. When compared with the manual ROIs, the automated ROIs were highly accurate, with an average ICC of 0.835 across all of the ROIs, and a mean distance error of less than 1 mm. Intra- and inter-rater comparisons yielded little to no difference between the sets of ROIs. These findings suggest that the automated method we have developed for subdividing the human cerebral cortex into standard gyral-based neuroanatomical regions is both anatomically valid and reliable. This method may be useful for both morphometric and functional studies of the cerebral cortex as well as for clinical investigations aimed at tracking the evolution of disease-induced changes over time, including clinical trials in which MRI-based measures are used to examine response to treatment.","author":[{"dropping-particle":"","family":"Desikan","given":"Rahul S","non-dropping-particle":"","parse-names":false,"suffix":""},{"dropping-particle":"","family":"Ségonne","given":"Florent","non-dropping-particle":"","parse-names":false,"suffix":""},{"dropping-particle":"","family":"Fischl","given":"Bruce","non-dropping-particle":"","parse-names":false,"suffix":""},{"dropping-particle":"","family":"Quinn","given":"Brian T","non-dropping-particle":"","parse-names":false,"suffix":""},{"dropping-particle":"","family":"Dickerson","given":"Bradford C","non-dropping-particle":"","parse-names":false,"suffix":""},{"dropping-particle":"","family":"Blacker","given":"Deborah","non-dropping-particle":"","parse-names":false,"suffix":""},{"dropping-particle":"","family":"Buckner","given":"Randy L","non-dropping-particle":"","parse-names":false,"suffix":""},{"dropping-particle":"","family":"Dale","given":"Anders M","non-dropping-particle":"","parse-names":false,"suffix":""},{"dropping-particle":"","family":"Maguire","given":"R Paul","non-dropping-particle":"","parse-names":false,"suffix":""},{"dropping-particle":"","family":"Hyman","given":"Bradley T","non-dropping-particle":"","parse-names":false,"suffix":""},{"dropping-particle":"","family":"Albert","given":"Marilyn S","non-dropping-particle":"","parse-names":false,"suffix":""},{"dropping-particle":"","family":"Killiany","given":"Ronald J","non-dropping-particle":"","parse-names":false,"suffix":""}],"container-title":"NeuroImage","id":"ITEM-1","issue":"3","issued":{"date-parts":[["2006"]]},"note":"ID: 286","page":"968-980","title":"An automated labeling system for subdividing the human cerebral cortex on MRI scans into gyral based regions of interest","type":"article-journal","volume":"31"},"uris":["http://www.mendeley.com/documents/?uuid=e1304499-3303-368b-900d-2027e9adfb94"]}],"mendeley":{"formattedCitation":"(Desikan et al., 2006)","plainTextFormattedCitation":"(Desikan et al., 2006)","previouslyFormattedCitation":"(Desikan et al., 2006)"},"properties":{"noteIndex":0},"schema":"https://github.com/citation-style-language/schema/raw/master/csl-citation.json"}</w:instrText>
      </w:r>
      <w:r>
        <w:rPr>
          <w:rFonts w:ascii="Cambria" w:hAnsi="Cambria" w:cs="Arial"/>
          <w:color w:val="222222"/>
          <w:shd w:val="clear" w:color="auto" w:fill="FFFFFF"/>
        </w:rPr>
        <w:fldChar w:fldCharType="separate"/>
      </w:r>
      <w:r w:rsidRPr="006624F5">
        <w:rPr>
          <w:rFonts w:ascii="Cambria" w:hAnsi="Cambria" w:cs="Arial"/>
          <w:noProof/>
          <w:color w:val="222222"/>
          <w:shd w:val="clear" w:color="auto" w:fill="FFFFFF"/>
        </w:rPr>
        <w:t>(Desikan et al., 2006)</w:t>
      </w:r>
      <w:r>
        <w:rPr>
          <w:rFonts w:ascii="Cambria" w:hAnsi="Cambria" w:cs="Arial"/>
          <w:color w:val="222222"/>
          <w:shd w:val="clear" w:color="auto" w:fill="FFFFFF"/>
        </w:rPr>
        <w:fldChar w:fldCharType="end"/>
      </w:r>
      <w:r w:rsidRPr="000E6BA9">
        <w:rPr>
          <w:rFonts w:ascii="Cambria" w:hAnsi="Cambria" w:cs="Arial"/>
          <w:color w:val="222222"/>
          <w:shd w:val="clear" w:color="auto" w:fill="FFFFFF"/>
        </w:rPr>
        <w:t>.</w:t>
      </w:r>
      <w:r>
        <w:rPr>
          <w:rFonts w:ascii="Cambria" w:hAnsi="Cambria" w:cs="Arial"/>
          <w:color w:val="222222"/>
          <w:shd w:val="clear" w:color="auto" w:fill="FFFFFF"/>
        </w:rPr>
        <w:t xml:space="preserve"> Segments were within subject normalized to each subject’s intracranial volume (ICV): (brain region</w:t>
      </w:r>
      <w:r>
        <w:rPr>
          <w:rFonts w:ascii="Cambria" w:eastAsiaTheme="minorEastAsia" w:hAnsi="Cambria" w:cs="Arial"/>
          <w:color w:val="222222"/>
          <w:shd w:val="clear" w:color="auto" w:fill="FFFFFF"/>
        </w:rPr>
        <w:t xml:space="preserve"> </w:t>
      </w:r>
      <m:oMath>
        <m:r>
          <w:rPr>
            <w:rFonts w:ascii="Cambria Math" w:hAnsi="Cambria Math" w:cs="Arial"/>
            <w:color w:val="222222"/>
            <w:shd w:val="clear" w:color="auto" w:fill="FFFFFF"/>
          </w:rPr>
          <m:t>÷</m:t>
        </m:r>
      </m:oMath>
      <w:r>
        <w:rPr>
          <w:rFonts w:ascii="Cambria" w:eastAsiaTheme="minorEastAsia" w:hAnsi="Cambria" w:cs="Arial"/>
          <w:color w:val="222222"/>
          <w:shd w:val="clear" w:color="auto" w:fill="FFFFFF"/>
        </w:rPr>
        <w:t xml:space="preserve"> </w:t>
      </w:r>
      <w:r>
        <w:rPr>
          <w:rFonts w:ascii="Cambria" w:hAnsi="Cambria" w:cs="Arial"/>
          <w:color w:val="222222"/>
          <w:shd w:val="clear" w:color="auto" w:fill="FFFFFF"/>
        </w:rPr>
        <w:t>ICV)</w:t>
      </w:r>
      <m:oMath>
        <m:r>
          <w:rPr>
            <w:rFonts w:ascii="Cambria Math" w:hAnsi="Cambria Math" w:cs="Arial"/>
            <w:color w:val="222222"/>
            <w:shd w:val="clear" w:color="auto" w:fill="FFFFFF"/>
          </w:rPr>
          <m:t>×</m:t>
        </m:r>
      </m:oMath>
      <w:r>
        <w:rPr>
          <w:rFonts w:ascii="Cambria" w:hAnsi="Cambria" w:cs="Arial"/>
          <w:color w:val="222222"/>
          <w:shd w:val="clear" w:color="auto" w:fill="FFFFFF"/>
        </w:rPr>
        <w:t xml:space="preserve"> 100. For connectivity-based subgroup comparisons, a series of </w:t>
      </w:r>
      <w:r>
        <w:rPr>
          <w:rFonts w:ascii="Cambria" w:hAnsi="Cambria" w:cs="Arial"/>
          <w:i/>
          <w:iCs/>
          <w:color w:val="222222"/>
          <w:shd w:val="clear" w:color="auto" w:fill="FFFFFF"/>
        </w:rPr>
        <w:t>t</w:t>
      </w:r>
      <w:r>
        <w:rPr>
          <w:rFonts w:ascii="Cambria" w:hAnsi="Cambria" w:cs="Arial"/>
          <w:color w:val="222222"/>
          <w:shd w:val="clear" w:color="auto" w:fill="FFFFFF"/>
        </w:rPr>
        <w:t>-tests were conducted (</w:t>
      </w:r>
      <w:r>
        <w:rPr>
          <w:rFonts w:ascii="Cambria" w:hAnsi="Cambria" w:cs="Arial"/>
          <w:i/>
          <w:iCs/>
          <w:color w:val="222222"/>
          <w:shd w:val="clear" w:color="auto" w:fill="FFFFFF"/>
        </w:rPr>
        <w:t>n</w:t>
      </w:r>
      <w:r>
        <w:rPr>
          <w:rFonts w:ascii="Cambria" w:hAnsi="Cambria" w:cs="Arial"/>
          <w:color w:val="222222"/>
          <w:shd w:val="clear" w:color="auto" w:fill="FFFFFF"/>
        </w:rPr>
        <w:t xml:space="preserve"> = 87 regions tested). Due to the exploratory nature of this analysis and for hypothesis generation, </w:t>
      </w:r>
      <w:r>
        <w:rPr>
          <w:rFonts w:ascii="Cambria" w:hAnsi="Cambria" w:cs="Arial"/>
          <w:i/>
          <w:iCs/>
          <w:color w:val="222222"/>
          <w:shd w:val="clear" w:color="auto" w:fill="FFFFFF"/>
        </w:rPr>
        <w:t>p</w:t>
      </w:r>
      <w:r>
        <w:rPr>
          <w:rFonts w:ascii="Cambria" w:hAnsi="Cambria" w:cs="Arial"/>
          <w:color w:val="222222"/>
          <w:shd w:val="clear" w:color="auto" w:fill="FFFFFF"/>
        </w:rPr>
        <w:t xml:space="preserve">-values were not corrected for multiple comparisons. </w:t>
      </w:r>
    </w:p>
    <w:p w14:paraId="3BB3A6CC" w14:textId="600BEEC1" w:rsidR="00AA22A4" w:rsidRPr="00AA22A4" w:rsidRDefault="00AA22A4" w:rsidP="00AA22A4">
      <w:pPr>
        <w:spacing w:line="480" w:lineRule="auto"/>
        <w:rPr>
          <w:rFonts w:ascii="Cambria" w:eastAsia="Times New Roman" w:hAnsi="Cambria" w:cs="Times New Roman"/>
        </w:rPr>
      </w:pPr>
      <w:r>
        <w:rPr>
          <w:rFonts w:ascii="Cambria" w:hAnsi="Cambria" w:cs="Arial"/>
          <w:color w:val="222222"/>
          <w:shd w:val="clear" w:color="auto" w:fill="FFFFFF"/>
        </w:rPr>
        <w:tab/>
        <w:t xml:space="preserve">We found connectivity subgroup brain-region volume differences in five regions, encompassing the dorsal and medial prefrontal cortex (see </w:t>
      </w:r>
      <w:r w:rsidRPr="00AA22A4">
        <w:rPr>
          <w:rFonts w:ascii="Cambria" w:hAnsi="Cambria" w:cs="Arial"/>
          <w:b/>
          <w:bCs/>
          <w:color w:val="222222"/>
          <w:shd w:val="clear" w:color="auto" w:fill="FFFFFF"/>
        </w:rPr>
        <w:t xml:space="preserve">Supplementary Table </w:t>
      </w:r>
      <w:r w:rsidR="00C64752">
        <w:rPr>
          <w:rFonts w:ascii="Cambria" w:hAnsi="Cambria" w:cs="Arial"/>
          <w:b/>
          <w:bCs/>
          <w:color w:val="222222"/>
          <w:shd w:val="clear" w:color="auto" w:fill="FFFFFF"/>
        </w:rPr>
        <w:t>2</w:t>
      </w:r>
      <w:r>
        <w:rPr>
          <w:rFonts w:ascii="Cambria" w:hAnsi="Cambria" w:cs="Arial"/>
          <w:color w:val="222222"/>
          <w:shd w:val="clear" w:color="auto" w:fill="FFFFFF"/>
        </w:rPr>
        <w:t xml:space="preserve">). </w:t>
      </w:r>
      <w:r>
        <w:rPr>
          <w:rFonts w:ascii="Cambria" w:hAnsi="Cambria" w:cs="Arial"/>
          <w:color w:val="222222"/>
          <w:shd w:val="clear" w:color="auto" w:fill="FFFFFF"/>
        </w:rPr>
        <w:lastRenderedPageBreak/>
        <w:t>Future research will be require</w:t>
      </w:r>
      <w:r w:rsidR="005317AE">
        <w:rPr>
          <w:rFonts w:ascii="Cambria" w:hAnsi="Cambria" w:cs="Arial"/>
          <w:color w:val="222222"/>
          <w:shd w:val="clear" w:color="auto" w:fill="FFFFFF"/>
        </w:rPr>
        <w:t>d</w:t>
      </w:r>
      <w:r>
        <w:rPr>
          <w:rFonts w:ascii="Cambria" w:hAnsi="Cambria" w:cs="Arial"/>
          <w:color w:val="222222"/>
          <w:shd w:val="clear" w:color="auto" w:fill="FFFFFF"/>
        </w:rPr>
        <w:t xml:space="preserve"> to further examine the implications of these regions in comorbid PTSD/AUD.  </w:t>
      </w:r>
    </w:p>
    <w:p w14:paraId="725AD3B6" w14:textId="2178E9BA" w:rsidR="006624F5" w:rsidRDefault="006624F5" w:rsidP="00B85B00"/>
    <w:tbl>
      <w:tblPr>
        <w:tblStyle w:val="TableGrid"/>
        <w:tblpPr w:leftFromText="180" w:rightFromText="180" w:vertAnchor="page" w:horzAnchor="margin" w:tblpY="2964"/>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335"/>
        <w:gridCol w:w="2160"/>
        <w:gridCol w:w="2520"/>
        <w:gridCol w:w="1260"/>
        <w:gridCol w:w="1075"/>
      </w:tblGrid>
      <w:tr w:rsidR="005E10CB" w14:paraId="7746C4BF" w14:textId="77777777" w:rsidTr="005E10CB">
        <w:tc>
          <w:tcPr>
            <w:tcW w:w="9350" w:type="dxa"/>
            <w:gridSpan w:val="5"/>
            <w:tcBorders>
              <w:bottom w:val="single" w:sz="4" w:space="0" w:color="auto"/>
            </w:tcBorders>
          </w:tcPr>
          <w:p w14:paraId="5F952203" w14:textId="77777777" w:rsidR="005E10CB" w:rsidRPr="0015277C" w:rsidRDefault="005E10CB" w:rsidP="005E10CB">
            <w:pPr>
              <w:ind w:hanging="108"/>
              <w:rPr>
                <w:b/>
                <w:bCs/>
              </w:rPr>
            </w:pPr>
            <w:r w:rsidRPr="0015277C">
              <w:rPr>
                <w:b/>
                <w:bCs/>
              </w:rPr>
              <w:t>Supplementary Table</w:t>
            </w:r>
            <w:r>
              <w:rPr>
                <w:b/>
                <w:bCs/>
              </w:rPr>
              <w:t xml:space="preserve"> 2</w:t>
            </w:r>
            <w:r w:rsidRPr="0015277C">
              <w:rPr>
                <w:b/>
                <w:bCs/>
              </w:rPr>
              <w:t>. Significant Subgroup Volumetric (normalized) Differences</w:t>
            </w:r>
          </w:p>
        </w:tc>
      </w:tr>
      <w:tr w:rsidR="005E10CB" w14:paraId="788FC329" w14:textId="77777777" w:rsidTr="005E10CB">
        <w:tc>
          <w:tcPr>
            <w:tcW w:w="2335" w:type="dxa"/>
            <w:tcBorders>
              <w:top w:val="single" w:sz="4" w:space="0" w:color="auto"/>
              <w:bottom w:val="single" w:sz="4" w:space="0" w:color="auto"/>
            </w:tcBorders>
            <w:shd w:val="clear" w:color="auto" w:fill="D9D9D9" w:themeFill="background1" w:themeFillShade="D9"/>
          </w:tcPr>
          <w:p w14:paraId="70F6D6A9" w14:textId="77777777" w:rsidR="005E10CB" w:rsidRPr="0015277C" w:rsidRDefault="005E10CB" w:rsidP="005E10CB">
            <w:pPr>
              <w:rPr>
                <w:b/>
                <w:bCs/>
              </w:rPr>
            </w:pPr>
            <w:r w:rsidRPr="0015277C">
              <w:rPr>
                <w:b/>
                <w:bCs/>
              </w:rPr>
              <w:t>Region</w:t>
            </w:r>
          </w:p>
        </w:tc>
        <w:tc>
          <w:tcPr>
            <w:tcW w:w="2160" w:type="dxa"/>
            <w:tcBorders>
              <w:top w:val="single" w:sz="4" w:space="0" w:color="auto"/>
              <w:bottom w:val="single" w:sz="4" w:space="0" w:color="auto"/>
            </w:tcBorders>
            <w:shd w:val="clear" w:color="auto" w:fill="D9D9D9" w:themeFill="background1" w:themeFillShade="D9"/>
          </w:tcPr>
          <w:p w14:paraId="4895F43A" w14:textId="77777777" w:rsidR="005E10CB" w:rsidRPr="0015277C" w:rsidRDefault="005E10CB" w:rsidP="005E10CB">
            <w:pPr>
              <w:jc w:val="center"/>
              <w:rPr>
                <w:b/>
                <w:bCs/>
              </w:rPr>
            </w:pPr>
            <w:r w:rsidRPr="0015277C">
              <w:rPr>
                <w:b/>
                <w:bCs/>
              </w:rPr>
              <w:t>Subgroup 1 volume</w:t>
            </w:r>
          </w:p>
        </w:tc>
        <w:tc>
          <w:tcPr>
            <w:tcW w:w="2520" w:type="dxa"/>
            <w:tcBorders>
              <w:top w:val="single" w:sz="4" w:space="0" w:color="auto"/>
              <w:bottom w:val="single" w:sz="4" w:space="0" w:color="auto"/>
            </w:tcBorders>
            <w:shd w:val="clear" w:color="auto" w:fill="D9D9D9" w:themeFill="background1" w:themeFillShade="D9"/>
          </w:tcPr>
          <w:p w14:paraId="3BC71F06" w14:textId="77777777" w:rsidR="005E10CB" w:rsidRPr="0015277C" w:rsidRDefault="005E10CB" w:rsidP="005E10CB">
            <w:pPr>
              <w:jc w:val="center"/>
              <w:rPr>
                <w:b/>
                <w:bCs/>
              </w:rPr>
            </w:pPr>
            <w:r w:rsidRPr="0015277C">
              <w:rPr>
                <w:b/>
                <w:bCs/>
              </w:rPr>
              <w:t>Subgroup 2 volume</w:t>
            </w:r>
          </w:p>
        </w:tc>
        <w:tc>
          <w:tcPr>
            <w:tcW w:w="1260" w:type="dxa"/>
            <w:tcBorders>
              <w:top w:val="single" w:sz="4" w:space="0" w:color="auto"/>
              <w:bottom w:val="single" w:sz="4" w:space="0" w:color="auto"/>
            </w:tcBorders>
            <w:shd w:val="clear" w:color="auto" w:fill="D9D9D9" w:themeFill="background1" w:themeFillShade="D9"/>
          </w:tcPr>
          <w:p w14:paraId="60FE0DBB" w14:textId="77777777" w:rsidR="005E10CB" w:rsidRPr="0015277C" w:rsidRDefault="005E10CB" w:rsidP="005E10CB">
            <w:pPr>
              <w:jc w:val="center"/>
              <w:rPr>
                <w:b/>
                <w:bCs/>
              </w:rPr>
            </w:pPr>
            <w:r w:rsidRPr="0015277C">
              <w:rPr>
                <w:b/>
                <w:bCs/>
              </w:rPr>
              <w:t>t-value</w:t>
            </w:r>
          </w:p>
        </w:tc>
        <w:tc>
          <w:tcPr>
            <w:tcW w:w="1075" w:type="dxa"/>
            <w:tcBorders>
              <w:top w:val="single" w:sz="4" w:space="0" w:color="auto"/>
              <w:bottom w:val="single" w:sz="4" w:space="0" w:color="auto"/>
            </w:tcBorders>
            <w:shd w:val="clear" w:color="auto" w:fill="D9D9D9" w:themeFill="background1" w:themeFillShade="D9"/>
          </w:tcPr>
          <w:p w14:paraId="0D61B600" w14:textId="77777777" w:rsidR="005E10CB" w:rsidRPr="0015277C" w:rsidRDefault="005E10CB" w:rsidP="005E10CB">
            <w:pPr>
              <w:jc w:val="center"/>
              <w:rPr>
                <w:b/>
                <w:bCs/>
              </w:rPr>
            </w:pPr>
            <w:r w:rsidRPr="0015277C">
              <w:rPr>
                <w:b/>
                <w:bCs/>
              </w:rPr>
              <w:t>p-value</w:t>
            </w:r>
          </w:p>
        </w:tc>
      </w:tr>
      <w:tr w:rsidR="005E10CB" w14:paraId="0A9BF6E7" w14:textId="77777777" w:rsidTr="005E10CB">
        <w:tc>
          <w:tcPr>
            <w:tcW w:w="2335" w:type="dxa"/>
            <w:tcBorders>
              <w:top w:val="single" w:sz="4" w:space="0" w:color="auto"/>
            </w:tcBorders>
          </w:tcPr>
          <w:p w14:paraId="3E3EFFB2" w14:textId="77777777" w:rsidR="005E10CB" w:rsidRPr="0015277C" w:rsidRDefault="005E10CB" w:rsidP="005E10CB">
            <w:pPr>
              <w:ind w:firstLine="162"/>
            </w:pPr>
            <w:r w:rsidRPr="0015277C">
              <w:t>R Frontal pole</w:t>
            </w:r>
          </w:p>
        </w:tc>
        <w:tc>
          <w:tcPr>
            <w:tcW w:w="2160" w:type="dxa"/>
            <w:tcBorders>
              <w:top w:val="single" w:sz="4" w:space="0" w:color="auto"/>
            </w:tcBorders>
          </w:tcPr>
          <w:p w14:paraId="11E416A0" w14:textId="77777777" w:rsidR="005E10CB" w:rsidRPr="0015277C" w:rsidRDefault="005E10CB" w:rsidP="005E10CB">
            <w:pPr>
              <w:jc w:val="center"/>
            </w:pPr>
            <w:r w:rsidRPr="0015277C">
              <w:t>0.066</w:t>
            </w:r>
          </w:p>
        </w:tc>
        <w:tc>
          <w:tcPr>
            <w:tcW w:w="2520" w:type="dxa"/>
            <w:tcBorders>
              <w:top w:val="single" w:sz="4" w:space="0" w:color="auto"/>
            </w:tcBorders>
          </w:tcPr>
          <w:p w14:paraId="7644AC1F" w14:textId="77777777" w:rsidR="005E10CB" w:rsidRPr="0015277C" w:rsidRDefault="005E10CB" w:rsidP="005E10CB">
            <w:pPr>
              <w:jc w:val="center"/>
            </w:pPr>
            <w:r w:rsidRPr="0015277C">
              <w:t>0.074</w:t>
            </w:r>
          </w:p>
        </w:tc>
        <w:tc>
          <w:tcPr>
            <w:tcW w:w="1260" w:type="dxa"/>
            <w:tcBorders>
              <w:top w:val="single" w:sz="4" w:space="0" w:color="auto"/>
            </w:tcBorders>
          </w:tcPr>
          <w:p w14:paraId="438C23B6" w14:textId="77777777" w:rsidR="005E10CB" w:rsidRPr="0015277C" w:rsidRDefault="005E10CB" w:rsidP="005E10CB">
            <w:pPr>
              <w:jc w:val="center"/>
            </w:pPr>
            <w:r w:rsidRPr="0015277C">
              <w:t>-3.11</w:t>
            </w:r>
          </w:p>
        </w:tc>
        <w:tc>
          <w:tcPr>
            <w:tcW w:w="1075" w:type="dxa"/>
            <w:tcBorders>
              <w:top w:val="single" w:sz="4" w:space="0" w:color="auto"/>
            </w:tcBorders>
          </w:tcPr>
          <w:p w14:paraId="7242E018" w14:textId="77777777" w:rsidR="005E10CB" w:rsidRPr="0015277C" w:rsidRDefault="005E10CB" w:rsidP="005E10CB">
            <w:pPr>
              <w:jc w:val="center"/>
            </w:pPr>
            <w:r w:rsidRPr="0015277C">
              <w:t>.003</w:t>
            </w:r>
          </w:p>
        </w:tc>
      </w:tr>
      <w:tr w:rsidR="005E10CB" w14:paraId="56B9D31F" w14:textId="77777777" w:rsidTr="005E10CB">
        <w:tc>
          <w:tcPr>
            <w:tcW w:w="2335" w:type="dxa"/>
          </w:tcPr>
          <w:p w14:paraId="1C5BAAE7" w14:textId="77777777" w:rsidR="005E10CB" w:rsidRPr="0015277C" w:rsidRDefault="005E10CB" w:rsidP="005E10CB">
            <w:pPr>
              <w:ind w:firstLine="162"/>
            </w:pPr>
            <w:r w:rsidRPr="0015277C">
              <w:t>L Isthmus cingulate</w:t>
            </w:r>
          </w:p>
        </w:tc>
        <w:tc>
          <w:tcPr>
            <w:tcW w:w="2160" w:type="dxa"/>
          </w:tcPr>
          <w:p w14:paraId="03B80F20" w14:textId="77777777" w:rsidR="005E10CB" w:rsidRPr="0015277C" w:rsidRDefault="005E10CB" w:rsidP="005E10CB">
            <w:pPr>
              <w:jc w:val="center"/>
            </w:pPr>
            <w:r w:rsidRPr="0015277C">
              <w:t>0.155</w:t>
            </w:r>
          </w:p>
        </w:tc>
        <w:tc>
          <w:tcPr>
            <w:tcW w:w="2520" w:type="dxa"/>
          </w:tcPr>
          <w:p w14:paraId="472902BC" w14:textId="77777777" w:rsidR="005E10CB" w:rsidRPr="0015277C" w:rsidRDefault="005E10CB" w:rsidP="005E10CB">
            <w:pPr>
              <w:jc w:val="center"/>
            </w:pPr>
            <w:r w:rsidRPr="0015277C">
              <w:t>0.168</w:t>
            </w:r>
          </w:p>
        </w:tc>
        <w:tc>
          <w:tcPr>
            <w:tcW w:w="1260" w:type="dxa"/>
          </w:tcPr>
          <w:p w14:paraId="0B5AC469" w14:textId="77777777" w:rsidR="005E10CB" w:rsidRPr="0015277C" w:rsidRDefault="005E10CB" w:rsidP="005E10CB">
            <w:pPr>
              <w:jc w:val="center"/>
            </w:pPr>
            <w:r w:rsidRPr="0015277C">
              <w:t>-2.13</w:t>
            </w:r>
          </w:p>
        </w:tc>
        <w:tc>
          <w:tcPr>
            <w:tcW w:w="1075" w:type="dxa"/>
          </w:tcPr>
          <w:p w14:paraId="342DA904" w14:textId="77777777" w:rsidR="005E10CB" w:rsidRPr="0015277C" w:rsidRDefault="005E10CB" w:rsidP="005E10CB">
            <w:pPr>
              <w:jc w:val="center"/>
            </w:pPr>
            <w:r w:rsidRPr="0015277C">
              <w:t>.04</w:t>
            </w:r>
          </w:p>
        </w:tc>
      </w:tr>
      <w:tr w:rsidR="005E10CB" w14:paraId="1A154CEA" w14:textId="77777777" w:rsidTr="005E10CB">
        <w:tc>
          <w:tcPr>
            <w:tcW w:w="2335" w:type="dxa"/>
          </w:tcPr>
          <w:p w14:paraId="31E52FD8" w14:textId="77777777" w:rsidR="005E10CB" w:rsidRPr="0015277C" w:rsidRDefault="005E10CB" w:rsidP="005E10CB">
            <w:pPr>
              <w:ind w:firstLine="162"/>
            </w:pPr>
            <w:r w:rsidRPr="0015277C">
              <w:t>R pars orbitalis</w:t>
            </w:r>
          </w:p>
        </w:tc>
        <w:tc>
          <w:tcPr>
            <w:tcW w:w="2160" w:type="dxa"/>
          </w:tcPr>
          <w:p w14:paraId="4069344E" w14:textId="77777777" w:rsidR="005E10CB" w:rsidRPr="0015277C" w:rsidRDefault="005E10CB" w:rsidP="005E10CB">
            <w:pPr>
              <w:jc w:val="center"/>
            </w:pPr>
            <w:r w:rsidRPr="0015277C">
              <w:t>0.166</w:t>
            </w:r>
          </w:p>
        </w:tc>
        <w:tc>
          <w:tcPr>
            <w:tcW w:w="2520" w:type="dxa"/>
          </w:tcPr>
          <w:p w14:paraId="1F086F14" w14:textId="77777777" w:rsidR="005E10CB" w:rsidRPr="0015277C" w:rsidRDefault="005E10CB" w:rsidP="005E10CB">
            <w:pPr>
              <w:jc w:val="center"/>
            </w:pPr>
            <w:r w:rsidRPr="0015277C">
              <w:t>0.179</w:t>
            </w:r>
          </w:p>
        </w:tc>
        <w:tc>
          <w:tcPr>
            <w:tcW w:w="1260" w:type="dxa"/>
          </w:tcPr>
          <w:p w14:paraId="219A0478" w14:textId="77777777" w:rsidR="005E10CB" w:rsidRPr="0015277C" w:rsidRDefault="005E10CB" w:rsidP="005E10CB">
            <w:pPr>
              <w:jc w:val="center"/>
            </w:pPr>
            <w:r w:rsidRPr="0015277C">
              <w:t>-2.10</w:t>
            </w:r>
          </w:p>
        </w:tc>
        <w:tc>
          <w:tcPr>
            <w:tcW w:w="1075" w:type="dxa"/>
          </w:tcPr>
          <w:p w14:paraId="2CAA3DE5" w14:textId="77777777" w:rsidR="005E10CB" w:rsidRPr="0015277C" w:rsidRDefault="005E10CB" w:rsidP="005E10CB">
            <w:pPr>
              <w:jc w:val="center"/>
            </w:pPr>
            <w:r w:rsidRPr="0015277C">
              <w:t>.041</w:t>
            </w:r>
          </w:p>
        </w:tc>
      </w:tr>
      <w:tr w:rsidR="005E10CB" w14:paraId="55ECB81D" w14:textId="77777777" w:rsidTr="005E10CB">
        <w:tc>
          <w:tcPr>
            <w:tcW w:w="2335" w:type="dxa"/>
            <w:tcBorders>
              <w:bottom w:val="nil"/>
            </w:tcBorders>
          </w:tcPr>
          <w:p w14:paraId="3E3474DD" w14:textId="77777777" w:rsidR="005E10CB" w:rsidRPr="0015277C" w:rsidRDefault="005E10CB" w:rsidP="005E10CB">
            <w:pPr>
              <w:ind w:firstLine="162"/>
            </w:pPr>
            <w:r w:rsidRPr="0015277C">
              <w:t>L Superior frontal</w:t>
            </w:r>
          </w:p>
        </w:tc>
        <w:tc>
          <w:tcPr>
            <w:tcW w:w="2160" w:type="dxa"/>
            <w:tcBorders>
              <w:bottom w:val="nil"/>
            </w:tcBorders>
          </w:tcPr>
          <w:p w14:paraId="7D74238A" w14:textId="77777777" w:rsidR="005E10CB" w:rsidRPr="0015277C" w:rsidRDefault="005E10CB" w:rsidP="005E10CB">
            <w:pPr>
              <w:jc w:val="center"/>
            </w:pPr>
            <w:r w:rsidRPr="0015277C">
              <w:t>1.35</w:t>
            </w:r>
          </w:p>
        </w:tc>
        <w:tc>
          <w:tcPr>
            <w:tcW w:w="2520" w:type="dxa"/>
            <w:tcBorders>
              <w:bottom w:val="nil"/>
            </w:tcBorders>
          </w:tcPr>
          <w:p w14:paraId="6B845C7E" w14:textId="77777777" w:rsidR="005E10CB" w:rsidRPr="0015277C" w:rsidRDefault="005E10CB" w:rsidP="005E10CB">
            <w:pPr>
              <w:jc w:val="center"/>
            </w:pPr>
            <w:r w:rsidRPr="0015277C">
              <w:t>1.26</w:t>
            </w:r>
          </w:p>
        </w:tc>
        <w:tc>
          <w:tcPr>
            <w:tcW w:w="1260" w:type="dxa"/>
            <w:tcBorders>
              <w:bottom w:val="nil"/>
            </w:tcBorders>
          </w:tcPr>
          <w:p w14:paraId="4FDD3540" w14:textId="77777777" w:rsidR="005E10CB" w:rsidRPr="0015277C" w:rsidRDefault="005E10CB" w:rsidP="005E10CB">
            <w:pPr>
              <w:jc w:val="center"/>
            </w:pPr>
            <w:r w:rsidRPr="0015277C">
              <w:t>2.00</w:t>
            </w:r>
          </w:p>
        </w:tc>
        <w:tc>
          <w:tcPr>
            <w:tcW w:w="1075" w:type="dxa"/>
            <w:tcBorders>
              <w:bottom w:val="nil"/>
            </w:tcBorders>
          </w:tcPr>
          <w:p w14:paraId="7450AC3E" w14:textId="77777777" w:rsidR="005E10CB" w:rsidRPr="0015277C" w:rsidRDefault="005E10CB" w:rsidP="005E10CB">
            <w:pPr>
              <w:jc w:val="center"/>
            </w:pPr>
            <w:r w:rsidRPr="0015277C">
              <w:t>.05</w:t>
            </w:r>
          </w:p>
        </w:tc>
      </w:tr>
      <w:tr w:rsidR="005E10CB" w14:paraId="314B2ADD" w14:textId="77777777" w:rsidTr="005E10CB">
        <w:tc>
          <w:tcPr>
            <w:tcW w:w="2335" w:type="dxa"/>
            <w:tcBorders>
              <w:bottom w:val="single" w:sz="4" w:space="0" w:color="auto"/>
            </w:tcBorders>
          </w:tcPr>
          <w:p w14:paraId="75601875" w14:textId="77777777" w:rsidR="005E10CB" w:rsidRPr="0015277C" w:rsidRDefault="005E10CB" w:rsidP="005E10CB">
            <w:pPr>
              <w:ind w:firstLine="162"/>
            </w:pPr>
            <w:r w:rsidRPr="0015277C">
              <w:t>R Accumbens area</w:t>
            </w:r>
          </w:p>
        </w:tc>
        <w:tc>
          <w:tcPr>
            <w:tcW w:w="2160" w:type="dxa"/>
            <w:tcBorders>
              <w:bottom w:val="single" w:sz="4" w:space="0" w:color="auto"/>
            </w:tcBorders>
          </w:tcPr>
          <w:p w14:paraId="02973E3D" w14:textId="77777777" w:rsidR="005E10CB" w:rsidRPr="0015277C" w:rsidRDefault="005E10CB" w:rsidP="005E10CB">
            <w:pPr>
              <w:jc w:val="center"/>
            </w:pPr>
            <w:r w:rsidRPr="0015277C">
              <w:t>0.032</w:t>
            </w:r>
          </w:p>
        </w:tc>
        <w:tc>
          <w:tcPr>
            <w:tcW w:w="2520" w:type="dxa"/>
            <w:tcBorders>
              <w:bottom w:val="single" w:sz="4" w:space="0" w:color="auto"/>
            </w:tcBorders>
          </w:tcPr>
          <w:p w14:paraId="7F3B55D7" w14:textId="77777777" w:rsidR="005E10CB" w:rsidRPr="0015277C" w:rsidRDefault="005E10CB" w:rsidP="005E10CB">
            <w:pPr>
              <w:jc w:val="center"/>
            </w:pPr>
            <w:r w:rsidRPr="0015277C">
              <w:t>0.035</w:t>
            </w:r>
          </w:p>
        </w:tc>
        <w:tc>
          <w:tcPr>
            <w:tcW w:w="1260" w:type="dxa"/>
            <w:tcBorders>
              <w:bottom w:val="single" w:sz="4" w:space="0" w:color="auto"/>
            </w:tcBorders>
          </w:tcPr>
          <w:p w14:paraId="22591557" w14:textId="77777777" w:rsidR="005E10CB" w:rsidRPr="0015277C" w:rsidRDefault="005E10CB" w:rsidP="005E10CB">
            <w:pPr>
              <w:jc w:val="center"/>
            </w:pPr>
            <w:r w:rsidRPr="0015277C">
              <w:t>-1.83</w:t>
            </w:r>
          </w:p>
        </w:tc>
        <w:tc>
          <w:tcPr>
            <w:tcW w:w="1075" w:type="dxa"/>
            <w:tcBorders>
              <w:bottom w:val="single" w:sz="4" w:space="0" w:color="auto"/>
            </w:tcBorders>
          </w:tcPr>
          <w:p w14:paraId="4E947B4D" w14:textId="77777777" w:rsidR="005E10CB" w:rsidRPr="0015277C" w:rsidRDefault="005E10CB" w:rsidP="005E10CB">
            <w:pPr>
              <w:jc w:val="center"/>
            </w:pPr>
            <w:r w:rsidRPr="0015277C">
              <w:t>.07</w:t>
            </w:r>
          </w:p>
        </w:tc>
      </w:tr>
      <w:tr w:rsidR="005E10CB" w14:paraId="5624A917" w14:textId="77777777" w:rsidTr="005E10CB">
        <w:tc>
          <w:tcPr>
            <w:tcW w:w="9350" w:type="dxa"/>
            <w:gridSpan w:val="5"/>
            <w:tcBorders>
              <w:top w:val="single" w:sz="4" w:space="0" w:color="auto"/>
            </w:tcBorders>
          </w:tcPr>
          <w:p w14:paraId="2BB83DB9" w14:textId="77777777" w:rsidR="005E10CB" w:rsidRPr="00583119" w:rsidRDefault="005E10CB" w:rsidP="005E10CB">
            <w:pPr>
              <w:rPr>
                <w:rFonts w:ascii="Times New Roman" w:eastAsia="Times New Roman" w:hAnsi="Times New Roman" w:cs="Times New Roman"/>
                <w:sz w:val="20"/>
                <w:szCs w:val="20"/>
              </w:rPr>
            </w:pPr>
            <w:r w:rsidRPr="00583119">
              <w:rPr>
                <w:rFonts w:ascii="Calibri" w:hAnsi="Calibri"/>
                <w:i/>
                <w:iCs/>
                <w:sz w:val="20"/>
                <w:szCs w:val="20"/>
              </w:rPr>
              <w:t>Note</w:t>
            </w:r>
            <w:r w:rsidRPr="00583119">
              <w:rPr>
                <w:rFonts w:ascii="Calibri" w:hAnsi="Calibri"/>
                <w:sz w:val="20"/>
                <w:szCs w:val="20"/>
              </w:rPr>
              <w:t xml:space="preserve">. Results are from Freesurfer segmentation of cortical and subcortical </w:t>
            </w:r>
            <w:r w:rsidRPr="00583119">
              <w:rPr>
                <w:rFonts w:ascii="Calibri" w:hAnsi="Calibri" w:cs="Arial"/>
                <w:color w:val="222222"/>
                <w:sz w:val="20"/>
                <w:szCs w:val="20"/>
                <w:shd w:val="clear" w:color="auto" w:fill="FFFFFF"/>
              </w:rPr>
              <w:t>Desikan/</w:t>
            </w:r>
            <w:proofErr w:type="spellStart"/>
            <w:r w:rsidRPr="00583119">
              <w:rPr>
                <w:rFonts w:ascii="Calibri" w:hAnsi="Calibri" w:cs="Arial"/>
                <w:color w:val="222222"/>
                <w:sz w:val="20"/>
                <w:szCs w:val="20"/>
                <w:shd w:val="clear" w:color="auto" w:fill="FFFFFF"/>
              </w:rPr>
              <w:t>Killiany</w:t>
            </w:r>
            <w:proofErr w:type="spellEnd"/>
            <w:r w:rsidRPr="00583119">
              <w:rPr>
                <w:rFonts w:ascii="Calibri" w:hAnsi="Calibri" w:cs="Arial"/>
                <w:color w:val="222222"/>
                <w:sz w:val="20"/>
                <w:szCs w:val="20"/>
                <w:shd w:val="clear" w:color="auto" w:fill="FFFFFF"/>
              </w:rPr>
              <w:t xml:space="preserve"> atlas. Volume mm</w:t>
            </w:r>
            <w:r w:rsidRPr="00583119">
              <w:rPr>
                <w:rFonts w:ascii="Calibri" w:hAnsi="Calibri" w:cs="Arial"/>
                <w:color w:val="222222"/>
                <w:sz w:val="20"/>
                <w:szCs w:val="20"/>
                <w:shd w:val="clear" w:color="auto" w:fill="FFFFFF"/>
                <w:vertAlign w:val="superscript"/>
              </w:rPr>
              <w:t>3</w:t>
            </w:r>
            <w:r w:rsidRPr="00583119">
              <w:rPr>
                <w:rFonts w:ascii="Calibri" w:hAnsi="Calibri" w:cs="Arial"/>
                <w:color w:val="222222"/>
                <w:sz w:val="20"/>
                <w:szCs w:val="20"/>
                <w:shd w:val="clear" w:color="auto" w:fill="FFFFFF"/>
              </w:rPr>
              <w:t xml:space="preserve"> was normalized to intracranial volume: (</w:t>
            </w:r>
            <w:r w:rsidRPr="00583119">
              <w:rPr>
                <w:rFonts w:ascii="Calibri" w:eastAsia="Times New Roman" w:hAnsi="Calibri" w:cs="Times New Roman"/>
                <w:color w:val="201F1E"/>
                <w:sz w:val="20"/>
                <w:szCs w:val="20"/>
                <w:shd w:val="clear" w:color="auto" w:fill="FFFFFF"/>
              </w:rPr>
              <w:t>brain region/ICV)*100</w:t>
            </w:r>
            <w:r w:rsidRPr="00583119">
              <w:rPr>
                <w:rFonts w:ascii="Calibri" w:hAnsi="Calibri" w:cs="Arial"/>
                <w:color w:val="222222"/>
                <w:sz w:val="20"/>
                <w:szCs w:val="20"/>
                <w:shd w:val="clear" w:color="auto" w:fill="FFFFFF"/>
              </w:rPr>
              <w:t>. P-values are reported as uncorrected. No region survived correction for multiple comparisons (N</w:t>
            </w:r>
            <w:r w:rsidRPr="00583119">
              <w:rPr>
                <w:rFonts w:ascii="Calibri" w:hAnsi="Calibri" w:cs="Arial"/>
                <w:color w:val="222222"/>
                <w:sz w:val="20"/>
                <w:szCs w:val="20"/>
                <w:shd w:val="clear" w:color="auto" w:fill="FFFFFF"/>
                <w:vertAlign w:val="subscript"/>
              </w:rPr>
              <w:t>regions</w:t>
            </w:r>
            <w:r w:rsidRPr="00583119">
              <w:rPr>
                <w:rFonts w:ascii="Calibri" w:hAnsi="Calibri" w:cs="Arial"/>
                <w:color w:val="222222"/>
                <w:sz w:val="20"/>
                <w:szCs w:val="20"/>
                <w:shd w:val="clear" w:color="auto" w:fill="FFFFFF"/>
              </w:rPr>
              <w:t xml:space="preserve"> = 87).</w:t>
            </w:r>
            <w:r>
              <w:rPr>
                <w:rFonts w:ascii="Calibri" w:hAnsi="Calibri" w:cs="Arial"/>
                <w:color w:val="222222"/>
                <w:sz w:val="20"/>
                <w:szCs w:val="20"/>
                <w:shd w:val="clear" w:color="auto" w:fill="FFFFFF"/>
              </w:rPr>
              <w:t xml:space="preserve"> </w:t>
            </w:r>
          </w:p>
        </w:tc>
      </w:tr>
    </w:tbl>
    <w:p w14:paraId="397F4E5C" w14:textId="63EDFB22" w:rsidR="006624F5" w:rsidRDefault="006624F5" w:rsidP="00B85B00"/>
    <w:p w14:paraId="3BC82DC7" w14:textId="099110C0" w:rsidR="006624F5" w:rsidRDefault="006624F5" w:rsidP="00B85B00"/>
    <w:p w14:paraId="1D3C46FB" w14:textId="2C7BCBA0" w:rsidR="006624F5" w:rsidRDefault="006624F5" w:rsidP="00B85B00"/>
    <w:p w14:paraId="243F74B2" w14:textId="316C93A7" w:rsidR="006624F5" w:rsidRDefault="006624F5" w:rsidP="00B85B00"/>
    <w:p w14:paraId="2D692FFB" w14:textId="37628082" w:rsidR="006624F5" w:rsidRDefault="006624F5" w:rsidP="00B85B00"/>
    <w:p w14:paraId="58E8CA46" w14:textId="75A4D178" w:rsidR="006624F5" w:rsidRDefault="006624F5" w:rsidP="00B85B00"/>
    <w:p w14:paraId="4F04D3F7" w14:textId="07448FD0" w:rsidR="006624F5" w:rsidRDefault="006624F5" w:rsidP="00B85B00"/>
    <w:p w14:paraId="6C4DD34F" w14:textId="00B0791C" w:rsidR="006624F5" w:rsidRDefault="006624F5" w:rsidP="00B85B00"/>
    <w:p w14:paraId="0D22E0F2" w14:textId="0E1C591E" w:rsidR="006624F5" w:rsidRDefault="006624F5" w:rsidP="00B85B00"/>
    <w:p w14:paraId="70939186" w14:textId="6842BE05" w:rsidR="006624F5" w:rsidRDefault="006624F5" w:rsidP="00B85B00"/>
    <w:p w14:paraId="6380C378" w14:textId="6F9EDDE4" w:rsidR="006624F5" w:rsidRDefault="006624F5" w:rsidP="00B85B00"/>
    <w:p w14:paraId="3CB376CE" w14:textId="4BE183CB" w:rsidR="00E63541" w:rsidRDefault="00E63541" w:rsidP="00B85B00"/>
    <w:p w14:paraId="2589DD1D" w14:textId="34F45742" w:rsidR="00E63541" w:rsidRDefault="00E63541" w:rsidP="00B85B00"/>
    <w:p w14:paraId="1CC461E2" w14:textId="34EBEBF3" w:rsidR="00E63541" w:rsidRDefault="00E63541" w:rsidP="00B85B00"/>
    <w:p w14:paraId="59C7A2BE" w14:textId="5ABB2837" w:rsidR="00E63541" w:rsidRDefault="00E63541" w:rsidP="00B85B00"/>
    <w:p w14:paraId="5902B3F9" w14:textId="57BF4A2C" w:rsidR="00E63541" w:rsidRDefault="00E63541" w:rsidP="00B85B00"/>
    <w:p w14:paraId="608D5758" w14:textId="295CB13F" w:rsidR="00E63541" w:rsidRDefault="00E63541" w:rsidP="00B85B00"/>
    <w:p w14:paraId="64089567" w14:textId="38587041" w:rsidR="00E63541" w:rsidRDefault="00E63541" w:rsidP="00B85B00"/>
    <w:p w14:paraId="33D72D4E" w14:textId="60F1CBF2" w:rsidR="00E63541" w:rsidRDefault="00E63541" w:rsidP="00B85B00"/>
    <w:p w14:paraId="3729EF1D" w14:textId="5EC6EA19" w:rsidR="00E63541" w:rsidRDefault="00E63541" w:rsidP="00B85B00"/>
    <w:p w14:paraId="100FB4A0" w14:textId="4591150C" w:rsidR="00E63541" w:rsidRDefault="00E63541" w:rsidP="00B85B00"/>
    <w:p w14:paraId="69E14CAA" w14:textId="034717C3" w:rsidR="00E63541" w:rsidRDefault="00E63541" w:rsidP="00B85B00"/>
    <w:p w14:paraId="59674CEF" w14:textId="1CEC2611" w:rsidR="00E63541" w:rsidRDefault="00E63541" w:rsidP="00B85B00"/>
    <w:p w14:paraId="2A7D16F2" w14:textId="1BE6014E" w:rsidR="00E63541" w:rsidRDefault="00E63541" w:rsidP="00B85B00"/>
    <w:p w14:paraId="61CCDA6F" w14:textId="0AE4D102" w:rsidR="00E63541" w:rsidRDefault="00E63541" w:rsidP="00B85B00"/>
    <w:p w14:paraId="0732F6CC" w14:textId="4932A502" w:rsidR="00E63541" w:rsidRDefault="00E63541" w:rsidP="00B85B00"/>
    <w:p w14:paraId="36F120B5" w14:textId="5B809792" w:rsidR="00E63541" w:rsidRDefault="00E63541" w:rsidP="00B85B00"/>
    <w:p w14:paraId="6F439161" w14:textId="0E2D322C" w:rsidR="00E63541" w:rsidRDefault="00E63541" w:rsidP="00B85B00"/>
    <w:p w14:paraId="0821E97C" w14:textId="1806FF6F" w:rsidR="006624F5" w:rsidRDefault="006624F5" w:rsidP="00B85B00"/>
    <w:p w14:paraId="5F820071" w14:textId="5A1A4C90" w:rsidR="006624F5" w:rsidRPr="005E10CB" w:rsidRDefault="006624F5" w:rsidP="006624F5">
      <w:pPr>
        <w:jc w:val="center"/>
        <w:rPr>
          <w:rFonts w:ascii="Cambria" w:hAnsi="Cambria"/>
          <w:b/>
          <w:bCs/>
        </w:rPr>
      </w:pPr>
      <w:r w:rsidRPr="005E10CB">
        <w:rPr>
          <w:rFonts w:ascii="Cambria" w:hAnsi="Cambria"/>
          <w:b/>
          <w:bCs/>
        </w:rPr>
        <w:lastRenderedPageBreak/>
        <w:t>SUPPLEMENTARY REFERENCES</w:t>
      </w:r>
    </w:p>
    <w:p w14:paraId="3DF822F4" w14:textId="7361C108" w:rsidR="006624F5" w:rsidRPr="005E10CB" w:rsidRDefault="006624F5" w:rsidP="006624F5">
      <w:pPr>
        <w:jc w:val="center"/>
        <w:rPr>
          <w:rFonts w:ascii="Cambria" w:hAnsi="Cambria"/>
        </w:rPr>
      </w:pPr>
    </w:p>
    <w:p w14:paraId="2F6934CB" w14:textId="0F390A6D" w:rsidR="002031FC" w:rsidRPr="005E10CB" w:rsidRDefault="002B353D" w:rsidP="002031FC">
      <w:pPr>
        <w:widowControl w:val="0"/>
        <w:autoSpaceDE w:val="0"/>
        <w:autoSpaceDN w:val="0"/>
        <w:adjustRightInd w:val="0"/>
        <w:spacing w:line="480" w:lineRule="auto"/>
        <w:ind w:left="480" w:hanging="480"/>
        <w:rPr>
          <w:rFonts w:ascii="Cambria" w:hAnsi="Cambria" w:cs="Times New Roman"/>
          <w:noProof/>
        </w:rPr>
      </w:pPr>
      <w:r w:rsidRPr="005E10CB">
        <w:rPr>
          <w:rFonts w:ascii="Cambria" w:hAnsi="Cambria"/>
        </w:rPr>
        <w:fldChar w:fldCharType="begin" w:fldLock="1"/>
      </w:r>
      <w:r w:rsidRPr="005E10CB">
        <w:rPr>
          <w:rFonts w:ascii="Cambria" w:hAnsi="Cambria"/>
        </w:rPr>
        <w:instrText xml:space="preserve">ADDIN Mendeley Bibliography CSL_BIBLIOGRAPHY </w:instrText>
      </w:r>
      <w:r w:rsidRPr="005E10CB">
        <w:rPr>
          <w:rFonts w:ascii="Cambria" w:hAnsi="Cambria"/>
        </w:rPr>
        <w:fldChar w:fldCharType="separate"/>
      </w:r>
      <w:r w:rsidR="002031FC" w:rsidRPr="005E10CB">
        <w:rPr>
          <w:rFonts w:ascii="Cambria" w:hAnsi="Cambria" w:cs="Times New Roman"/>
          <w:noProof/>
        </w:rPr>
        <w:t xml:space="preserve">Desikan, R. S., Ségonne, F., Fischl, B., Quinn, B. T., Dickerson, B. C., Blacker, D., … Killiany, R. J. (2006). An automated labeling system for subdividing the human cerebral cortex on MRI scans into gyral based regions of interest. </w:t>
      </w:r>
      <w:r w:rsidR="002031FC" w:rsidRPr="005E10CB">
        <w:rPr>
          <w:rFonts w:ascii="Cambria" w:hAnsi="Cambria" w:cs="Times New Roman"/>
          <w:i/>
          <w:iCs/>
          <w:noProof/>
        </w:rPr>
        <w:t>NeuroImage</w:t>
      </w:r>
      <w:r w:rsidR="002031FC" w:rsidRPr="005E10CB">
        <w:rPr>
          <w:rFonts w:ascii="Cambria" w:hAnsi="Cambria" w:cs="Times New Roman"/>
          <w:noProof/>
        </w:rPr>
        <w:t xml:space="preserve">, </w:t>
      </w:r>
      <w:r w:rsidR="002031FC" w:rsidRPr="005E10CB">
        <w:rPr>
          <w:rFonts w:ascii="Cambria" w:hAnsi="Cambria" w:cs="Times New Roman"/>
          <w:i/>
          <w:iCs/>
          <w:noProof/>
        </w:rPr>
        <w:t>31</w:t>
      </w:r>
      <w:r w:rsidR="002031FC" w:rsidRPr="005E10CB">
        <w:rPr>
          <w:rFonts w:ascii="Cambria" w:hAnsi="Cambria" w:cs="Times New Roman"/>
          <w:noProof/>
        </w:rPr>
        <w:t>(3), 968–980. https://doi.org///dx.doi.org/10.1016/j.neuroimage.2006.01.021</w:t>
      </w:r>
    </w:p>
    <w:p w14:paraId="721B143A" w14:textId="77777777" w:rsidR="002031FC" w:rsidRPr="005E10CB" w:rsidRDefault="002031FC" w:rsidP="002031FC">
      <w:pPr>
        <w:widowControl w:val="0"/>
        <w:autoSpaceDE w:val="0"/>
        <w:autoSpaceDN w:val="0"/>
        <w:adjustRightInd w:val="0"/>
        <w:spacing w:line="480" w:lineRule="auto"/>
        <w:ind w:left="480" w:hanging="480"/>
        <w:rPr>
          <w:rFonts w:ascii="Cambria" w:hAnsi="Cambria" w:cs="Times New Roman"/>
          <w:noProof/>
        </w:rPr>
      </w:pPr>
      <w:r w:rsidRPr="005E10CB">
        <w:rPr>
          <w:rFonts w:ascii="Cambria" w:hAnsi="Cambria" w:cs="Times New Roman"/>
          <w:noProof/>
        </w:rPr>
        <w:t xml:space="preserve">Fischl, B., &amp; Dale, A. M. (2000). Measuring the thickness of the human cerebral cortex from magnetic resonance images. </w:t>
      </w:r>
      <w:r w:rsidRPr="005E10CB">
        <w:rPr>
          <w:rFonts w:ascii="Cambria" w:hAnsi="Cambria" w:cs="Times New Roman"/>
          <w:i/>
          <w:iCs/>
          <w:noProof/>
        </w:rPr>
        <w:t>Proceedings of the National Academy of Sciences</w:t>
      </w:r>
      <w:r w:rsidRPr="005E10CB">
        <w:rPr>
          <w:rFonts w:ascii="Cambria" w:hAnsi="Cambria" w:cs="Times New Roman"/>
          <w:noProof/>
        </w:rPr>
        <w:t xml:space="preserve">, </w:t>
      </w:r>
      <w:r w:rsidRPr="005E10CB">
        <w:rPr>
          <w:rFonts w:ascii="Cambria" w:hAnsi="Cambria" w:cs="Times New Roman"/>
          <w:i/>
          <w:iCs/>
          <w:noProof/>
        </w:rPr>
        <w:t>97</w:t>
      </w:r>
      <w:r w:rsidRPr="005E10CB">
        <w:rPr>
          <w:rFonts w:ascii="Cambria" w:hAnsi="Cambria" w:cs="Times New Roman"/>
          <w:noProof/>
        </w:rPr>
        <w:t>(20), 11050 LP – 11055. https://doi.org/10.1073/pnas.200033797</w:t>
      </w:r>
    </w:p>
    <w:p w14:paraId="13E3F606" w14:textId="77777777" w:rsidR="002031FC" w:rsidRPr="005E10CB" w:rsidRDefault="002031FC" w:rsidP="002031FC">
      <w:pPr>
        <w:widowControl w:val="0"/>
        <w:autoSpaceDE w:val="0"/>
        <w:autoSpaceDN w:val="0"/>
        <w:adjustRightInd w:val="0"/>
        <w:spacing w:line="480" w:lineRule="auto"/>
        <w:ind w:left="480" w:hanging="480"/>
        <w:rPr>
          <w:rFonts w:ascii="Cambria" w:hAnsi="Cambria" w:cs="Times New Roman"/>
          <w:noProof/>
        </w:rPr>
      </w:pPr>
      <w:r w:rsidRPr="005E10CB">
        <w:rPr>
          <w:rFonts w:ascii="Cambria" w:hAnsi="Cambria" w:cs="Times New Roman"/>
          <w:noProof/>
        </w:rPr>
        <w:t xml:space="preserve">Klaming, R., Harlé, K. M., Infante, M. A., Bomyea, J., Kim, C., &amp; Spadoni, A. D. (2019). Shared gray matter reductions across alcohol use disorder and posttraumatic stress disorder in the anterior cingulate cortex: A dual meta-analysis. </w:t>
      </w:r>
      <w:r w:rsidRPr="005E10CB">
        <w:rPr>
          <w:rFonts w:ascii="Cambria" w:hAnsi="Cambria" w:cs="Times New Roman"/>
          <w:i/>
          <w:iCs/>
          <w:noProof/>
        </w:rPr>
        <w:t>Neurobiology of Stress</w:t>
      </w:r>
      <w:r w:rsidRPr="005E10CB">
        <w:rPr>
          <w:rFonts w:ascii="Cambria" w:hAnsi="Cambria" w:cs="Times New Roman"/>
          <w:noProof/>
        </w:rPr>
        <w:t xml:space="preserve">, </w:t>
      </w:r>
      <w:r w:rsidRPr="005E10CB">
        <w:rPr>
          <w:rFonts w:ascii="Cambria" w:hAnsi="Cambria" w:cs="Times New Roman"/>
          <w:i/>
          <w:iCs/>
          <w:noProof/>
        </w:rPr>
        <w:t>10</w:t>
      </w:r>
      <w:r w:rsidRPr="005E10CB">
        <w:rPr>
          <w:rFonts w:ascii="Cambria" w:hAnsi="Cambria" w:cs="Times New Roman"/>
          <w:noProof/>
        </w:rPr>
        <w:t>, 100132. https://doi.org/https://doi.org/10.1016/j.ynstr.2018.09.009</w:t>
      </w:r>
    </w:p>
    <w:p w14:paraId="2B620EE3" w14:textId="77777777" w:rsidR="002031FC" w:rsidRPr="005E10CB" w:rsidRDefault="002031FC" w:rsidP="002031FC">
      <w:pPr>
        <w:widowControl w:val="0"/>
        <w:autoSpaceDE w:val="0"/>
        <w:autoSpaceDN w:val="0"/>
        <w:adjustRightInd w:val="0"/>
        <w:spacing w:line="480" w:lineRule="auto"/>
        <w:ind w:left="480" w:hanging="480"/>
        <w:rPr>
          <w:rFonts w:ascii="Cambria" w:hAnsi="Cambria" w:cs="Times New Roman"/>
          <w:noProof/>
        </w:rPr>
      </w:pPr>
      <w:r w:rsidRPr="005E10CB">
        <w:rPr>
          <w:rFonts w:ascii="Cambria" w:hAnsi="Cambria" w:cs="Times New Roman"/>
          <w:noProof/>
        </w:rPr>
        <w:t xml:space="preserve">Norman, S. B., Trim, R., Haller, M., Davis, B. C., Myers, U. S., Colvonen, P. J., … Mayes, T. (2019). Efficacy of Integrated Exposure Therapy vs Integrated Coping Skills Therapy for Comorbid Posttraumatic Stress Disorder and Alcohol Use Disorder: A Randomized Clinical Trial. </w:t>
      </w:r>
      <w:r w:rsidRPr="005E10CB">
        <w:rPr>
          <w:rFonts w:ascii="Cambria" w:hAnsi="Cambria" w:cs="Times New Roman"/>
          <w:i/>
          <w:iCs/>
          <w:noProof/>
        </w:rPr>
        <w:t>JAMA Psychiatry</w:t>
      </w:r>
      <w:r w:rsidRPr="005E10CB">
        <w:rPr>
          <w:rFonts w:ascii="Cambria" w:hAnsi="Cambria" w:cs="Times New Roman"/>
          <w:noProof/>
        </w:rPr>
        <w:t xml:space="preserve">, </w:t>
      </w:r>
      <w:r w:rsidRPr="005E10CB">
        <w:rPr>
          <w:rFonts w:ascii="Cambria" w:hAnsi="Cambria" w:cs="Times New Roman"/>
          <w:i/>
          <w:iCs/>
          <w:noProof/>
        </w:rPr>
        <w:t>76</w:t>
      </w:r>
      <w:r w:rsidRPr="005E10CB">
        <w:rPr>
          <w:rFonts w:ascii="Cambria" w:hAnsi="Cambria" w:cs="Times New Roman"/>
          <w:noProof/>
        </w:rPr>
        <w:t>(8), 791–799. https://doi.org/10.1001/jamapsychiatry.2019.0638</w:t>
      </w:r>
    </w:p>
    <w:p w14:paraId="6BE1D19C" w14:textId="77777777" w:rsidR="002031FC" w:rsidRPr="005E10CB" w:rsidRDefault="002031FC" w:rsidP="002031FC">
      <w:pPr>
        <w:widowControl w:val="0"/>
        <w:autoSpaceDE w:val="0"/>
        <w:autoSpaceDN w:val="0"/>
        <w:adjustRightInd w:val="0"/>
        <w:spacing w:line="480" w:lineRule="auto"/>
        <w:ind w:left="480" w:hanging="480"/>
        <w:rPr>
          <w:rFonts w:ascii="Cambria" w:hAnsi="Cambria" w:cs="Times New Roman"/>
          <w:noProof/>
        </w:rPr>
      </w:pPr>
      <w:r w:rsidRPr="005E10CB">
        <w:rPr>
          <w:rFonts w:ascii="Cambria" w:hAnsi="Cambria" w:cs="Times New Roman"/>
          <w:noProof/>
        </w:rPr>
        <w:t xml:space="preserve">Orman, G. K., Labatut, V., &amp; Cherifi, H. (2012). Comparative evaluation of community detection algorithms: a topological approach. </w:t>
      </w:r>
      <w:r w:rsidRPr="005E10CB">
        <w:rPr>
          <w:rFonts w:ascii="Cambria" w:hAnsi="Cambria" w:cs="Times New Roman"/>
          <w:i/>
          <w:iCs/>
          <w:noProof/>
        </w:rPr>
        <w:t>Journal of Statistical Mechanics: Theory and Experiment</w:t>
      </w:r>
      <w:r w:rsidRPr="005E10CB">
        <w:rPr>
          <w:rFonts w:ascii="Cambria" w:hAnsi="Cambria" w:cs="Times New Roman"/>
          <w:noProof/>
        </w:rPr>
        <w:t xml:space="preserve">, </w:t>
      </w:r>
      <w:r w:rsidRPr="005E10CB">
        <w:rPr>
          <w:rFonts w:ascii="Cambria" w:hAnsi="Cambria" w:cs="Times New Roman"/>
          <w:i/>
          <w:iCs/>
          <w:noProof/>
        </w:rPr>
        <w:t>2012</w:t>
      </w:r>
      <w:r w:rsidRPr="005E10CB">
        <w:rPr>
          <w:rFonts w:ascii="Cambria" w:hAnsi="Cambria" w:cs="Times New Roman"/>
          <w:noProof/>
        </w:rPr>
        <w:t>(08), P08001. https://doi.org/10.1088/1742-5468/2012/08/p08001</w:t>
      </w:r>
    </w:p>
    <w:p w14:paraId="513341E3" w14:textId="77777777" w:rsidR="002031FC" w:rsidRPr="005E10CB" w:rsidRDefault="002031FC" w:rsidP="002031FC">
      <w:pPr>
        <w:widowControl w:val="0"/>
        <w:autoSpaceDE w:val="0"/>
        <w:autoSpaceDN w:val="0"/>
        <w:adjustRightInd w:val="0"/>
        <w:spacing w:line="480" w:lineRule="auto"/>
        <w:ind w:left="480" w:hanging="480"/>
        <w:rPr>
          <w:rFonts w:ascii="Cambria" w:hAnsi="Cambria"/>
          <w:noProof/>
        </w:rPr>
      </w:pPr>
      <w:r w:rsidRPr="005E10CB">
        <w:rPr>
          <w:rFonts w:ascii="Cambria" w:hAnsi="Cambria" w:cs="Times New Roman"/>
          <w:noProof/>
        </w:rPr>
        <w:t xml:space="preserve">Sheehan, D. V., Lecrubier, Y., Sheehan, K. H., Amorim, P., Janavs, J., Weiller, E., … Dunbar, G. C. (1998). The Mini-International Neuropsychiatric Interview (M.I.N.I.): The </w:t>
      </w:r>
      <w:r w:rsidRPr="005E10CB">
        <w:rPr>
          <w:rFonts w:ascii="Cambria" w:hAnsi="Cambria" w:cs="Times New Roman"/>
          <w:noProof/>
        </w:rPr>
        <w:lastRenderedPageBreak/>
        <w:t xml:space="preserve">development and validation of a structured diagnostic psychiatric interview for DSM-IV and ICD-10. </w:t>
      </w:r>
      <w:r w:rsidRPr="005E10CB">
        <w:rPr>
          <w:rFonts w:ascii="Cambria" w:hAnsi="Cambria" w:cs="Times New Roman"/>
          <w:i/>
          <w:iCs/>
          <w:noProof/>
        </w:rPr>
        <w:t>Journal of Clinical Psychiatry</w:t>
      </w:r>
      <w:r w:rsidRPr="005E10CB">
        <w:rPr>
          <w:rFonts w:ascii="Cambria" w:hAnsi="Cambria" w:cs="Times New Roman"/>
          <w:noProof/>
        </w:rPr>
        <w:t xml:space="preserve">, </w:t>
      </w:r>
      <w:r w:rsidRPr="005E10CB">
        <w:rPr>
          <w:rFonts w:ascii="Cambria" w:hAnsi="Cambria" w:cs="Times New Roman"/>
          <w:i/>
          <w:iCs/>
          <w:noProof/>
        </w:rPr>
        <w:t>59</w:t>
      </w:r>
      <w:r w:rsidRPr="005E10CB">
        <w:rPr>
          <w:rFonts w:ascii="Cambria" w:hAnsi="Cambria" w:cs="Times New Roman"/>
          <w:noProof/>
        </w:rPr>
        <w:t>(SUPPL. 20), 22–33. https://doi.org/10.1016/S0924-9338(99)80239-9</w:t>
      </w:r>
    </w:p>
    <w:p w14:paraId="08373A4F" w14:textId="367370D1" w:rsidR="006624F5" w:rsidRPr="006624F5" w:rsidRDefault="002B353D" w:rsidP="002031FC">
      <w:pPr>
        <w:widowControl w:val="0"/>
        <w:autoSpaceDE w:val="0"/>
        <w:autoSpaceDN w:val="0"/>
        <w:adjustRightInd w:val="0"/>
        <w:spacing w:line="480" w:lineRule="auto"/>
        <w:ind w:left="480" w:hanging="480"/>
      </w:pPr>
      <w:r w:rsidRPr="005E10CB">
        <w:rPr>
          <w:rFonts w:ascii="Cambria" w:hAnsi="Cambria"/>
        </w:rPr>
        <w:fldChar w:fldCharType="end"/>
      </w:r>
    </w:p>
    <w:sectPr w:rsidR="006624F5" w:rsidRPr="006624F5" w:rsidSect="00573D19">
      <w:headerReference w:type="even" r:id="rId12"/>
      <w:head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4245D" w14:textId="77777777" w:rsidR="00A33BC0" w:rsidRDefault="00A33BC0" w:rsidP="00573D19">
      <w:r>
        <w:separator/>
      </w:r>
    </w:p>
  </w:endnote>
  <w:endnote w:type="continuationSeparator" w:id="0">
    <w:p w14:paraId="79D97935" w14:textId="77777777" w:rsidR="00A33BC0" w:rsidRDefault="00A33BC0" w:rsidP="00573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211F44" w14:textId="77777777" w:rsidR="00A33BC0" w:rsidRDefault="00A33BC0" w:rsidP="00573D19">
      <w:r>
        <w:separator/>
      </w:r>
    </w:p>
  </w:footnote>
  <w:footnote w:type="continuationSeparator" w:id="0">
    <w:p w14:paraId="068E47FC" w14:textId="77777777" w:rsidR="00A33BC0" w:rsidRDefault="00A33BC0" w:rsidP="00573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95238482"/>
      <w:docPartObj>
        <w:docPartGallery w:val="Page Numbers (Top of Page)"/>
        <w:docPartUnique/>
      </w:docPartObj>
    </w:sdtPr>
    <w:sdtEndPr>
      <w:rPr>
        <w:rStyle w:val="PageNumber"/>
      </w:rPr>
    </w:sdtEndPr>
    <w:sdtContent>
      <w:p w14:paraId="57F3823A" w14:textId="7BD74034" w:rsidR="00573D19" w:rsidRDefault="00573D19" w:rsidP="006E457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ED4EC4" w14:textId="77777777" w:rsidR="00573D19" w:rsidRDefault="00573D19" w:rsidP="00573D1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77012307"/>
      <w:docPartObj>
        <w:docPartGallery w:val="Page Numbers (Top of Page)"/>
        <w:docPartUnique/>
      </w:docPartObj>
    </w:sdtPr>
    <w:sdtEndPr>
      <w:rPr>
        <w:rStyle w:val="PageNumber"/>
      </w:rPr>
    </w:sdtEndPr>
    <w:sdtContent>
      <w:p w14:paraId="62631CA9" w14:textId="26CC39F2" w:rsidR="00573D19" w:rsidRDefault="00573D19" w:rsidP="00573D1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F5FFCC" w14:textId="77777777" w:rsidR="00573D19" w:rsidRDefault="00573D19" w:rsidP="00573D1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8B2E20"/>
    <w:multiLevelType w:val="hybridMultilevel"/>
    <w:tmpl w:val="826A9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631"/>
    <w:rsid w:val="0003025C"/>
    <w:rsid w:val="00030484"/>
    <w:rsid w:val="00037601"/>
    <w:rsid w:val="00060D4D"/>
    <w:rsid w:val="000E6BA9"/>
    <w:rsid w:val="000F0EB7"/>
    <w:rsid w:val="0011750E"/>
    <w:rsid w:val="0015484E"/>
    <w:rsid w:val="001A2FA4"/>
    <w:rsid w:val="001B107F"/>
    <w:rsid w:val="002031FC"/>
    <w:rsid w:val="00255258"/>
    <w:rsid w:val="00295C0E"/>
    <w:rsid w:val="002B353D"/>
    <w:rsid w:val="00334626"/>
    <w:rsid w:val="00373A9B"/>
    <w:rsid w:val="00432D9B"/>
    <w:rsid w:val="004766A1"/>
    <w:rsid w:val="004F26CE"/>
    <w:rsid w:val="005317AE"/>
    <w:rsid w:val="00563BF1"/>
    <w:rsid w:val="00573D19"/>
    <w:rsid w:val="00583119"/>
    <w:rsid w:val="00594A41"/>
    <w:rsid w:val="005A1C6F"/>
    <w:rsid w:val="005E10CB"/>
    <w:rsid w:val="00646230"/>
    <w:rsid w:val="006624F5"/>
    <w:rsid w:val="006E4576"/>
    <w:rsid w:val="0070506A"/>
    <w:rsid w:val="00791D7A"/>
    <w:rsid w:val="007A5930"/>
    <w:rsid w:val="007B755C"/>
    <w:rsid w:val="007F7FCC"/>
    <w:rsid w:val="00815B89"/>
    <w:rsid w:val="008601B4"/>
    <w:rsid w:val="00886D5B"/>
    <w:rsid w:val="00893F1D"/>
    <w:rsid w:val="008F3FAA"/>
    <w:rsid w:val="008F4BFC"/>
    <w:rsid w:val="00945136"/>
    <w:rsid w:val="0094580B"/>
    <w:rsid w:val="00984630"/>
    <w:rsid w:val="00987BC2"/>
    <w:rsid w:val="00990175"/>
    <w:rsid w:val="00994F5B"/>
    <w:rsid w:val="00A20805"/>
    <w:rsid w:val="00A33BC0"/>
    <w:rsid w:val="00A377B9"/>
    <w:rsid w:val="00AA22A4"/>
    <w:rsid w:val="00B15C4B"/>
    <w:rsid w:val="00B2111A"/>
    <w:rsid w:val="00B72367"/>
    <w:rsid w:val="00B85B00"/>
    <w:rsid w:val="00BA4A6B"/>
    <w:rsid w:val="00BA6B9B"/>
    <w:rsid w:val="00C059D2"/>
    <w:rsid w:val="00C3468C"/>
    <w:rsid w:val="00C40426"/>
    <w:rsid w:val="00C64752"/>
    <w:rsid w:val="00C6676B"/>
    <w:rsid w:val="00C851B7"/>
    <w:rsid w:val="00CA0A61"/>
    <w:rsid w:val="00D70385"/>
    <w:rsid w:val="00D80155"/>
    <w:rsid w:val="00DA24CE"/>
    <w:rsid w:val="00DB5645"/>
    <w:rsid w:val="00DC17C8"/>
    <w:rsid w:val="00E12550"/>
    <w:rsid w:val="00E161DE"/>
    <w:rsid w:val="00E24D8A"/>
    <w:rsid w:val="00E34B16"/>
    <w:rsid w:val="00E63541"/>
    <w:rsid w:val="00E93B8D"/>
    <w:rsid w:val="00EB6ACB"/>
    <w:rsid w:val="00EC16FE"/>
    <w:rsid w:val="00F12D31"/>
    <w:rsid w:val="00F14631"/>
    <w:rsid w:val="00F307B9"/>
    <w:rsid w:val="00F3446B"/>
    <w:rsid w:val="00F45584"/>
    <w:rsid w:val="00F51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761CF"/>
  <w14:defaultImageDpi w14:val="32767"/>
  <w15:chartTrackingRefBased/>
  <w15:docId w15:val="{A0B12FC1-553A-7741-AA37-A41314437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042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0426"/>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851B7"/>
    <w:rPr>
      <w:sz w:val="16"/>
      <w:szCs w:val="16"/>
    </w:rPr>
  </w:style>
  <w:style w:type="paragraph" w:styleId="CommentText">
    <w:name w:val="annotation text"/>
    <w:basedOn w:val="Normal"/>
    <w:link w:val="CommentTextChar"/>
    <w:uiPriority w:val="99"/>
    <w:semiHidden/>
    <w:unhideWhenUsed/>
    <w:rsid w:val="00C851B7"/>
    <w:rPr>
      <w:sz w:val="20"/>
      <w:szCs w:val="20"/>
    </w:rPr>
  </w:style>
  <w:style w:type="character" w:customStyle="1" w:styleId="CommentTextChar">
    <w:name w:val="Comment Text Char"/>
    <w:basedOn w:val="DefaultParagraphFont"/>
    <w:link w:val="CommentText"/>
    <w:uiPriority w:val="99"/>
    <w:semiHidden/>
    <w:rsid w:val="00C851B7"/>
    <w:rPr>
      <w:sz w:val="20"/>
      <w:szCs w:val="20"/>
    </w:rPr>
  </w:style>
  <w:style w:type="paragraph" w:styleId="CommentSubject">
    <w:name w:val="annotation subject"/>
    <w:basedOn w:val="CommentText"/>
    <w:next w:val="CommentText"/>
    <w:link w:val="CommentSubjectChar"/>
    <w:uiPriority w:val="99"/>
    <w:semiHidden/>
    <w:unhideWhenUsed/>
    <w:rsid w:val="00C851B7"/>
    <w:rPr>
      <w:b/>
      <w:bCs/>
    </w:rPr>
  </w:style>
  <w:style w:type="character" w:customStyle="1" w:styleId="CommentSubjectChar">
    <w:name w:val="Comment Subject Char"/>
    <w:basedOn w:val="CommentTextChar"/>
    <w:link w:val="CommentSubject"/>
    <w:uiPriority w:val="99"/>
    <w:semiHidden/>
    <w:rsid w:val="00C851B7"/>
    <w:rPr>
      <w:b/>
      <w:bCs/>
      <w:sz w:val="20"/>
      <w:szCs w:val="20"/>
    </w:rPr>
  </w:style>
  <w:style w:type="character" w:styleId="Hyperlink">
    <w:name w:val="Hyperlink"/>
    <w:basedOn w:val="DefaultParagraphFont"/>
    <w:uiPriority w:val="99"/>
    <w:unhideWhenUsed/>
    <w:rsid w:val="00C851B7"/>
    <w:rPr>
      <w:color w:val="0563C1" w:themeColor="hyperlink"/>
      <w:u w:val="single"/>
    </w:rPr>
  </w:style>
  <w:style w:type="character" w:styleId="UnresolvedMention">
    <w:name w:val="Unresolved Mention"/>
    <w:basedOn w:val="DefaultParagraphFont"/>
    <w:uiPriority w:val="99"/>
    <w:rsid w:val="00984630"/>
    <w:rPr>
      <w:color w:val="605E5C"/>
      <w:shd w:val="clear" w:color="auto" w:fill="E1DFDD"/>
    </w:rPr>
  </w:style>
  <w:style w:type="character" w:styleId="PlaceholderText">
    <w:name w:val="Placeholder Text"/>
    <w:basedOn w:val="DefaultParagraphFont"/>
    <w:uiPriority w:val="99"/>
    <w:semiHidden/>
    <w:rsid w:val="00F3446B"/>
    <w:rPr>
      <w:color w:val="808080"/>
    </w:rPr>
  </w:style>
  <w:style w:type="table" w:styleId="TableGrid">
    <w:name w:val="Table Grid"/>
    <w:basedOn w:val="TableNormal"/>
    <w:uiPriority w:val="39"/>
    <w:rsid w:val="005A1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3541"/>
    <w:pPr>
      <w:ind w:left="720"/>
      <w:contextualSpacing/>
    </w:pPr>
  </w:style>
  <w:style w:type="paragraph" w:styleId="Header">
    <w:name w:val="header"/>
    <w:basedOn w:val="Normal"/>
    <w:link w:val="HeaderChar"/>
    <w:uiPriority w:val="99"/>
    <w:unhideWhenUsed/>
    <w:rsid w:val="00573D19"/>
    <w:pPr>
      <w:tabs>
        <w:tab w:val="center" w:pos="4680"/>
        <w:tab w:val="right" w:pos="9360"/>
      </w:tabs>
    </w:pPr>
  </w:style>
  <w:style w:type="character" w:customStyle="1" w:styleId="HeaderChar">
    <w:name w:val="Header Char"/>
    <w:basedOn w:val="DefaultParagraphFont"/>
    <w:link w:val="Header"/>
    <w:uiPriority w:val="99"/>
    <w:rsid w:val="00573D19"/>
  </w:style>
  <w:style w:type="character" w:styleId="PageNumber">
    <w:name w:val="page number"/>
    <w:basedOn w:val="DefaultParagraphFont"/>
    <w:uiPriority w:val="99"/>
    <w:semiHidden/>
    <w:unhideWhenUsed/>
    <w:rsid w:val="00573D19"/>
  </w:style>
  <w:style w:type="paragraph" w:styleId="Footer">
    <w:name w:val="footer"/>
    <w:basedOn w:val="Normal"/>
    <w:link w:val="FooterChar"/>
    <w:uiPriority w:val="99"/>
    <w:unhideWhenUsed/>
    <w:rsid w:val="00573D19"/>
    <w:pPr>
      <w:tabs>
        <w:tab w:val="center" w:pos="4680"/>
        <w:tab w:val="right" w:pos="9360"/>
      </w:tabs>
    </w:pPr>
  </w:style>
  <w:style w:type="character" w:customStyle="1" w:styleId="FooterChar">
    <w:name w:val="Footer Char"/>
    <w:basedOn w:val="DefaultParagraphFont"/>
    <w:link w:val="Footer"/>
    <w:uiPriority w:val="99"/>
    <w:rsid w:val="00573D19"/>
  </w:style>
  <w:style w:type="paragraph" w:styleId="Revision">
    <w:name w:val="Revision"/>
    <w:hidden/>
    <w:uiPriority w:val="99"/>
    <w:semiHidden/>
    <w:rsid w:val="006E4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0378625">
      <w:bodyDiv w:val="1"/>
      <w:marLeft w:val="0"/>
      <w:marRight w:val="0"/>
      <w:marTop w:val="0"/>
      <w:marBottom w:val="0"/>
      <w:divBdr>
        <w:top w:val="none" w:sz="0" w:space="0" w:color="auto"/>
        <w:left w:val="none" w:sz="0" w:space="0" w:color="auto"/>
        <w:bottom w:val="none" w:sz="0" w:space="0" w:color="auto"/>
        <w:right w:val="none" w:sz="0" w:space="0" w:color="auto"/>
      </w:divBdr>
    </w:div>
    <w:div w:id="1176001667">
      <w:bodyDiv w:val="1"/>
      <w:marLeft w:val="0"/>
      <w:marRight w:val="0"/>
      <w:marTop w:val="0"/>
      <w:marBottom w:val="0"/>
      <w:divBdr>
        <w:top w:val="none" w:sz="0" w:space="0" w:color="auto"/>
        <w:left w:val="none" w:sz="0" w:space="0" w:color="auto"/>
        <w:bottom w:val="none" w:sz="0" w:space="0" w:color="auto"/>
        <w:right w:val="none" w:sz="0" w:space="0" w:color="auto"/>
      </w:divBdr>
    </w:div>
    <w:div w:id="1335450385">
      <w:bodyDiv w:val="1"/>
      <w:marLeft w:val="0"/>
      <w:marRight w:val="0"/>
      <w:marTop w:val="0"/>
      <w:marBottom w:val="0"/>
      <w:divBdr>
        <w:top w:val="none" w:sz="0" w:space="0" w:color="auto"/>
        <w:left w:val="none" w:sz="0" w:space="0" w:color="auto"/>
        <w:bottom w:val="none" w:sz="0" w:space="0" w:color="auto"/>
        <w:right w:val="none" w:sz="0" w:space="0" w:color="auto"/>
      </w:divBdr>
    </w:div>
    <w:div w:id="1764180131">
      <w:bodyDiv w:val="1"/>
      <w:marLeft w:val="0"/>
      <w:marRight w:val="0"/>
      <w:marTop w:val="0"/>
      <w:marBottom w:val="0"/>
      <w:divBdr>
        <w:top w:val="none" w:sz="0" w:space="0" w:color="auto"/>
        <w:left w:val="none" w:sz="0" w:space="0" w:color="auto"/>
        <w:bottom w:val="none" w:sz="0" w:space="0" w:color="auto"/>
        <w:right w:val="none" w:sz="0" w:space="0" w:color="auto"/>
      </w:divBdr>
    </w:div>
    <w:div w:id="187939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stout@health.ucsd.ed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557D60-BAB1-7640-A0F2-A21F357F7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7626</Words>
  <Characters>43470</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 Stout</dc:creator>
  <cp:keywords/>
  <dc:description/>
  <cp:lastModifiedBy>Daniel M Stout</cp:lastModifiedBy>
  <cp:revision>3</cp:revision>
  <dcterms:created xsi:type="dcterms:W3CDTF">2021-03-09T21:04:00Z</dcterms:created>
  <dcterms:modified xsi:type="dcterms:W3CDTF">2021-04-06T15:47:00Z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http://www.zotero.org/styles/biological-psychiatry</vt:lpwstr>
  </property>
  <property fmtid="{D5CDD505-2E9C-101B-9397-08002B2CF9AE}" pid="7" name="Mendeley Recent Style Name 2_1">
    <vt:lpwstr>Biological Psychiatry</vt:lpwstr>
  </property>
  <property fmtid="{D5CDD505-2E9C-101B-9397-08002B2CF9AE}" pid="8" name="Mendeley Recent Style Id 3_1">
    <vt:lpwstr>http://www.zotero.org/styles/brain-research</vt:lpwstr>
  </property>
  <property fmtid="{D5CDD505-2E9C-101B-9397-08002B2CF9AE}" pid="9" name="Mendeley Recent Style Name 3_1">
    <vt:lpwstr>Brain Research</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http://www.zotero.org/styles/frontiers-in-behavioral-neuroscience</vt:lpwstr>
  </property>
  <property fmtid="{D5CDD505-2E9C-101B-9397-08002B2CF9AE}" pid="13" name="Mendeley Recent Style Name 5_1">
    <vt:lpwstr>Frontiers in Behavioral Neuroscience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http://www.zotero.org/styles/neuropsychopharmacology</vt:lpwstr>
  </property>
  <property fmtid="{D5CDD505-2E9C-101B-9397-08002B2CF9AE}" pid="19" name="Mendeley Recent Style Name 8_1">
    <vt:lpwstr>Neuropsychopharmacology</vt:lpwstr>
  </property>
  <property fmtid="{D5CDD505-2E9C-101B-9397-08002B2CF9AE}" pid="20" name="Mendeley Recent Style Id 9_1">
    <vt:lpwstr>http://www.zotero.org/styles/translational-psychiatry</vt:lpwstr>
  </property>
  <property fmtid="{D5CDD505-2E9C-101B-9397-08002B2CF9AE}" pid="21" name="Mendeley Recent Style Name 9_1">
    <vt:lpwstr>Translational Psychiatry</vt:lpwstr>
  </property>
  <property fmtid="{D5CDD505-2E9C-101B-9397-08002B2CF9AE}" pid="22" name="Mendeley Document_1">
    <vt:lpwstr>True</vt:lpwstr>
  </property>
  <property fmtid="{D5CDD505-2E9C-101B-9397-08002B2CF9AE}" pid="23" name="Mendeley Unique User Id_1">
    <vt:lpwstr>dc8cb0ad-0bd6-3a7a-8f8b-1bfddb57320b</vt:lpwstr>
  </property>
  <property fmtid="{D5CDD505-2E9C-101B-9397-08002B2CF9AE}" pid="24" name="Mendeley Citation Style_1">
    <vt:lpwstr>http://www.zotero.org/styles/apa</vt:lpwstr>
  </property>
</Properties>
</file>