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285D9" w14:textId="75058B15" w:rsidR="002C5A9B" w:rsidRPr="00E15A1E" w:rsidRDefault="002C5A9B" w:rsidP="00E15A1E">
      <w:pPr>
        <w:spacing w:line="360" w:lineRule="auto"/>
        <w:rPr>
          <w:rFonts w:ascii="Times New Roman" w:hAnsi="Times New Roman" w:cs="Times New Roman"/>
          <w:b/>
          <w:sz w:val="24"/>
          <w:szCs w:val="24"/>
        </w:rPr>
      </w:pPr>
      <w:r w:rsidRPr="004D566D">
        <w:rPr>
          <w:rFonts w:asciiTheme="majorBidi" w:hAnsiTheme="majorBidi" w:cstheme="majorBidi"/>
          <w:b/>
          <w:bCs/>
          <w:sz w:val="24"/>
          <w:szCs w:val="24"/>
        </w:rPr>
        <w:t xml:space="preserve">Online supplementary material </w:t>
      </w:r>
      <w:r w:rsidR="00E15A1E">
        <w:rPr>
          <w:rFonts w:asciiTheme="majorBidi" w:hAnsiTheme="majorBidi" w:cstheme="majorBidi"/>
          <w:b/>
          <w:bCs/>
          <w:sz w:val="24"/>
          <w:szCs w:val="24"/>
        </w:rPr>
        <w:t>for ‘</w:t>
      </w:r>
      <w:r w:rsidR="00E15A1E">
        <w:rPr>
          <w:rFonts w:ascii="Times New Roman" w:hAnsi="Times New Roman" w:cs="Times New Roman"/>
          <w:b/>
          <w:sz w:val="24"/>
          <w:szCs w:val="24"/>
        </w:rPr>
        <w:t>Refuting the myth of a ‘tsunami’ of mental ill-health in populations affected by COVID-19</w:t>
      </w:r>
      <w:r w:rsidR="00E15A1E" w:rsidRPr="00504848">
        <w:rPr>
          <w:rFonts w:ascii="Times New Roman" w:hAnsi="Times New Roman" w:cs="Times New Roman"/>
          <w:b/>
          <w:sz w:val="24"/>
          <w:szCs w:val="24"/>
        </w:rPr>
        <w:t xml:space="preserve">: </w:t>
      </w:r>
      <w:r w:rsidR="00E15A1E">
        <w:rPr>
          <w:rFonts w:ascii="Times New Roman" w:hAnsi="Times New Roman" w:cs="Times New Roman"/>
          <w:b/>
          <w:sz w:val="24"/>
          <w:szCs w:val="24"/>
        </w:rPr>
        <w:t>Evidence that response to the pandemic is heterogenous, not homogeneous</w:t>
      </w:r>
      <w:r w:rsidR="00E15A1E">
        <w:rPr>
          <w:rFonts w:ascii="Times New Roman" w:hAnsi="Times New Roman" w:cs="Times New Roman"/>
          <w:b/>
          <w:sz w:val="24"/>
          <w:szCs w:val="24"/>
        </w:rPr>
        <w:t xml:space="preserve">’ </w:t>
      </w:r>
      <w:r w:rsidRPr="004D566D">
        <w:rPr>
          <w:rFonts w:asciiTheme="majorBidi" w:hAnsiTheme="majorBidi" w:cstheme="majorBidi"/>
          <w:b/>
          <w:bCs/>
          <w:sz w:val="24"/>
          <w:szCs w:val="24"/>
        </w:rPr>
        <w:t>Shevlin et al.</w:t>
      </w:r>
      <w:bookmarkStart w:id="0" w:name="_GoBack"/>
      <w:bookmarkEnd w:id="0"/>
      <w:r w:rsidR="00E15A1E">
        <w:rPr>
          <w:rFonts w:asciiTheme="majorBidi" w:hAnsiTheme="majorBidi" w:cstheme="majorBidi"/>
          <w:b/>
          <w:bCs/>
          <w:sz w:val="24"/>
          <w:szCs w:val="24"/>
        </w:rPr>
        <w:t xml:space="preserve"> (2021)</w:t>
      </w:r>
    </w:p>
    <w:p w14:paraId="75D95C48" w14:textId="24070DA0" w:rsidR="003F0D32" w:rsidRPr="004D566D" w:rsidRDefault="00400FCA"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 xml:space="preserve">This online supplement contains further details of </w:t>
      </w:r>
      <w:r w:rsidR="002C5A9B" w:rsidRPr="004D566D">
        <w:rPr>
          <w:rFonts w:asciiTheme="majorBidi" w:hAnsiTheme="majorBidi" w:cstheme="majorBidi"/>
          <w:sz w:val="24"/>
          <w:szCs w:val="24"/>
        </w:rPr>
        <w:t xml:space="preserve">predictor variables used in the regression analyses, </w:t>
      </w:r>
      <w:r w:rsidRPr="004D566D">
        <w:rPr>
          <w:rFonts w:asciiTheme="majorBidi" w:hAnsiTheme="majorBidi" w:cstheme="majorBidi"/>
          <w:sz w:val="24"/>
          <w:szCs w:val="24"/>
        </w:rPr>
        <w:t>statistical methods</w:t>
      </w:r>
      <w:r w:rsidR="002C5A9B" w:rsidRPr="004D566D">
        <w:rPr>
          <w:rFonts w:asciiTheme="majorBidi" w:hAnsiTheme="majorBidi" w:cstheme="majorBidi"/>
          <w:sz w:val="24"/>
          <w:szCs w:val="24"/>
        </w:rPr>
        <w:t>,</w:t>
      </w:r>
      <w:r w:rsidRPr="004D566D">
        <w:rPr>
          <w:rFonts w:asciiTheme="majorBidi" w:hAnsiTheme="majorBidi" w:cstheme="majorBidi"/>
          <w:sz w:val="24"/>
          <w:szCs w:val="24"/>
        </w:rPr>
        <w:t xml:space="preserve"> and procedures for assessing goodness of fit.</w:t>
      </w:r>
    </w:p>
    <w:p w14:paraId="58BDFDD8" w14:textId="77777777" w:rsidR="003E3604" w:rsidRPr="004D566D" w:rsidRDefault="003E3604" w:rsidP="004D566D">
      <w:pPr>
        <w:spacing w:line="360" w:lineRule="auto"/>
        <w:rPr>
          <w:rFonts w:asciiTheme="majorBidi" w:hAnsiTheme="majorBidi" w:cstheme="majorBidi"/>
          <w:sz w:val="24"/>
          <w:szCs w:val="24"/>
        </w:rPr>
      </w:pPr>
    </w:p>
    <w:p w14:paraId="4D5557A6" w14:textId="6F312E3E" w:rsidR="00236DD2" w:rsidRPr="004D566D" w:rsidRDefault="004D566D" w:rsidP="004D566D">
      <w:pPr>
        <w:pStyle w:val="ListParagraph"/>
        <w:numPr>
          <w:ilvl w:val="1"/>
          <w:numId w:val="1"/>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236DD2" w:rsidRPr="004D566D">
        <w:rPr>
          <w:rFonts w:asciiTheme="majorBidi" w:hAnsiTheme="majorBidi" w:cstheme="majorBidi"/>
          <w:b/>
          <w:bCs/>
          <w:sz w:val="24"/>
          <w:szCs w:val="24"/>
        </w:rPr>
        <w:t>Details of predictor variables</w:t>
      </w:r>
    </w:p>
    <w:p w14:paraId="00E63E50" w14:textId="77777777" w:rsidR="00236DD2" w:rsidRPr="004D566D" w:rsidRDefault="00236DD2" w:rsidP="004D566D">
      <w:pPr>
        <w:spacing w:after="280" w:line="360" w:lineRule="auto"/>
        <w:jc w:val="both"/>
        <w:rPr>
          <w:rFonts w:asciiTheme="majorBidi" w:hAnsiTheme="majorBidi" w:cstheme="majorBidi"/>
          <w:sz w:val="24"/>
          <w:szCs w:val="24"/>
        </w:rPr>
      </w:pPr>
      <w:r w:rsidRPr="004D566D">
        <w:rPr>
          <w:rFonts w:asciiTheme="majorBidi" w:hAnsiTheme="majorBidi" w:cstheme="majorBidi"/>
          <w:sz w:val="24"/>
          <w:szCs w:val="24"/>
        </w:rPr>
        <w:t>A series of predictor variables were extracted from W1 as follows:</w:t>
      </w:r>
    </w:p>
    <w:p w14:paraId="1BF13B56" w14:textId="77777777" w:rsidR="00236DD2" w:rsidRPr="004D566D" w:rsidRDefault="00236DD2" w:rsidP="004D566D">
      <w:pPr>
        <w:spacing w:after="280" w:line="360" w:lineRule="auto"/>
        <w:jc w:val="both"/>
        <w:rPr>
          <w:rFonts w:asciiTheme="majorBidi" w:hAnsiTheme="majorBidi" w:cstheme="majorBidi"/>
          <w:sz w:val="24"/>
          <w:szCs w:val="24"/>
        </w:rPr>
      </w:pPr>
      <w:r w:rsidRPr="004D566D">
        <w:rPr>
          <w:rFonts w:asciiTheme="majorBidi" w:hAnsiTheme="majorBidi" w:cstheme="majorBidi"/>
          <w:sz w:val="24"/>
          <w:szCs w:val="24"/>
        </w:rPr>
        <w:t xml:space="preserve">Demographic variables of age (years), gender (female=1; male = 0). </w:t>
      </w:r>
    </w:p>
    <w:p w14:paraId="107E1588" w14:textId="77777777" w:rsidR="00236DD2" w:rsidRPr="004D566D" w:rsidRDefault="00236DD2" w:rsidP="004D566D">
      <w:pPr>
        <w:autoSpaceDE w:val="0"/>
        <w:autoSpaceDN w:val="0"/>
        <w:adjustRightInd w:val="0"/>
        <w:spacing w:after="0" w:line="360" w:lineRule="auto"/>
        <w:ind w:right="60"/>
        <w:rPr>
          <w:rFonts w:asciiTheme="majorBidi" w:hAnsiTheme="majorBidi" w:cstheme="majorBidi"/>
          <w:sz w:val="24"/>
          <w:szCs w:val="24"/>
        </w:rPr>
      </w:pPr>
      <w:r w:rsidRPr="004D566D">
        <w:rPr>
          <w:rFonts w:asciiTheme="majorBidi" w:hAnsiTheme="majorBidi" w:cstheme="majorBidi"/>
          <w:sz w:val="24"/>
          <w:szCs w:val="24"/>
        </w:rPr>
        <w:t xml:space="preserve">Ethnicity was recoded into a binary variable (1= White British/Irish or White non-British/Irish; 0 = Indian, Pakistani, Chinese, Afro-Caribbean, African, Arab, Bangladeshi, Other Asian, or </w:t>
      </w:r>
      <w:proofErr w:type="gramStart"/>
      <w:r w:rsidRPr="004D566D">
        <w:rPr>
          <w:rFonts w:asciiTheme="majorBidi" w:hAnsiTheme="majorBidi" w:cstheme="majorBidi"/>
          <w:sz w:val="24"/>
          <w:szCs w:val="24"/>
        </w:rPr>
        <w:t>Other</w:t>
      </w:r>
      <w:proofErr w:type="gramEnd"/>
      <w:r w:rsidRPr="004D566D">
        <w:rPr>
          <w:rFonts w:asciiTheme="majorBidi" w:hAnsiTheme="majorBidi" w:cstheme="majorBidi"/>
          <w:sz w:val="24"/>
          <w:szCs w:val="24"/>
        </w:rPr>
        <w:t xml:space="preserve"> ethnic group).</w:t>
      </w:r>
    </w:p>
    <w:p w14:paraId="500CC5BB" w14:textId="77777777" w:rsidR="00236DD2" w:rsidRPr="004D566D" w:rsidRDefault="00236DD2" w:rsidP="004D566D">
      <w:pPr>
        <w:autoSpaceDE w:val="0"/>
        <w:autoSpaceDN w:val="0"/>
        <w:adjustRightInd w:val="0"/>
        <w:spacing w:after="0" w:line="360" w:lineRule="auto"/>
        <w:ind w:left="60" w:right="60"/>
        <w:rPr>
          <w:rFonts w:asciiTheme="majorBidi" w:hAnsiTheme="majorBidi" w:cstheme="majorBidi"/>
          <w:sz w:val="24"/>
          <w:szCs w:val="24"/>
        </w:rPr>
      </w:pPr>
    </w:p>
    <w:p w14:paraId="150A656D" w14:textId="77777777" w:rsidR="00236DD2" w:rsidRPr="004D566D" w:rsidRDefault="00236DD2" w:rsidP="004D566D">
      <w:pPr>
        <w:spacing w:line="360" w:lineRule="auto"/>
        <w:rPr>
          <w:rFonts w:asciiTheme="majorBidi" w:hAnsiTheme="majorBidi" w:cstheme="majorBidi"/>
          <w:sz w:val="24"/>
          <w:szCs w:val="24"/>
        </w:rPr>
      </w:pPr>
      <w:r w:rsidRPr="004D566D">
        <w:rPr>
          <w:rFonts w:asciiTheme="majorBidi" w:hAnsiTheme="majorBidi" w:cstheme="majorBidi"/>
          <w:sz w:val="24"/>
          <w:szCs w:val="24"/>
          <w:shd w:val="clear" w:color="auto" w:fill="FFFFFF"/>
        </w:rPr>
        <w:t>Income: Participants were asked “Please choose from the following options to indicate your approximate gross (before tax is taken away) household income in 2019 (last year). Include income from partners and other family members living with you and all kinds of earnings including salaries and benefits” to choose one of 5 categories: “</w:t>
      </w:r>
      <w:r w:rsidRPr="004D566D">
        <w:rPr>
          <w:rFonts w:asciiTheme="majorBidi" w:hAnsiTheme="majorBidi" w:cstheme="majorBidi"/>
          <w:sz w:val="24"/>
          <w:szCs w:val="24"/>
        </w:rPr>
        <w:t>£0 - £300 per week (equals about £0 - £1290 per month or £0 - 15,490 per year)”, “£301 - £490 per week (equals about £1,291 - £2,110 per month or £15,491 - £25,340 per year)”, “£491 - £740 per week (equals about £2,111 - £3,230 per month or £25,341 - £38,740 per year)”, “£741 - £1,111 per week (equals about £3,231 - £4,830 per month or £38,741 - £57,930 per year)”, and “£1,112 or more per week (equals about £4,831 or more per month or £57,931 or more per year)”.</w:t>
      </w:r>
    </w:p>
    <w:p w14:paraId="4AE1B128" w14:textId="77777777" w:rsidR="00236DD2" w:rsidRPr="004D566D" w:rsidRDefault="00236DD2"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Urbanicity: Participants were asked “</w:t>
      </w:r>
      <w:r w:rsidRPr="004D566D">
        <w:rPr>
          <w:rFonts w:asciiTheme="majorBidi" w:hAnsiTheme="majorBidi" w:cstheme="majorBidi"/>
          <w:sz w:val="24"/>
          <w:szCs w:val="24"/>
          <w:shd w:val="clear" w:color="auto" w:fill="FFFFFF"/>
        </w:rPr>
        <w:t>Do you consider yourself to live in:” and were required to choose one of the options provided: ‘</w:t>
      </w:r>
      <w:r w:rsidRPr="004D566D">
        <w:rPr>
          <w:rFonts w:asciiTheme="majorBidi" w:hAnsiTheme="majorBidi" w:cstheme="majorBidi"/>
          <w:sz w:val="24"/>
          <w:szCs w:val="24"/>
        </w:rPr>
        <w:t>City’, ‘Suburb’, ‘Town’, or ‘Rural’. The variable was recoded to a binary variable representing urbanicity (1= City; 0 = Suburb, Town, or Rural).</w:t>
      </w:r>
    </w:p>
    <w:p w14:paraId="4F562BF7" w14:textId="77777777" w:rsidR="00236DD2" w:rsidRPr="004D566D" w:rsidRDefault="00236DD2"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 xml:space="preserve">Employment: Participants were asked to select if they were Employed full time, </w:t>
      </w:r>
      <w:proofErr w:type="gramStart"/>
      <w:r w:rsidRPr="004D566D">
        <w:rPr>
          <w:rFonts w:asciiTheme="majorBidi" w:hAnsiTheme="majorBidi" w:cstheme="majorBidi"/>
          <w:sz w:val="24"/>
          <w:szCs w:val="24"/>
        </w:rPr>
        <w:t>Employed</w:t>
      </w:r>
      <w:proofErr w:type="gramEnd"/>
      <w:r w:rsidRPr="004D566D">
        <w:rPr>
          <w:rFonts w:asciiTheme="majorBidi" w:hAnsiTheme="majorBidi" w:cstheme="majorBidi"/>
          <w:sz w:val="24"/>
          <w:szCs w:val="24"/>
        </w:rPr>
        <w:t xml:space="preserve"> part time, Unemployed looking for work, Unemployed not looking for work, Retired, Student or Disabled. These were recoded as binary variable with the first 2 options labelled ‘Economically active’ (1) and ‘Economically inactive’ (0).</w:t>
      </w:r>
    </w:p>
    <w:p w14:paraId="37E173CE" w14:textId="77777777" w:rsidR="00236DD2" w:rsidRPr="004D566D" w:rsidRDefault="00236DD2" w:rsidP="004D566D">
      <w:pPr>
        <w:spacing w:line="360" w:lineRule="auto"/>
        <w:rPr>
          <w:rFonts w:asciiTheme="majorBidi" w:hAnsiTheme="majorBidi" w:cstheme="majorBidi"/>
          <w:sz w:val="24"/>
          <w:szCs w:val="24"/>
          <w:shd w:val="clear" w:color="auto" w:fill="FFFFFF"/>
        </w:rPr>
      </w:pPr>
      <w:r w:rsidRPr="004D566D">
        <w:rPr>
          <w:rFonts w:asciiTheme="majorBidi" w:hAnsiTheme="majorBidi" w:cstheme="majorBidi"/>
          <w:sz w:val="24"/>
          <w:szCs w:val="24"/>
        </w:rPr>
        <w:lastRenderedPageBreak/>
        <w:t>Lone adult: Participants were asked “</w:t>
      </w:r>
      <w:r w:rsidRPr="004D566D">
        <w:rPr>
          <w:rFonts w:asciiTheme="majorBidi" w:hAnsiTheme="majorBidi" w:cstheme="majorBidi"/>
          <w:sz w:val="24"/>
          <w:szCs w:val="24"/>
          <w:shd w:val="clear" w:color="auto" w:fill="FFFFFF"/>
        </w:rPr>
        <w:t xml:space="preserve">How many adults (18 years or above) live in your household (including yourself)?” and were provided with options ranging from ‘1’ to ’10 or more’. The data were recoded into a binary variable to represent lone adult household status (1 = lone adult; 0 = more than 1 adult in the household). </w:t>
      </w:r>
    </w:p>
    <w:p w14:paraId="5F246DD7" w14:textId="77777777" w:rsidR="00236DD2" w:rsidRPr="004D566D" w:rsidRDefault="00236DD2" w:rsidP="004D566D">
      <w:pPr>
        <w:spacing w:line="360" w:lineRule="auto"/>
        <w:rPr>
          <w:rFonts w:asciiTheme="majorBidi" w:hAnsiTheme="majorBidi" w:cstheme="majorBidi"/>
          <w:sz w:val="24"/>
          <w:szCs w:val="24"/>
          <w:shd w:val="clear" w:color="auto" w:fill="FFFFFF"/>
        </w:rPr>
      </w:pPr>
      <w:r w:rsidRPr="004D566D">
        <w:rPr>
          <w:rFonts w:asciiTheme="majorBidi" w:hAnsiTheme="majorBidi" w:cstheme="majorBidi"/>
          <w:sz w:val="24"/>
          <w:szCs w:val="24"/>
        </w:rPr>
        <w:t xml:space="preserve">Children at home: </w:t>
      </w:r>
      <w:r w:rsidRPr="004D566D">
        <w:rPr>
          <w:rFonts w:asciiTheme="majorBidi" w:hAnsiTheme="majorBidi" w:cstheme="majorBidi"/>
          <w:sz w:val="24"/>
          <w:szCs w:val="24"/>
          <w:shd w:val="clear" w:color="auto" w:fill="FFFFFF"/>
        </w:rPr>
        <w:t xml:space="preserve">Participants were asked “How many children (below the age of 18) live in your household?” and were provided with options ranging from ‘1’ to ’10 or more’. The scores were categorised into a binary variable (1= </w:t>
      </w:r>
      <w:r w:rsidRPr="004D566D">
        <w:rPr>
          <w:rFonts w:asciiTheme="majorBidi" w:hAnsiTheme="majorBidi" w:cstheme="majorBidi"/>
          <w:sz w:val="24"/>
          <w:szCs w:val="24"/>
        </w:rPr>
        <w:t>At least one dependent child in the household; 0 = No dependent children in the household</w:t>
      </w:r>
      <w:r w:rsidRPr="004D566D">
        <w:rPr>
          <w:rFonts w:asciiTheme="majorBidi" w:hAnsiTheme="majorBidi" w:cstheme="majorBidi"/>
          <w:sz w:val="24"/>
          <w:szCs w:val="24"/>
          <w:shd w:val="clear" w:color="auto" w:fill="FFFFFF"/>
        </w:rPr>
        <w:t>).</w:t>
      </w:r>
    </w:p>
    <w:p w14:paraId="1396C04D" w14:textId="77777777" w:rsidR="00236DD2" w:rsidRPr="004D566D" w:rsidRDefault="00236DD2" w:rsidP="004D566D">
      <w:pPr>
        <w:autoSpaceDE w:val="0"/>
        <w:autoSpaceDN w:val="0"/>
        <w:adjustRightInd w:val="0"/>
        <w:spacing w:after="0" w:line="360" w:lineRule="auto"/>
        <w:ind w:left="60" w:right="60"/>
        <w:rPr>
          <w:rFonts w:asciiTheme="majorBidi" w:hAnsiTheme="majorBidi" w:cstheme="majorBidi"/>
          <w:sz w:val="24"/>
          <w:szCs w:val="24"/>
        </w:rPr>
      </w:pPr>
      <w:r w:rsidRPr="004D566D">
        <w:rPr>
          <w:rFonts w:asciiTheme="majorBidi" w:hAnsiTheme="majorBidi" w:cstheme="majorBidi"/>
          <w:sz w:val="24"/>
          <w:szCs w:val="24"/>
        </w:rPr>
        <w:t xml:space="preserve">Loss of income: </w:t>
      </w:r>
      <w:r w:rsidRPr="004D566D">
        <w:rPr>
          <w:rFonts w:asciiTheme="majorBidi" w:hAnsiTheme="majorBidi" w:cstheme="majorBidi"/>
          <w:sz w:val="24"/>
          <w:szCs w:val="24"/>
          <w:shd w:val="clear" w:color="auto" w:fill="FFFFFF"/>
        </w:rPr>
        <w:t>Participants were asked “</w:t>
      </w:r>
      <w:r w:rsidRPr="004D566D">
        <w:rPr>
          <w:rFonts w:asciiTheme="majorBidi" w:hAnsiTheme="majorBidi" w:cstheme="majorBidi"/>
          <w:sz w:val="24"/>
          <w:szCs w:val="24"/>
        </w:rPr>
        <w:t>Some people have lost income because of the coronavirus COVID-19 pandemic, for example because they have not been able to work as much or because business contracts have been cancelled or delayed. Please indicate whether your household has been affected in this way” and the response options were “My household has lost income because of the coronavirus COVID-19 pandemic”, “My household has not lost income because of the coronavirus COVID-19 pandemic”, “I do not know whether my household has lost income because of the coronavirus COVID-19 pandemic”. The first option was considered as ‘Yes’ (1) and the other options were collapsed to represent ‘No’.</w:t>
      </w:r>
    </w:p>
    <w:p w14:paraId="195C12BB" w14:textId="77777777" w:rsidR="00236DD2" w:rsidRPr="004D566D" w:rsidRDefault="00236DD2" w:rsidP="004D566D">
      <w:pPr>
        <w:autoSpaceDE w:val="0"/>
        <w:autoSpaceDN w:val="0"/>
        <w:adjustRightInd w:val="0"/>
        <w:spacing w:after="0" w:line="360" w:lineRule="auto"/>
        <w:ind w:left="60" w:right="60"/>
        <w:rPr>
          <w:rFonts w:asciiTheme="majorBidi" w:hAnsiTheme="majorBidi" w:cstheme="majorBidi"/>
          <w:sz w:val="24"/>
          <w:szCs w:val="24"/>
        </w:rPr>
      </w:pPr>
    </w:p>
    <w:p w14:paraId="7C4751B8" w14:textId="77777777" w:rsidR="00236DD2" w:rsidRPr="004D566D" w:rsidRDefault="00236DD2"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History of mental health treatment: Participants were asked “</w:t>
      </w:r>
      <w:r w:rsidRPr="004D566D">
        <w:rPr>
          <w:rFonts w:asciiTheme="majorBidi" w:hAnsiTheme="majorBidi" w:cstheme="majorBidi"/>
          <w:bCs/>
          <w:sz w:val="24"/>
          <w:szCs w:val="24"/>
        </w:rPr>
        <w:t>Mental health difficulties are very common. It will help us understand our survey results if you would tell us whether you currently or have in the past received treatment (medication or talking therapies) for these kind of difficulties”, and the response categories were ‘</w:t>
      </w:r>
      <w:r w:rsidRPr="004D566D">
        <w:rPr>
          <w:rFonts w:asciiTheme="majorBidi" w:hAnsiTheme="majorBidi" w:cstheme="majorBidi"/>
          <w:sz w:val="24"/>
          <w:szCs w:val="24"/>
        </w:rPr>
        <w:t xml:space="preserve">I have never received treatment for mental health problems’, ‘I have received treatment for mental health problems in the past’, ‘I'm currently receiving treatment for mental health problems’, and ‘I prefer not to answer this question’. The responses were recoded into a binary variable to represent ‘Mental health treatment (1= ‘I have received treatment for mental health problems in the past’ or ‘I'm currently receiving treatment for mental health problems’) and ‘No mental health treatment’ (0= </w:t>
      </w:r>
      <w:r w:rsidRPr="004D566D">
        <w:rPr>
          <w:rFonts w:asciiTheme="majorBidi" w:hAnsiTheme="majorBidi" w:cstheme="majorBidi"/>
          <w:bCs/>
          <w:sz w:val="24"/>
          <w:szCs w:val="24"/>
        </w:rPr>
        <w:t>‘</w:t>
      </w:r>
      <w:r w:rsidRPr="004D566D">
        <w:rPr>
          <w:rFonts w:asciiTheme="majorBidi" w:hAnsiTheme="majorBidi" w:cstheme="majorBidi"/>
          <w:sz w:val="24"/>
          <w:szCs w:val="24"/>
        </w:rPr>
        <w:t>I have never received treatment for mental health problems’ or ‘I prefer not to answer this question’).</w:t>
      </w:r>
    </w:p>
    <w:p w14:paraId="5716EC1D" w14:textId="77777777" w:rsidR="00236DD2" w:rsidRPr="004D566D" w:rsidRDefault="00236DD2" w:rsidP="004D566D">
      <w:pPr>
        <w:spacing w:line="360" w:lineRule="auto"/>
        <w:rPr>
          <w:rFonts w:asciiTheme="majorBidi" w:hAnsiTheme="majorBidi" w:cstheme="majorBidi"/>
          <w:sz w:val="24"/>
          <w:szCs w:val="24"/>
          <w:shd w:val="clear" w:color="auto" w:fill="FFFFFF"/>
        </w:rPr>
      </w:pPr>
      <w:r w:rsidRPr="004D566D">
        <w:rPr>
          <w:rFonts w:asciiTheme="majorBidi" w:hAnsiTheme="majorBidi" w:cstheme="majorBidi"/>
          <w:sz w:val="24"/>
          <w:szCs w:val="24"/>
          <w:shd w:val="clear" w:color="auto" w:fill="FFFFFF"/>
        </w:rPr>
        <w:t xml:space="preserve">Chronic illness: Participants were asked “Do you have diabetes, lung disease, or heart disease?” and the response options were ‘Yes’ (1) and ‘No’ (0). They were also asked “Do </w:t>
      </w:r>
      <w:r w:rsidRPr="004D566D">
        <w:rPr>
          <w:rFonts w:asciiTheme="majorBidi" w:hAnsiTheme="majorBidi" w:cstheme="majorBidi"/>
          <w:sz w:val="24"/>
          <w:szCs w:val="24"/>
          <w:shd w:val="clear" w:color="auto" w:fill="FFFFFF"/>
        </w:rPr>
        <w:lastRenderedPageBreak/>
        <w:t xml:space="preserve">any of your immediate family have diabetes, lung disease, or heart disease?” and the response options were ‘Yes’ (1) and ‘No’ (0). </w:t>
      </w:r>
    </w:p>
    <w:p w14:paraId="256D0082" w14:textId="77777777" w:rsidR="00236DD2" w:rsidRPr="004D566D" w:rsidRDefault="00236DD2" w:rsidP="004D566D">
      <w:pPr>
        <w:spacing w:line="360" w:lineRule="auto"/>
        <w:rPr>
          <w:rFonts w:asciiTheme="majorBidi" w:eastAsia="Times New Roman" w:hAnsiTheme="majorBidi" w:cstheme="majorBidi"/>
          <w:sz w:val="24"/>
          <w:szCs w:val="24"/>
          <w:shd w:val="clear" w:color="auto" w:fill="FFFFFF"/>
          <w:lang w:eastAsia="en-GB"/>
        </w:rPr>
      </w:pPr>
      <w:r w:rsidRPr="004D566D">
        <w:rPr>
          <w:rFonts w:asciiTheme="majorBidi" w:eastAsia="Times New Roman" w:hAnsiTheme="majorBidi" w:cstheme="majorBidi"/>
          <w:sz w:val="24"/>
          <w:szCs w:val="24"/>
          <w:shd w:val="clear" w:color="auto" w:fill="FFFFFF"/>
          <w:lang w:eastAsia="en-GB"/>
        </w:rPr>
        <w:t>Perceived risk of COVID-19 infection: Participants were asked “</w:t>
      </w:r>
      <w:r w:rsidRPr="004D566D">
        <w:rPr>
          <w:rFonts w:asciiTheme="majorBidi" w:hAnsiTheme="majorBidi" w:cstheme="majorBidi"/>
          <w:sz w:val="24"/>
          <w:szCs w:val="24"/>
          <w:shd w:val="clear" w:color="auto" w:fill="FFFFFF"/>
        </w:rPr>
        <w:t xml:space="preserve">What do you think is your personal percentage risk of being infected with the COVID-19 virus in the next month?” Responses were collected on a </w:t>
      </w:r>
      <w:r w:rsidRPr="004D566D">
        <w:rPr>
          <w:rFonts w:asciiTheme="majorBidi" w:eastAsia="Times New Roman" w:hAnsiTheme="majorBidi" w:cstheme="majorBidi"/>
          <w:sz w:val="24"/>
          <w:szCs w:val="24"/>
          <w:lang w:eastAsia="en-GB"/>
        </w:rPr>
        <w:t xml:space="preserve">slider scale which had </w:t>
      </w:r>
      <w:r w:rsidRPr="004D566D">
        <w:rPr>
          <w:rFonts w:asciiTheme="majorBidi" w:eastAsia="Times New Roman" w:hAnsiTheme="majorBidi" w:cstheme="majorBidi"/>
          <w:sz w:val="24"/>
          <w:szCs w:val="24"/>
          <w:shd w:val="clear" w:color="auto" w:fill="FFFFFF"/>
          <w:lang w:eastAsia="en-GB"/>
        </w:rPr>
        <w:t>‘0’ and ‘100’ at the left and right hand extremes respectively, showed 10 point increments, and the labels ‘No Risk’, ‘Moderate Risk’ and ‘Great Risk’ were shown on the left, middle and right-hand part of the scale, respectively.</w:t>
      </w:r>
      <w:r w:rsidRPr="004D566D">
        <w:rPr>
          <w:rFonts w:asciiTheme="majorBidi" w:eastAsia="Times New Roman" w:hAnsiTheme="majorBidi" w:cstheme="majorBidi"/>
          <w:sz w:val="24"/>
          <w:szCs w:val="24"/>
          <w:lang w:eastAsia="en-GB"/>
        </w:rPr>
        <w:t xml:space="preserve"> This produced a continuous score ranging from 0 to 100 with higher scores reflecting higher levels of perceived risk of being infected by </w:t>
      </w:r>
      <w:r w:rsidRPr="004D566D">
        <w:rPr>
          <w:rFonts w:asciiTheme="majorBidi" w:eastAsia="Times New Roman" w:hAnsiTheme="majorBidi" w:cstheme="majorBidi"/>
          <w:sz w:val="24"/>
          <w:szCs w:val="24"/>
          <w:shd w:val="clear" w:color="auto" w:fill="FFFFFF"/>
          <w:lang w:eastAsia="en-GB"/>
        </w:rPr>
        <w:t>COVID-19. The scores were recoded into ‘Low’ (0 - 33), ‘Moderate’ (34 - 67), and ‘High’ (68 - 100).</w:t>
      </w:r>
    </w:p>
    <w:p w14:paraId="61B94B40" w14:textId="6EC6E46E" w:rsidR="00236DD2" w:rsidRPr="004D566D" w:rsidRDefault="00236DD2" w:rsidP="004D566D">
      <w:pPr>
        <w:spacing w:line="360" w:lineRule="auto"/>
        <w:rPr>
          <w:rFonts w:asciiTheme="majorBidi" w:hAnsiTheme="majorBidi" w:cstheme="majorBidi"/>
          <w:bCs/>
          <w:sz w:val="24"/>
          <w:szCs w:val="24"/>
        </w:rPr>
      </w:pPr>
      <w:r w:rsidRPr="004D566D">
        <w:rPr>
          <w:rFonts w:asciiTheme="majorBidi" w:hAnsiTheme="majorBidi" w:cstheme="majorBidi"/>
          <w:sz w:val="24"/>
          <w:szCs w:val="24"/>
          <w:shd w:val="clear" w:color="auto" w:fill="FFFFFF"/>
        </w:rPr>
        <w:t>C</w:t>
      </w:r>
      <w:r w:rsidR="002D5E5F" w:rsidRPr="004D566D">
        <w:rPr>
          <w:rFonts w:asciiTheme="majorBidi" w:hAnsiTheme="majorBidi" w:cstheme="majorBidi"/>
          <w:sz w:val="24"/>
          <w:szCs w:val="24"/>
          <w:shd w:val="clear" w:color="auto" w:fill="FFFFFF"/>
        </w:rPr>
        <w:t>OVID</w:t>
      </w:r>
      <w:r w:rsidRPr="004D566D">
        <w:rPr>
          <w:rFonts w:asciiTheme="majorBidi" w:hAnsiTheme="majorBidi" w:cstheme="majorBidi"/>
          <w:sz w:val="24"/>
          <w:szCs w:val="24"/>
          <w:shd w:val="clear" w:color="auto" w:fill="FFFFFF"/>
        </w:rPr>
        <w:t xml:space="preserve">-19 status, self and other: </w:t>
      </w:r>
      <w:r w:rsidRPr="004D566D">
        <w:rPr>
          <w:rFonts w:asciiTheme="majorBidi" w:hAnsiTheme="majorBidi" w:cstheme="majorBidi"/>
          <w:sz w:val="24"/>
          <w:szCs w:val="24"/>
        </w:rPr>
        <w:t>Participants were asked “</w:t>
      </w:r>
      <w:r w:rsidRPr="004D566D">
        <w:rPr>
          <w:rFonts w:asciiTheme="majorBidi" w:hAnsiTheme="majorBidi" w:cstheme="majorBidi"/>
          <w:bCs/>
          <w:sz w:val="24"/>
          <w:szCs w:val="24"/>
        </w:rPr>
        <w:t>Have you been infected by the coronavirus COVID-19?” and six responses were provided. These were collapsed into a binary variable representing ‘COVID-19 infection’. Positive perceived infection status was based on the selection of either, ‘</w:t>
      </w:r>
      <w:r w:rsidRPr="004D566D">
        <w:rPr>
          <w:rFonts w:asciiTheme="majorBidi" w:hAnsiTheme="majorBidi" w:cstheme="majorBidi"/>
          <w:sz w:val="24"/>
          <w:szCs w:val="24"/>
        </w:rPr>
        <w:t xml:space="preserve">I have the symptoms of the COVID-19 virus and think I may have been infected’ or ‘I have been infected by the COVID-19 virus and this has been confirmed by a test’. </w:t>
      </w:r>
      <w:r w:rsidRPr="004D566D">
        <w:rPr>
          <w:rFonts w:asciiTheme="majorBidi" w:hAnsiTheme="majorBidi" w:cstheme="majorBidi"/>
          <w:bCs/>
          <w:sz w:val="24"/>
          <w:szCs w:val="24"/>
        </w:rPr>
        <w:t>Negative perceived infection status was based on the selection of either, ‘</w:t>
      </w:r>
      <w:r w:rsidRPr="004D566D">
        <w:rPr>
          <w:rFonts w:asciiTheme="majorBidi" w:hAnsiTheme="majorBidi" w:cstheme="majorBidi"/>
          <w:sz w:val="24"/>
          <w:szCs w:val="24"/>
        </w:rPr>
        <w:t>No. I have been tested for COVID-19 and the test was negative’, ‘No, I do not have any symptoms of COVID-19’, ‘I have a few symptoms of cold or flu but I do not think I am infected with the COVID-19 virus’ or ‘I may have previously been infected by COVID-19 but this was not confirmed by a test and I have since recovered’. Positive status (self) was coded ‘1’ and negative status coded as ‘0’. Participants were also asked “</w:t>
      </w:r>
      <w:r w:rsidRPr="004D566D">
        <w:rPr>
          <w:rFonts w:asciiTheme="majorBidi" w:hAnsiTheme="majorBidi" w:cstheme="majorBidi"/>
          <w:bCs/>
          <w:sz w:val="24"/>
          <w:szCs w:val="24"/>
        </w:rPr>
        <w:t>Has someone close to you (a family member or friend) been infected by the coronavirus COVID-19?” and four responses were provided. These were collapsed into a binary variable representing ‘Perceived infection status – someone close’. Positive perceived infection status was based on the selection of either, ‘</w:t>
      </w:r>
      <w:r w:rsidRPr="004D566D">
        <w:rPr>
          <w:rFonts w:asciiTheme="majorBidi" w:hAnsiTheme="majorBidi" w:cstheme="majorBidi"/>
          <w:sz w:val="24"/>
          <w:szCs w:val="24"/>
        </w:rPr>
        <w:t xml:space="preserve">Someone close to me has symptoms, and I suspect that person has been infected’ or ‘Someone who is close to me has had a COVID-19 virus infection confirmed by a doctor’. </w:t>
      </w:r>
      <w:r w:rsidRPr="004D566D">
        <w:rPr>
          <w:rFonts w:asciiTheme="majorBidi" w:hAnsiTheme="majorBidi" w:cstheme="majorBidi"/>
          <w:bCs/>
          <w:sz w:val="24"/>
          <w:szCs w:val="24"/>
        </w:rPr>
        <w:t>Negative perceived infection status was based on the selection of either, ‘</w:t>
      </w:r>
      <w:r w:rsidRPr="004D566D">
        <w:rPr>
          <w:rFonts w:asciiTheme="majorBidi" w:hAnsiTheme="majorBidi" w:cstheme="majorBidi"/>
          <w:sz w:val="24"/>
          <w:szCs w:val="24"/>
        </w:rPr>
        <w:t>No’ or ‘Someone close to me has symptoms, but I am not sure if that person is infected’. Positive status (other) was coded ‘1’ and negative status coded as ‘0’.</w:t>
      </w:r>
    </w:p>
    <w:p w14:paraId="1C88AFCB" w14:textId="77777777" w:rsidR="00236DD2" w:rsidRPr="004D566D" w:rsidRDefault="00236DD2" w:rsidP="004D566D">
      <w:pPr>
        <w:autoSpaceDE w:val="0"/>
        <w:autoSpaceDN w:val="0"/>
        <w:adjustRightInd w:val="0"/>
        <w:spacing w:after="0" w:line="360" w:lineRule="auto"/>
        <w:rPr>
          <w:rFonts w:asciiTheme="majorBidi" w:hAnsiTheme="majorBidi" w:cstheme="majorBidi"/>
          <w:sz w:val="24"/>
          <w:szCs w:val="24"/>
        </w:rPr>
      </w:pPr>
      <w:r w:rsidRPr="004D566D">
        <w:rPr>
          <w:rFonts w:asciiTheme="majorBidi" w:hAnsiTheme="majorBidi" w:cstheme="majorBidi"/>
          <w:sz w:val="24"/>
          <w:szCs w:val="24"/>
        </w:rPr>
        <w:t>Pregnant: Participants were asked ‘Are you pregnant?’ and ‘Are any of your immediate family pregnant at this time?’ and responses were Yes (1) or No (0).</w:t>
      </w:r>
    </w:p>
    <w:p w14:paraId="42CCB48B" w14:textId="77777777" w:rsidR="00236DD2" w:rsidRPr="004D566D" w:rsidRDefault="00236DD2" w:rsidP="004D566D">
      <w:pPr>
        <w:autoSpaceDE w:val="0"/>
        <w:autoSpaceDN w:val="0"/>
        <w:adjustRightInd w:val="0"/>
        <w:spacing w:after="0" w:line="360" w:lineRule="auto"/>
        <w:rPr>
          <w:rFonts w:asciiTheme="majorBidi" w:hAnsiTheme="majorBidi" w:cstheme="majorBidi"/>
          <w:sz w:val="24"/>
          <w:szCs w:val="24"/>
        </w:rPr>
      </w:pPr>
    </w:p>
    <w:p w14:paraId="4237225F" w14:textId="10250A1A" w:rsidR="00236DD2" w:rsidRPr="004D566D" w:rsidRDefault="00236DD2" w:rsidP="004D566D">
      <w:pPr>
        <w:pStyle w:val="NormalWeb"/>
        <w:spacing w:before="0" w:beforeAutospacing="0" w:after="0" w:afterAutospacing="0" w:line="360" w:lineRule="auto"/>
        <w:rPr>
          <w:rFonts w:asciiTheme="majorBidi" w:hAnsiTheme="majorBidi" w:cstheme="majorBidi"/>
          <w:noProof/>
        </w:rPr>
      </w:pPr>
      <w:r w:rsidRPr="004D566D">
        <w:rPr>
          <w:rFonts w:asciiTheme="majorBidi" w:hAnsiTheme="majorBidi" w:cstheme="majorBidi"/>
          <w:color w:val="000000"/>
        </w:rPr>
        <w:lastRenderedPageBreak/>
        <w:t>Loneliness: The three-item Loneliness Scale asks participants to indicate how often they feel they lack companionship, left out, and isolated from others</w:t>
      </w:r>
      <w:r w:rsidR="004D566D">
        <w:rPr>
          <w:rFonts w:asciiTheme="majorBidi" w:hAnsiTheme="majorBidi" w:cstheme="majorBidi"/>
          <w:color w:val="000000"/>
        </w:rPr>
        <w:t xml:space="preserve"> </w:t>
      </w:r>
      <w:r w:rsidR="004D566D">
        <w:rPr>
          <w:rFonts w:asciiTheme="majorBidi" w:hAnsiTheme="majorBidi" w:cstheme="majorBidi"/>
          <w:color w:val="000000"/>
        </w:rPr>
        <w:fldChar w:fldCharType="begin"/>
      </w:r>
      <w:r w:rsidR="004D566D">
        <w:rPr>
          <w:rFonts w:asciiTheme="majorBidi" w:hAnsiTheme="majorBidi" w:cstheme="majorBidi"/>
          <w:color w:val="000000"/>
        </w:rPr>
        <w:instrText xml:space="preserve"> ADDIN EN.CITE &lt;EndNote&gt;&lt;Cite&gt;&lt;Author&gt;Hughes&lt;/Author&gt;&lt;Year&gt;2004&lt;/Year&gt;&lt;RecNum&gt;31&lt;/RecNum&gt;&lt;DisplayText&gt;(Hughes, Waite, Hawkley, &amp;amp; Cacioppo, 2004)&lt;/DisplayText&gt;&lt;record&gt;&lt;rec-number&gt;31&lt;/rec-number&gt;&lt;foreign-keys&gt;&lt;key app="EN" db-id="rrfxr5xf6ff9vhez95u5prs0rarwezxxzxzz" timestamp="1606741809"&gt;31&lt;/key&gt;&lt;/foreign-keys&gt;&lt;ref-type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Aging&lt;/full-title&gt;&lt;abbr-1&gt;Res Aging&lt;/abbr-1&gt;&lt;/periodical&gt;&lt;pages&gt;655-672&lt;/pages&gt;&lt;volume&gt;26&lt;/volume&gt;&lt;number&gt;6&lt;/number&gt;&lt;dates&gt;&lt;year&gt;2004&lt;/year&gt;&lt;/dates&gt;&lt;isbn&gt;0164-0275&lt;/isbn&gt;&lt;urls&gt;&lt;/urls&gt;&lt;/record&gt;&lt;/Cite&gt;&lt;/EndNote&gt;</w:instrText>
      </w:r>
      <w:r w:rsidR="004D566D">
        <w:rPr>
          <w:rFonts w:asciiTheme="majorBidi" w:hAnsiTheme="majorBidi" w:cstheme="majorBidi"/>
          <w:color w:val="000000"/>
        </w:rPr>
        <w:fldChar w:fldCharType="separate"/>
      </w:r>
      <w:r w:rsidR="004D566D">
        <w:rPr>
          <w:rFonts w:asciiTheme="majorBidi" w:hAnsiTheme="majorBidi" w:cstheme="majorBidi"/>
          <w:noProof/>
          <w:color w:val="000000"/>
        </w:rPr>
        <w:t>(Hughes, Waite, Hawkley, &amp; Cacioppo, 2004)</w:t>
      </w:r>
      <w:r w:rsidR="004D566D">
        <w:rPr>
          <w:rFonts w:asciiTheme="majorBidi" w:hAnsiTheme="majorBidi" w:cstheme="majorBidi"/>
          <w:color w:val="000000"/>
        </w:rPr>
        <w:fldChar w:fldCharType="end"/>
      </w:r>
      <w:r w:rsidR="004D566D">
        <w:rPr>
          <w:rFonts w:asciiTheme="majorBidi" w:hAnsiTheme="majorBidi" w:cstheme="majorBidi"/>
          <w:color w:val="000000"/>
        </w:rPr>
        <w:t>.</w:t>
      </w:r>
      <w:r w:rsidRPr="004D566D">
        <w:rPr>
          <w:rFonts w:asciiTheme="majorBidi" w:hAnsiTheme="majorBidi" w:cstheme="majorBidi"/>
          <w:color w:val="000000"/>
        </w:rPr>
        <w:t xml:space="preserve"> Responses are scored using a three-point scale including (1) ‘Hardly Ever’, (2) ‘Sometimes’, and (3) ‘Often’. Possible scores range from 3 to 9 with higher scores indicating higher levels of loneliness. The internal reliability of the scale scores in this sample was good (</w:t>
      </w:r>
      <w:r w:rsidRPr="004D566D">
        <w:rPr>
          <w:rFonts w:asciiTheme="majorBidi" w:hAnsiTheme="majorBidi" w:cstheme="majorBidi"/>
          <w:i/>
        </w:rPr>
        <w:t xml:space="preserve">α </w:t>
      </w:r>
      <w:r w:rsidRPr="004D566D">
        <w:rPr>
          <w:rFonts w:asciiTheme="majorBidi" w:hAnsiTheme="majorBidi" w:cstheme="majorBidi"/>
        </w:rPr>
        <w:t xml:space="preserve">= </w:t>
      </w:r>
      <w:r w:rsidRPr="004D566D">
        <w:rPr>
          <w:rFonts w:asciiTheme="majorBidi" w:hAnsiTheme="majorBidi" w:cstheme="majorBidi"/>
          <w:noProof/>
        </w:rPr>
        <w:t>.88).</w:t>
      </w:r>
    </w:p>
    <w:p w14:paraId="582E633D" w14:textId="77777777" w:rsidR="00236DD2" w:rsidRPr="004D566D" w:rsidRDefault="00236DD2" w:rsidP="004D566D">
      <w:pPr>
        <w:pStyle w:val="NormalWeb"/>
        <w:spacing w:before="0" w:beforeAutospacing="0" w:after="0" w:afterAutospacing="0" w:line="360" w:lineRule="auto"/>
        <w:rPr>
          <w:rFonts w:asciiTheme="majorBidi" w:hAnsiTheme="majorBidi" w:cstheme="majorBidi"/>
          <w:noProof/>
        </w:rPr>
      </w:pPr>
    </w:p>
    <w:p w14:paraId="06A1F501" w14:textId="096B1393" w:rsidR="00236DD2" w:rsidRPr="004D566D" w:rsidRDefault="00236DD2" w:rsidP="004D566D">
      <w:pPr>
        <w:spacing w:after="0" w:line="360" w:lineRule="auto"/>
        <w:rPr>
          <w:rFonts w:asciiTheme="majorBidi" w:eastAsia="Calibri" w:hAnsiTheme="majorBidi" w:cstheme="majorBidi"/>
          <w:sz w:val="24"/>
          <w:szCs w:val="24"/>
        </w:rPr>
      </w:pPr>
      <w:r w:rsidRPr="004D566D">
        <w:rPr>
          <w:rFonts w:asciiTheme="majorBidi" w:eastAsia="Calibri" w:hAnsiTheme="majorBidi" w:cstheme="majorBidi"/>
          <w:sz w:val="24"/>
          <w:szCs w:val="24"/>
          <w:lang w:val="en-IE"/>
        </w:rPr>
        <w:t>Resilience:</w:t>
      </w:r>
      <w:r w:rsidRPr="004D566D">
        <w:rPr>
          <w:rFonts w:asciiTheme="majorBidi" w:hAnsiTheme="majorBidi" w:cstheme="majorBidi"/>
          <w:sz w:val="24"/>
          <w:szCs w:val="24"/>
        </w:rPr>
        <w:t xml:space="preserve"> The </w:t>
      </w:r>
      <w:r w:rsidRPr="004D566D">
        <w:rPr>
          <w:rFonts w:asciiTheme="majorBidi" w:eastAsia="Calibri" w:hAnsiTheme="majorBidi" w:cstheme="majorBidi"/>
          <w:sz w:val="24"/>
          <w:szCs w:val="24"/>
          <w:lang w:val="en-IE"/>
        </w:rPr>
        <w:t>Brief Resilience Scale (BRS)</w:t>
      </w:r>
      <w:r w:rsidR="002C5A9B" w:rsidRPr="004D566D">
        <w:rPr>
          <w:rFonts w:asciiTheme="majorBidi" w:eastAsia="Calibri" w:hAnsiTheme="majorBidi" w:cstheme="majorBidi"/>
          <w:sz w:val="24"/>
          <w:szCs w:val="24"/>
          <w:lang w:val="en-IE"/>
        </w:rPr>
        <w:t xml:space="preserve"> </w:t>
      </w:r>
      <w:r w:rsidRPr="004D566D">
        <w:rPr>
          <w:rFonts w:asciiTheme="majorBidi" w:eastAsia="Calibri" w:hAnsiTheme="majorBidi" w:cstheme="majorBidi"/>
          <w:sz w:val="24"/>
          <w:szCs w:val="24"/>
          <w:lang w:val="en-IE"/>
        </w:rPr>
        <w:t>comprises six-items answered using a five-point Likert scale ranging from ‘Strongly Disagree’ (1) to ‘Strongly Agree’ (5)</w:t>
      </w:r>
      <w:r w:rsidR="004D566D">
        <w:rPr>
          <w:rFonts w:asciiTheme="majorBidi" w:eastAsia="Calibri" w:hAnsiTheme="majorBidi" w:cstheme="majorBidi"/>
          <w:sz w:val="24"/>
          <w:szCs w:val="24"/>
          <w:lang w:val="en-IE"/>
        </w:rPr>
        <w:t xml:space="preserve"> </w:t>
      </w:r>
      <w:r w:rsidR="004D566D">
        <w:rPr>
          <w:rFonts w:asciiTheme="majorBidi" w:eastAsia="Calibri" w:hAnsiTheme="majorBidi" w:cstheme="majorBidi"/>
          <w:sz w:val="24"/>
          <w:szCs w:val="24"/>
          <w:lang w:val="en-IE"/>
        </w:rPr>
        <w:fldChar w:fldCharType="begin"/>
      </w:r>
      <w:r w:rsidR="004D566D">
        <w:rPr>
          <w:rFonts w:asciiTheme="majorBidi" w:eastAsia="Calibri" w:hAnsiTheme="majorBidi" w:cstheme="majorBidi"/>
          <w:sz w:val="24"/>
          <w:szCs w:val="24"/>
          <w:lang w:val="en-IE"/>
        </w:rPr>
        <w:instrText xml:space="preserve"> ADDIN EN.CITE &lt;EndNote&gt;&lt;Cite&gt;&lt;Author&gt;Smith&lt;/Author&gt;&lt;Year&gt;2008&lt;/Year&gt;&lt;RecNum&gt;32&lt;/RecNum&gt;&lt;DisplayText&gt;(Smith et al., 2008)&lt;/DisplayText&gt;&lt;record&gt;&lt;rec-number&gt;32&lt;/rec-number&gt;&lt;foreign-keys&gt;&lt;key app="EN" db-id="rrfxr5xf6ff9vhez95u5prs0rarwezxxzxzz" timestamp="1606741851"&gt;32&lt;/key&gt;&lt;/foreign-keys&gt;&lt;ref-type name="Journal Article"&gt;17&lt;/ref-type&gt;&lt;contributors&gt;&lt;authors&gt;&lt;author&gt;Smith, Bruce W&lt;/author&gt;&lt;author&gt;Dalen, Jeanne&lt;/author&gt;&lt;author&gt;Wiggins, Kathryn&lt;/author&gt;&lt;author&gt;Tooley, Erin&lt;/author&gt;&lt;author&gt;Christopher, Paulette&lt;/author&gt;&lt;author&gt;Bernard, Jennifer&lt;/author&gt;&lt;/authors&gt;&lt;/contributors&gt;&lt;titles&gt;&lt;title&gt;The brief resilience scale: Assessing the ability to bounce back&lt;/title&gt;&lt;secondary-title&gt;International Journal of Behavioral Medicine&lt;/secondary-title&gt;&lt;/titles&gt;&lt;periodical&gt;&lt;full-title&gt;International Journal of Behavioral Medicine&lt;/full-title&gt;&lt;abbr-1&gt;Int J Behav Med&lt;/abbr-1&gt;&lt;/periodical&gt;&lt;pages&gt;194-200&lt;/pages&gt;&lt;volume&gt;15&lt;/volume&gt;&lt;number&gt;3&lt;/number&gt;&lt;dates&gt;&lt;year&gt;2008&lt;/year&gt;&lt;/dates&gt;&lt;isbn&gt;1070-5503&lt;/isbn&gt;&lt;urls&gt;&lt;/urls&gt;&lt;/record&gt;&lt;/Cite&gt;&lt;/EndNote&gt;</w:instrText>
      </w:r>
      <w:r w:rsidR="004D566D">
        <w:rPr>
          <w:rFonts w:asciiTheme="majorBidi" w:eastAsia="Calibri" w:hAnsiTheme="majorBidi" w:cstheme="majorBidi"/>
          <w:sz w:val="24"/>
          <w:szCs w:val="24"/>
          <w:lang w:val="en-IE"/>
        </w:rPr>
        <w:fldChar w:fldCharType="separate"/>
      </w:r>
      <w:r w:rsidR="004D566D">
        <w:rPr>
          <w:rFonts w:asciiTheme="majorBidi" w:eastAsia="Calibri" w:hAnsiTheme="majorBidi" w:cstheme="majorBidi"/>
          <w:noProof/>
          <w:sz w:val="24"/>
          <w:szCs w:val="24"/>
          <w:lang w:val="en-IE"/>
        </w:rPr>
        <w:t>(Smith et al., 2008)</w:t>
      </w:r>
      <w:r w:rsidR="004D566D">
        <w:rPr>
          <w:rFonts w:asciiTheme="majorBidi" w:eastAsia="Calibri" w:hAnsiTheme="majorBidi" w:cstheme="majorBidi"/>
          <w:sz w:val="24"/>
          <w:szCs w:val="24"/>
          <w:lang w:val="en-IE"/>
        </w:rPr>
        <w:fldChar w:fldCharType="end"/>
      </w:r>
      <w:r w:rsidR="004D566D">
        <w:rPr>
          <w:rFonts w:asciiTheme="majorBidi" w:eastAsia="Calibri" w:hAnsiTheme="majorBidi" w:cstheme="majorBidi"/>
          <w:sz w:val="24"/>
          <w:szCs w:val="24"/>
          <w:lang w:val="en-IE"/>
        </w:rPr>
        <w:t>.</w:t>
      </w:r>
      <w:r w:rsidRPr="004D566D">
        <w:rPr>
          <w:rFonts w:asciiTheme="majorBidi" w:eastAsia="Calibri" w:hAnsiTheme="majorBidi" w:cstheme="majorBidi"/>
          <w:sz w:val="24"/>
          <w:szCs w:val="24"/>
          <w:lang w:val="en-IE"/>
        </w:rPr>
        <w:t xml:space="preserve"> Possible scores range from 6 to 30 with higher scores indicating higher levels of resilience. The internal reliability in this sample was good (</w:t>
      </w:r>
      <w:r w:rsidRPr="004D566D">
        <w:rPr>
          <w:rFonts w:asciiTheme="majorBidi" w:eastAsia="Calibri" w:hAnsiTheme="majorBidi" w:cstheme="majorBidi"/>
          <w:i/>
          <w:sz w:val="24"/>
          <w:szCs w:val="24"/>
        </w:rPr>
        <w:t xml:space="preserve">α </w:t>
      </w:r>
      <w:r w:rsidRPr="004D566D">
        <w:rPr>
          <w:rFonts w:asciiTheme="majorBidi" w:eastAsia="Calibri" w:hAnsiTheme="majorBidi" w:cstheme="majorBidi"/>
          <w:sz w:val="24"/>
          <w:szCs w:val="24"/>
        </w:rPr>
        <w:t>= .88).</w:t>
      </w:r>
    </w:p>
    <w:p w14:paraId="0E40D2AD" w14:textId="77777777" w:rsidR="00236DD2" w:rsidRPr="004D566D" w:rsidRDefault="00236DD2" w:rsidP="004D566D">
      <w:pPr>
        <w:spacing w:after="0" w:line="360" w:lineRule="auto"/>
        <w:rPr>
          <w:rFonts w:asciiTheme="majorBidi" w:eastAsia="Calibri" w:hAnsiTheme="majorBidi" w:cstheme="majorBidi"/>
          <w:sz w:val="24"/>
          <w:szCs w:val="24"/>
          <w:lang w:val="en-IE"/>
        </w:rPr>
      </w:pPr>
    </w:p>
    <w:p w14:paraId="67DEE9DF" w14:textId="587F0452" w:rsidR="00236DD2" w:rsidRPr="004D566D" w:rsidRDefault="00236DD2" w:rsidP="004D566D">
      <w:pPr>
        <w:pStyle w:val="NormalWeb"/>
        <w:spacing w:before="0" w:beforeAutospacing="0" w:after="0" w:afterAutospacing="0" w:line="360" w:lineRule="auto"/>
        <w:rPr>
          <w:rFonts w:asciiTheme="majorBidi" w:hAnsiTheme="majorBidi" w:cstheme="majorBidi"/>
          <w:color w:val="000000"/>
        </w:rPr>
      </w:pPr>
      <w:r w:rsidRPr="004D566D">
        <w:rPr>
          <w:rFonts w:asciiTheme="majorBidi" w:hAnsiTheme="majorBidi" w:cstheme="majorBidi"/>
          <w:noProof/>
        </w:rPr>
        <w:t xml:space="preserve">Locus of control: </w:t>
      </w:r>
      <w:r w:rsidRPr="004D566D">
        <w:rPr>
          <w:rFonts w:asciiTheme="majorBidi" w:hAnsiTheme="majorBidi" w:cstheme="majorBidi"/>
          <w:color w:val="000000"/>
        </w:rPr>
        <w:t>The Locus of Control Scale (</w:t>
      </w:r>
      <w:proofErr w:type="spellStart"/>
      <w:r w:rsidRPr="004D566D">
        <w:rPr>
          <w:rFonts w:asciiTheme="majorBidi" w:hAnsiTheme="majorBidi" w:cstheme="majorBidi"/>
          <w:color w:val="000000"/>
        </w:rPr>
        <w:t>LoCS</w:t>
      </w:r>
      <w:proofErr w:type="spellEnd"/>
      <w:r w:rsidRPr="004D566D">
        <w:rPr>
          <w:rFonts w:asciiTheme="majorBidi" w:hAnsiTheme="majorBidi" w:cstheme="majorBidi"/>
          <w:color w:val="000000"/>
        </w:rPr>
        <w:t>) measures three forms of locus of control: ‘Internal’, ‘Chance’, and ‘Powerful Others’</w:t>
      </w:r>
      <w:r w:rsidR="004D566D">
        <w:rPr>
          <w:rFonts w:asciiTheme="majorBidi" w:hAnsiTheme="majorBidi" w:cstheme="majorBidi"/>
          <w:color w:val="000000"/>
        </w:rPr>
        <w:t xml:space="preserve"> </w:t>
      </w:r>
      <w:r w:rsidR="004D566D">
        <w:rPr>
          <w:rFonts w:asciiTheme="majorBidi" w:hAnsiTheme="majorBidi" w:cstheme="majorBidi"/>
          <w:color w:val="000000"/>
        </w:rPr>
        <w:fldChar w:fldCharType="begin"/>
      </w:r>
      <w:r w:rsidR="004D566D">
        <w:rPr>
          <w:rFonts w:asciiTheme="majorBidi" w:hAnsiTheme="majorBidi" w:cstheme="majorBidi"/>
          <w:color w:val="000000"/>
        </w:rPr>
        <w:instrText xml:space="preserve"> ADDIN EN.CITE &lt;EndNote&gt;&lt;Cite&gt;&lt;Author&gt;Sapp&lt;/Author&gt;&lt;Year&gt;1993&lt;/Year&gt;&lt;RecNum&gt;93&lt;/RecNum&gt;&lt;DisplayText&gt;(Sapp &amp;amp; Harrod, 1993)&lt;/DisplayText&gt;&lt;record&gt;&lt;rec-number&gt;93&lt;/rec-number&gt;&lt;foreign-keys&gt;&lt;key app="EN" db-id="rrfxr5xf6ff9vhez95u5prs0rarwezxxzxzz" timestamp="1610564235"&gt;93&lt;/key&gt;&lt;/foreign-keys&gt;&lt;ref-type name="Journal Article"&gt;17&lt;/ref-type&gt;&lt;contributors&gt;&lt;authors&gt;&lt;author&gt;Sapp, Stephen G&lt;/author&gt;&lt;author&gt;Harrod, Wendy J&lt;/author&gt;&lt;/authors&gt;&lt;/contributors&gt;&lt;titles&gt;&lt;title&gt;Reliability and validity of a brief version of Levenson&amp;apos;s locus of control scale&lt;/title&gt;&lt;secondary-title&gt;Psychological Reports&lt;/secondary-title&gt;&lt;/titles&gt;&lt;periodical&gt;&lt;full-title&gt;Psychological Reports&lt;/full-title&gt;&lt;abbr-1&gt;Psychol Rep&lt;/abbr-1&gt;&lt;/periodical&gt;&lt;pages&gt;539-550&lt;/pages&gt;&lt;volume&gt;72&lt;/volume&gt;&lt;number&gt;2&lt;/number&gt;&lt;dates&gt;&lt;year&gt;1993&lt;/year&gt;&lt;/dates&gt;&lt;isbn&gt;0033-2941&lt;/isbn&gt;&lt;urls&gt;&lt;/urls&gt;&lt;/record&gt;&lt;/Cite&gt;&lt;/EndNote&gt;</w:instrText>
      </w:r>
      <w:r w:rsidR="004D566D">
        <w:rPr>
          <w:rFonts w:asciiTheme="majorBidi" w:hAnsiTheme="majorBidi" w:cstheme="majorBidi"/>
          <w:color w:val="000000"/>
        </w:rPr>
        <w:fldChar w:fldCharType="separate"/>
      </w:r>
      <w:r w:rsidR="004D566D">
        <w:rPr>
          <w:rFonts w:asciiTheme="majorBidi" w:hAnsiTheme="majorBidi" w:cstheme="majorBidi"/>
          <w:noProof/>
          <w:color w:val="000000"/>
        </w:rPr>
        <w:t>(Sapp &amp; Harrod, 1993)</w:t>
      </w:r>
      <w:r w:rsidR="004D566D">
        <w:rPr>
          <w:rFonts w:asciiTheme="majorBidi" w:hAnsiTheme="majorBidi" w:cstheme="majorBidi"/>
          <w:color w:val="000000"/>
        </w:rPr>
        <w:fldChar w:fldCharType="end"/>
      </w:r>
      <w:r w:rsidR="004D566D">
        <w:rPr>
          <w:rFonts w:asciiTheme="majorBidi" w:hAnsiTheme="majorBidi" w:cstheme="majorBidi"/>
          <w:color w:val="000000"/>
        </w:rPr>
        <w:t>.</w:t>
      </w:r>
      <w:r w:rsidRPr="004D566D">
        <w:rPr>
          <w:rFonts w:asciiTheme="majorBidi" w:hAnsiTheme="majorBidi" w:cstheme="majorBidi"/>
          <w:color w:val="000000"/>
        </w:rPr>
        <w:t xml:space="preserve"> Each subscale is based on three questions, and all questions use a seven-point Likert scale ranging from (1) ‘Strongly Disagree’ to (7) ‘Strongly Agree’. Higher scores reflect higher levels of each construct, and the internal reliability of the Internal’ (</w:t>
      </w:r>
      <w:r w:rsidRPr="004D566D">
        <w:rPr>
          <w:rFonts w:asciiTheme="majorBidi" w:eastAsia="Calibri" w:hAnsiTheme="majorBidi" w:cstheme="majorBidi"/>
          <w:i/>
        </w:rPr>
        <w:t xml:space="preserve">α </w:t>
      </w:r>
      <w:r w:rsidRPr="004D566D">
        <w:rPr>
          <w:rFonts w:asciiTheme="majorBidi" w:eastAsia="Calibri" w:hAnsiTheme="majorBidi" w:cstheme="majorBidi"/>
        </w:rPr>
        <w:t xml:space="preserve">= </w:t>
      </w:r>
      <w:r w:rsidRPr="004D566D">
        <w:rPr>
          <w:rFonts w:asciiTheme="majorBidi" w:hAnsiTheme="majorBidi" w:cstheme="majorBidi"/>
          <w:color w:val="000000"/>
        </w:rPr>
        <w:t>.71) and ‘Chance’ (</w:t>
      </w:r>
      <w:r w:rsidRPr="004D566D">
        <w:rPr>
          <w:rFonts w:asciiTheme="majorBidi" w:eastAsia="Calibri" w:hAnsiTheme="majorBidi" w:cstheme="majorBidi"/>
          <w:i/>
        </w:rPr>
        <w:t xml:space="preserve">α </w:t>
      </w:r>
      <w:r w:rsidRPr="004D566D">
        <w:rPr>
          <w:rFonts w:asciiTheme="majorBidi" w:eastAsia="Calibri" w:hAnsiTheme="majorBidi" w:cstheme="majorBidi"/>
        </w:rPr>
        <w:t xml:space="preserve">= </w:t>
      </w:r>
      <w:r w:rsidRPr="004D566D">
        <w:rPr>
          <w:rFonts w:asciiTheme="majorBidi" w:hAnsiTheme="majorBidi" w:cstheme="majorBidi"/>
          <w:color w:val="000000"/>
        </w:rPr>
        <w:t>.70) subscales were acceptable; the ‘Powerful Others’ (</w:t>
      </w:r>
      <w:r w:rsidRPr="004D566D">
        <w:rPr>
          <w:rFonts w:asciiTheme="majorBidi" w:eastAsia="Calibri" w:hAnsiTheme="majorBidi" w:cstheme="majorBidi"/>
          <w:i/>
        </w:rPr>
        <w:t xml:space="preserve">α </w:t>
      </w:r>
      <w:r w:rsidRPr="004D566D">
        <w:rPr>
          <w:rFonts w:asciiTheme="majorBidi" w:eastAsia="Calibri" w:hAnsiTheme="majorBidi" w:cstheme="majorBidi"/>
        </w:rPr>
        <w:t xml:space="preserve">= </w:t>
      </w:r>
      <w:r w:rsidRPr="004D566D">
        <w:rPr>
          <w:rFonts w:asciiTheme="majorBidi" w:hAnsiTheme="majorBidi" w:cstheme="majorBidi"/>
          <w:color w:val="000000"/>
        </w:rPr>
        <w:t>.85) subscale was good.</w:t>
      </w:r>
    </w:p>
    <w:p w14:paraId="6DBF0499" w14:textId="77777777" w:rsidR="00236DD2" w:rsidRPr="004D566D" w:rsidRDefault="00236DD2" w:rsidP="004D566D">
      <w:pPr>
        <w:pStyle w:val="NormalWeb"/>
        <w:spacing w:before="0" w:beforeAutospacing="0" w:after="0" w:afterAutospacing="0" w:line="360" w:lineRule="auto"/>
        <w:rPr>
          <w:rFonts w:asciiTheme="majorBidi" w:hAnsiTheme="majorBidi" w:cstheme="majorBidi"/>
          <w:color w:val="000000"/>
        </w:rPr>
      </w:pPr>
    </w:p>
    <w:p w14:paraId="542053B2" w14:textId="04B57B15" w:rsidR="00236DD2" w:rsidRPr="004D566D" w:rsidRDefault="00236DD2" w:rsidP="004D566D">
      <w:pPr>
        <w:pStyle w:val="NormalWeb"/>
        <w:spacing w:before="0" w:beforeAutospacing="0" w:after="0" w:afterAutospacing="0" w:line="360" w:lineRule="auto"/>
        <w:rPr>
          <w:rFonts w:asciiTheme="majorBidi" w:hAnsiTheme="majorBidi" w:cstheme="majorBidi"/>
          <w:noProof/>
        </w:rPr>
      </w:pPr>
      <w:r w:rsidRPr="004D566D">
        <w:rPr>
          <w:rFonts w:asciiTheme="majorBidi" w:hAnsiTheme="majorBidi" w:cstheme="majorBidi"/>
          <w:color w:val="000000"/>
        </w:rPr>
        <w:t>Death anxiety: The Death Anxiety Inventory (DAI) includes 17 items based on a five-point Likert scale ranging from (1) ‘Totally Disagree’ to (5) ‘Totally Agree’</w:t>
      </w:r>
      <w:r w:rsidR="004D566D">
        <w:rPr>
          <w:rFonts w:asciiTheme="majorBidi" w:hAnsiTheme="majorBidi" w:cstheme="majorBidi"/>
          <w:color w:val="000000"/>
        </w:rPr>
        <w:t xml:space="preserve"> </w:t>
      </w:r>
      <w:r w:rsidR="004D566D">
        <w:rPr>
          <w:rFonts w:asciiTheme="majorBidi" w:hAnsiTheme="majorBidi" w:cstheme="majorBidi"/>
          <w:color w:val="000000"/>
        </w:rPr>
        <w:fldChar w:fldCharType="begin"/>
      </w:r>
      <w:r w:rsidR="004D566D">
        <w:rPr>
          <w:rFonts w:asciiTheme="majorBidi" w:hAnsiTheme="majorBidi" w:cstheme="majorBidi"/>
          <w:color w:val="000000"/>
        </w:rPr>
        <w:instrText xml:space="preserve"> ADDIN EN.CITE &lt;EndNote&gt;&lt;Cite&gt;&lt;Author&gt;Tomás-Sábado&lt;/Author&gt;&lt;Year&gt;2005&lt;/Year&gt;&lt;RecNum&gt;209&lt;/RecNum&gt;&lt;DisplayText&gt;(Tomás-Sábado, Gómez-Benito, &amp;amp; Limonero, 2005)&lt;/DisplayText&gt;&lt;record&gt;&lt;rec-number&gt;209&lt;/rec-number&gt;&lt;foreign-keys&gt;&lt;key app="EN" db-id="rrfxr5xf6ff9vhez95u5prs0rarwezxxzxzz" timestamp="1611246591"&gt;209&lt;/key&gt;&lt;/foreign-keys&gt;&lt;ref-type name="Journal Article"&gt;17&lt;/ref-type&gt;&lt;contributors&gt;&lt;authors&gt;&lt;author&gt;Tomás-Sábado, J.&lt;/author&gt;&lt;author&gt;Gómez-Benito, J.&lt;/author&gt;&lt;author&gt;Limonero, J.&lt;/author&gt;&lt;/authors&gt;&lt;/contributors&gt;&lt;titles&gt;&lt;title&gt;The Death Anxiety Inventory: A revision&lt;/title&gt;&lt;secondary-title&gt;Psychological Reports&lt;/secondary-title&gt;&lt;/titles&gt;&lt;periodical&gt;&lt;full-title&gt;Psychological Reports&lt;/full-title&gt;&lt;abbr-1&gt;Psychol Rep&lt;/abbr-1&gt;&lt;/periodical&gt;&lt;pages&gt;793-796&lt;/pages&gt;&lt;volume&gt;97&lt;/volume&gt;&lt;dates&gt;&lt;year&gt;2005&lt;/year&gt;&lt;/dates&gt;&lt;urls&gt;&lt;/urls&gt;&lt;electronic-resource-num&gt;10.2466/pr0.97.3.793-796&lt;/electronic-resource-num&gt;&lt;/record&gt;&lt;/Cite&gt;&lt;/EndNote&gt;</w:instrText>
      </w:r>
      <w:r w:rsidR="004D566D">
        <w:rPr>
          <w:rFonts w:asciiTheme="majorBidi" w:hAnsiTheme="majorBidi" w:cstheme="majorBidi"/>
          <w:color w:val="000000"/>
        </w:rPr>
        <w:fldChar w:fldCharType="separate"/>
      </w:r>
      <w:r w:rsidR="004D566D">
        <w:rPr>
          <w:rFonts w:asciiTheme="majorBidi" w:hAnsiTheme="majorBidi" w:cstheme="majorBidi"/>
          <w:noProof/>
          <w:color w:val="000000"/>
        </w:rPr>
        <w:t>(Tomás-Sábado, Gómez-Benito, &amp; Limonero, 2005)</w:t>
      </w:r>
      <w:r w:rsidR="004D566D">
        <w:rPr>
          <w:rFonts w:asciiTheme="majorBidi" w:hAnsiTheme="majorBidi" w:cstheme="majorBidi"/>
          <w:color w:val="000000"/>
        </w:rPr>
        <w:fldChar w:fldCharType="end"/>
      </w:r>
      <w:r w:rsidR="004D566D">
        <w:rPr>
          <w:rFonts w:asciiTheme="majorBidi" w:hAnsiTheme="majorBidi" w:cstheme="majorBidi"/>
          <w:color w:val="000000"/>
        </w:rPr>
        <w:t>.</w:t>
      </w:r>
      <w:r w:rsidRPr="004D566D">
        <w:rPr>
          <w:rFonts w:asciiTheme="majorBidi" w:hAnsiTheme="majorBidi" w:cstheme="majorBidi"/>
          <w:color w:val="000000"/>
        </w:rPr>
        <w:t xml:space="preserve"> Higher scores indicate higher levels of death anxiety. The internal reliability of the DAI scores in this sample was excellent (</w:t>
      </w:r>
      <w:r w:rsidRPr="004D566D">
        <w:rPr>
          <w:rFonts w:asciiTheme="majorBidi" w:hAnsiTheme="majorBidi" w:cstheme="majorBidi"/>
          <w:i/>
        </w:rPr>
        <w:t xml:space="preserve">α </w:t>
      </w:r>
      <w:r w:rsidRPr="004D566D">
        <w:rPr>
          <w:rFonts w:asciiTheme="majorBidi" w:hAnsiTheme="majorBidi" w:cstheme="majorBidi"/>
        </w:rPr>
        <w:t xml:space="preserve">= </w:t>
      </w:r>
      <w:r w:rsidRPr="004D566D">
        <w:rPr>
          <w:rFonts w:asciiTheme="majorBidi" w:hAnsiTheme="majorBidi" w:cstheme="majorBidi"/>
          <w:noProof/>
        </w:rPr>
        <w:t>.94).</w:t>
      </w:r>
    </w:p>
    <w:p w14:paraId="7737C614" w14:textId="77777777" w:rsidR="00236DD2" w:rsidRPr="004D566D" w:rsidRDefault="00236DD2" w:rsidP="004D566D">
      <w:pPr>
        <w:pStyle w:val="NormalWeb"/>
        <w:spacing w:before="0" w:beforeAutospacing="0" w:after="0" w:afterAutospacing="0" w:line="360" w:lineRule="auto"/>
        <w:rPr>
          <w:rFonts w:asciiTheme="majorBidi" w:hAnsiTheme="majorBidi" w:cstheme="majorBidi"/>
          <w:noProof/>
        </w:rPr>
      </w:pPr>
    </w:p>
    <w:p w14:paraId="31B6D51E" w14:textId="434B1454" w:rsidR="00236DD2" w:rsidRPr="004D566D" w:rsidRDefault="00236DD2" w:rsidP="004D566D">
      <w:pPr>
        <w:pStyle w:val="NormalWeb"/>
        <w:spacing w:before="0" w:beforeAutospacing="0" w:after="0" w:afterAutospacing="0" w:line="360" w:lineRule="auto"/>
        <w:rPr>
          <w:rFonts w:asciiTheme="majorBidi" w:hAnsiTheme="majorBidi" w:cstheme="majorBidi"/>
          <w:color w:val="000000"/>
        </w:rPr>
      </w:pPr>
      <w:r w:rsidRPr="004D566D">
        <w:rPr>
          <w:rFonts w:asciiTheme="majorBidi" w:hAnsiTheme="majorBidi" w:cstheme="majorBidi"/>
          <w:color w:val="000000"/>
        </w:rPr>
        <w:t>Intolerance of uncertainty:</w:t>
      </w:r>
      <w:r w:rsidRPr="004D566D">
        <w:rPr>
          <w:rFonts w:asciiTheme="majorBidi" w:hAnsiTheme="majorBidi" w:cstheme="majorBidi"/>
        </w:rPr>
        <w:t xml:space="preserve"> The </w:t>
      </w:r>
      <w:r w:rsidRPr="004D566D">
        <w:rPr>
          <w:rFonts w:asciiTheme="majorBidi" w:hAnsiTheme="majorBidi" w:cstheme="majorBidi"/>
          <w:color w:val="000000"/>
        </w:rPr>
        <w:t>Intolerance of Uncertainty scale (IUS) includes 12 items (answered using a five-point Likert scale ranging from (1) ‘Not at All Characteristic of Me’ to (5) ‘Entirely Characteristic of Me’</w:t>
      </w:r>
      <w:r w:rsidR="004D566D">
        <w:rPr>
          <w:rFonts w:asciiTheme="majorBidi" w:hAnsiTheme="majorBidi" w:cstheme="majorBidi"/>
          <w:color w:val="000000"/>
        </w:rPr>
        <w:fldChar w:fldCharType="begin"/>
      </w:r>
      <w:r w:rsidR="004D566D">
        <w:rPr>
          <w:rFonts w:asciiTheme="majorBidi" w:hAnsiTheme="majorBidi" w:cstheme="majorBidi"/>
          <w:color w:val="000000"/>
        </w:rPr>
        <w:instrText xml:space="preserve"> ADDIN EN.CITE &lt;EndNote&gt;&lt;Cite&gt;&lt;Author&gt;Buhr&lt;/Author&gt;&lt;Year&gt;2002&lt;/Year&gt;&lt;RecNum&gt;34&lt;/RecNum&gt;&lt;DisplayText&gt;(Buhr &amp;amp; Dugas, 2002)&lt;/DisplayText&gt;&lt;record&gt;&lt;rec-number&gt;34&lt;/rec-number&gt;&lt;foreign-keys&gt;&lt;key app="EN" db-id="rrfxr5xf6ff9vhez95u5prs0rarwezxxzxzz" timestamp="1606742917"&gt;34&lt;/key&gt;&lt;/foreign-keys&gt;&lt;ref-type name="Journal Article"&gt;17&lt;/ref-type&gt;&lt;contributors&gt;&lt;authors&gt;&lt;author&gt;Buhr, Kristine&lt;/author&gt;&lt;author&gt;Dugas, Michael J&lt;/author&gt;&lt;/authors&gt;&lt;/contributors&gt;&lt;titles&gt;&lt;title&gt;The intolerance of uncertainty scale: Psychometric properties of the English version&lt;/title&gt;&lt;secondary-title&gt;Behaviour Research and Therapy&lt;/secondary-title&gt;&lt;/titles&gt;&lt;periodical&gt;&lt;full-title&gt;Behaviour Research and Therapy&lt;/full-title&gt;&lt;abbr-1&gt;Behav Res Ther&lt;/abbr-1&gt;&lt;/periodical&gt;&lt;pages&gt;931-945&lt;/pages&gt;&lt;volume&gt;40&lt;/volume&gt;&lt;number&gt;8&lt;/number&gt;&lt;dates&gt;&lt;year&gt;2002&lt;/year&gt;&lt;/dates&gt;&lt;isbn&gt;0005-7967&lt;/isbn&gt;&lt;urls&gt;&lt;/urls&gt;&lt;/record&gt;&lt;/Cite&gt;&lt;/EndNote&gt;</w:instrText>
      </w:r>
      <w:r w:rsidR="004D566D">
        <w:rPr>
          <w:rFonts w:asciiTheme="majorBidi" w:hAnsiTheme="majorBidi" w:cstheme="majorBidi"/>
          <w:color w:val="000000"/>
        </w:rPr>
        <w:fldChar w:fldCharType="separate"/>
      </w:r>
      <w:r w:rsidR="004D566D">
        <w:rPr>
          <w:rFonts w:asciiTheme="majorBidi" w:hAnsiTheme="majorBidi" w:cstheme="majorBidi"/>
          <w:noProof/>
          <w:color w:val="000000"/>
        </w:rPr>
        <w:t>(Buhr &amp; Dugas, 2002)</w:t>
      </w:r>
      <w:r w:rsidR="004D566D">
        <w:rPr>
          <w:rFonts w:asciiTheme="majorBidi" w:hAnsiTheme="majorBidi" w:cstheme="majorBidi"/>
          <w:color w:val="000000"/>
        </w:rPr>
        <w:fldChar w:fldCharType="end"/>
      </w:r>
      <w:r w:rsidR="004D566D">
        <w:rPr>
          <w:rFonts w:asciiTheme="majorBidi" w:hAnsiTheme="majorBidi" w:cstheme="majorBidi"/>
          <w:color w:val="000000"/>
        </w:rPr>
        <w:t>.</w:t>
      </w:r>
      <w:r w:rsidRPr="004D566D">
        <w:rPr>
          <w:rFonts w:asciiTheme="majorBidi" w:hAnsiTheme="majorBidi" w:cstheme="majorBidi"/>
          <w:color w:val="000000"/>
        </w:rPr>
        <w:t xml:space="preserve"> Higher scores indicate increased levels of intolerance of uncertainty. The internal reliability of the IUS scores in this sample was good (</w:t>
      </w:r>
      <w:r w:rsidRPr="004D566D">
        <w:rPr>
          <w:rFonts w:asciiTheme="majorBidi" w:hAnsiTheme="majorBidi" w:cstheme="majorBidi"/>
          <w:i/>
        </w:rPr>
        <w:t xml:space="preserve">α </w:t>
      </w:r>
      <w:r w:rsidRPr="004D566D">
        <w:rPr>
          <w:rFonts w:asciiTheme="majorBidi" w:hAnsiTheme="majorBidi" w:cstheme="majorBidi"/>
        </w:rPr>
        <w:t xml:space="preserve">= </w:t>
      </w:r>
      <w:r w:rsidRPr="004D566D">
        <w:rPr>
          <w:rFonts w:asciiTheme="majorBidi" w:hAnsiTheme="majorBidi" w:cstheme="majorBidi"/>
          <w:noProof/>
        </w:rPr>
        <w:t>.86).</w:t>
      </w:r>
    </w:p>
    <w:p w14:paraId="1D989058" w14:textId="77777777" w:rsidR="00236DD2" w:rsidRPr="004D566D" w:rsidRDefault="00236DD2" w:rsidP="004D566D">
      <w:pPr>
        <w:spacing w:line="360" w:lineRule="auto"/>
        <w:rPr>
          <w:rFonts w:asciiTheme="majorBidi" w:hAnsiTheme="majorBidi" w:cstheme="majorBidi"/>
          <w:b/>
          <w:bCs/>
          <w:sz w:val="24"/>
          <w:szCs w:val="24"/>
        </w:rPr>
      </w:pPr>
    </w:p>
    <w:p w14:paraId="31E771E7" w14:textId="77777777" w:rsidR="00236DD2" w:rsidRPr="004D566D" w:rsidRDefault="00236DD2" w:rsidP="004D566D">
      <w:pPr>
        <w:spacing w:line="360" w:lineRule="auto"/>
        <w:rPr>
          <w:rFonts w:asciiTheme="majorBidi" w:hAnsiTheme="majorBidi" w:cstheme="majorBidi"/>
          <w:sz w:val="24"/>
          <w:szCs w:val="24"/>
        </w:rPr>
      </w:pPr>
    </w:p>
    <w:p w14:paraId="66009F8A" w14:textId="4CC7FF14" w:rsidR="006D7A64" w:rsidRPr="004D566D" w:rsidRDefault="004D566D" w:rsidP="004D566D">
      <w:pPr>
        <w:pStyle w:val="ListParagraph"/>
        <w:numPr>
          <w:ilvl w:val="1"/>
          <w:numId w:val="1"/>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6D7A64" w:rsidRPr="004D566D">
        <w:rPr>
          <w:rFonts w:asciiTheme="majorBidi" w:hAnsiTheme="majorBidi" w:cstheme="majorBidi"/>
          <w:b/>
          <w:bCs/>
          <w:sz w:val="24"/>
          <w:szCs w:val="24"/>
        </w:rPr>
        <w:t>Differences in PHQ-ADS and ITQ mean scores and clinical cut-off criteria across 3 waves</w:t>
      </w:r>
    </w:p>
    <w:p w14:paraId="063DC0C1" w14:textId="7C0F42EC" w:rsidR="006D7A64" w:rsidRPr="004D566D" w:rsidRDefault="006D7A64"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lastRenderedPageBreak/>
        <w:t>This analytic process involves several steps. Initially, mean scores for each variable were fitted to a null or ‘constrained’ model; this included the three means, variances, and covariances, and the three means are constrained to be equal. Then, an ‘unconstrained’ model is specified without the equality constraint, allowing the three means to be freely estimated. The constrained and unconstrained models differ by two degrees of freedom, so improvement can be tested using the loglikelihood difference test, based on the chi-square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2</w:t>
      </w:r>
      <w:r w:rsidRPr="004D566D">
        <w:rPr>
          <w:rFonts w:asciiTheme="majorBidi" w:hAnsiTheme="majorBidi" w:cstheme="majorBidi"/>
          <w:sz w:val="24"/>
          <w:szCs w:val="24"/>
        </w:rPr>
        <w:t xml:space="preserve">) statistic. </w:t>
      </w:r>
      <w:bookmarkStart w:id="1" w:name="_Hlk54615965"/>
      <w:r w:rsidRPr="004D566D">
        <w:rPr>
          <w:rFonts w:asciiTheme="majorBidi" w:hAnsiTheme="majorBidi" w:cstheme="majorBidi"/>
          <w:sz w:val="24"/>
          <w:szCs w:val="24"/>
        </w:rPr>
        <w:t xml:space="preserve">A significant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2</w:t>
      </w:r>
      <w:r w:rsidRPr="004D566D">
        <w:rPr>
          <w:rFonts w:asciiTheme="majorBidi" w:hAnsiTheme="majorBidi" w:cstheme="majorBidi"/>
          <w:sz w:val="24"/>
          <w:szCs w:val="24"/>
        </w:rPr>
        <w:t xml:space="preserve"> value indicates that the unconstrained model is better than the constrained model, meaning that the null hypothesis of equal means can be rejecte</w:t>
      </w:r>
      <w:r w:rsidR="002C5A9B" w:rsidRPr="004D566D">
        <w:rPr>
          <w:rFonts w:asciiTheme="majorBidi" w:hAnsiTheme="majorBidi" w:cstheme="majorBidi"/>
          <w:sz w:val="24"/>
          <w:szCs w:val="24"/>
        </w:rPr>
        <w:t>d</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&lt;EndNote&gt;&lt;Cite&gt;&lt;Author&gt;Hoffman&lt;/Author&gt;&lt;Year&gt;2015&lt;/Year&gt;&lt;RecNum&gt;94&lt;/RecNum&gt;&lt;DisplayText&gt;(Hoffman, 2015)&lt;/DisplayText&gt;&lt;record&gt;&lt;rec-number&gt;94&lt;/rec-number&gt;&lt;foreign-keys&gt;&lt;key app="EN" db-id="rrfxr5xf6ff9vhez95u5prs0rarwezxxzxzz" timestamp="1610564377"&gt;94&lt;/key&gt;&lt;/foreign-keys&gt;&lt;ref-type name="Book"&gt;6&lt;/ref-type&gt;&lt;contributors&gt;&lt;authors&gt;&lt;author&gt;Hoffman, Lesa&lt;/author&gt;&lt;/authors&gt;&lt;/contributors&gt;&lt;titles&gt;&lt;title&gt;Longitudinal analysis: Modeling within-person fluctuation and change&lt;/title&gt;&lt;/titles&gt;&lt;dates&gt;&lt;year&gt;2015&lt;/year&gt;&lt;/dates&gt;&lt;pub-location&gt;New York, NY&lt;/pub-location&gt;&lt;publisher&gt;Routledge&lt;/publisher&gt;&lt;isbn&gt;1317591097&lt;/isbn&gt;&lt;urls&gt;&lt;/urls&gt;&lt;/record&gt;&lt;/Cite&gt;&lt;/EndNote&gt;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(Hoffman, 2015)</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w:t>
      </w:r>
      <w:bookmarkEnd w:id="1"/>
      <w:r w:rsidRPr="004D566D">
        <w:rPr>
          <w:rFonts w:asciiTheme="majorBidi" w:hAnsiTheme="majorBidi" w:cstheme="majorBidi"/>
          <w:sz w:val="24"/>
          <w:szCs w:val="24"/>
        </w:rPr>
        <w:t>Importantly, the use of robust maximum likelihood (MLR) estimation means that all available information at waves 1, 2 and 3 can be used to estimate the means, variances, and covariances, thus avoiding the deleterious effects of listwise deletion. This approach is analogous to a repeated measures analysis of variance (ANOVA); however, it does not make assumptions about the variance-covariance structure of the observations</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&lt;EndNote&gt;&lt;Cite&gt;&lt;Author&gt;Hoffman&lt;/Author&gt;&lt;Year&gt;2015&lt;/Year&gt;&lt;RecNum&gt;94&lt;/RecNum&gt;&lt;DisplayText&gt;(Hoffman, 2015)&lt;/DisplayText&gt;&lt;record&gt;&lt;rec-number&gt;94&lt;/rec-number&gt;&lt;foreign-keys&gt;&lt;key app="EN" db-id="rrfxr5xf6ff9vhez95u5prs0rarwezxxzxzz" timestamp="1610564377"&gt;94&lt;/key&gt;&lt;/foreign-keys&gt;&lt;ref-type name="Book"&gt;6&lt;/ref-type&gt;&lt;contributors&gt;&lt;authors&gt;&lt;author&gt;Hoffman, Lesa&lt;/author&gt;&lt;/authors&gt;&lt;/contributors&gt;&lt;titles&gt;&lt;title&gt;Longitudinal analysis: Modeling within-person fluctuation and change&lt;/title&gt;&lt;/titles&gt;&lt;dates&gt;&lt;year&gt;2015&lt;/year&gt;&lt;/dates&gt;&lt;pub-location&gt;New York, NY&lt;/pub-location&gt;&lt;publisher&gt;Routledge&lt;/publisher&gt;&lt;isbn&gt;1317591097&lt;/isbn&gt;&lt;urls&gt;&lt;/urls&gt;&lt;/record&gt;&lt;/Cite&gt;&lt;/EndNote&gt;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(Hoffman, 2015)</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w:t>
      </w:r>
      <w:bookmarkStart w:id="2" w:name="_Hlk54616016"/>
      <w:r w:rsidRPr="004D566D">
        <w:rPr>
          <w:rFonts w:asciiTheme="majorBidi" w:hAnsiTheme="majorBidi" w:cstheme="majorBidi"/>
          <w:sz w:val="24"/>
          <w:szCs w:val="24"/>
        </w:rPr>
        <w:t>and missing data are handled efficiently using full information MLR estimation</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&lt;EndNote&gt;&lt;Cite&gt;&lt;Author&gt;Schafer&lt;/Author&gt;&lt;Year&gt;2002&lt;/Year&gt;&lt;RecNum&gt;74&lt;/RecNum&gt;&lt;DisplayText&gt;(Schafer &amp;amp; Graham, 2002)&lt;/DisplayText&gt;&lt;record&gt;&lt;rec-number&gt;74&lt;/rec-number&gt;&lt;foreign-keys&gt;&lt;key app="EN" db-id="rrfxr5xf6ff9vhez95u5prs0rarwezxxzxzz" timestamp="1607631496"&gt;74&lt;/key&gt;&lt;/foreign-keys&gt;&lt;ref-type name="Journal Article"&gt;17&lt;/ref-type&gt;&lt;contributors&gt;&lt;authors&gt;&lt;author&gt;Schafer, Joseph L&lt;/author&gt;&lt;author&gt;Graham, John W&lt;/author&gt;&lt;/authors&gt;&lt;/contributors&gt;&lt;titles&gt;&lt;title&gt;Missing data: Our view of the state of the art&lt;/title&gt;&lt;secondary-title&gt;Psychological methods&lt;/secondary-title&gt;&lt;/titles&gt;&lt;periodical&gt;&lt;full-title&gt;Psychological Methods&lt;/full-title&gt;&lt;abbr-1&gt;Psychol Methods&lt;/abbr-1&gt;&lt;/periodical&gt;&lt;pages&gt;147–77&lt;/pages&gt;&lt;volume&gt;7&lt;/volume&gt;&lt;number&gt;2&lt;/number&gt;&lt;dates&gt;&lt;year&gt;2002&lt;/year&gt;&lt;/dates&gt;&lt;isbn&gt;1939-1463&lt;/isbn&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(Schafer &amp; Graham, 2002)</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w:t>
      </w:r>
      <w:bookmarkEnd w:id="2"/>
      <w:r w:rsidRPr="004D566D">
        <w:rPr>
          <w:rFonts w:asciiTheme="majorBidi" w:hAnsiTheme="majorBidi" w:cstheme="majorBidi"/>
          <w:sz w:val="24"/>
          <w:szCs w:val="24"/>
        </w:rPr>
        <w:t xml:space="preserve">These models were specified and estimated using </w:t>
      </w:r>
      <w:proofErr w:type="spellStart"/>
      <w:r w:rsidRPr="004D566D">
        <w:rPr>
          <w:rFonts w:asciiTheme="majorBidi" w:hAnsiTheme="majorBidi" w:cstheme="majorBidi"/>
          <w:sz w:val="24"/>
          <w:szCs w:val="24"/>
        </w:rPr>
        <w:t>Mplus</w:t>
      </w:r>
      <w:proofErr w:type="spellEnd"/>
      <w:r w:rsidRPr="004D566D">
        <w:rPr>
          <w:rFonts w:asciiTheme="majorBidi" w:hAnsiTheme="majorBidi" w:cstheme="majorBidi"/>
          <w:sz w:val="24"/>
          <w:szCs w:val="24"/>
        </w:rPr>
        <w:t xml:space="preserve"> Version 8.1</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&lt;EndNote&gt;&lt;Cite&gt;&lt;Author&gt;Muthén&lt;/Author&gt;&lt;Year&gt;2018&lt;/Year&gt;&lt;RecNum&gt;212&lt;/RecNum&gt;&lt;DisplayText&gt;(Muthén &amp;amp; Muthén, 2018)&lt;/DisplayText&gt;&lt;record&gt;&lt;rec-number&gt;212&lt;/rec-number&gt;&lt;foreign-keys&gt;&lt;key app="EN" db-id="rrfxr5xf6ff9vhez95u5prs0rarwezxxzxzz" timestamp="1611246591"&gt;212&lt;/key&gt;&lt;/foreign-keys&gt;&lt;ref-type name="Book"&gt;6&lt;/ref-type&gt;&lt;contributors&gt;&lt;authors&gt;&lt;author&gt;Muthén, L.K.&lt;/author&gt;&lt;author&gt;Muthén, B.O.&lt;/author&gt;&lt;/authors&gt;&lt;/contributors&gt;&lt;titles&gt;&lt;title&gt;Mplus user&amp;apos;s guide (8th ed.)&lt;/title&gt;&lt;/titles&gt;&lt;dates&gt;&lt;year&gt;2018&lt;/year&gt;&lt;/dates&gt;&lt;pub-location&gt;Los Angeles, CA&lt;/pub-location&gt;&lt;publisher&gt;Muthen &amp;amp; Muthen&lt;/publisher&gt;&lt;urls&gt;&lt;/urls&gt;&lt;/record&gt;&lt;/Cite&gt;&lt;/EndNote&gt;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(Muthén &amp; Muthén, 2018)</w:t>
      </w:r>
      <w:r w:rsidR="004D566D">
        <w:rPr>
          <w:rFonts w:asciiTheme="majorBidi" w:hAnsiTheme="majorBidi" w:cstheme="majorBidi"/>
          <w:sz w:val="24"/>
          <w:szCs w:val="24"/>
        </w:rPr>
        <w:fldChar w:fldCharType="end"/>
      </w:r>
      <w:r w:rsidR="004D566D">
        <w:rPr>
          <w:rFonts w:asciiTheme="majorBidi" w:hAnsiTheme="majorBidi" w:cstheme="majorBidi"/>
          <w:sz w:val="24"/>
          <w:szCs w:val="24"/>
        </w:rPr>
        <w:t xml:space="preserve">. </w:t>
      </w:r>
      <w:proofErr w:type="spellStart"/>
      <w:r w:rsidRPr="004D566D">
        <w:rPr>
          <w:rFonts w:asciiTheme="majorBidi" w:hAnsiTheme="majorBidi" w:cstheme="majorBidi"/>
          <w:sz w:val="24"/>
          <w:szCs w:val="24"/>
        </w:rPr>
        <w:t>Mplus</w:t>
      </w:r>
      <w:proofErr w:type="spellEnd"/>
      <w:r w:rsidRPr="004D566D">
        <w:rPr>
          <w:rFonts w:asciiTheme="majorBidi" w:hAnsiTheme="majorBidi" w:cstheme="majorBidi"/>
          <w:sz w:val="24"/>
          <w:szCs w:val="24"/>
        </w:rPr>
        <w:t xml:space="preserve"> also incorporates the ‘model test’ feature that allows specific constraints to be tested using the Wald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 xml:space="preserve">2 </w:t>
      </w:r>
      <w:r w:rsidRPr="004D566D">
        <w:rPr>
          <w:rFonts w:asciiTheme="majorBidi" w:hAnsiTheme="majorBidi" w:cstheme="majorBidi"/>
          <w:sz w:val="24"/>
          <w:szCs w:val="24"/>
        </w:rPr>
        <w:t>test, and this was used to test pairwise comparisons: if the null hypothesis of equal means was rejected, then pairs of means were tested to determine which were significantly different. This approach was also used to test for the equality of proportions (i.e., changes probable diagnostic rates) across the three assessment periods for the PHQ-ADS and ITQ.</w:t>
      </w:r>
    </w:p>
    <w:p w14:paraId="1DA2B671" w14:textId="77777777" w:rsidR="006D7A64" w:rsidRPr="004D566D" w:rsidRDefault="006D7A64" w:rsidP="004D566D">
      <w:pPr>
        <w:spacing w:line="360" w:lineRule="auto"/>
        <w:rPr>
          <w:rFonts w:asciiTheme="majorBidi" w:hAnsiTheme="majorBidi" w:cstheme="majorBidi"/>
          <w:sz w:val="24"/>
          <w:szCs w:val="24"/>
        </w:rPr>
      </w:pPr>
    </w:p>
    <w:p w14:paraId="1A233B50" w14:textId="3592B5BE" w:rsidR="006D7A64" w:rsidRPr="004D566D" w:rsidRDefault="004D566D" w:rsidP="004D566D">
      <w:pPr>
        <w:pStyle w:val="ListParagraph"/>
        <w:numPr>
          <w:ilvl w:val="1"/>
          <w:numId w:val="1"/>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6D7A64" w:rsidRPr="004D566D">
        <w:rPr>
          <w:rFonts w:asciiTheme="majorBidi" w:hAnsiTheme="majorBidi" w:cstheme="majorBidi"/>
          <w:b/>
          <w:bCs/>
          <w:sz w:val="24"/>
          <w:szCs w:val="24"/>
        </w:rPr>
        <w:t xml:space="preserve">Assessing the fit of latent class growth models </w:t>
      </w:r>
    </w:p>
    <w:p w14:paraId="14B74606" w14:textId="63F2B172" w:rsidR="006D7A64" w:rsidRPr="004D566D" w:rsidRDefault="006D7A64"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 xml:space="preserve">To avoid solutions based on local maxima for the LCGA, 200 random sets of starting values were used initially followed by 50 final stage optimizations. The fit of the baseline LGM was assessed using standard criteria: acceptable fit was indicated by non-significant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2</w:t>
      </w:r>
      <w:r w:rsidRPr="004D566D">
        <w:rPr>
          <w:rFonts w:asciiTheme="majorBidi" w:hAnsiTheme="majorBidi" w:cstheme="majorBidi"/>
          <w:sz w:val="24"/>
          <w:szCs w:val="24"/>
        </w:rPr>
        <w:t>, TLI and CFI greater than .90, RMSEA and SRMR &lt;.08. The relative fit of the LCGA models was compared by using three information theory based fit statistics: The Akaike Information Criterion (AIC)</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&lt;EndNote&gt;&lt;Cite&gt;&lt;Author&gt;Akaike&lt;/Author&gt;&lt;Year&gt;1987&lt;/Year&gt;&lt;RecNum&gt;40&lt;/RecNum&gt;&lt;DisplayText&gt;(Akaike, 1987)&lt;/DisplayText&gt;&lt;record&gt;&lt;rec-number&gt;40&lt;/rec-number&gt;&lt;foreign-keys&gt;&lt;key app="EN" db-id="rrfxr5xf6ff9vhez95u5prs0rarwezxxzxzz" timestamp="1606750389"&gt;40&lt;/key&gt;&lt;/foreign-keys&gt;&lt;ref-type name="Journal Article"&gt;17&lt;/ref-type&gt;&lt;contributors&gt;&lt;authors&gt;&lt;author&gt;Akaike, Hirotugu&lt;/author&gt;&lt;/authors&gt;&lt;/contributors&gt;&lt;titles&gt;&lt;title&gt;Factor analysis and AIC&lt;/title&gt;&lt;secondary-title&gt;Psychometrika&lt;/secondary-title&gt;&lt;/titles&gt;&lt;periodical&gt;&lt;full-title&gt;Psychometrika&lt;/full-title&gt;&lt;/periodical&gt;&lt;pages&gt;317-332&lt;/pages&gt;&lt;volume&gt;52&lt;/volume&gt;&lt;number&gt;3&lt;/number&gt;&lt;dates&gt;&lt;year&gt;1987&lt;/year&gt;&lt;/dates&gt;&lt;publisher&gt;Springer&lt;/publisher&gt;&lt;urls&gt;&lt;/urls&gt;&lt;electronic-resource-num&gt;doi:10.1007/BF02294359&lt;/electronic-resource-num&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(Akaike, 1987)</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the Bayesian Information Criterion (BIC)</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&lt;EndNote&gt;&lt;Cite&gt;&lt;Author&gt;Schwarz&lt;/Author&gt;&lt;Year&gt;1978&lt;/Year&gt;&lt;RecNum&gt;41&lt;/RecNum&gt;&lt;DisplayText&gt;(Schwarz, 1978)&lt;/DisplayText&gt;&lt;record&gt;&lt;rec-number&gt;41&lt;/rec-number&gt;&lt;foreign-keys&gt;&lt;key app="EN" db-id="rrfxr5xf6ff9vhez95u5prs0rarwezxxzxzz" timestamp="1606750410"&gt;41&lt;/key&gt;&lt;/foreign-keys&gt;&lt;ref-type name="Journal Article"&gt;17&lt;/ref-type&gt;&lt;contributors&gt;&lt;authors&gt;&lt;author&gt;Schwarz, Gideon&lt;/author&gt;&lt;/authors&gt;&lt;/contributors&gt;&lt;titles&gt;&lt;title&gt;Estimating the dimension of a model&lt;/title&gt;&lt;secondary-title&gt;The annals of statistics&lt;/secondary-title&gt;&lt;/titles&gt;&lt;periodical&gt;&lt;full-title&gt;The Annals of Statistics&lt;/full-title&gt;&lt;abbr-1&gt;Ann Stat&lt;/abbr-1&gt;&lt;/periodical&gt;&lt;pages&gt;461-464&lt;/pages&gt;&lt;volume&gt;6&lt;/volume&gt;&lt;number&gt;2&lt;/number&gt;&lt;dates&gt;&lt;year&gt;1978&lt;/year&gt;&lt;/dates&gt;&lt;isbn&gt;0090-5364&lt;/isbn&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(Schwarz, 1978)</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and the sample size adjusted Bayesian Information Criterion (</w:t>
      </w:r>
      <w:proofErr w:type="spellStart"/>
      <w:r w:rsidRPr="004D566D">
        <w:rPr>
          <w:rFonts w:asciiTheme="majorBidi" w:hAnsiTheme="majorBidi" w:cstheme="majorBidi"/>
          <w:sz w:val="24"/>
          <w:szCs w:val="24"/>
        </w:rPr>
        <w:t>ssaBIC</w:t>
      </w:r>
      <w:proofErr w:type="spellEnd"/>
      <w:r w:rsidRPr="004D566D">
        <w:rPr>
          <w:rFonts w:asciiTheme="majorBidi" w:hAnsiTheme="majorBidi" w:cstheme="majorBidi"/>
          <w:sz w:val="24"/>
          <w:szCs w:val="24"/>
        </w:rPr>
        <w:t>)</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&lt;EndNote&gt;&lt;Cite&gt;&lt;Author&gt;Sclove&lt;/Author&gt;&lt;Year&gt;1987&lt;/Year&gt;&lt;RecNum&gt;42&lt;/RecNum&gt;&lt;DisplayText&gt;(Sclove, 1987)&lt;/DisplayText&gt;&lt;record&gt;&lt;rec-number&gt;42&lt;/rec-number&gt;&lt;foreign-keys&gt;&lt;key app="EN" db-id="rrfxr5xf6ff9vhez95u5prs0rarwezxxzxzz" timestamp="1606750449"&gt;42&lt;/key&gt;&lt;/foreign-keys&gt;&lt;ref-type name="Journal Article"&gt;17&lt;/ref-type&gt;&lt;contributors&gt;&lt;authors&gt;&lt;author&gt;Sclove, Stanley L&lt;/author&gt;&lt;/authors&gt;&lt;/contributors&gt;&lt;titles&gt;&lt;title&gt;Application of model-selection criteria to some problems in multivariate analysis&lt;/title&gt;&lt;secondary-title&gt;Psychometrika&lt;/secondary-title&gt;&lt;/titles&gt;&lt;periodical&gt;&lt;full-title&gt;Psychometrika&lt;/full-title&gt;&lt;/periodical&gt;&lt;pages&gt;333-343&lt;/pages&gt;&lt;volume&gt;52&lt;/volume&gt;&lt;number&gt;3&lt;/number&gt;&lt;dates&gt;&lt;year&gt;1987&lt;/year&gt;&lt;/dates&gt;&lt;isbn&gt;0033-3123&lt;/isbn&gt;&lt;urls&gt;&lt;/urls&gt;&lt;electronic-resource-num&gt;doi:10.1007/BF02294360&lt;/electronic-resource-num&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(Sclove, 1987)</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The solution that produces the lowest value can be judged the best model, or if no minimum is found then the “diminishing gains in model fit” (p. 572) for additional classes can be </w:t>
      </w:r>
      <w:r w:rsidRPr="004D566D">
        <w:rPr>
          <w:rFonts w:asciiTheme="majorBidi" w:hAnsiTheme="majorBidi" w:cstheme="majorBidi"/>
          <w:sz w:val="24"/>
          <w:szCs w:val="24"/>
        </w:rPr>
        <w:lastRenderedPageBreak/>
        <w:t>examined</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&lt;EndNote&gt;&lt;Cite&gt;&lt;Author&gt;Masyn&lt;/Author&gt;&lt;Year&gt;2013&lt;/Year&gt;&lt;RecNum&gt;95&lt;/RecNum&gt;&lt;DisplayText&gt;(Masyn, 2013)&lt;/DisplayText&gt;&lt;record&gt;&lt;rec-number&gt;95&lt;/rec-number&gt;&lt;foreign-keys&gt;&lt;key app="EN" db-id="rrfxr5xf6ff9vhez95u5prs0rarwezxxzxzz" timestamp="1610564570"&gt;95&lt;/key&gt;&lt;/foreign-keys&gt;&lt;ref-type name="Book Section"&gt;5&lt;/ref-type&gt;&lt;contributors&gt;&lt;authors&gt;&lt;author&gt;Masyn, Katherine E&lt;/author&gt;&lt;/authors&gt;&lt;secondary-authors&gt;&lt;author&gt;T.D. Little&lt;/author&gt;&lt;/secondary-authors&gt;&lt;/contributors&gt;&lt;titles&gt;&lt;title&gt;Latent class analysis and finite mixture modeling&lt;/title&gt;&lt;secondary-title&gt;The Oxford Handbook of Quantitative Methods, Vol 2: Statistical Analysis &lt;/secondary-title&gt;&lt;/titles&gt;&lt;pages&gt;551-611&lt;/pages&gt;&lt;dates&gt;&lt;year&gt;2013&lt;/year&gt;&lt;/dates&gt;&lt;pub-location&gt;New York, NY&lt;/pub-location&gt;&lt;publisher&gt;Oxford University Press&lt;/publisher&gt;&lt;urls&gt;&lt;/urls&gt;&lt;/record&gt;&lt;/Cite&gt;&lt;/EndNote&gt;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(Masyn, 2013)</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This is analogous to the scree plot in exploratory factor analysis, where an ‘elbow’ in the values of the information criteria is evidenced, indicating that additional classes are making a minimal improvement in model fit for the cost of additional model complexity. Evidence from simulation studies have demonstrated that the BIC is the best information criterion for identifying the correct number of classes</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&lt;EndNote&gt;&lt;Cite&gt;&lt;Author&gt;Nylund&lt;/Author&gt;&lt;Year&gt;2007&lt;/Year&gt;&lt;RecNum&gt;43&lt;/RecNum&gt;&lt;DisplayText&gt;(Nylund, Asparouhov, &amp;amp; Muthén, 2007)&lt;/DisplayText&gt;&lt;record&gt;&lt;rec-number&gt;43&lt;/rec-number&gt;&lt;foreign-keys&gt;&lt;key app="EN" db-id="rrfxr5xf6ff9vhez95u5prs0rarwezxxzxzz" timestamp="1606750470"&gt;43&lt;/key&gt;&lt;/foreign-keys&gt;&lt;ref-type name="Journal Article"&gt;17&lt;/ref-type&gt;&lt;contributors&gt;&lt;authors&gt;&lt;author&gt;Nylund, Karen L&lt;/author&gt;&lt;author&gt;Asparouhov, Tihomir&lt;/author&gt;&lt;author&gt;Muthén, Bengt O&lt;/author&gt;&lt;/authors&gt;&lt;/contributors&gt;&lt;titles&gt;&lt;title&gt;Deciding on the number of classes in latent class analysis and growth mixture modeling: A Monte Carlo simulation study&lt;/title&gt;&lt;secondary-title&gt;Structural equation modeling: A multidisciplinary Journal&lt;/secondary-title&gt;&lt;/titles&gt;&lt;periodical&gt;&lt;full-title&gt;Structural Equation Modeling: A Multidisciplinary Journal&lt;/full-title&gt;&lt;abbr-1&gt;Struct Equ Modeling&lt;/abbr-1&gt;&lt;/periodical&gt;&lt;pages&gt;535-569&lt;/pages&gt;&lt;volume&gt;14&lt;/volume&gt;&lt;number&gt;4&lt;/number&gt;&lt;dates&gt;&lt;year&gt;2007&lt;/year&gt;&lt;/dates&gt;&lt;isbn&gt;1070-5511&lt;/isbn&gt;&lt;urls&gt;&lt;/urls&gt;&lt;electronic-resource-num&gt;doi:10.1080/10705510701575396&lt;/electronic-resource-num&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(Nylund, Asparouhov, &amp; Muthén, 2007)</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In addition, the Lo-</w:t>
      </w:r>
      <w:proofErr w:type="spellStart"/>
      <w:r w:rsidRPr="004D566D">
        <w:rPr>
          <w:rFonts w:asciiTheme="majorBidi" w:hAnsiTheme="majorBidi" w:cstheme="majorBidi"/>
          <w:sz w:val="24"/>
          <w:szCs w:val="24"/>
        </w:rPr>
        <w:t>Mendell</w:t>
      </w:r>
      <w:proofErr w:type="spellEnd"/>
      <w:r w:rsidRPr="004D566D">
        <w:rPr>
          <w:rFonts w:asciiTheme="majorBidi" w:hAnsiTheme="majorBidi" w:cstheme="majorBidi"/>
          <w:sz w:val="24"/>
          <w:szCs w:val="24"/>
        </w:rPr>
        <w:t>-Rubin adjusted likelihood ratio test (LMR-A) was used to compare models with increasing numbers of latent classes</w:t>
      </w:r>
      <w:r w:rsidR="004D566D">
        <w:rPr>
          <w:rFonts w:asciiTheme="majorBidi" w:hAnsiTheme="majorBidi" w:cstheme="majorBidi"/>
          <w:sz w:val="24"/>
          <w:szCs w:val="24"/>
        </w:rPr>
        <w:t xml:space="preserve"> </w:t>
      </w:r>
      <w:r w:rsidR="004D566D">
        <w:rPr>
          <w:rFonts w:asciiTheme="majorBidi" w:hAnsiTheme="majorBidi" w:cstheme="majorBidi"/>
          <w:sz w:val="24"/>
          <w:szCs w:val="24"/>
        </w:rPr>
        <w:fldChar w:fldCharType="begin"/>
      </w:r>
      <w:r w:rsidR="004D566D">
        <w:rPr>
          <w:rFonts w:asciiTheme="majorBidi" w:hAnsiTheme="majorBidi" w:cstheme="majorBidi"/>
          <w:sz w:val="24"/>
          <w:szCs w:val="24"/>
        </w:rPr>
        <w:instrText xml:space="preserve"> ADDIN EN.CITE &lt;EndNote&gt;&lt;Cite&gt;&lt;Author&gt;Lo&lt;/Author&gt;&lt;Year&gt;2001&lt;/Year&gt;&lt;RecNum&gt;44&lt;/RecNum&gt;&lt;DisplayText&gt;(Lo, Mendell, &amp;amp; Rubin, 2001)&lt;/DisplayText&gt;&lt;record&gt;&lt;rec-number&gt;44&lt;/rec-number&gt;&lt;foreign-keys&gt;&lt;key app="EN" db-id="rrfxr5xf6ff9vhez95u5prs0rarwezxxzxzz" timestamp="1606750487"&gt;44&lt;/key&gt;&lt;/foreign-keys&gt;&lt;ref-type name="Journal Article"&gt;17&lt;/ref-type&gt;&lt;contributors&gt;&lt;authors&gt;&lt;author&gt;Lo, Yungtai&lt;/author&gt;&lt;author&gt;Mendell, Nancy R&lt;/author&gt;&lt;author&gt;Rubin, Donald B&lt;/author&gt;&lt;/authors&gt;&lt;/contributors&gt;&lt;titles&gt;&lt;title&gt;Testing the number of components in a normal mixture&lt;/title&gt;&lt;secondary-title&gt;Biometrika&lt;/secondary-title&gt;&lt;/titles&gt;&lt;periodical&gt;&lt;full-title&gt;Biometrika&lt;/full-title&gt;&lt;/periodical&gt;&lt;pages&gt;767-778&lt;/pages&gt;&lt;volume&gt;88&lt;/volume&gt;&lt;number&gt;3&lt;/number&gt;&lt;dates&gt;&lt;year&gt;2001&lt;/year&gt;&lt;/dates&gt;&lt;isbn&gt;1464-3510&lt;/isbn&gt;&lt;urls&gt;&lt;/urls&gt;&lt;electronic-resource-num&gt;doi:10.1093/biomet/88.3.767&lt;/electronic-resource-num&gt;&lt;/record&gt;&lt;/Cite&gt;&lt;/EndNote&gt;</w:instrText>
      </w:r>
      <w:r w:rsidR="004D566D">
        <w:rPr>
          <w:rFonts w:asciiTheme="majorBidi" w:hAnsiTheme="majorBidi" w:cstheme="majorBidi"/>
          <w:sz w:val="24"/>
          <w:szCs w:val="24"/>
        </w:rPr>
        <w:fldChar w:fldCharType="separate"/>
      </w:r>
      <w:r w:rsidR="004D566D">
        <w:rPr>
          <w:rFonts w:asciiTheme="majorBidi" w:hAnsiTheme="majorBidi" w:cstheme="majorBidi"/>
          <w:noProof/>
          <w:sz w:val="24"/>
          <w:szCs w:val="24"/>
        </w:rPr>
        <w:t>(Lo, Mendell, &amp; Rubin, 2001)</w:t>
      </w:r>
      <w:r w:rsidR="004D566D">
        <w:rPr>
          <w:rFonts w:asciiTheme="majorBidi" w:hAnsiTheme="majorBidi" w:cstheme="majorBidi"/>
          <w:sz w:val="24"/>
          <w:szCs w:val="24"/>
        </w:rPr>
        <w:fldChar w:fldCharType="end"/>
      </w:r>
      <w:r w:rsidR="004D566D">
        <w:rPr>
          <w:rFonts w:asciiTheme="majorBidi" w:hAnsiTheme="majorBidi" w:cstheme="majorBidi"/>
          <w:sz w:val="24"/>
          <w:szCs w:val="24"/>
        </w:rPr>
        <w:t>.</w:t>
      </w:r>
      <w:r w:rsidRPr="004D566D">
        <w:rPr>
          <w:rFonts w:asciiTheme="majorBidi" w:hAnsiTheme="majorBidi" w:cstheme="majorBidi"/>
          <w:sz w:val="24"/>
          <w:szCs w:val="24"/>
        </w:rPr>
        <w:t xml:space="preserve"> When a non-significant value (p &gt; .05) occurs, this suggests that the model with one fewer class should be accepted. </w:t>
      </w:r>
    </w:p>
    <w:p w14:paraId="43FD9615" w14:textId="77777777" w:rsidR="002C5A9B" w:rsidRPr="004D566D" w:rsidRDefault="002C5A9B" w:rsidP="004D566D">
      <w:pPr>
        <w:spacing w:line="360" w:lineRule="auto"/>
        <w:rPr>
          <w:rFonts w:asciiTheme="majorBidi" w:hAnsiTheme="majorBidi" w:cstheme="majorBidi"/>
          <w:sz w:val="24"/>
          <w:szCs w:val="24"/>
        </w:rPr>
      </w:pPr>
    </w:p>
    <w:p w14:paraId="070593C3" w14:textId="58530BC5" w:rsidR="0081310F" w:rsidRPr="004D566D" w:rsidRDefault="004D566D" w:rsidP="004D566D">
      <w:pPr>
        <w:pStyle w:val="ListParagraph"/>
        <w:numPr>
          <w:ilvl w:val="1"/>
          <w:numId w:val="1"/>
        </w:num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81310F" w:rsidRPr="004D566D">
        <w:rPr>
          <w:rFonts w:asciiTheme="majorBidi" w:hAnsiTheme="majorBidi" w:cstheme="majorBidi"/>
          <w:b/>
          <w:bCs/>
          <w:sz w:val="24"/>
          <w:szCs w:val="24"/>
        </w:rPr>
        <w:t>Additional details of the latent growth models</w:t>
      </w:r>
    </w:p>
    <w:p w14:paraId="3EE7764F" w14:textId="77777777" w:rsidR="0081310F" w:rsidRPr="004D566D" w:rsidRDefault="0081310F" w:rsidP="004D566D">
      <w:pPr>
        <w:spacing w:line="360" w:lineRule="auto"/>
        <w:rPr>
          <w:rFonts w:asciiTheme="majorBidi" w:hAnsiTheme="majorBidi" w:cstheme="majorBidi"/>
          <w:sz w:val="24"/>
          <w:szCs w:val="24"/>
        </w:rPr>
      </w:pPr>
      <w:r w:rsidRPr="004D566D">
        <w:rPr>
          <w:rFonts w:asciiTheme="majorBidi" w:hAnsiTheme="majorBidi" w:cstheme="majorBidi"/>
          <w:sz w:val="24"/>
          <w:szCs w:val="24"/>
        </w:rPr>
        <w:t>The baseline LGMs with equal residual error variances for anxiety-depression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 xml:space="preserve">2 </w:t>
      </w:r>
      <w:r w:rsidRPr="004D566D">
        <w:rPr>
          <w:rFonts w:asciiTheme="majorBidi" w:hAnsiTheme="majorBidi" w:cstheme="majorBidi"/>
          <w:sz w:val="24"/>
          <w:szCs w:val="24"/>
        </w:rPr>
        <w:t>(3) = 4.90, p = .179; CFI = .99; TLI = .997; RMSEA = .018 (90% CI .000, .045); SRMR = .012) and traumatic stress (</w:t>
      </w:r>
      <w:r w:rsidRPr="004D566D">
        <w:rPr>
          <w:rFonts w:asciiTheme="majorBidi" w:hAnsiTheme="majorBidi" w:cstheme="majorBidi"/>
          <w:sz w:val="24"/>
          <w:szCs w:val="24"/>
        </w:rPr>
        <w:sym w:font="Symbol" w:char="F063"/>
      </w:r>
      <w:r w:rsidRPr="004D566D">
        <w:rPr>
          <w:rFonts w:asciiTheme="majorBidi" w:hAnsiTheme="majorBidi" w:cstheme="majorBidi"/>
          <w:sz w:val="24"/>
          <w:szCs w:val="24"/>
          <w:vertAlign w:val="superscript"/>
        </w:rPr>
        <w:t xml:space="preserve">2 </w:t>
      </w:r>
      <w:r w:rsidRPr="004D566D">
        <w:rPr>
          <w:rFonts w:asciiTheme="majorBidi" w:hAnsiTheme="majorBidi" w:cstheme="majorBidi"/>
          <w:sz w:val="24"/>
          <w:szCs w:val="24"/>
        </w:rPr>
        <w:t>(3) = 5.24, p = .154; CFI = .996; TLI = .996; RMSEA = .019 (90% CI .000, .046); SRMR = .022) were both well-fitting models. For the anxiety-depression model, the latent variable intercept mean was 10.485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0.248, p &lt;.001), and the slope mean was 0.035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0.125, p = .781); this suggests that the estimated overall mean at W1 was 10.485, and there was no change over time (as the slope mean was not significant). The variance of the latent variables for the intercept (</w:t>
      </w:r>
      <w:r w:rsidRPr="004D566D">
        <w:rPr>
          <w:rFonts w:asciiTheme="majorBidi" w:hAnsiTheme="majorBidi" w:cstheme="majorBidi"/>
          <w:color w:val="222222"/>
          <w:sz w:val="24"/>
          <w:szCs w:val="24"/>
        </w:rPr>
        <w:sym w:font="Symbol" w:char="F073"/>
      </w:r>
      <w:r w:rsidRPr="004D566D">
        <w:rPr>
          <w:rFonts w:asciiTheme="majorBidi" w:hAnsiTheme="majorBidi" w:cstheme="majorBidi"/>
          <w:sz w:val="24"/>
          <w:szCs w:val="24"/>
          <w:vertAlign w:val="superscript"/>
        </w:rPr>
        <w:t xml:space="preserve">2 </w:t>
      </w:r>
      <w:r w:rsidRPr="004D566D">
        <w:rPr>
          <w:rFonts w:asciiTheme="majorBidi" w:hAnsiTheme="majorBidi" w:cstheme="majorBidi"/>
          <w:sz w:val="24"/>
          <w:szCs w:val="24"/>
        </w:rPr>
        <w:t xml:space="preserve">= 98.54,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4.93, p &lt; .001) and slope (</w:t>
      </w:r>
      <w:r w:rsidRPr="004D566D">
        <w:rPr>
          <w:rFonts w:asciiTheme="majorBidi" w:hAnsiTheme="majorBidi" w:cstheme="majorBidi"/>
          <w:color w:val="222222"/>
          <w:sz w:val="24"/>
          <w:szCs w:val="24"/>
        </w:rPr>
        <w:sym w:font="Symbol" w:char="F073"/>
      </w:r>
      <w:r w:rsidRPr="004D566D">
        <w:rPr>
          <w:rFonts w:asciiTheme="majorBidi" w:hAnsiTheme="majorBidi" w:cstheme="majorBidi"/>
          <w:sz w:val="24"/>
          <w:szCs w:val="24"/>
          <w:vertAlign w:val="superscript"/>
        </w:rPr>
        <w:t>2</w:t>
      </w:r>
      <w:r w:rsidRPr="004D566D">
        <w:rPr>
          <w:rFonts w:asciiTheme="majorBidi" w:hAnsiTheme="majorBidi" w:cstheme="majorBidi"/>
          <w:sz w:val="24"/>
          <w:szCs w:val="24"/>
        </w:rPr>
        <w:t xml:space="preserve"> = 3.56,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1.61, p &lt; .05) were significant, and this indicted that there was heterogeneity that could be explored using LCGA. For the traumatic stress model, the latent variable intercept mean was 4.613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0.128, p &lt;.001), and the slope mean was -0.225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0.071, p &lt; .01); thus, the estimated overall mean at W1 was 4.613, and there was significant change over time with an estimated decrease of .225 points on the ITQ between each time interval. The variance of the latent variables for the intercept (</w:t>
      </w:r>
      <w:r w:rsidRPr="004D566D">
        <w:rPr>
          <w:rFonts w:asciiTheme="majorBidi" w:hAnsiTheme="majorBidi" w:cstheme="majorBidi"/>
          <w:color w:val="222222"/>
          <w:sz w:val="24"/>
          <w:szCs w:val="24"/>
        </w:rPr>
        <w:sym w:font="Symbol" w:char="F073"/>
      </w:r>
      <w:r w:rsidRPr="004D566D">
        <w:rPr>
          <w:rFonts w:asciiTheme="majorBidi" w:hAnsiTheme="majorBidi" w:cstheme="majorBidi"/>
          <w:sz w:val="24"/>
          <w:szCs w:val="24"/>
          <w:vertAlign w:val="superscript"/>
        </w:rPr>
        <w:t xml:space="preserve">2 </w:t>
      </w:r>
      <w:r w:rsidRPr="004D566D">
        <w:rPr>
          <w:rFonts w:asciiTheme="majorBidi" w:hAnsiTheme="majorBidi" w:cstheme="majorBidi"/>
          <w:sz w:val="24"/>
          <w:szCs w:val="24"/>
        </w:rPr>
        <w:t xml:space="preserve">= 24.771,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1.332, p &lt; .001) and slope (</w:t>
      </w:r>
      <w:r w:rsidRPr="004D566D">
        <w:rPr>
          <w:rFonts w:asciiTheme="majorBidi" w:hAnsiTheme="majorBidi" w:cstheme="majorBidi"/>
          <w:color w:val="222222"/>
          <w:sz w:val="24"/>
          <w:szCs w:val="24"/>
        </w:rPr>
        <w:sym w:font="Symbol" w:char="F073"/>
      </w:r>
      <w:r w:rsidRPr="004D566D">
        <w:rPr>
          <w:rFonts w:asciiTheme="majorBidi" w:hAnsiTheme="majorBidi" w:cstheme="majorBidi"/>
          <w:sz w:val="24"/>
          <w:szCs w:val="24"/>
          <w:vertAlign w:val="superscript"/>
        </w:rPr>
        <w:t>2</w:t>
      </w:r>
      <w:r w:rsidRPr="004D566D">
        <w:rPr>
          <w:rFonts w:asciiTheme="majorBidi" w:hAnsiTheme="majorBidi" w:cstheme="majorBidi"/>
          <w:sz w:val="24"/>
          <w:szCs w:val="24"/>
        </w:rPr>
        <w:t xml:space="preserve"> = 1.381, </w:t>
      </w:r>
      <w:proofErr w:type="spellStart"/>
      <w:r w:rsidRPr="004D566D">
        <w:rPr>
          <w:rFonts w:asciiTheme="majorBidi" w:hAnsiTheme="majorBidi" w:cstheme="majorBidi"/>
          <w:sz w:val="24"/>
          <w:szCs w:val="24"/>
        </w:rPr>
        <w:t>s.e.</w:t>
      </w:r>
      <w:proofErr w:type="spellEnd"/>
      <w:r w:rsidRPr="004D566D">
        <w:rPr>
          <w:rFonts w:asciiTheme="majorBidi" w:hAnsiTheme="majorBidi" w:cstheme="majorBidi"/>
          <w:sz w:val="24"/>
          <w:szCs w:val="24"/>
        </w:rPr>
        <w:t xml:space="preserve"> = 0.503, p &lt; .01) were significant, and this indicted that there was heterogeneity that could be explored using LCGA.               </w:t>
      </w:r>
    </w:p>
    <w:p w14:paraId="4B48B228" w14:textId="453A6998" w:rsidR="0081310F" w:rsidRDefault="0081310F" w:rsidP="004D566D">
      <w:pPr>
        <w:spacing w:line="360" w:lineRule="auto"/>
        <w:rPr>
          <w:rFonts w:asciiTheme="majorBidi" w:hAnsiTheme="majorBidi" w:cstheme="majorBidi"/>
          <w:sz w:val="24"/>
          <w:szCs w:val="24"/>
        </w:rPr>
      </w:pPr>
    </w:p>
    <w:p w14:paraId="4DD79A94" w14:textId="77777777" w:rsidR="00611F4F" w:rsidRDefault="00611F4F" w:rsidP="004D566D">
      <w:pPr>
        <w:spacing w:line="360" w:lineRule="auto"/>
        <w:rPr>
          <w:rFonts w:asciiTheme="majorBidi" w:hAnsiTheme="majorBidi" w:cstheme="majorBidi"/>
          <w:sz w:val="24"/>
          <w:szCs w:val="24"/>
        </w:rPr>
        <w:sectPr w:rsidR="00611F4F">
          <w:pgSz w:w="11906" w:h="16838"/>
          <w:pgMar w:top="1440" w:right="1440" w:bottom="1440" w:left="1440" w:header="708" w:footer="708" w:gutter="0"/>
          <w:cols w:space="708"/>
          <w:docGrid w:linePitch="360"/>
        </w:sectPr>
      </w:pPr>
    </w:p>
    <w:p w14:paraId="44CE099F" w14:textId="71B3846A" w:rsidR="00611F4F" w:rsidRPr="004F5CA3" w:rsidRDefault="00611F4F" w:rsidP="00611F4F">
      <w:pPr>
        <w:spacing w:line="240" w:lineRule="auto"/>
        <w:rPr>
          <w:rFonts w:asciiTheme="majorBidi" w:hAnsiTheme="majorBidi" w:cstheme="majorBidi"/>
          <w:b/>
          <w:bCs/>
          <w:sz w:val="24"/>
          <w:szCs w:val="24"/>
        </w:rPr>
      </w:pPr>
      <w:r w:rsidRPr="004F5CA3">
        <w:rPr>
          <w:rFonts w:asciiTheme="majorBidi" w:hAnsiTheme="majorBidi" w:cstheme="majorBidi"/>
          <w:b/>
          <w:bCs/>
          <w:sz w:val="24"/>
          <w:szCs w:val="24"/>
        </w:rPr>
        <w:lastRenderedPageBreak/>
        <w:t xml:space="preserve">Table </w:t>
      </w:r>
      <w:r w:rsidR="00D40989">
        <w:rPr>
          <w:rFonts w:asciiTheme="majorBidi" w:hAnsiTheme="majorBidi" w:cstheme="majorBidi"/>
          <w:b/>
          <w:bCs/>
          <w:sz w:val="24"/>
          <w:szCs w:val="24"/>
        </w:rPr>
        <w:t>S1</w:t>
      </w:r>
      <w:r w:rsidRPr="004F5CA3">
        <w:rPr>
          <w:rFonts w:asciiTheme="majorBidi" w:hAnsiTheme="majorBidi" w:cstheme="majorBidi"/>
          <w:b/>
          <w:bCs/>
          <w:sz w:val="24"/>
          <w:szCs w:val="24"/>
        </w:rPr>
        <w:t>. Fit Indices for the Latent Class Growth Analysis for Anxiety-Depression.</w:t>
      </w:r>
    </w:p>
    <w:p w14:paraId="6CF1CD2C" w14:textId="6351EBE4" w:rsidR="00650476" w:rsidRDefault="00650476" w:rsidP="004D566D">
      <w:pPr>
        <w:spacing w:line="360" w:lineRule="auto"/>
        <w:rPr>
          <w:rFonts w:asciiTheme="majorBidi" w:hAnsiTheme="majorBidi" w:cstheme="majorBidi"/>
          <w:sz w:val="24"/>
          <w:szCs w:val="24"/>
        </w:rPr>
      </w:pPr>
    </w:p>
    <w:p w14:paraId="7BC95077" w14:textId="77777777" w:rsidR="00611F4F" w:rsidRPr="004F5CA3" w:rsidRDefault="00611F4F" w:rsidP="00611F4F">
      <w:pPr>
        <w:spacing w:line="240" w:lineRule="auto"/>
        <w:rPr>
          <w:rFonts w:asciiTheme="majorBidi" w:hAnsiTheme="majorBidi" w:cstheme="majorBidi"/>
          <w:b/>
          <w:bCs/>
          <w:sz w:val="24"/>
          <w:szCs w:val="24"/>
        </w:rPr>
      </w:pPr>
      <w:bookmarkStart w:id="3" w:name="_Hlk63146252"/>
    </w:p>
    <w:p w14:paraId="7520EFD8" w14:textId="77777777" w:rsidR="00611F4F" w:rsidRPr="004F5CA3" w:rsidRDefault="00611F4F" w:rsidP="00611F4F">
      <w:pPr>
        <w:spacing w:line="240" w:lineRule="auto"/>
        <w:rPr>
          <w:rFonts w:asciiTheme="majorBidi" w:hAnsiTheme="majorBidi" w:cstheme="majorBidi"/>
          <w:sz w:val="24"/>
          <w:szCs w:val="24"/>
        </w:rPr>
      </w:pPr>
      <w:r w:rsidRPr="004F5CA3">
        <w:rPr>
          <w:rFonts w:asciiTheme="majorBidi" w:hAnsiTheme="majorBidi" w:cstheme="majorBidi"/>
          <w:i/>
          <w:iCs/>
          <w:sz w:val="24"/>
          <w:szCs w:val="24"/>
        </w:rPr>
        <w:t xml:space="preserve">AIC </w:t>
      </w:r>
      <w:r w:rsidRPr="004F5CA3">
        <w:rPr>
          <w:rFonts w:asciiTheme="majorBidi" w:hAnsiTheme="majorBidi" w:cstheme="majorBidi"/>
          <w:sz w:val="24"/>
          <w:szCs w:val="24"/>
        </w:rPr>
        <w:t xml:space="preserve">Akaike Information Criterion; </w:t>
      </w:r>
      <w:r w:rsidRPr="004F5CA3">
        <w:rPr>
          <w:rFonts w:asciiTheme="majorBidi" w:hAnsiTheme="majorBidi" w:cstheme="majorBidi"/>
          <w:i/>
          <w:iCs/>
          <w:sz w:val="24"/>
          <w:szCs w:val="24"/>
        </w:rPr>
        <w:t xml:space="preserve">BIC </w:t>
      </w:r>
      <w:r w:rsidRPr="004F5CA3">
        <w:rPr>
          <w:rFonts w:asciiTheme="majorBidi" w:hAnsiTheme="majorBidi" w:cstheme="majorBidi"/>
          <w:sz w:val="24"/>
          <w:szCs w:val="24"/>
        </w:rPr>
        <w:t xml:space="preserve">Bayesian Information Criterion; </w:t>
      </w:r>
      <w:proofErr w:type="spellStart"/>
      <w:r w:rsidRPr="004F5CA3">
        <w:rPr>
          <w:rFonts w:asciiTheme="majorBidi" w:hAnsiTheme="majorBidi" w:cstheme="majorBidi"/>
          <w:i/>
          <w:iCs/>
          <w:sz w:val="24"/>
          <w:szCs w:val="24"/>
        </w:rPr>
        <w:t>ssaBIC</w:t>
      </w:r>
      <w:proofErr w:type="spellEnd"/>
      <w:r w:rsidRPr="004F5CA3">
        <w:rPr>
          <w:rFonts w:asciiTheme="majorBidi" w:hAnsiTheme="majorBidi" w:cstheme="majorBidi"/>
          <w:i/>
          <w:iCs/>
          <w:sz w:val="24"/>
          <w:szCs w:val="24"/>
        </w:rPr>
        <w:t xml:space="preserve"> </w:t>
      </w:r>
      <w:r w:rsidRPr="004F5CA3">
        <w:rPr>
          <w:rFonts w:asciiTheme="majorBidi" w:hAnsiTheme="majorBidi" w:cstheme="majorBidi"/>
          <w:sz w:val="24"/>
          <w:szCs w:val="24"/>
        </w:rPr>
        <w:t xml:space="preserve">sample size adjusted Bayesian Information Criterion; </w:t>
      </w:r>
      <w:r w:rsidRPr="004F5CA3">
        <w:rPr>
          <w:rFonts w:asciiTheme="majorBidi" w:hAnsiTheme="majorBidi" w:cstheme="majorBidi"/>
          <w:i/>
          <w:iCs/>
          <w:sz w:val="24"/>
          <w:szCs w:val="24"/>
        </w:rPr>
        <w:t>LMR-A</w:t>
      </w:r>
      <w:r w:rsidRPr="004F5CA3">
        <w:rPr>
          <w:rFonts w:asciiTheme="majorBidi" w:hAnsiTheme="majorBidi" w:cstheme="majorBidi"/>
          <w:sz w:val="24"/>
          <w:szCs w:val="24"/>
        </w:rPr>
        <w:t xml:space="preserve"> Lo-</w:t>
      </w:r>
      <w:proofErr w:type="spellStart"/>
      <w:r w:rsidRPr="004F5CA3">
        <w:rPr>
          <w:rFonts w:asciiTheme="majorBidi" w:hAnsiTheme="majorBidi" w:cstheme="majorBidi"/>
          <w:sz w:val="24"/>
          <w:szCs w:val="24"/>
        </w:rPr>
        <w:t>Mendell</w:t>
      </w:r>
      <w:proofErr w:type="spellEnd"/>
      <w:r w:rsidRPr="004F5CA3">
        <w:rPr>
          <w:rFonts w:asciiTheme="majorBidi" w:hAnsiTheme="majorBidi" w:cstheme="majorBidi"/>
          <w:sz w:val="24"/>
          <w:szCs w:val="24"/>
        </w:rPr>
        <w:t>-Rubin adjusted likelihood ratio test</w:t>
      </w:r>
    </w:p>
    <w:bookmarkEnd w:id="3"/>
    <w:p w14:paraId="0B9E332C" w14:textId="77777777" w:rsidR="00611F4F" w:rsidRPr="004F5CA3" w:rsidRDefault="00611F4F" w:rsidP="00611F4F">
      <w:pPr>
        <w:rPr>
          <w:rFonts w:asciiTheme="majorBidi" w:hAnsiTheme="majorBidi" w:cstheme="majorBidi"/>
          <w:sz w:val="24"/>
          <w:szCs w:val="24"/>
        </w:rPr>
      </w:pPr>
    </w:p>
    <w:tbl>
      <w:tblPr>
        <w:tblStyle w:val="TableGridLight"/>
        <w:tblpPr w:leftFromText="180" w:rightFromText="180" w:vertAnchor="page" w:horzAnchor="margin" w:tblpY="2221"/>
        <w:tblW w:w="0" w:type="auto"/>
        <w:tblLook w:val="04A0" w:firstRow="1" w:lastRow="0" w:firstColumn="1" w:lastColumn="0" w:noHBand="0" w:noVBand="1"/>
      </w:tblPr>
      <w:tblGrid>
        <w:gridCol w:w="866"/>
        <w:gridCol w:w="1436"/>
        <w:gridCol w:w="1366"/>
        <w:gridCol w:w="1366"/>
        <w:gridCol w:w="1366"/>
        <w:gridCol w:w="1290"/>
        <w:gridCol w:w="1326"/>
      </w:tblGrid>
      <w:tr w:rsidR="00611F4F" w:rsidRPr="004F5CA3" w14:paraId="6FD52C5D" w14:textId="77777777" w:rsidTr="00AE3286">
        <w:tc>
          <w:tcPr>
            <w:tcW w:w="1704" w:type="dxa"/>
            <w:tcBorders>
              <w:top w:val="single" w:sz="12" w:space="0" w:color="auto"/>
              <w:bottom w:val="single" w:sz="4" w:space="0" w:color="auto"/>
            </w:tcBorders>
          </w:tcPr>
          <w:p w14:paraId="4F1DE2A5" w14:textId="77777777" w:rsidR="00611F4F" w:rsidRPr="004F5CA3" w:rsidRDefault="00611F4F" w:rsidP="00AE3286">
            <w:pPr>
              <w:rPr>
                <w:rFonts w:asciiTheme="majorBidi" w:hAnsiTheme="majorBidi" w:cstheme="majorBidi"/>
                <w:b/>
                <w:bCs/>
                <w:sz w:val="24"/>
                <w:szCs w:val="24"/>
              </w:rPr>
            </w:pPr>
          </w:p>
        </w:tc>
        <w:tc>
          <w:tcPr>
            <w:tcW w:w="1763" w:type="dxa"/>
            <w:tcBorders>
              <w:top w:val="single" w:sz="12" w:space="0" w:color="auto"/>
              <w:bottom w:val="single" w:sz="4" w:space="0" w:color="auto"/>
            </w:tcBorders>
          </w:tcPr>
          <w:p w14:paraId="488CAE9B"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Log likelihood</w:t>
            </w:r>
          </w:p>
        </w:tc>
        <w:tc>
          <w:tcPr>
            <w:tcW w:w="1764" w:type="dxa"/>
            <w:tcBorders>
              <w:top w:val="single" w:sz="12" w:space="0" w:color="auto"/>
              <w:bottom w:val="single" w:sz="4" w:space="0" w:color="auto"/>
            </w:tcBorders>
          </w:tcPr>
          <w:p w14:paraId="581341E8"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AIC</w:t>
            </w:r>
          </w:p>
        </w:tc>
        <w:tc>
          <w:tcPr>
            <w:tcW w:w="1764" w:type="dxa"/>
            <w:tcBorders>
              <w:top w:val="single" w:sz="12" w:space="0" w:color="auto"/>
              <w:bottom w:val="single" w:sz="4" w:space="0" w:color="auto"/>
            </w:tcBorders>
          </w:tcPr>
          <w:p w14:paraId="75D433B3"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BIC</w:t>
            </w:r>
          </w:p>
        </w:tc>
        <w:tc>
          <w:tcPr>
            <w:tcW w:w="1764" w:type="dxa"/>
            <w:tcBorders>
              <w:top w:val="single" w:sz="12" w:space="0" w:color="auto"/>
              <w:bottom w:val="single" w:sz="4" w:space="0" w:color="auto"/>
            </w:tcBorders>
          </w:tcPr>
          <w:p w14:paraId="68D052BC" w14:textId="77777777" w:rsidR="00611F4F" w:rsidRPr="004F5CA3" w:rsidRDefault="00611F4F" w:rsidP="00AE3286">
            <w:pPr>
              <w:jc w:val="center"/>
              <w:rPr>
                <w:rFonts w:asciiTheme="majorBidi" w:hAnsiTheme="majorBidi" w:cstheme="majorBidi"/>
                <w:b/>
                <w:bCs/>
                <w:sz w:val="24"/>
                <w:szCs w:val="24"/>
              </w:rPr>
            </w:pPr>
            <w:proofErr w:type="spellStart"/>
            <w:r w:rsidRPr="004F5CA3">
              <w:rPr>
                <w:rFonts w:asciiTheme="majorBidi" w:hAnsiTheme="majorBidi" w:cstheme="majorBidi"/>
                <w:b/>
                <w:bCs/>
                <w:sz w:val="24"/>
                <w:szCs w:val="24"/>
              </w:rPr>
              <w:t>ssaBIC</w:t>
            </w:r>
            <w:proofErr w:type="spellEnd"/>
          </w:p>
        </w:tc>
        <w:tc>
          <w:tcPr>
            <w:tcW w:w="1757" w:type="dxa"/>
            <w:tcBorders>
              <w:top w:val="single" w:sz="12" w:space="0" w:color="auto"/>
              <w:bottom w:val="single" w:sz="4" w:space="0" w:color="auto"/>
            </w:tcBorders>
          </w:tcPr>
          <w:p w14:paraId="1B02E81E"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LMR-A</w:t>
            </w:r>
          </w:p>
        </w:tc>
        <w:tc>
          <w:tcPr>
            <w:tcW w:w="1733" w:type="dxa"/>
            <w:tcBorders>
              <w:top w:val="single" w:sz="12" w:space="0" w:color="auto"/>
              <w:bottom w:val="single" w:sz="4" w:space="0" w:color="auto"/>
            </w:tcBorders>
          </w:tcPr>
          <w:p w14:paraId="598F7700"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Entropy</w:t>
            </w:r>
          </w:p>
        </w:tc>
      </w:tr>
      <w:tr w:rsidR="00611F4F" w:rsidRPr="004F5CA3" w14:paraId="2024868D" w14:textId="77777777" w:rsidTr="00AE3286">
        <w:tc>
          <w:tcPr>
            <w:tcW w:w="1704" w:type="dxa"/>
            <w:tcBorders>
              <w:top w:val="single" w:sz="4" w:space="0" w:color="auto"/>
            </w:tcBorders>
          </w:tcPr>
          <w:p w14:paraId="6013E52B"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1</w:t>
            </w:r>
          </w:p>
        </w:tc>
        <w:tc>
          <w:tcPr>
            <w:tcW w:w="1763" w:type="dxa"/>
            <w:tcBorders>
              <w:top w:val="single" w:sz="4" w:space="0" w:color="auto"/>
            </w:tcBorders>
          </w:tcPr>
          <w:p w14:paraId="764B8659"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-17572</w:t>
            </w:r>
            <w:r>
              <w:rPr>
                <w:rFonts w:asciiTheme="majorBidi" w:hAnsiTheme="majorBidi" w:cstheme="majorBidi"/>
                <w:sz w:val="24"/>
                <w:szCs w:val="24"/>
              </w:rPr>
              <w:t>.</w:t>
            </w:r>
            <w:r w:rsidRPr="004F5CA3">
              <w:rPr>
                <w:rFonts w:asciiTheme="majorBidi" w:hAnsiTheme="majorBidi" w:cstheme="majorBidi"/>
                <w:sz w:val="24"/>
                <w:szCs w:val="24"/>
              </w:rPr>
              <w:t>97</w:t>
            </w:r>
          </w:p>
        </w:tc>
        <w:tc>
          <w:tcPr>
            <w:tcW w:w="1764" w:type="dxa"/>
            <w:tcBorders>
              <w:top w:val="single" w:sz="4" w:space="0" w:color="auto"/>
            </w:tcBorders>
          </w:tcPr>
          <w:p w14:paraId="4A6DFB7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35151</w:t>
            </w:r>
            <w:r>
              <w:rPr>
                <w:rFonts w:asciiTheme="majorBidi" w:hAnsiTheme="majorBidi" w:cstheme="majorBidi"/>
                <w:sz w:val="24"/>
                <w:szCs w:val="24"/>
              </w:rPr>
              <w:t>.</w:t>
            </w:r>
            <w:r w:rsidRPr="004F5CA3">
              <w:rPr>
                <w:rFonts w:asciiTheme="majorBidi" w:hAnsiTheme="majorBidi" w:cstheme="majorBidi"/>
                <w:sz w:val="24"/>
                <w:szCs w:val="24"/>
              </w:rPr>
              <w:t>94</w:t>
            </w:r>
          </w:p>
        </w:tc>
        <w:tc>
          <w:tcPr>
            <w:tcW w:w="1764" w:type="dxa"/>
            <w:tcBorders>
              <w:top w:val="single" w:sz="4" w:space="0" w:color="auto"/>
            </w:tcBorders>
          </w:tcPr>
          <w:p w14:paraId="7854FD3D"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35168</w:t>
            </w:r>
            <w:r>
              <w:rPr>
                <w:rFonts w:asciiTheme="majorBidi" w:hAnsiTheme="majorBidi" w:cstheme="majorBidi"/>
                <w:sz w:val="24"/>
                <w:szCs w:val="24"/>
              </w:rPr>
              <w:t>.</w:t>
            </w:r>
            <w:r w:rsidRPr="004F5CA3">
              <w:rPr>
                <w:rFonts w:asciiTheme="majorBidi" w:hAnsiTheme="majorBidi" w:cstheme="majorBidi"/>
                <w:sz w:val="24"/>
                <w:szCs w:val="24"/>
              </w:rPr>
              <w:t>78</w:t>
            </w:r>
          </w:p>
        </w:tc>
        <w:tc>
          <w:tcPr>
            <w:tcW w:w="1764" w:type="dxa"/>
            <w:tcBorders>
              <w:top w:val="single" w:sz="4" w:space="0" w:color="auto"/>
            </w:tcBorders>
          </w:tcPr>
          <w:p w14:paraId="6F83F469"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35159</w:t>
            </w:r>
            <w:r>
              <w:rPr>
                <w:rFonts w:asciiTheme="majorBidi" w:hAnsiTheme="majorBidi" w:cstheme="majorBidi"/>
                <w:sz w:val="24"/>
                <w:szCs w:val="24"/>
              </w:rPr>
              <w:t>.</w:t>
            </w:r>
            <w:r w:rsidRPr="004F5CA3">
              <w:rPr>
                <w:rFonts w:asciiTheme="majorBidi" w:hAnsiTheme="majorBidi" w:cstheme="majorBidi"/>
                <w:sz w:val="24"/>
                <w:szCs w:val="24"/>
              </w:rPr>
              <w:t>25</w:t>
            </w:r>
          </w:p>
        </w:tc>
        <w:tc>
          <w:tcPr>
            <w:tcW w:w="1757" w:type="dxa"/>
            <w:tcBorders>
              <w:top w:val="single" w:sz="4" w:space="0" w:color="auto"/>
            </w:tcBorders>
          </w:tcPr>
          <w:p w14:paraId="344445AC" w14:textId="77777777" w:rsidR="00611F4F" w:rsidRPr="004F5CA3" w:rsidRDefault="00611F4F" w:rsidP="00AE3286">
            <w:pPr>
              <w:jc w:val="center"/>
              <w:rPr>
                <w:rFonts w:asciiTheme="majorBidi" w:hAnsiTheme="majorBidi" w:cstheme="majorBidi"/>
                <w:sz w:val="24"/>
                <w:szCs w:val="24"/>
              </w:rPr>
            </w:pPr>
          </w:p>
        </w:tc>
        <w:tc>
          <w:tcPr>
            <w:tcW w:w="1733" w:type="dxa"/>
            <w:tcBorders>
              <w:top w:val="single" w:sz="4" w:space="0" w:color="auto"/>
            </w:tcBorders>
          </w:tcPr>
          <w:p w14:paraId="3A31B61F" w14:textId="77777777" w:rsidR="00611F4F" w:rsidRPr="004F5CA3" w:rsidRDefault="00611F4F" w:rsidP="00AE3286">
            <w:pPr>
              <w:jc w:val="center"/>
              <w:rPr>
                <w:rFonts w:asciiTheme="majorBidi" w:hAnsiTheme="majorBidi" w:cstheme="majorBidi"/>
                <w:sz w:val="24"/>
                <w:szCs w:val="24"/>
              </w:rPr>
            </w:pPr>
          </w:p>
        </w:tc>
      </w:tr>
      <w:tr w:rsidR="00611F4F" w:rsidRPr="004F5CA3" w14:paraId="54C15F79" w14:textId="77777777" w:rsidTr="00AE3286">
        <w:tc>
          <w:tcPr>
            <w:tcW w:w="1704" w:type="dxa"/>
          </w:tcPr>
          <w:p w14:paraId="344A870C"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2</w:t>
            </w:r>
          </w:p>
        </w:tc>
        <w:tc>
          <w:tcPr>
            <w:tcW w:w="1763" w:type="dxa"/>
          </w:tcPr>
          <w:p w14:paraId="2A2B9733"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-16489</w:t>
            </w:r>
            <w:r>
              <w:rPr>
                <w:rFonts w:asciiTheme="majorBidi" w:hAnsiTheme="majorBidi" w:cstheme="majorBidi"/>
                <w:sz w:val="24"/>
                <w:szCs w:val="24"/>
              </w:rPr>
              <w:t>.</w:t>
            </w:r>
            <w:r w:rsidRPr="004F5CA3">
              <w:rPr>
                <w:rFonts w:asciiTheme="majorBidi" w:hAnsiTheme="majorBidi" w:cstheme="majorBidi"/>
                <w:sz w:val="24"/>
                <w:szCs w:val="24"/>
              </w:rPr>
              <w:t>07</w:t>
            </w:r>
          </w:p>
        </w:tc>
        <w:tc>
          <w:tcPr>
            <w:tcW w:w="1764" w:type="dxa"/>
          </w:tcPr>
          <w:p w14:paraId="65545013"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32990</w:t>
            </w:r>
            <w:r>
              <w:rPr>
                <w:rFonts w:asciiTheme="majorBidi" w:hAnsiTheme="majorBidi" w:cstheme="majorBidi"/>
                <w:sz w:val="24"/>
                <w:szCs w:val="24"/>
              </w:rPr>
              <w:t>.</w:t>
            </w:r>
            <w:r w:rsidRPr="004F5CA3">
              <w:rPr>
                <w:rFonts w:asciiTheme="majorBidi" w:hAnsiTheme="majorBidi" w:cstheme="majorBidi"/>
                <w:sz w:val="24"/>
                <w:szCs w:val="24"/>
              </w:rPr>
              <w:t>13</w:t>
            </w:r>
          </w:p>
        </w:tc>
        <w:tc>
          <w:tcPr>
            <w:tcW w:w="1764" w:type="dxa"/>
          </w:tcPr>
          <w:p w14:paraId="6E90CCDB"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33023</w:t>
            </w:r>
            <w:r>
              <w:rPr>
                <w:rFonts w:asciiTheme="majorBidi" w:hAnsiTheme="majorBidi" w:cstheme="majorBidi"/>
                <w:sz w:val="24"/>
                <w:szCs w:val="24"/>
              </w:rPr>
              <w:t>.</w:t>
            </w:r>
            <w:r w:rsidRPr="004F5CA3">
              <w:rPr>
                <w:rFonts w:asciiTheme="majorBidi" w:hAnsiTheme="majorBidi" w:cstheme="majorBidi"/>
                <w:sz w:val="24"/>
                <w:szCs w:val="24"/>
              </w:rPr>
              <w:t>81</w:t>
            </w:r>
          </w:p>
        </w:tc>
        <w:tc>
          <w:tcPr>
            <w:tcW w:w="1764" w:type="dxa"/>
          </w:tcPr>
          <w:p w14:paraId="440FD33D"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33004</w:t>
            </w:r>
            <w:r>
              <w:rPr>
                <w:rFonts w:asciiTheme="majorBidi" w:hAnsiTheme="majorBidi" w:cstheme="majorBidi"/>
                <w:sz w:val="24"/>
                <w:szCs w:val="24"/>
              </w:rPr>
              <w:t>.</w:t>
            </w:r>
            <w:r w:rsidRPr="004F5CA3">
              <w:rPr>
                <w:rFonts w:asciiTheme="majorBidi" w:hAnsiTheme="majorBidi" w:cstheme="majorBidi"/>
                <w:sz w:val="24"/>
                <w:szCs w:val="24"/>
              </w:rPr>
              <w:t>75</w:t>
            </w:r>
          </w:p>
        </w:tc>
        <w:tc>
          <w:tcPr>
            <w:tcW w:w="1757" w:type="dxa"/>
          </w:tcPr>
          <w:p w14:paraId="2E27915F"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2076</w:t>
            </w:r>
            <w:r>
              <w:rPr>
                <w:rFonts w:asciiTheme="majorBidi" w:hAnsiTheme="majorBidi" w:cstheme="majorBidi"/>
                <w:sz w:val="24"/>
                <w:szCs w:val="24"/>
              </w:rPr>
              <w:t>.</w:t>
            </w:r>
            <w:r w:rsidRPr="004F5CA3">
              <w:rPr>
                <w:rFonts w:asciiTheme="majorBidi" w:hAnsiTheme="majorBidi" w:cstheme="majorBidi"/>
                <w:sz w:val="24"/>
                <w:szCs w:val="24"/>
              </w:rPr>
              <w:t>87</w:t>
            </w:r>
          </w:p>
          <w:p w14:paraId="3F00A48E"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000</w:t>
            </w:r>
          </w:p>
        </w:tc>
        <w:tc>
          <w:tcPr>
            <w:tcW w:w="1733" w:type="dxa"/>
          </w:tcPr>
          <w:p w14:paraId="16B5BA86"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879</w:t>
            </w:r>
          </w:p>
        </w:tc>
      </w:tr>
      <w:tr w:rsidR="00611F4F" w:rsidRPr="004F5CA3" w14:paraId="35BCCFF6" w14:textId="77777777" w:rsidTr="00AE3286">
        <w:tc>
          <w:tcPr>
            <w:tcW w:w="1704" w:type="dxa"/>
          </w:tcPr>
          <w:p w14:paraId="19789906"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3</w:t>
            </w:r>
          </w:p>
        </w:tc>
        <w:tc>
          <w:tcPr>
            <w:tcW w:w="1763" w:type="dxa"/>
          </w:tcPr>
          <w:p w14:paraId="42933C8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-16169</w:t>
            </w:r>
            <w:r>
              <w:rPr>
                <w:rFonts w:asciiTheme="majorBidi" w:hAnsiTheme="majorBidi" w:cstheme="majorBidi"/>
                <w:sz w:val="24"/>
                <w:szCs w:val="24"/>
              </w:rPr>
              <w:t>.</w:t>
            </w:r>
            <w:r w:rsidRPr="004F5CA3">
              <w:rPr>
                <w:rFonts w:asciiTheme="majorBidi" w:hAnsiTheme="majorBidi" w:cstheme="majorBidi"/>
                <w:sz w:val="24"/>
                <w:szCs w:val="24"/>
              </w:rPr>
              <w:t>44</w:t>
            </w:r>
          </w:p>
        </w:tc>
        <w:tc>
          <w:tcPr>
            <w:tcW w:w="1764" w:type="dxa"/>
          </w:tcPr>
          <w:p w14:paraId="25857CC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32356</w:t>
            </w:r>
            <w:r>
              <w:rPr>
                <w:rFonts w:asciiTheme="majorBidi" w:hAnsiTheme="majorBidi" w:cstheme="majorBidi"/>
                <w:sz w:val="24"/>
                <w:szCs w:val="24"/>
              </w:rPr>
              <w:t>.</w:t>
            </w:r>
            <w:r w:rsidRPr="004F5CA3">
              <w:rPr>
                <w:rFonts w:asciiTheme="majorBidi" w:hAnsiTheme="majorBidi" w:cstheme="majorBidi"/>
                <w:sz w:val="24"/>
                <w:szCs w:val="24"/>
              </w:rPr>
              <w:t>89</w:t>
            </w:r>
          </w:p>
        </w:tc>
        <w:tc>
          <w:tcPr>
            <w:tcW w:w="1764" w:type="dxa"/>
          </w:tcPr>
          <w:p w14:paraId="0D10BC8E"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32407</w:t>
            </w:r>
            <w:r>
              <w:rPr>
                <w:rFonts w:asciiTheme="majorBidi" w:hAnsiTheme="majorBidi" w:cstheme="majorBidi"/>
                <w:sz w:val="24"/>
                <w:szCs w:val="24"/>
              </w:rPr>
              <w:t>.</w:t>
            </w:r>
            <w:r w:rsidRPr="004F5CA3">
              <w:rPr>
                <w:rFonts w:asciiTheme="majorBidi" w:hAnsiTheme="majorBidi" w:cstheme="majorBidi"/>
                <w:sz w:val="24"/>
                <w:szCs w:val="24"/>
              </w:rPr>
              <w:t>41</w:t>
            </w:r>
          </w:p>
        </w:tc>
        <w:tc>
          <w:tcPr>
            <w:tcW w:w="1764" w:type="dxa"/>
          </w:tcPr>
          <w:p w14:paraId="561E5A6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32378</w:t>
            </w:r>
            <w:r>
              <w:rPr>
                <w:rFonts w:asciiTheme="majorBidi" w:hAnsiTheme="majorBidi" w:cstheme="majorBidi"/>
                <w:sz w:val="24"/>
                <w:szCs w:val="24"/>
              </w:rPr>
              <w:t>.</w:t>
            </w:r>
            <w:r w:rsidRPr="004F5CA3">
              <w:rPr>
                <w:rFonts w:asciiTheme="majorBidi" w:hAnsiTheme="majorBidi" w:cstheme="majorBidi"/>
                <w:sz w:val="24"/>
                <w:szCs w:val="24"/>
              </w:rPr>
              <w:t>82</w:t>
            </w:r>
          </w:p>
        </w:tc>
        <w:tc>
          <w:tcPr>
            <w:tcW w:w="1757" w:type="dxa"/>
          </w:tcPr>
          <w:p w14:paraId="657EA11E"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612</w:t>
            </w:r>
            <w:r>
              <w:rPr>
                <w:rFonts w:asciiTheme="majorBidi" w:hAnsiTheme="majorBidi" w:cstheme="majorBidi"/>
                <w:sz w:val="24"/>
                <w:szCs w:val="24"/>
              </w:rPr>
              <w:t>.</w:t>
            </w:r>
            <w:r w:rsidRPr="004F5CA3">
              <w:rPr>
                <w:rFonts w:asciiTheme="majorBidi" w:hAnsiTheme="majorBidi" w:cstheme="majorBidi"/>
                <w:sz w:val="24"/>
                <w:szCs w:val="24"/>
              </w:rPr>
              <w:t>43</w:t>
            </w:r>
          </w:p>
          <w:p w14:paraId="45F7E03A"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000</w:t>
            </w:r>
          </w:p>
        </w:tc>
        <w:tc>
          <w:tcPr>
            <w:tcW w:w="1733" w:type="dxa"/>
          </w:tcPr>
          <w:p w14:paraId="5161F33A"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857</w:t>
            </w:r>
          </w:p>
        </w:tc>
      </w:tr>
      <w:tr w:rsidR="00611F4F" w:rsidRPr="004F5CA3" w14:paraId="319F8E04" w14:textId="77777777" w:rsidTr="00AE3286">
        <w:tc>
          <w:tcPr>
            <w:tcW w:w="1704" w:type="dxa"/>
          </w:tcPr>
          <w:p w14:paraId="2782ECAE"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4</w:t>
            </w:r>
          </w:p>
        </w:tc>
        <w:tc>
          <w:tcPr>
            <w:tcW w:w="1763" w:type="dxa"/>
          </w:tcPr>
          <w:p w14:paraId="64BEA0A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-16053</w:t>
            </w:r>
            <w:r>
              <w:rPr>
                <w:rFonts w:asciiTheme="majorBidi" w:hAnsiTheme="majorBidi" w:cstheme="majorBidi"/>
                <w:sz w:val="24"/>
                <w:szCs w:val="24"/>
              </w:rPr>
              <w:t>.</w:t>
            </w:r>
            <w:r w:rsidRPr="004F5CA3">
              <w:rPr>
                <w:rFonts w:asciiTheme="majorBidi" w:hAnsiTheme="majorBidi" w:cstheme="majorBidi"/>
                <w:sz w:val="24"/>
                <w:szCs w:val="24"/>
              </w:rPr>
              <w:t>93</w:t>
            </w:r>
          </w:p>
        </w:tc>
        <w:tc>
          <w:tcPr>
            <w:tcW w:w="1764" w:type="dxa"/>
          </w:tcPr>
          <w:p w14:paraId="002637E2"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32131</w:t>
            </w:r>
            <w:r>
              <w:rPr>
                <w:rFonts w:asciiTheme="majorBidi" w:hAnsiTheme="majorBidi" w:cstheme="majorBidi"/>
                <w:sz w:val="24"/>
                <w:szCs w:val="24"/>
              </w:rPr>
              <w:t>.</w:t>
            </w:r>
            <w:r w:rsidRPr="004F5CA3">
              <w:rPr>
                <w:rFonts w:asciiTheme="majorBidi" w:hAnsiTheme="majorBidi" w:cstheme="majorBidi"/>
                <w:sz w:val="24"/>
                <w:szCs w:val="24"/>
              </w:rPr>
              <w:t>87</w:t>
            </w:r>
          </w:p>
        </w:tc>
        <w:tc>
          <w:tcPr>
            <w:tcW w:w="1764" w:type="dxa"/>
          </w:tcPr>
          <w:p w14:paraId="553A8D53"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32199</w:t>
            </w:r>
            <w:r>
              <w:rPr>
                <w:rFonts w:asciiTheme="majorBidi" w:hAnsiTheme="majorBidi" w:cstheme="majorBidi"/>
                <w:sz w:val="24"/>
                <w:szCs w:val="24"/>
              </w:rPr>
              <w:t>.</w:t>
            </w:r>
            <w:r w:rsidRPr="004F5CA3">
              <w:rPr>
                <w:rFonts w:asciiTheme="majorBidi" w:hAnsiTheme="majorBidi" w:cstheme="majorBidi"/>
                <w:sz w:val="24"/>
                <w:szCs w:val="24"/>
              </w:rPr>
              <w:t>23</w:t>
            </w:r>
          </w:p>
        </w:tc>
        <w:tc>
          <w:tcPr>
            <w:tcW w:w="1764" w:type="dxa"/>
          </w:tcPr>
          <w:p w14:paraId="424C9A25"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32161</w:t>
            </w:r>
            <w:r>
              <w:rPr>
                <w:rFonts w:asciiTheme="majorBidi" w:hAnsiTheme="majorBidi" w:cstheme="majorBidi"/>
                <w:sz w:val="24"/>
                <w:szCs w:val="24"/>
              </w:rPr>
              <w:t>.</w:t>
            </w:r>
            <w:r w:rsidRPr="004F5CA3">
              <w:rPr>
                <w:rFonts w:asciiTheme="majorBidi" w:hAnsiTheme="majorBidi" w:cstheme="majorBidi"/>
                <w:sz w:val="24"/>
                <w:szCs w:val="24"/>
              </w:rPr>
              <w:t>11</w:t>
            </w:r>
          </w:p>
        </w:tc>
        <w:tc>
          <w:tcPr>
            <w:tcW w:w="1757" w:type="dxa"/>
          </w:tcPr>
          <w:p w14:paraId="0FC2626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221</w:t>
            </w:r>
            <w:r>
              <w:rPr>
                <w:rFonts w:asciiTheme="majorBidi" w:hAnsiTheme="majorBidi" w:cstheme="majorBidi"/>
                <w:sz w:val="24"/>
                <w:szCs w:val="24"/>
              </w:rPr>
              <w:t>.</w:t>
            </w:r>
            <w:r w:rsidRPr="004F5CA3">
              <w:rPr>
                <w:rFonts w:asciiTheme="majorBidi" w:hAnsiTheme="majorBidi" w:cstheme="majorBidi"/>
                <w:sz w:val="24"/>
                <w:szCs w:val="24"/>
              </w:rPr>
              <w:t>32</w:t>
            </w:r>
          </w:p>
          <w:p w14:paraId="2F44A3B0"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041</w:t>
            </w:r>
          </w:p>
        </w:tc>
        <w:tc>
          <w:tcPr>
            <w:tcW w:w="1733" w:type="dxa"/>
          </w:tcPr>
          <w:p w14:paraId="77487438"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833</w:t>
            </w:r>
          </w:p>
        </w:tc>
      </w:tr>
      <w:tr w:rsidR="00611F4F" w:rsidRPr="004F5CA3" w14:paraId="2B554386" w14:textId="77777777" w:rsidTr="00AE3286">
        <w:tc>
          <w:tcPr>
            <w:tcW w:w="1704" w:type="dxa"/>
          </w:tcPr>
          <w:p w14:paraId="51180B17"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5</w:t>
            </w:r>
          </w:p>
        </w:tc>
        <w:tc>
          <w:tcPr>
            <w:tcW w:w="1763" w:type="dxa"/>
          </w:tcPr>
          <w:p w14:paraId="226E50D1"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-15934</w:t>
            </w:r>
            <w:r>
              <w:rPr>
                <w:rFonts w:asciiTheme="majorBidi" w:hAnsiTheme="majorBidi" w:cstheme="majorBidi"/>
                <w:sz w:val="24"/>
                <w:szCs w:val="24"/>
              </w:rPr>
              <w:t>.</w:t>
            </w:r>
            <w:r w:rsidRPr="004F5CA3">
              <w:rPr>
                <w:rFonts w:asciiTheme="majorBidi" w:hAnsiTheme="majorBidi" w:cstheme="majorBidi"/>
                <w:sz w:val="24"/>
                <w:szCs w:val="24"/>
              </w:rPr>
              <w:t>57</w:t>
            </w:r>
          </w:p>
        </w:tc>
        <w:tc>
          <w:tcPr>
            <w:tcW w:w="1764" w:type="dxa"/>
          </w:tcPr>
          <w:p w14:paraId="7D1F2522"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31899</w:t>
            </w:r>
            <w:r>
              <w:rPr>
                <w:rFonts w:asciiTheme="majorBidi" w:hAnsiTheme="majorBidi" w:cstheme="majorBidi"/>
                <w:sz w:val="24"/>
                <w:szCs w:val="24"/>
              </w:rPr>
              <w:t>.</w:t>
            </w:r>
            <w:r w:rsidRPr="004F5CA3">
              <w:rPr>
                <w:rFonts w:asciiTheme="majorBidi" w:hAnsiTheme="majorBidi" w:cstheme="majorBidi"/>
                <w:sz w:val="24"/>
                <w:szCs w:val="24"/>
              </w:rPr>
              <w:t>14</w:t>
            </w:r>
          </w:p>
        </w:tc>
        <w:tc>
          <w:tcPr>
            <w:tcW w:w="1764" w:type="dxa"/>
          </w:tcPr>
          <w:p w14:paraId="2EE086EF"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31983</w:t>
            </w:r>
            <w:r>
              <w:rPr>
                <w:rFonts w:asciiTheme="majorBidi" w:hAnsiTheme="majorBidi" w:cstheme="majorBidi"/>
                <w:sz w:val="24"/>
                <w:szCs w:val="24"/>
              </w:rPr>
              <w:t>.</w:t>
            </w:r>
            <w:r w:rsidRPr="004F5CA3">
              <w:rPr>
                <w:rFonts w:asciiTheme="majorBidi" w:hAnsiTheme="majorBidi" w:cstheme="majorBidi"/>
                <w:sz w:val="24"/>
                <w:szCs w:val="24"/>
              </w:rPr>
              <w:t>34</w:t>
            </w:r>
          </w:p>
        </w:tc>
        <w:tc>
          <w:tcPr>
            <w:tcW w:w="1764" w:type="dxa"/>
          </w:tcPr>
          <w:p w14:paraId="76A542C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31935</w:t>
            </w:r>
            <w:r>
              <w:rPr>
                <w:rFonts w:asciiTheme="majorBidi" w:hAnsiTheme="majorBidi" w:cstheme="majorBidi"/>
                <w:sz w:val="24"/>
                <w:szCs w:val="24"/>
              </w:rPr>
              <w:t>.</w:t>
            </w:r>
            <w:r w:rsidRPr="004F5CA3">
              <w:rPr>
                <w:rFonts w:asciiTheme="majorBidi" w:hAnsiTheme="majorBidi" w:cstheme="majorBidi"/>
                <w:sz w:val="24"/>
                <w:szCs w:val="24"/>
              </w:rPr>
              <w:t>69</w:t>
            </w:r>
          </w:p>
        </w:tc>
        <w:tc>
          <w:tcPr>
            <w:tcW w:w="1757" w:type="dxa"/>
          </w:tcPr>
          <w:p w14:paraId="3CFFE931"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228</w:t>
            </w:r>
            <w:r>
              <w:rPr>
                <w:rFonts w:asciiTheme="majorBidi" w:hAnsiTheme="majorBidi" w:cstheme="majorBidi"/>
                <w:sz w:val="24"/>
                <w:szCs w:val="24"/>
              </w:rPr>
              <w:t>.</w:t>
            </w:r>
            <w:r w:rsidRPr="004F5CA3">
              <w:rPr>
                <w:rFonts w:asciiTheme="majorBidi" w:hAnsiTheme="majorBidi" w:cstheme="majorBidi"/>
                <w:sz w:val="24"/>
                <w:szCs w:val="24"/>
              </w:rPr>
              <w:t>71</w:t>
            </w:r>
          </w:p>
          <w:p w14:paraId="40A1E46D"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011</w:t>
            </w:r>
          </w:p>
        </w:tc>
        <w:tc>
          <w:tcPr>
            <w:tcW w:w="1733" w:type="dxa"/>
          </w:tcPr>
          <w:p w14:paraId="1DC50B75"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806</w:t>
            </w:r>
          </w:p>
        </w:tc>
      </w:tr>
      <w:tr w:rsidR="00611F4F" w:rsidRPr="004F5CA3" w14:paraId="56C9341E" w14:textId="77777777" w:rsidTr="00AE3286">
        <w:tc>
          <w:tcPr>
            <w:tcW w:w="1704" w:type="dxa"/>
          </w:tcPr>
          <w:p w14:paraId="010C321E"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6</w:t>
            </w:r>
          </w:p>
        </w:tc>
        <w:tc>
          <w:tcPr>
            <w:tcW w:w="1763" w:type="dxa"/>
          </w:tcPr>
          <w:p w14:paraId="4BEB527C"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-15874</w:t>
            </w:r>
            <w:r>
              <w:rPr>
                <w:rFonts w:asciiTheme="majorBidi" w:hAnsiTheme="majorBidi" w:cstheme="majorBidi"/>
                <w:sz w:val="24"/>
                <w:szCs w:val="24"/>
              </w:rPr>
              <w:t>.</w:t>
            </w:r>
            <w:r w:rsidRPr="004F5CA3">
              <w:rPr>
                <w:rFonts w:asciiTheme="majorBidi" w:hAnsiTheme="majorBidi" w:cstheme="majorBidi"/>
                <w:sz w:val="24"/>
                <w:szCs w:val="24"/>
              </w:rPr>
              <w:t>13</w:t>
            </w:r>
          </w:p>
        </w:tc>
        <w:tc>
          <w:tcPr>
            <w:tcW w:w="1764" w:type="dxa"/>
          </w:tcPr>
          <w:p w14:paraId="1DC8319F"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31784</w:t>
            </w:r>
            <w:r>
              <w:rPr>
                <w:rFonts w:asciiTheme="majorBidi" w:hAnsiTheme="majorBidi" w:cstheme="majorBidi"/>
                <w:sz w:val="24"/>
                <w:szCs w:val="24"/>
              </w:rPr>
              <w:t>.</w:t>
            </w:r>
            <w:r w:rsidRPr="004F5CA3">
              <w:rPr>
                <w:rFonts w:asciiTheme="majorBidi" w:hAnsiTheme="majorBidi" w:cstheme="majorBidi"/>
                <w:sz w:val="24"/>
                <w:szCs w:val="24"/>
              </w:rPr>
              <w:t>27</w:t>
            </w:r>
          </w:p>
        </w:tc>
        <w:tc>
          <w:tcPr>
            <w:tcW w:w="1764" w:type="dxa"/>
          </w:tcPr>
          <w:p w14:paraId="24246626"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31885</w:t>
            </w:r>
            <w:r>
              <w:rPr>
                <w:rFonts w:asciiTheme="majorBidi" w:hAnsiTheme="majorBidi" w:cstheme="majorBidi"/>
                <w:sz w:val="24"/>
                <w:szCs w:val="24"/>
              </w:rPr>
              <w:t>.</w:t>
            </w:r>
            <w:r w:rsidRPr="004F5CA3">
              <w:rPr>
                <w:rFonts w:asciiTheme="majorBidi" w:hAnsiTheme="majorBidi" w:cstheme="majorBidi"/>
                <w:sz w:val="24"/>
                <w:szCs w:val="24"/>
              </w:rPr>
              <w:t>31</w:t>
            </w:r>
          </w:p>
        </w:tc>
        <w:tc>
          <w:tcPr>
            <w:tcW w:w="1764" w:type="dxa"/>
          </w:tcPr>
          <w:p w14:paraId="236F7AED"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31828</w:t>
            </w:r>
            <w:r>
              <w:rPr>
                <w:rFonts w:asciiTheme="majorBidi" w:hAnsiTheme="majorBidi" w:cstheme="majorBidi"/>
                <w:sz w:val="24"/>
                <w:szCs w:val="24"/>
              </w:rPr>
              <w:t>.</w:t>
            </w:r>
            <w:r w:rsidRPr="004F5CA3">
              <w:rPr>
                <w:rFonts w:asciiTheme="majorBidi" w:hAnsiTheme="majorBidi" w:cstheme="majorBidi"/>
                <w:sz w:val="24"/>
                <w:szCs w:val="24"/>
              </w:rPr>
              <w:t>13</w:t>
            </w:r>
          </w:p>
        </w:tc>
        <w:tc>
          <w:tcPr>
            <w:tcW w:w="1757" w:type="dxa"/>
          </w:tcPr>
          <w:p w14:paraId="06CB95A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115</w:t>
            </w:r>
            <w:r>
              <w:rPr>
                <w:rFonts w:asciiTheme="majorBidi" w:hAnsiTheme="majorBidi" w:cstheme="majorBidi"/>
                <w:sz w:val="24"/>
                <w:szCs w:val="24"/>
              </w:rPr>
              <w:t>.</w:t>
            </w:r>
            <w:r w:rsidRPr="004F5CA3">
              <w:rPr>
                <w:rFonts w:asciiTheme="majorBidi" w:hAnsiTheme="majorBidi" w:cstheme="majorBidi"/>
                <w:sz w:val="24"/>
                <w:szCs w:val="24"/>
              </w:rPr>
              <w:t>79</w:t>
            </w:r>
          </w:p>
          <w:p w14:paraId="4B386941"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338</w:t>
            </w:r>
          </w:p>
        </w:tc>
        <w:tc>
          <w:tcPr>
            <w:tcW w:w="1733" w:type="dxa"/>
          </w:tcPr>
          <w:p w14:paraId="4E2AB0B0"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801</w:t>
            </w:r>
          </w:p>
        </w:tc>
      </w:tr>
      <w:tr w:rsidR="00611F4F" w:rsidRPr="004F5CA3" w14:paraId="06EA1F84" w14:textId="77777777" w:rsidTr="00AE3286">
        <w:tc>
          <w:tcPr>
            <w:tcW w:w="1704" w:type="dxa"/>
            <w:tcBorders>
              <w:bottom w:val="single" w:sz="12" w:space="0" w:color="auto"/>
            </w:tcBorders>
          </w:tcPr>
          <w:p w14:paraId="7FE1371D"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7</w:t>
            </w:r>
          </w:p>
        </w:tc>
        <w:tc>
          <w:tcPr>
            <w:tcW w:w="1763" w:type="dxa"/>
            <w:tcBorders>
              <w:bottom w:val="single" w:sz="12" w:space="0" w:color="auto"/>
            </w:tcBorders>
          </w:tcPr>
          <w:p w14:paraId="7E0C5A07"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-15825</w:t>
            </w:r>
            <w:r>
              <w:rPr>
                <w:rFonts w:asciiTheme="majorBidi" w:hAnsiTheme="majorBidi" w:cstheme="majorBidi"/>
                <w:sz w:val="24"/>
                <w:szCs w:val="24"/>
              </w:rPr>
              <w:t>.</w:t>
            </w:r>
            <w:r w:rsidRPr="004F5CA3">
              <w:rPr>
                <w:rFonts w:asciiTheme="majorBidi" w:hAnsiTheme="majorBidi" w:cstheme="majorBidi"/>
                <w:sz w:val="24"/>
                <w:szCs w:val="24"/>
              </w:rPr>
              <w:t>08</w:t>
            </w:r>
          </w:p>
        </w:tc>
        <w:tc>
          <w:tcPr>
            <w:tcW w:w="1764" w:type="dxa"/>
            <w:tcBorders>
              <w:bottom w:val="single" w:sz="12" w:space="0" w:color="auto"/>
            </w:tcBorders>
          </w:tcPr>
          <w:p w14:paraId="3AE6C08B"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31692</w:t>
            </w:r>
            <w:r>
              <w:rPr>
                <w:rFonts w:asciiTheme="majorBidi" w:hAnsiTheme="majorBidi" w:cstheme="majorBidi"/>
                <w:sz w:val="24"/>
                <w:szCs w:val="24"/>
              </w:rPr>
              <w:t>.</w:t>
            </w:r>
            <w:r w:rsidRPr="004F5CA3">
              <w:rPr>
                <w:rFonts w:asciiTheme="majorBidi" w:hAnsiTheme="majorBidi" w:cstheme="majorBidi"/>
                <w:sz w:val="24"/>
                <w:szCs w:val="24"/>
              </w:rPr>
              <w:t>17</w:t>
            </w:r>
          </w:p>
        </w:tc>
        <w:tc>
          <w:tcPr>
            <w:tcW w:w="1764" w:type="dxa"/>
            <w:tcBorders>
              <w:bottom w:val="single" w:sz="12" w:space="0" w:color="auto"/>
            </w:tcBorders>
          </w:tcPr>
          <w:p w14:paraId="4175740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31810</w:t>
            </w:r>
            <w:r>
              <w:rPr>
                <w:rFonts w:asciiTheme="majorBidi" w:hAnsiTheme="majorBidi" w:cstheme="majorBidi"/>
                <w:sz w:val="24"/>
                <w:szCs w:val="24"/>
              </w:rPr>
              <w:t>.</w:t>
            </w:r>
            <w:r w:rsidRPr="004F5CA3">
              <w:rPr>
                <w:rFonts w:asciiTheme="majorBidi" w:hAnsiTheme="majorBidi" w:cstheme="majorBidi"/>
                <w:sz w:val="24"/>
                <w:szCs w:val="24"/>
              </w:rPr>
              <w:t>05</w:t>
            </w:r>
          </w:p>
        </w:tc>
        <w:tc>
          <w:tcPr>
            <w:tcW w:w="1764" w:type="dxa"/>
            <w:tcBorders>
              <w:bottom w:val="single" w:sz="12" w:space="0" w:color="auto"/>
            </w:tcBorders>
          </w:tcPr>
          <w:p w14:paraId="51F12116"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31743</w:t>
            </w:r>
            <w:r>
              <w:rPr>
                <w:rFonts w:asciiTheme="majorBidi" w:hAnsiTheme="majorBidi" w:cstheme="majorBidi"/>
                <w:sz w:val="24"/>
                <w:szCs w:val="24"/>
              </w:rPr>
              <w:t>.</w:t>
            </w:r>
            <w:r w:rsidRPr="004F5CA3">
              <w:rPr>
                <w:rFonts w:asciiTheme="majorBidi" w:hAnsiTheme="majorBidi" w:cstheme="majorBidi"/>
                <w:sz w:val="24"/>
                <w:szCs w:val="24"/>
              </w:rPr>
              <w:t>33</w:t>
            </w:r>
          </w:p>
        </w:tc>
        <w:tc>
          <w:tcPr>
            <w:tcW w:w="1757" w:type="dxa"/>
            <w:tcBorders>
              <w:bottom w:val="single" w:sz="12" w:space="0" w:color="auto"/>
            </w:tcBorders>
          </w:tcPr>
          <w:p w14:paraId="2A8F1C17"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93</w:t>
            </w:r>
            <w:r>
              <w:rPr>
                <w:rFonts w:asciiTheme="majorBidi" w:hAnsiTheme="majorBidi" w:cstheme="majorBidi"/>
                <w:sz w:val="24"/>
                <w:szCs w:val="24"/>
              </w:rPr>
              <w:t>.</w:t>
            </w:r>
            <w:r w:rsidRPr="004F5CA3">
              <w:rPr>
                <w:rFonts w:asciiTheme="majorBidi" w:hAnsiTheme="majorBidi" w:cstheme="majorBidi"/>
                <w:sz w:val="24"/>
                <w:szCs w:val="24"/>
              </w:rPr>
              <w:t>98</w:t>
            </w:r>
          </w:p>
          <w:p w14:paraId="4F3562B1"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012</w:t>
            </w:r>
          </w:p>
        </w:tc>
        <w:tc>
          <w:tcPr>
            <w:tcW w:w="1733" w:type="dxa"/>
            <w:tcBorders>
              <w:bottom w:val="single" w:sz="12" w:space="0" w:color="auto"/>
            </w:tcBorders>
          </w:tcPr>
          <w:p w14:paraId="4E17ECF4"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809</w:t>
            </w:r>
          </w:p>
        </w:tc>
      </w:tr>
    </w:tbl>
    <w:p w14:paraId="2A05A4B1" w14:textId="6CE09D78" w:rsidR="00650476" w:rsidRDefault="00650476" w:rsidP="004D566D">
      <w:pPr>
        <w:spacing w:line="360" w:lineRule="auto"/>
        <w:rPr>
          <w:rFonts w:asciiTheme="majorBidi" w:hAnsiTheme="majorBidi" w:cstheme="majorBidi"/>
          <w:sz w:val="24"/>
          <w:szCs w:val="24"/>
        </w:rPr>
      </w:pPr>
    </w:p>
    <w:p w14:paraId="0005FE82" w14:textId="010162B9" w:rsidR="00611F4F" w:rsidRDefault="00611F4F" w:rsidP="004D566D">
      <w:pPr>
        <w:spacing w:line="360" w:lineRule="auto"/>
        <w:rPr>
          <w:rFonts w:asciiTheme="majorBidi" w:hAnsiTheme="majorBidi" w:cstheme="majorBidi"/>
          <w:sz w:val="24"/>
          <w:szCs w:val="24"/>
        </w:rPr>
      </w:pPr>
    </w:p>
    <w:p w14:paraId="2D350E1B" w14:textId="676ADA18" w:rsidR="00611F4F" w:rsidRDefault="00611F4F" w:rsidP="004D566D">
      <w:pPr>
        <w:spacing w:line="360" w:lineRule="auto"/>
        <w:rPr>
          <w:rFonts w:asciiTheme="majorBidi" w:hAnsiTheme="majorBidi" w:cstheme="majorBidi"/>
          <w:sz w:val="24"/>
          <w:szCs w:val="24"/>
        </w:rPr>
      </w:pPr>
    </w:p>
    <w:p w14:paraId="093DC767" w14:textId="2217777D" w:rsidR="00611F4F" w:rsidRDefault="00611F4F" w:rsidP="004D566D">
      <w:pPr>
        <w:spacing w:line="360" w:lineRule="auto"/>
        <w:rPr>
          <w:rFonts w:asciiTheme="majorBidi" w:hAnsiTheme="majorBidi" w:cstheme="majorBidi"/>
          <w:sz w:val="24"/>
          <w:szCs w:val="24"/>
        </w:rPr>
      </w:pPr>
    </w:p>
    <w:p w14:paraId="794FAB4E" w14:textId="006BD8AF" w:rsidR="00611F4F" w:rsidRDefault="00611F4F" w:rsidP="004D566D">
      <w:pPr>
        <w:spacing w:line="360" w:lineRule="auto"/>
        <w:rPr>
          <w:rFonts w:asciiTheme="majorBidi" w:hAnsiTheme="majorBidi" w:cstheme="majorBidi"/>
          <w:sz w:val="24"/>
          <w:szCs w:val="24"/>
        </w:rPr>
      </w:pPr>
    </w:p>
    <w:p w14:paraId="4464631A" w14:textId="5A3AB8C2" w:rsidR="00611F4F" w:rsidRDefault="00611F4F" w:rsidP="004D566D">
      <w:pPr>
        <w:spacing w:line="360" w:lineRule="auto"/>
        <w:rPr>
          <w:rFonts w:asciiTheme="majorBidi" w:hAnsiTheme="majorBidi" w:cstheme="majorBidi"/>
          <w:sz w:val="24"/>
          <w:szCs w:val="24"/>
        </w:rPr>
      </w:pPr>
    </w:p>
    <w:p w14:paraId="19CEC764" w14:textId="2CC403CC" w:rsidR="00611F4F" w:rsidRDefault="00611F4F" w:rsidP="004D566D">
      <w:pPr>
        <w:spacing w:line="360" w:lineRule="auto"/>
        <w:rPr>
          <w:rFonts w:asciiTheme="majorBidi" w:hAnsiTheme="majorBidi" w:cstheme="majorBidi"/>
          <w:sz w:val="24"/>
          <w:szCs w:val="24"/>
        </w:rPr>
      </w:pPr>
    </w:p>
    <w:p w14:paraId="76D272FC" w14:textId="02923180" w:rsidR="00611F4F" w:rsidRDefault="00611F4F" w:rsidP="004D566D">
      <w:pPr>
        <w:spacing w:line="360" w:lineRule="auto"/>
        <w:rPr>
          <w:rFonts w:asciiTheme="majorBidi" w:hAnsiTheme="majorBidi" w:cstheme="majorBidi"/>
          <w:sz w:val="24"/>
          <w:szCs w:val="24"/>
        </w:rPr>
      </w:pPr>
    </w:p>
    <w:p w14:paraId="3D81AA08" w14:textId="3264C708" w:rsidR="00611F4F" w:rsidRDefault="00611F4F" w:rsidP="004D566D">
      <w:pPr>
        <w:spacing w:line="360" w:lineRule="auto"/>
        <w:rPr>
          <w:rFonts w:asciiTheme="majorBidi" w:hAnsiTheme="majorBidi" w:cstheme="majorBidi"/>
          <w:sz w:val="24"/>
          <w:szCs w:val="24"/>
        </w:rPr>
      </w:pPr>
    </w:p>
    <w:p w14:paraId="5F344B61" w14:textId="743CC165" w:rsidR="00611F4F" w:rsidRDefault="00611F4F" w:rsidP="004D566D">
      <w:pPr>
        <w:spacing w:line="360" w:lineRule="auto"/>
        <w:rPr>
          <w:rFonts w:asciiTheme="majorBidi" w:hAnsiTheme="majorBidi" w:cstheme="majorBidi"/>
          <w:sz w:val="24"/>
          <w:szCs w:val="24"/>
        </w:rPr>
      </w:pPr>
    </w:p>
    <w:p w14:paraId="59D434E1" w14:textId="3CFD78E0" w:rsidR="00611F4F" w:rsidRDefault="00611F4F" w:rsidP="004D566D">
      <w:pPr>
        <w:spacing w:line="360" w:lineRule="auto"/>
        <w:rPr>
          <w:rFonts w:asciiTheme="majorBidi" w:hAnsiTheme="majorBidi" w:cstheme="majorBidi"/>
          <w:sz w:val="24"/>
          <w:szCs w:val="24"/>
        </w:rPr>
      </w:pPr>
    </w:p>
    <w:p w14:paraId="43FEBF10" w14:textId="77777777" w:rsidR="00611F4F" w:rsidRDefault="00611F4F" w:rsidP="004D566D">
      <w:pPr>
        <w:spacing w:line="360" w:lineRule="auto"/>
        <w:rPr>
          <w:rFonts w:asciiTheme="majorBidi" w:hAnsiTheme="majorBidi" w:cstheme="majorBidi"/>
          <w:sz w:val="24"/>
          <w:szCs w:val="24"/>
        </w:rPr>
        <w:sectPr w:rsidR="00611F4F">
          <w:pgSz w:w="11906" w:h="16838"/>
          <w:pgMar w:top="1440" w:right="1440" w:bottom="1440" w:left="1440" w:header="708" w:footer="708" w:gutter="0"/>
          <w:cols w:space="708"/>
          <w:docGrid w:linePitch="360"/>
        </w:sectPr>
      </w:pPr>
    </w:p>
    <w:p w14:paraId="6B2503A7" w14:textId="50298265" w:rsidR="00611F4F" w:rsidRPr="004F5CA3" w:rsidRDefault="00611F4F" w:rsidP="00611F4F">
      <w:pPr>
        <w:spacing w:line="240" w:lineRule="auto"/>
        <w:rPr>
          <w:rFonts w:asciiTheme="majorBidi" w:hAnsiTheme="majorBidi" w:cstheme="majorBidi"/>
          <w:b/>
          <w:bCs/>
          <w:sz w:val="24"/>
          <w:szCs w:val="24"/>
        </w:rPr>
      </w:pPr>
      <w:r w:rsidRPr="004F5CA3">
        <w:rPr>
          <w:rFonts w:asciiTheme="majorBidi" w:hAnsiTheme="majorBidi" w:cstheme="majorBidi"/>
          <w:b/>
          <w:bCs/>
          <w:sz w:val="24"/>
          <w:szCs w:val="24"/>
        </w:rPr>
        <w:lastRenderedPageBreak/>
        <w:t xml:space="preserve">Table </w:t>
      </w:r>
      <w:r w:rsidR="00D40989">
        <w:rPr>
          <w:rFonts w:asciiTheme="majorBidi" w:hAnsiTheme="majorBidi" w:cstheme="majorBidi"/>
          <w:b/>
          <w:bCs/>
          <w:sz w:val="24"/>
          <w:szCs w:val="24"/>
        </w:rPr>
        <w:t>S2</w:t>
      </w:r>
      <w:r w:rsidRPr="004F5CA3">
        <w:rPr>
          <w:rFonts w:asciiTheme="majorBidi" w:hAnsiTheme="majorBidi" w:cstheme="majorBidi"/>
          <w:b/>
          <w:bCs/>
          <w:sz w:val="24"/>
          <w:szCs w:val="24"/>
        </w:rPr>
        <w:t>. Fit Indices for the Latent Class Growth Analysis for Traumatic Stress.</w:t>
      </w:r>
    </w:p>
    <w:p w14:paraId="6312FABF" w14:textId="2F53FC31" w:rsidR="00611F4F" w:rsidRDefault="00611F4F" w:rsidP="004D566D">
      <w:pPr>
        <w:spacing w:line="360" w:lineRule="auto"/>
        <w:rPr>
          <w:rFonts w:asciiTheme="majorBidi" w:hAnsiTheme="majorBidi" w:cstheme="majorBidi"/>
          <w:sz w:val="24"/>
          <w:szCs w:val="24"/>
        </w:rPr>
      </w:pPr>
    </w:p>
    <w:p w14:paraId="1D51F9DB" w14:textId="2B6F6290" w:rsidR="00611F4F" w:rsidRPr="004F5CA3" w:rsidRDefault="00611F4F" w:rsidP="00611F4F">
      <w:pPr>
        <w:spacing w:line="240" w:lineRule="auto"/>
        <w:rPr>
          <w:rFonts w:asciiTheme="majorBidi" w:hAnsiTheme="majorBidi" w:cstheme="majorBidi"/>
          <w:b/>
          <w:bCs/>
          <w:sz w:val="24"/>
          <w:szCs w:val="24"/>
        </w:rPr>
      </w:pPr>
    </w:p>
    <w:tbl>
      <w:tblPr>
        <w:tblStyle w:val="TableGridLight"/>
        <w:tblpPr w:leftFromText="180" w:rightFromText="180" w:vertAnchor="page" w:horzAnchor="margin" w:tblpY="2305"/>
        <w:tblW w:w="0" w:type="auto"/>
        <w:tblLook w:val="04A0" w:firstRow="1" w:lastRow="0" w:firstColumn="1" w:lastColumn="0" w:noHBand="0" w:noVBand="1"/>
      </w:tblPr>
      <w:tblGrid>
        <w:gridCol w:w="866"/>
        <w:gridCol w:w="1436"/>
        <w:gridCol w:w="1366"/>
        <w:gridCol w:w="1366"/>
        <w:gridCol w:w="1366"/>
        <w:gridCol w:w="1290"/>
        <w:gridCol w:w="1326"/>
      </w:tblGrid>
      <w:tr w:rsidR="00611F4F" w:rsidRPr="004F5CA3" w14:paraId="07B9FE1D" w14:textId="77777777" w:rsidTr="00AE3286">
        <w:tc>
          <w:tcPr>
            <w:tcW w:w="1704" w:type="dxa"/>
            <w:tcBorders>
              <w:top w:val="single" w:sz="12" w:space="0" w:color="auto"/>
              <w:bottom w:val="single" w:sz="4" w:space="0" w:color="auto"/>
            </w:tcBorders>
          </w:tcPr>
          <w:p w14:paraId="6CEB17EE" w14:textId="77777777" w:rsidR="00611F4F" w:rsidRPr="004F5CA3" w:rsidRDefault="00611F4F" w:rsidP="00AE3286">
            <w:pPr>
              <w:rPr>
                <w:rFonts w:asciiTheme="majorBidi" w:hAnsiTheme="majorBidi" w:cstheme="majorBidi"/>
                <w:b/>
                <w:bCs/>
                <w:sz w:val="24"/>
                <w:szCs w:val="24"/>
              </w:rPr>
            </w:pPr>
          </w:p>
        </w:tc>
        <w:tc>
          <w:tcPr>
            <w:tcW w:w="1763" w:type="dxa"/>
            <w:tcBorders>
              <w:top w:val="single" w:sz="12" w:space="0" w:color="auto"/>
              <w:bottom w:val="single" w:sz="4" w:space="0" w:color="auto"/>
            </w:tcBorders>
          </w:tcPr>
          <w:p w14:paraId="1201E958"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Log likelihood</w:t>
            </w:r>
          </w:p>
        </w:tc>
        <w:tc>
          <w:tcPr>
            <w:tcW w:w="1764" w:type="dxa"/>
            <w:tcBorders>
              <w:top w:val="single" w:sz="12" w:space="0" w:color="auto"/>
              <w:bottom w:val="single" w:sz="4" w:space="0" w:color="auto"/>
            </w:tcBorders>
          </w:tcPr>
          <w:p w14:paraId="6E618D63"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AIC</w:t>
            </w:r>
          </w:p>
        </w:tc>
        <w:tc>
          <w:tcPr>
            <w:tcW w:w="1764" w:type="dxa"/>
            <w:tcBorders>
              <w:top w:val="single" w:sz="12" w:space="0" w:color="auto"/>
              <w:bottom w:val="single" w:sz="4" w:space="0" w:color="auto"/>
            </w:tcBorders>
          </w:tcPr>
          <w:p w14:paraId="2F7A068D"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BIC</w:t>
            </w:r>
          </w:p>
        </w:tc>
        <w:tc>
          <w:tcPr>
            <w:tcW w:w="1764" w:type="dxa"/>
            <w:tcBorders>
              <w:top w:val="single" w:sz="12" w:space="0" w:color="auto"/>
              <w:bottom w:val="single" w:sz="4" w:space="0" w:color="auto"/>
            </w:tcBorders>
          </w:tcPr>
          <w:p w14:paraId="775A252A" w14:textId="77777777" w:rsidR="00611F4F" w:rsidRPr="004F5CA3" w:rsidRDefault="00611F4F" w:rsidP="00AE3286">
            <w:pPr>
              <w:jc w:val="center"/>
              <w:rPr>
                <w:rFonts w:asciiTheme="majorBidi" w:hAnsiTheme="majorBidi" w:cstheme="majorBidi"/>
                <w:b/>
                <w:bCs/>
                <w:sz w:val="24"/>
                <w:szCs w:val="24"/>
              </w:rPr>
            </w:pPr>
            <w:proofErr w:type="spellStart"/>
            <w:r w:rsidRPr="004F5CA3">
              <w:rPr>
                <w:rFonts w:asciiTheme="majorBidi" w:hAnsiTheme="majorBidi" w:cstheme="majorBidi"/>
                <w:b/>
                <w:bCs/>
                <w:sz w:val="24"/>
                <w:szCs w:val="24"/>
              </w:rPr>
              <w:t>ssaBIC</w:t>
            </w:r>
            <w:proofErr w:type="spellEnd"/>
          </w:p>
        </w:tc>
        <w:tc>
          <w:tcPr>
            <w:tcW w:w="1757" w:type="dxa"/>
            <w:tcBorders>
              <w:top w:val="single" w:sz="12" w:space="0" w:color="auto"/>
              <w:bottom w:val="single" w:sz="4" w:space="0" w:color="auto"/>
            </w:tcBorders>
          </w:tcPr>
          <w:p w14:paraId="5850A335"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LMR-A</w:t>
            </w:r>
          </w:p>
        </w:tc>
        <w:tc>
          <w:tcPr>
            <w:tcW w:w="1733" w:type="dxa"/>
            <w:tcBorders>
              <w:top w:val="single" w:sz="12" w:space="0" w:color="auto"/>
              <w:bottom w:val="single" w:sz="4" w:space="0" w:color="auto"/>
            </w:tcBorders>
          </w:tcPr>
          <w:p w14:paraId="28921846" w14:textId="77777777" w:rsidR="00611F4F" w:rsidRPr="004F5CA3" w:rsidRDefault="00611F4F" w:rsidP="00AE3286">
            <w:pPr>
              <w:jc w:val="center"/>
              <w:rPr>
                <w:rFonts w:asciiTheme="majorBidi" w:hAnsiTheme="majorBidi" w:cstheme="majorBidi"/>
                <w:b/>
                <w:bCs/>
                <w:sz w:val="24"/>
                <w:szCs w:val="24"/>
              </w:rPr>
            </w:pPr>
            <w:r w:rsidRPr="004F5CA3">
              <w:rPr>
                <w:rFonts w:asciiTheme="majorBidi" w:hAnsiTheme="majorBidi" w:cstheme="majorBidi"/>
                <w:b/>
                <w:bCs/>
                <w:sz w:val="24"/>
                <w:szCs w:val="24"/>
              </w:rPr>
              <w:t>Entropy</w:t>
            </w:r>
          </w:p>
        </w:tc>
      </w:tr>
      <w:tr w:rsidR="00611F4F" w:rsidRPr="004F5CA3" w14:paraId="25D4071E" w14:textId="77777777" w:rsidTr="00AE3286">
        <w:tc>
          <w:tcPr>
            <w:tcW w:w="1704" w:type="dxa"/>
            <w:tcBorders>
              <w:top w:val="single" w:sz="4" w:space="0" w:color="auto"/>
            </w:tcBorders>
          </w:tcPr>
          <w:p w14:paraId="0556595C"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1</w:t>
            </w:r>
          </w:p>
        </w:tc>
        <w:tc>
          <w:tcPr>
            <w:tcW w:w="1763" w:type="dxa"/>
            <w:tcBorders>
              <w:top w:val="single" w:sz="4" w:space="0" w:color="auto"/>
            </w:tcBorders>
          </w:tcPr>
          <w:p w14:paraId="5CAEC216"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-14416</w:t>
            </w:r>
            <w:r>
              <w:rPr>
                <w:rFonts w:asciiTheme="majorBidi" w:hAnsiTheme="majorBidi" w:cstheme="majorBidi"/>
                <w:sz w:val="24"/>
                <w:szCs w:val="24"/>
              </w:rPr>
              <w:t>.</w:t>
            </w:r>
            <w:r w:rsidRPr="004F5CA3">
              <w:rPr>
                <w:rFonts w:asciiTheme="majorBidi" w:hAnsiTheme="majorBidi" w:cstheme="majorBidi"/>
                <w:sz w:val="24"/>
                <w:szCs w:val="24"/>
              </w:rPr>
              <w:t>66</w:t>
            </w:r>
          </w:p>
        </w:tc>
        <w:tc>
          <w:tcPr>
            <w:tcW w:w="1764" w:type="dxa"/>
            <w:tcBorders>
              <w:top w:val="single" w:sz="4" w:space="0" w:color="auto"/>
            </w:tcBorders>
          </w:tcPr>
          <w:p w14:paraId="3758B18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28839</w:t>
            </w:r>
            <w:r>
              <w:rPr>
                <w:rFonts w:asciiTheme="majorBidi" w:hAnsiTheme="majorBidi" w:cstheme="majorBidi"/>
                <w:sz w:val="24"/>
                <w:szCs w:val="24"/>
              </w:rPr>
              <w:t>.</w:t>
            </w:r>
            <w:r w:rsidRPr="004F5CA3">
              <w:rPr>
                <w:rFonts w:asciiTheme="majorBidi" w:hAnsiTheme="majorBidi" w:cstheme="majorBidi"/>
                <w:sz w:val="24"/>
                <w:szCs w:val="24"/>
              </w:rPr>
              <w:t>33</w:t>
            </w:r>
          </w:p>
        </w:tc>
        <w:tc>
          <w:tcPr>
            <w:tcW w:w="1764" w:type="dxa"/>
            <w:tcBorders>
              <w:top w:val="single" w:sz="4" w:space="0" w:color="auto"/>
            </w:tcBorders>
          </w:tcPr>
          <w:p w14:paraId="609EE187"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28856</w:t>
            </w:r>
            <w:r>
              <w:rPr>
                <w:rFonts w:asciiTheme="majorBidi" w:hAnsiTheme="majorBidi" w:cstheme="majorBidi"/>
                <w:sz w:val="24"/>
                <w:szCs w:val="24"/>
              </w:rPr>
              <w:t>.</w:t>
            </w:r>
            <w:r w:rsidRPr="004F5CA3">
              <w:rPr>
                <w:rFonts w:asciiTheme="majorBidi" w:hAnsiTheme="majorBidi" w:cstheme="majorBidi"/>
                <w:sz w:val="24"/>
                <w:szCs w:val="24"/>
              </w:rPr>
              <w:t>17</w:t>
            </w:r>
          </w:p>
        </w:tc>
        <w:tc>
          <w:tcPr>
            <w:tcW w:w="1764" w:type="dxa"/>
            <w:tcBorders>
              <w:top w:val="single" w:sz="4" w:space="0" w:color="auto"/>
            </w:tcBorders>
          </w:tcPr>
          <w:p w14:paraId="4A3EEA4F"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28846</w:t>
            </w:r>
            <w:r>
              <w:rPr>
                <w:rFonts w:asciiTheme="majorBidi" w:hAnsiTheme="majorBidi" w:cstheme="majorBidi"/>
                <w:sz w:val="24"/>
                <w:szCs w:val="24"/>
              </w:rPr>
              <w:t>.</w:t>
            </w:r>
            <w:r w:rsidRPr="004F5CA3">
              <w:rPr>
                <w:rFonts w:asciiTheme="majorBidi" w:hAnsiTheme="majorBidi" w:cstheme="majorBidi"/>
                <w:sz w:val="24"/>
                <w:szCs w:val="24"/>
              </w:rPr>
              <w:t>64</w:t>
            </w:r>
          </w:p>
        </w:tc>
        <w:tc>
          <w:tcPr>
            <w:tcW w:w="1757" w:type="dxa"/>
            <w:tcBorders>
              <w:top w:val="single" w:sz="4" w:space="0" w:color="auto"/>
            </w:tcBorders>
          </w:tcPr>
          <w:p w14:paraId="6AAFB29C" w14:textId="77777777" w:rsidR="00611F4F" w:rsidRPr="004F5CA3" w:rsidRDefault="00611F4F" w:rsidP="00AE3286">
            <w:pPr>
              <w:jc w:val="center"/>
              <w:rPr>
                <w:rFonts w:asciiTheme="majorBidi" w:hAnsiTheme="majorBidi" w:cstheme="majorBidi"/>
                <w:sz w:val="24"/>
                <w:szCs w:val="24"/>
              </w:rPr>
            </w:pPr>
          </w:p>
        </w:tc>
        <w:tc>
          <w:tcPr>
            <w:tcW w:w="1733" w:type="dxa"/>
            <w:tcBorders>
              <w:top w:val="single" w:sz="4" w:space="0" w:color="auto"/>
            </w:tcBorders>
          </w:tcPr>
          <w:p w14:paraId="716409AC" w14:textId="77777777" w:rsidR="00611F4F" w:rsidRPr="004F5CA3" w:rsidRDefault="00611F4F" w:rsidP="00AE3286">
            <w:pPr>
              <w:jc w:val="center"/>
              <w:rPr>
                <w:rFonts w:asciiTheme="majorBidi" w:hAnsiTheme="majorBidi" w:cstheme="majorBidi"/>
                <w:sz w:val="24"/>
                <w:szCs w:val="24"/>
              </w:rPr>
            </w:pPr>
          </w:p>
        </w:tc>
      </w:tr>
      <w:tr w:rsidR="00611F4F" w:rsidRPr="004F5CA3" w14:paraId="6FE8DF1D" w14:textId="77777777" w:rsidTr="00AE3286">
        <w:tc>
          <w:tcPr>
            <w:tcW w:w="1704" w:type="dxa"/>
          </w:tcPr>
          <w:p w14:paraId="5221D8A6"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2</w:t>
            </w:r>
          </w:p>
        </w:tc>
        <w:tc>
          <w:tcPr>
            <w:tcW w:w="1763" w:type="dxa"/>
          </w:tcPr>
          <w:p w14:paraId="77812E78"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-13300</w:t>
            </w:r>
            <w:r>
              <w:rPr>
                <w:rFonts w:asciiTheme="majorBidi" w:hAnsiTheme="majorBidi" w:cstheme="majorBidi"/>
                <w:sz w:val="24"/>
                <w:szCs w:val="24"/>
              </w:rPr>
              <w:t>.</w:t>
            </w:r>
            <w:r w:rsidRPr="004F5CA3">
              <w:rPr>
                <w:rFonts w:asciiTheme="majorBidi" w:hAnsiTheme="majorBidi" w:cstheme="majorBidi"/>
                <w:sz w:val="24"/>
                <w:szCs w:val="24"/>
              </w:rPr>
              <w:t>80</w:t>
            </w:r>
          </w:p>
        </w:tc>
        <w:tc>
          <w:tcPr>
            <w:tcW w:w="1764" w:type="dxa"/>
          </w:tcPr>
          <w:p w14:paraId="31E0AD7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26613</w:t>
            </w:r>
            <w:r>
              <w:rPr>
                <w:rFonts w:asciiTheme="majorBidi" w:hAnsiTheme="majorBidi" w:cstheme="majorBidi"/>
                <w:sz w:val="24"/>
                <w:szCs w:val="24"/>
              </w:rPr>
              <w:t>.</w:t>
            </w:r>
            <w:r w:rsidRPr="004F5CA3">
              <w:rPr>
                <w:rFonts w:asciiTheme="majorBidi" w:hAnsiTheme="majorBidi" w:cstheme="majorBidi"/>
                <w:sz w:val="24"/>
                <w:szCs w:val="24"/>
              </w:rPr>
              <w:t>60</w:t>
            </w:r>
          </w:p>
        </w:tc>
        <w:tc>
          <w:tcPr>
            <w:tcW w:w="1764" w:type="dxa"/>
          </w:tcPr>
          <w:p w14:paraId="136AF85C"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26647</w:t>
            </w:r>
            <w:r>
              <w:rPr>
                <w:rFonts w:asciiTheme="majorBidi" w:hAnsiTheme="majorBidi" w:cstheme="majorBidi"/>
                <w:sz w:val="24"/>
                <w:szCs w:val="24"/>
              </w:rPr>
              <w:t>.</w:t>
            </w:r>
            <w:r w:rsidRPr="004F5CA3">
              <w:rPr>
                <w:rFonts w:asciiTheme="majorBidi" w:hAnsiTheme="majorBidi" w:cstheme="majorBidi"/>
                <w:sz w:val="24"/>
                <w:szCs w:val="24"/>
              </w:rPr>
              <w:t>28</w:t>
            </w:r>
          </w:p>
        </w:tc>
        <w:tc>
          <w:tcPr>
            <w:tcW w:w="1764" w:type="dxa"/>
          </w:tcPr>
          <w:p w14:paraId="09C6A443"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26628</w:t>
            </w:r>
            <w:r>
              <w:rPr>
                <w:rFonts w:asciiTheme="majorBidi" w:hAnsiTheme="majorBidi" w:cstheme="majorBidi"/>
                <w:sz w:val="24"/>
                <w:szCs w:val="24"/>
              </w:rPr>
              <w:t>.</w:t>
            </w:r>
            <w:r w:rsidRPr="004F5CA3">
              <w:rPr>
                <w:rFonts w:asciiTheme="majorBidi" w:hAnsiTheme="majorBidi" w:cstheme="majorBidi"/>
                <w:sz w:val="24"/>
                <w:szCs w:val="24"/>
              </w:rPr>
              <w:t>21</w:t>
            </w:r>
          </w:p>
        </w:tc>
        <w:tc>
          <w:tcPr>
            <w:tcW w:w="1757" w:type="dxa"/>
          </w:tcPr>
          <w:p w14:paraId="249852B7"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2138</w:t>
            </w:r>
            <w:r>
              <w:rPr>
                <w:rFonts w:asciiTheme="majorBidi" w:hAnsiTheme="majorBidi" w:cstheme="majorBidi"/>
                <w:sz w:val="24"/>
                <w:szCs w:val="24"/>
              </w:rPr>
              <w:t>.</w:t>
            </w:r>
            <w:r w:rsidRPr="004F5CA3">
              <w:rPr>
                <w:rFonts w:asciiTheme="majorBidi" w:hAnsiTheme="majorBidi" w:cstheme="majorBidi"/>
                <w:sz w:val="24"/>
                <w:szCs w:val="24"/>
              </w:rPr>
              <w:t>12</w:t>
            </w:r>
          </w:p>
          <w:p w14:paraId="02AA0F0D"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000</w:t>
            </w:r>
          </w:p>
        </w:tc>
        <w:tc>
          <w:tcPr>
            <w:tcW w:w="1733" w:type="dxa"/>
          </w:tcPr>
          <w:p w14:paraId="51100DA9"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91</w:t>
            </w:r>
          </w:p>
        </w:tc>
      </w:tr>
      <w:tr w:rsidR="00611F4F" w:rsidRPr="004F5CA3" w14:paraId="081A2C69" w14:textId="77777777" w:rsidTr="00AE3286">
        <w:tc>
          <w:tcPr>
            <w:tcW w:w="1704" w:type="dxa"/>
          </w:tcPr>
          <w:p w14:paraId="53C460C2"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3</w:t>
            </w:r>
          </w:p>
        </w:tc>
        <w:tc>
          <w:tcPr>
            <w:tcW w:w="1763" w:type="dxa"/>
          </w:tcPr>
          <w:p w14:paraId="2FC0CAD1"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-13104</w:t>
            </w:r>
            <w:r>
              <w:rPr>
                <w:rFonts w:asciiTheme="majorBidi" w:hAnsiTheme="majorBidi" w:cstheme="majorBidi"/>
                <w:sz w:val="24"/>
                <w:szCs w:val="24"/>
              </w:rPr>
              <w:t>.</w:t>
            </w:r>
            <w:r w:rsidRPr="004F5CA3">
              <w:rPr>
                <w:rFonts w:asciiTheme="majorBidi" w:hAnsiTheme="majorBidi" w:cstheme="majorBidi"/>
                <w:sz w:val="24"/>
                <w:szCs w:val="24"/>
              </w:rPr>
              <w:t>55</w:t>
            </w:r>
          </w:p>
        </w:tc>
        <w:tc>
          <w:tcPr>
            <w:tcW w:w="1764" w:type="dxa"/>
          </w:tcPr>
          <w:p w14:paraId="123193B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26227</w:t>
            </w:r>
            <w:r>
              <w:rPr>
                <w:rFonts w:asciiTheme="majorBidi" w:hAnsiTheme="majorBidi" w:cstheme="majorBidi"/>
                <w:sz w:val="24"/>
                <w:szCs w:val="24"/>
              </w:rPr>
              <w:t>.</w:t>
            </w:r>
            <w:r w:rsidRPr="004F5CA3">
              <w:rPr>
                <w:rFonts w:asciiTheme="majorBidi" w:hAnsiTheme="majorBidi" w:cstheme="majorBidi"/>
                <w:sz w:val="24"/>
                <w:szCs w:val="24"/>
              </w:rPr>
              <w:t>10</w:t>
            </w:r>
          </w:p>
        </w:tc>
        <w:tc>
          <w:tcPr>
            <w:tcW w:w="1764" w:type="dxa"/>
          </w:tcPr>
          <w:p w14:paraId="12FB7FA9"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26277</w:t>
            </w:r>
            <w:r>
              <w:rPr>
                <w:rFonts w:asciiTheme="majorBidi" w:hAnsiTheme="majorBidi" w:cstheme="majorBidi"/>
                <w:sz w:val="24"/>
                <w:szCs w:val="24"/>
              </w:rPr>
              <w:t>.</w:t>
            </w:r>
            <w:r w:rsidRPr="004F5CA3">
              <w:rPr>
                <w:rFonts w:asciiTheme="majorBidi" w:hAnsiTheme="majorBidi" w:cstheme="majorBidi"/>
                <w:sz w:val="24"/>
                <w:szCs w:val="24"/>
              </w:rPr>
              <w:t>62</w:t>
            </w:r>
          </w:p>
        </w:tc>
        <w:tc>
          <w:tcPr>
            <w:tcW w:w="1764" w:type="dxa"/>
          </w:tcPr>
          <w:p w14:paraId="555D3D2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26249</w:t>
            </w:r>
            <w:r>
              <w:rPr>
                <w:rFonts w:asciiTheme="majorBidi" w:hAnsiTheme="majorBidi" w:cstheme="majorBidi"/>
                <w:sz w:val="24"/>
                <w:szCs w:val="24"/>
              </w:rPr>
              <w:t>.</w:t>
            </w:r>
            <w:r w:rsidRPr="004F5CA3">
              <w:rPr>
                <w:rFonts w:asciiTheme="majorBidi" w:hAnsiTheme="majorBidi" w:cstheme="majorBidi"/>
                <w:sz w:val="24"/>
                <w:szCs w:val="24"/>
              </w:rPr>
              <w:t>03</w:t>
            </w:r>
          </w:p>
        </w:tc>
        <w:tc>
          <w:tcPr>
            <w:tcW w:w="1757" w:type="dxa"/>
          </w:tcPr>
          <w:p w14:paraId="74FEE072"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376</w:t>
            </w:r>
            <w:r>
              <w:rPr>
                <w:rFonts w:asciiTheme="majorBidi" w:hAnsiTheme="majorBidi" w:cstheme="majorBidi"/>
                <w:sz w:val="24"/>
                <w:szCs w:val="24"/>
              </w:rPr>
              <w:t>.</w:t>
            </w:r>
            <w:r w:rsidRPr="004F5CA3">
              <w:rPr>
                <w:rFonts w:asciiTheme="majorBidi" w:hAnsiTheme="majorBidi" w:cstheme="majorBidi"/>
                <w:sz w:val="24"/>
                <w:szCs w:val="24"/>
              </w:rPr>
              <w:t>03</w:t>
            </w:r>
          </w:p>
          <w:p w14:paraId="70F55DDD"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000</w:t>
            </w:r>
          </w:p>
        </w:tc>
        <w:tc>
          <w:tcPr>
            <w:tcW w:w="1733" w:type="dxa"/>
          </w:tcPr>
          <w:p w14:paraId="101EC938"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89</w:t>
            </w:r>
          </w:p>
        </w:tc>
      </w:tr>
      <w:tr w:rsidR="00611F4F" w:rsidRPr="004F5CA3" w14:paraId="5E2C1142" w14:textId="77777777" w:rsidTr="00AE3286">
        <w:tc>
          <w:tcPr>
            <w:tcW w:w="1704" w:type="dxa"/>
          </w:tcPr>
          <w:p w14:paraId="6F265B0F"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4</w:t>
            </w:r>
          </w:p>
        </w:tc>
        <w:tc>
          <w:tcPr>
            <w:tcW w:w="1763" w:type="dxa"/>
          </w:tcPr>
          <w:p w14:paraId="2D80410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-12888</w:t>
            </w:r>
            <w:r>
              <w:rPr>
                <w:rFonts w:asciiTheme="majorBidi" w:hAnsiTheme="majorBidi" w:cstheme="majorBidi"/>
                <w:sz w:val="24"/>
                <w:szCs w:val="24"/>
              </w:rPr>
              <w:t>.</w:t>
            </w:r>
            <w:r w:rsidRPr="004F5CA3">
              <w:rPr>
                <w:rFonts w:asciiTheme="majorBidi" w:hAnsiTheme="majorBidi" w:cstheme="majorBidi"/>
                <w:sz w:val="24"/>
                <w:szCs w:val="24"/>
              </w:rPr>
              <w:t>56</w:t>
            </w:r>
          </w:p>
        </w:tc>
        <w:tc>
          <w:tcPr>
            <w:tcW w:w="1764" w:type="dxa"/>
          </w:tcPr>
          <w:p w14:paraId="2C4B05F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25801</w:t>
            </w:r>
            <w:r>
              <w:rPr>
                <w:rFonts w:asciiTheme="majorBidi" w:hAnsiTheme="majorBidi" w:cstheme="majorBidi"/>
                <w:sz w:val="24"/>
                <w:szCs w:val="24"/>
              </w:rPr>
              <w:t>.</w:t>
            </w:r>
            <w:r w:rsidRPr="004F5CA3">
              <w:rPr>
                <w:rFonts w:asciiTheme="majorBidi" w:hAnsiTheme="majorBidi" w:cstheme="majorBidi"/>
                <w:sz w:val="24"/>
                <w:szCs w:val="24"/>
              </w:rPr>
              <w:t>13</w:t>
            </w:r>
          </w:p>
        </w:tc>
        <w:tc>
          <w:tcPr>
            <w:tcW w:w="1764" w:type="dxa"/>
          </w:tcPr>
          <w:p w14:paraId="553030C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25868</w:t>
            </w:r>
            <w:r>
              <w:rPr>
                <w:rFonts w:asciiTheme="majorBidi" w:hAnsiTheme="majorBidi" w:cstheme="majorBidi"/>
                <w:sz w:val="24"/>
                <w:szCs w:val="24"/>
              </w:rPr>
              <w:t>.</w:t>
            </w:r>
            <w:r w:rsidRPr="004F5CA3">
              <w:rPr>
                <w:rFonts w:asciiTheme="majorBidi" w:hAnsiTheme="majorBidi" w:cstheme="majorBidi"/>
                <w:sz w:val="24"/>
                <w:szCs w:val="24"/>
              </w:rPr>
              <w:t>49</w:t>
            </w:r>
          </w:p>
        </w:tc>
        <w:tc>
          <w:tcPr>
            <w:tcW w:w="1764" w:type="dxa"/>
          </w:tcPr>
          <w:p w14:paraId="34CBA1DA"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25830</w:t>
            </w:r>
            <w:r>
              <w:rPr>
                <w:rFonts w:asciiTheme="majorBidi" w:hAnsiTheme="majorBidi" w:cstheme="majorBidi"/>
                <w:sz w:val="24"/>
                <w:szCs w:val="24"/>
              </w:rPr>
              <w:t>.</w:t>
            </w:r>
            <w:r w:rsidRPr="004F5CA3">
              <w:rPr>
                <w:rFonts w:asciiTheme="majorBidi" w:hAnsiTheme="majorBidi" w:cstheme="majorBidi"/>
                <w:sz w:val="24"/>
                <w:szCs w:val="24"/>
              </w:rPr>
              <w:t>36</w:t>
            </w:r>
          </w:p>
        </w:tc>
        <w:tc>
          <w:tcPr>
            <w:tcW w:w="1757" w:type="dxa"/>
          </w:tcPr>
          <w:p w14:paraId="030CE916"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413</w:t>
            </w:r>
            <w:r>
              <w:rPr>
                <w:rFonts w:asciiTheme="majorBidi" w:hAnsiTheme="majorBidi" w:cstheme="majorBidi"/>
                <w:sz w:val="24"/>
                <w:szCs w:val="24"/>
              </w:rPr>
              <w:t>.</w:t>
            </w:r>
            <w:r w:rsidRPr="004F5CA3">
              <w:rPr>
                <w:rFonts w:asciiTheme="majorBidi" w:hAnsiTheme="majorBidi" w:cstheme="majorBidi"/>
                <w:sz w:val="24"/>
                <w:szCs w:val="24"/>
              </w:rPr>
              <w:t>85</w:t>
            </w:r>
          </w:p>
          <w:p w14:paraId="2156B002"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005</w:t>
            </w:r>
          </w:p>
        </w:tc>
        <w:tc>
          <w:tcPr>
            <w:tcW w:w="1733" w:type="dxa"/>
          </w:tcPr>
          <w:p w14:paraId="15AB0D5B"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88</w:t>
            </w:r>
          </w:p>
        </w:tc>
      </w:tr>
      <w:tr w:rsidR="00611F4F" w:rsidRPr="004F5CA3" w14:paraId="26A3E46A" w14:textId="77777777" w:rsidTr="00AE3286">
        <w:tc>
          <w:tcPr>
            <w:tcW w:w="1704" w:type="dxa"/>
          </w:tcPr>
          <w:p w14:paraId="5B9EE977"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5</w:t>
            </w:r>
          </w:p>
        </w:tc>
        <w:tc>
          <w:tcPr>
            <w:tcW w:w="1763" w:type="dxa"/>
          </w:tcPr>
          <w:p w14:paraId="7A6F67EC"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-12769</w:t>
            </w:r>
            <w:r>
              <w:rPr>
                <w:rFonts w:asciiTheme="majorBidi" w:hAnsiTheme="majorBidi" w:cstheme="majorBidi"/>
                <w:sz w:val="24"/>
                <w:szCs w:val="24"/>
              </w:rPr>
              <w:t>.</w:t>
            </w:r>
            <w:r w:rsidRPr="004F5CA3">
              <w:rPr>
                <w:rFonts w:asciiTheme="majorBidi" w:hAnsiTheme="majorBidi" w:cstheme="majorBidi"/>
                <w:sz w:val="24"/>
                <w:szCs w:val="24"/>
              </w:rPr>
              <w:t>15</w:t>
            </w:r>
          </w:p>
        </w:tc>
        <w:tc>
          <w:tcPr>
            <w:tcW w:w="1764" w:type="dxa"/>
          </w:tcPr>
          <w:p w14:paraId="1EF2C5F1"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25568</w:t>
            </w:r>
            <w:r>
              <w:rPr>
                <w:rFonts w:asciiTheme="majorBidi" w:hAnsiTheme="majorBidi" w:cstheme="majorBidi"/>
                <w:sz w:val="24"/>
                <w:szCs w:val="24"/>
              </w:rPr>
              <w:t>.</w:t>
            </w:r>
            <w:r w:rsidRPr="004F5CA3">
              <w:rPr>
                <w:rFonts w:asciiTheme="majorBidi" w:hAnsiTheme="majorBidi" w:cstheme="majorBidi"/>
                <w:sz w:val="24"/>
                <w:szCs w:val="24"/>
              </w:rPr>
              <w:t>31</w:t>
            </w:r>
          </w:p>
        </w:tc>
        <w:tc>
          <w:tcPr>
            <w:tcW w:w="1764" w:type="dxa"/>
          </w:tcPr>
          <w:p w14:paraId="62A0761B"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25652</w:t>
            </w:r>
            <w:r>
              <w:rPr>
                <w:rFonts w:asciiTheme="majorBidi" w:hAnsiTheme="majorBidi" w:cstheme="majorBidi"/>
                <w:sz w:val="24"/>
                <w:szCs w:val="24"/>
              </w:rPr>
              <w:t>.</w:t>
            </w:r>
            <w:r w:rsidRPr="004F5CA3">
              <w:rPr>
                <w:rFonts w:asciiTheme="majorBidi" w:hAnsiTheme="majorBidi" w:cstheme="majorBidi"/>
                <w:sz w:val="24"/>
                <w:szCs w:val="24"/>
              </w:rPr>
              <w:t>51</w:t>
            </w:r>
          </w:p>
        </w:tc>
        <w:tc>
          <w:tcPr>
            <w:tcW w:w="1764" w:type="dxa"/>
          </w:tcPr>
          <w:p w14:paraId="40DFD58E"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25604</w:t>
            </w:r>
            <w:r>
              <w:rPr>
                <w:rFonts w:asciiTheme="majorBidi" w:hAnsiTheme="majorBidi" w:cstheme="majorBidi"/>
                <w:sz w:val="24"/>
                <w:szCs w:val="24"/>
              </w:rPr>
              <w:t>.</w:t>
            </w:r>
            <w:r w:rsidRPr="004F5CA3">
              <w:rPr>
                <w:rFonts w:asciiTheme="majorBidi" w:hAnsiTheme="majorBidi" w:cstheme="majorBidi"/>
                <w:sz w:val="24"/>
                <w:szCs w:val="24"/>
              </w:rPr>
              <w:t>85</w:t>
            </w:r>
          </w:p>
        </w:tc>
        <w:tc>
          <w:tcPr>
            <w:tcW w:w="1757" w:type="dxa"/>
          </w:tcPr>
          <w:p w14:paraId="66108A11"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228</w:t>
            </w:r>
            <w:r>
              <w:rPr>
                <w:rFonts w:asciiTheme="majorBidi" w:hAnsiTheme="majorBidi" w:cstheme="majorBidi"/>
                <w:sz w:val="24"/>
                <w:szCs w:val="24"/>
              </w:rPr>
              <w:t>.</w:t>
            </w:r>
            <w:r w:rsidRPr="004F5CA3">
              <w:rPr>
                <w:rFonts w:asciiTheme="majorBidi" w:hAnsiTheme="majorBidi" w:cstheme="majorBidi"/>
                <w:sz w:val="24"/>
                <w:szCs w:val="24"/>
              </w:rPr>
              <w:t>80</w:t>
            </w:r>
          </w:p>
          <w:p w14:paraId="238D9415"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013</w:t>
            </w:r>
          </w:p>
        </w:tc>
        <w:tc>
          <w:tcPr>
            <w:tcW w:w="1733" w:type="dxa"/>
          </w:tcPr>
          <w:p w14:paraId="09769E4F"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86</w:t>
            </w:r>
          </w:p>
        </w:tc>
      </w:tr>
      <w:tr w:rsidR="00611F4F" w:rsidRPr="004F5CA3" w14:paraId="5DA7EC02" w14:textId="77777777" w:rsidTr="00AE3286">
        <w:tc>
          <w:tcPr>
            <w:tcW w:w="1704" w:type="dxa"/>
          </w:tcPr>
          <w:p w14:paraId="787E7452"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6</w:t>
            </w:r>
          </w:p>
        </w:tc>
        <w:tc>
          <w:tcPr>
            <w:tcW w:w="1763" w:type="dxa"/>
          </w:tcPr>
          <w:p w14:paraId="2641686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-12699</w:t>
            </w:r>
            <w:r>
              <w:rPr>
                <w:rFonts w:asciiTheme="majorBidi" w:hAnsiTheme="majorBidi" w:cstheme="majorBidi"/>
                <w:sz w:val="24"/>
                <w:szCs w:val="24"/>
              </w:rPr>
              <w:t>.</w:t>
            </w:r>
            <w:r w:rsidRPr="004F5CA3">
              <w:rPr>
                <w:rFonts w:asciiTheme="majorBidi" w:hAnsiTheme="majorBidi" w:cstheme="majorBidi"/>
                <w:sz w:val="24"/>
                <w:szCs w:val="24"/>
              </w:rPr>
              <w:t>96</w:t>
            </w:r>
          </w:p>
        </w:tc>
        <w:tc>
          <w:tcPr>
            <w:tcW w:w="1764" w:type="dxa"/>
          </w:tcPr>
          <w:p w14:paraId="364DE4A5"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25435</w:t>
            </w:r>
            <w:r>
              <w:rPr>
                <w:rFonts w:asciiTheme="majorBidi" w:hAnsiTheme="majorBidi" w:cstheme="majorBidi"/>
                <w:sz w:val="24"/>
                <w:szCs w:val="24"/>
              </w:rPr>
              <w:t>.</w:t>
            </w:r>
            <w:r w:rsidRPr="004F5CA3">
              <w:rPr>
                <w:rFonts w:asciiTheme="majorBidi" w:hAnsiTheme="majorBidi" w:cstheme="majorBidi"/>
                <w:sz w:val="24"/>
                <w:szCs w:val="24"/>
              </w:rPr>
              <w:t>93</w:t>
            </w:r>
          </w:p>
        </w:tc>
        <w:tc>
          <w:tcPr>
            <w:tcW w:w="1764" w:type="dxa"/>
          </w:tcPr>
          <w:p w14:paraId="6549698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25536</w:t>
            </w:r>
            <w:r>
              <w:rPr>
                <w:rFonts w:asciiTheme="majorBidi" w:hAnsiTheme="majorBidi" w:cstheme="majorBidi"/>
                <w:sz w:val="24"/>
                <w:szCs w:val="24"/>
              </w:rPr>
              <w:t>.</w:t>
            </w:r>
            <w:r w:rsidRPr="004F5CA3">
              <w:rPr>
                <w:rFonts w:asciiTheme="majorBidi" w:hAnsiTheme="majorBidi" w:cstheme="majorBidi"/>
                <w:sz w:val="24"/>
                <w:szCs w:val="24"/>
              </w:rPr>
              <w:t>97</w:t>
            </w:r>
          </w:p>
        </w:tc>
        <w:tc>
          <w:tcPr>
            <w:tcW w:w="1764" w:type="dxa"/>
          </w:tcPr>
          <w:p w14:paraId="4C61525A"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25479</w:t>
            </w:r>
            <w:r>
              <w:rPr>
                <w:rFonts w:asciiTheme="majorBidi" w:hAnsiTheme="majorBidi" w:cstheme="majorBidi"/>
                <w:sz w:val="24"/>
                <w:szCs w:val="24"/>
              </w:rPr>
              <w:t>.</w:t>
            </w:r>
            <w:r w:rsidRPr="004F5CA3">
              <w:rPr>
                <w:rFonts w:asciiTheme="majorBidi" w:hAnsiTheme="majorBidi" w:cstheme="majorBidi"/>
                <w:sz w:val="24"/>
                <w:szCs w:val="24"/>
              </w:rPr>
              <w:t>78</w:t>
            </w:r>
          </w:p>
        </w:tc>
        <w:tc>
          <w:tcPr>
            <w:tcW w:w="1757" w:type="dxa"/>
          </w:tcPr>
          <w:p w14:paraId="4CA13464"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132</w:t>
            </w:r>
            <w:r>
              <w:rPr>
                <w:rFonts w:asciiTheme="majorBidi" w:hAnsiTheme="majorBidi" w:cstheme="majorBidi"/>
                <w:sz w:val="24"/>
                <w:szCs w:val="24"/>
              </w:rPr>
              <w:t>.</w:t>
            </w:r>
            <w:r w:rsidRPr="004F5CA3">
              <w:rPr>
                <w:rFonts w:asciiTheme="majorBidi" w:hAnsiTheme="majorBidi" w:cstheme="majorBidi"/>
                <w:sz w:val="24"/>
                <w:szCs w:val="24"/>
              </w:rPr>
              <w:t>58</w:t>
            </w:r>
          </w:p>
          <w:p w14:paraId="5F63B72B"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278</w:t>
            </w:r>
          </w:p>
        </w:tc>
        <w:tc>
          <w:tcPr>
            <w:tcW w:w="1733" w:type="dxa"/>
          </w:tcPr>
          <w:p w14:paraId="0F76DA78"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87</w:t>
            </w:r>
          </w:p>
        </w:tc>
      </w:tr>
      <w:tr w:rsidR="00611F4F" w:rsidRPr="004F5CA3" w14:paraId="16270DB1" w14:textId="77777777" w:rsidTr="00AE3286">
        <w:tc>
          <w:tcPr>
            <w:tcW w:w="1704" w:type="dxa"/>
            <w:tcBorders>
              <w:bottom w:val="single" w:sz="12" w:space="0" w:color="auto"/>
            </w:tcBorders>
          </w:tcPr>
          <w:p w14:paraId="0E15EE55" w14:textId="77777777" w:rsidR="00611F4F" w:rsidRPr="004F5CA3" w:rsidRDefault="00611F4F" w:rsidP="00AE3286">
            <w:pPr>
              <w:rPr>
                <w:rFonts w:asciiTheme="majorBidi" w:hAnsiTheme="majorBidi" w:cstheme="majorBidi"/>
                <w:sz w:val="24"/>
                <w:szCs w:val="24"/>
              </w:rPr>
            </w:pPr>
            <w:r w:rsidRPr="004F5CA3">
              <w:rPr>
                <w:rFonts w:asciiTheme="majorBidi" w:hAnsiTheme="majorBidi" w:cstheme="majorBidi"/>
                <w:sz w:val="24"/>
                <w:szCs w:val="24"/>
              </w:rPr>
              <w:t>7</w:t>
            </w:r>
          </w:p>
        </w:tc>
        <w:tc>
          <w:tcPr>
            <w:tcW w:w="1763" w:type="dxa"/>
            <w:tcBorders>
              <w:bottom w:val="single" w:sz="12" w:space="0" w:color="auto"/>
            </w:tcBorders>
          </w:tcPr>
          <w:p w14:paraId="7A64F20A"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-12632</w:t>
            </w:r>
            <w:r>
              <w:rPr>
                <w:rFonts w:asciiTheme="majorBidi" w:hAnsiTheme="majorBidi" w:cstheme="majorBidi"/>
                <w:sz w:val="24"/>
                <w:szCs w:val="24"/>
              </w:rPr>
              <w:t>.</w:t>
            </w:r>
            <w:r w:rsidRPr="004F5CA3">
              <w:rPr>
                <w:rFonts w:asciiTheme="majorBidi" w:hAnsiTheme="majorBidi" w:cstheme="majorBidi"/>
                <w:sz w:val="24"/>
                <w:szCs w:val="24"/>
              </w:rPr>
              <w:t>17</w:t>
            </w:r>
          </w:p>
        </w:tc>
        <w:tc>
          <w:tcPr>
            <w:tcW w:w="1764" w:type="dxa"/>
            <w:tcBorders>
              <w:bottom w:val="single" w:sz="12" w:space="0" w:color="auto"/>
            </w:tcBorders>
          </w:tcPr>
          <w:p w14:paraId="0DA66E8F"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25306</w:t>
            </w:r>
            <w:r>
              <w:rPr>
                <w:rFonts w:asciiTheme="majorBidi" w:hAnsiTheme="majorBidi" w:cstheme="majorBidi"/>
                <w:sz w:val="24"/>
                <w:szCs w:val="24"/>
              </w:rPr>
              <w:t>.</w:t>
            </w:r>
            <w:r w:rsidRPr="004F5CA3">
              <w:rPr>
                <w:rFonts w:asciiTheme="majorBidi" w:hAnsiTheme="majorBidi" w:cstheme="majorBidi"/>
                <w:sz w:val="24"/>
                <w:szCs w:val="24"/>
              </w:rPr>
              <w:t>35</w:t>
            </w:r>
          </w:p>
        </w:tc>
        <w:tc>
          <w:tcPr>
            <w:tcW w:w="1764" w:type="dxa"/>
            <w:tcBorders>
              <w:bottom w:val="single" w:sz="12" w:space="0" w:color="auto"/>
            </w:tcBorders>
          </w:tcPr>
          <w:p w14:paraId="44EC206B"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25424</w:t>
            </w:r>
            <w:r>
              <w:rPr>
                <w:rFonts w:asciiTheme="majorBidi" w:hAnsiTheme="majorBidi" w:cstheme="majorBidi"/>
                <w:sz w:val="24"/>
                <w:szCs w:val="24"/>
              </w:rPr>
              <w:t>.</w:t>
            </w:r>
            <w:r w:rsidRPr="004F5CA3">
              <w:rPr>
                <w:rFonts w:asciiTheme="majorBidi" w:hAnsiTheme="majorBidi" w:cstheme="majorBidi"/>
                <w:sz w:val="24"/>
                <w:szCs w:val="24"/>
              </w:rPr>
              <w:t>23</w:t>
            </w:r>
          </w:p>
        </w:tc>
        <w:tc>
          <w:tcPr>
            <w:tcW w:w="1764" w:type="dxa"/>
            <w:tcBorders>
              <w:bottom w:val="single" w:sz="12" w:space="0" w:color="auto"/>
            </w:tcBorders>
          </w:tcPr>
          <w:p w14:paraId="31A472C0"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25357</w:t>
            </w:r>
            <w:r>
              <w:rPr>
                <w:rFonts w:asciiTheme="majorBidi" w:hAnsiTheme="majorBidi" w:cstheme="majorBidi"/>
                <w:sz w:val="24"/>
                <w:szCs w:val="24"/>
              </w:rPr>
              <w:t>.</w:t>
            </w:r>
            <w:r w:rsidRPr="004F5CA3">
              <w:rPr>
                <w:rFonts w:asciiTheme="majorBidi" w:hAnsiTheme="majorBidi" w:cstheme="majorBidi"/>
                <w:sz w:val="24"/>
                <w:szCs w:val="24"/>
              </w:rPr>
              <w:t>51</w:t>
            </w:r>
          </w:p>
        </w:tc>
        <w:tc>
          <w:tcPr>
            <w:tcW w:w="1757" w:type="dxa"/>
            <w:tcBorders>
              <w:bottom w:val="single" w:sz="12" w:space="0" w:color="auto"/>
            </w:tcBorders>
          </w:tcPr>
          <w:p w14:paraId="0CD30D57" w14:textId="77777777" w:rsidR="00611F4F" w:rsidRPr="004F5CA3" w:rsidRDefault="00611F4F" w:rsidP="00AE3286">
            <w:pPr>
              <w:jc w:val="center"/>
              <w:rPr>
                <w:rFonts w:asciiTheme="majorBidi" w:hAnsiTheme="majorBidi" w:cstheme="majorBidi"/>
                <w:sz w:val="24"/>
                <w:szCs w:val="24"/>
              </w:rPr>
            </w:pPr>
            <w:r w:rsidRPr="004F5CA3">
              <w:rPr>
                <w:rFonts w:asciiTheme="majorBidi" w:hAnsiTheme="majorBidi" w:cstheme="majorBidi"/>
                <w:sz w:val="24"/>
                <w:szCs w:val="24"/>
              </w:rPr>
              <w:t>129</w:t>
            </w:r>
            <w:r>
              <w:rPr>
                <w:rFonts w:asciiTheme="majorBidi" w:hAnsiTheme="majorBidi" w:cstheme="majorBidi"/>
                <w:sz w:val="24"/>
                <w:szCs w:val="24"/>
              </w:rPr>
              <w:t>.</w:t>
            </w:r>
            <w:r w:rsidRPr="004F5CA3">
              <w:rPr>
                <w:rFonts w:asciiTheme="majorBidi" w:hAnsiTheme="majorBidi" w:cstheme="majorBidi"/>
                <w:sz w:val="24"/>
                <w:szCs w:val="24"/>
              </w:rPr>
              <w:t>89</w:t>
            </w:r>
          </w:p>
          <w:p w14:paraId="17B37110"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666</w:t>
            </w:r>
          </w:p>
        </w:tc>
        <w:tc>
          <w:tcPr>
            <w:tcW w:w="1733" w:type="dxa"/>
            <w:tcBorders>
              <w:bottom w:val="single" w:sz="12" w:space="0" w:color="auto"/>
            </w:tcBorders>
          </w:tcPr>
          <w:p w14:paraId="5A053DF7" w14:textId="77777777" w:rsidR="00611F4F" w:rsidRPr="004F5CA3" w:rsidRDefault="00611F4F" w:rsidP="00AE3286">
            <w:pPr>
              <w:jc w:val="center"/>
              <w:rPr>
                <w:rFonts w:asciiTheme="majorBidi" w:hAnsiTheme="majorBidi" w:cstheme="majorBidi"/>
                <w:sz w:val="24"/>
                <w:szCs w:val="24"/>
              </w:rPr>
            </w:pPr>
            <w:r>
              <w:rPr>
                <w:rFonts w:asciiTheme="majorBidi" w:hAnsiTheme="majorBidi" w:cstheme="majorBidi"/>
                <w:sz w:val="24"/>
                <w:szCs w:val="24"/>
              </w:rPr>
              <w:t>.</w:t>
            </w:r>
            <w:r w:rsidRPr="004F5CA3">
              <w:rPr>
                <w:rFonts w:asciiTheme="majorBidi" w:hAnsiTheme="majorBidi" w:cstheme="majorBidi"/>
                <w:sz w:val="24"/>
                <w:szCs w:val="24"/>
              </w:rPr>
              <w:t>86</w:t>
            </w:r>
          </w:p>
        </w:tc>
      </w:tr>
    </w:tbl>
    <w:p w14:paraId="3761CB1F" w14:textId="77777777" w:rsidR="00611F4F" w:rsidRPr="004F5CA3" w:rsidRDefault="00611F4F" w:rsidP="00611F4F">
      <w:pPr>
        <w:spacing w:line="240" w:lineRule="auto"/>
        <w:rPr>
          <w:rFonts w:asciiTheme="majorBidi" w:hAnsiTheme="majorBidi" w:cstheme="majorBidi"/>
          <w:sz w:val="24"/>
          <w:szCs w:val="24"/>
        </w:rPr>
      </w:pPr>
      <w:r w:rsidRPr="004F5CA3">
        <w:rPr>
          <w:rFonts w:asciiTheme="majorBidi" w:hAnsiTheme="majorBidi" w:cstheme="majorBidi"/>
          <w:i/>
          <w:iCs/>
          <w:sz w:val="24"/>
          <w:szCs w:val="24"/>
        </w:rPr>
        <w:t xml:space="preserve">AIC </w:t>
      </w:r>
      <w:r w:rsidRPr="004F5CA3">
        <w:rPr>
          <w:rFonts w:asciiTheme="majorBidi" w:hAnsiTheme="majorBidi" w:cstheme="majorBidi"/>
          <w:sz w:val="24"/>
          <w:szCs w:val="24"/>
        </w:rPr>
        <w:t xml:space="preserve">Akaike Information Criterion; </w:t>
      </w:r>
      <w:r w:rsidRPr="004F5CA3">
        <w:rPr>
          <w:rFonts w:asciiTheme="majorBidi" w:hAnsiTheme="majorBidi" w:cstheme="majorBidi"/>
          <w:i/>
          <w:iCs/>
          <w:sz w:val="24"/>
          <w:szCs w:val="24"/>
        </w:rPr>
        <w:t xml:space="preserve">BIC </w:t>
      </w:r>
      <w:r w:rsidRPr="004F5CA3">
        <w:rPr>
          <w:rFonts w:asciiTheme="majorBidi" w:hAnsiTheme="majorBidi" w:cstheme="majorBidi"/>
          <w:sz w:val="24"/>
          <w:szCs w:val="24"/>
        </w:rPr>
        <w:t xml:space="preserve">Bayesian Information Criterion; </w:t>
      </w:r>
      <w:proofErr w:type="spellStart"/>
      <w:r w:rsidRPr="004F5CA3">
        <w:rPr>
          <w:rFonts w:asciiTheme="majorBidi" w:hAnsiTheme="majorBidi" w:cstheme="majorBidi"/>
          <w:i/>
          <w:iCs/>
          <w:sz w:val="24"/>
          <w:szCs w:val="24"/>
        </w:rPr>
        <w:t>ssaBIC</w:t>
      </w:r>
      <w:proofErr w:type="spellEnd"/>
      <w:r w:rsidRPr="004F5CA3">
        <w:rPr>
          <w:rFonts w:asciiTheme="majorBidi" w:hAnsiTheme="majorBidi" w:cstheme="majorBidi"/>
          <w:i/>
          <w:iCs/>
          <w:sz w:val="24"/>
          <w:szCs w:val="24"/>
        </w:rPr>
        <w:t xml:space="preserve"> </w:t>
      </w:r>
      <w:r w:rsidRPr="004F5CA3">
        <w:rPr>
          <w:rFonts w:asciiTheme="majorBidi" w:hAnsiTheme="majorBidi" w:cstheme="majorBidi"/>
          <w:sz w:val="24"/>
          <w:szCs w:val="24"/>
        </w:rPr>
        <w:t xml:space="preserve">sample size adjusted Bayesian Information Criterion; </w:t>
      </w:r>
      <w:r w:rsidRPr="004F5CA3">
        <w:rPr>
          <w:rFonts w:asciiTheme="majorBidi" w:hAnsiTheme="majorBidi" w:cstheme="majorBidi"/>
          <w:i/>
          <w:iCs/>
          <w:sz w:val="24"/>
          <w:szCs w:val="24"/>
        </w:rPr>
        <w:t>LMR-A</w:t>
      </w:r>
      <w:r w:rsidRPr="004F5CA3">
        <w:rPr>
          <w:rFonts w:asciiTheme="majorBidi" w:hAnsiTheme="majorBidi" w:cstheme="majorBidi"/>
          <w:sz w:val="24"/>
          <w:szCs w:val="24"/>
        </w:rPr>
        <w:t xml:space="preserve"> Lo-</w:t>
      </w:r>
      <w:proofErr w:type="spellStart"/>
      <w:r w:rsidRPr="004F5CA3">
        <w:rPr>
          <w:rFonts w:asciiTheme="majorBidi" w:hAnsiTheme="majorBidi" w:cstheme="majorBidi"/>
          <w:sz w:val="24"/>
          <w:szCs w:val="24"/>
        </w:rPr>
        <w:t>Mendell</w:t>
      </w:r>
      <w:proofErr w:type="spellEnd"/>
      <w:r w:rsidRPr="004F5CA3">
        <w:rPr>
          <w:rFonts w:asciiTheme="majorBidi" w:hAnsiTheme="majorBidi" w:cstheme="majorBidi"/>
          <w:sz w:val="24"/>
          <w:szCs w:val="24"/>
        </w:rPr>
        <w:t>-Rubin adjusted likelihood ratio test</w:t>
      </w:r>
    </w:p>
    <w:p w14:paraId="3D1DCAF6" w14:textId="3B0015E9" w:rsidR="00611F4F" w:rsidRDefault="00611F4F" w:rsidP="004D566D">
      <w:pPr>
        <w:spacing w:line="360" w:lineRule="auto"/>
        <w:rPr>
          <w:rFonts w:asciiTheme="majorBidi" w:hAnsiTheme="majorBidi" w:cstheme="majorBidi"/>
          <w:sz w:val="24"/>
          <w:szCs w:val="24"/>
        </w:rPr>
      </w:pPr>
    </w:p>
    <w:p w14:paraId="0D555D9F" w14:textId="1EF5454D" w:rsidR="00611F4F" w:rsidRDefault="00611F4F" w:rsidP="004D566D">
      <w:pPr>
        <w:spacing w:line="360" w:lineRule="auto"/>
        <w:rPr>
          <w:rFonts w:asciiTheme="majorBidi" w:hAnsiTheme="majorBidi" w:cstheme="majorBidi"/>
          <w:sz w:val="24"/>
          <w:szCs w:val="24"/>
        </w:rPr>
      </w:pPr>
    </w:p>
    <w:p w14:paraId="427058B7" w14:textId="6B0831BB" w:rsidR="00611F4F" w:rsidRDefault="00611F4F" w:rsidP="004D566D">
      <w:pPr>
        <w:spacing w:line="360" w:lineRule="auto"/>
        <w:rPr>
          <w:rFonts w:asciiTheme="majorBidi" w:hAnsiTheme="majorBidi" w:cstheme="majorBidi"/>
          <w:sz w:val="24"/>
          <w:szCs w:val="24"/>
        </w:rPr>
      </w:pPr>
    </w:p>
    <w:p w14:paraId="3468B730" w14:textId="304887C7" w:rsidR="00611F4F" w:rsidRDefault="00611F4F" w:rsidP="004D566D">
      <w:pPr>
        <w:spacing w:line="360" w:lineRule="auto"/>
        <w:rPr>
          <w:rFonts w:asciiTheme="majorBidi" w:hAnsiTheme="majorBidi" w:cstheme="majorBidi"/>
          <w:sz w:val="24"/>
          <w:szCs w:val="24"/>
        </w:rPr>
      </w:pPr>
    </w:p>
    <w:p w14:paraId="698DA0E0" w14:textId="7961AB6E" w:rsidR="00611F4F" w:rsidRDefault="00611F4F" w:rsidP="004D566D">
      <w:pPr>
        <w:spacing w:line="360" w:lineRule="auto"/>
        <w:rPr>
          <w:rFonts w:asciiTheme="majorBidi" w:hAnsiTheme="majorBidi" w:cstheme="majorBidi"/>
          <w:sz w:val="24"/>
          <w:szCs w:val="24"/>
        </w:rPr>
      </w:pPr>
    </w:p>
    <w:p w14:paraId="32FA970B" w14:textId="5281530B" w:rsidR="00611F4F" w:rsidRDefault="00611F4F" w:rsidP="004D566D">
      <w:pPr>
        <w:spacing w:line="360" w:lineRule="auto"/>
        <w:rPr>
          <w:rFonts w:asciiTheme="majorBidi" w:hAnsiTheme="majorBidi" w:cstheme="majorBidi"/>
          <w:sz w:val="24"/>
          <w:szCs w:val="24"/>
        </w:rPr>
      </w:pPr>
    </w:p>
    <w:p w14:paraId="465BA2DD" w14:textId="4483D845" w:rsidR="00611F4F" w:rsidRDefault="00611F4F" w:rsidP="004D566D">
      <w:pPr>
        <w:spacing w:line="360" w:lineRule="auto"/>
        <w:rPr>
          <w:rFonts w:asciiTheme="majorBidi" w:hAnsiTheme="majorBidi" w:cstheme="majorBidi"/>
          <w:sz w:val="24"/>
          <w:szCs w:val="24"/>
        </w:rPr>
      </w:pPr>
    </w:p>
    <w:p w14:paraId="110C9CB2" w14:textId="2BE41309" w:rsidR="00611F4F" w:rsidRDefault="00611F4F" w:rsidP="004D566D">
      <w:pPr>
        <w:spacing w:line="360" w:lineRule="auto"/>
        <w:rPr>
          <w:rFonts w:asciiTheme="majorBidi" w:hAnsiTheme="majorBidi" w:cstheme="majorBidi"/>
          <w:sz w:val="24"/>
          <w:szCs w:val="24"/>
        </w:rPr>
      </w:pPr>
    </w:p>
    <w:p w14:paraId="67BB06DA" w14:textId="0D02B715" w:rsidR="00611F4F" w:rsidRDefault="00611F4F" w:rsidP="004D566D">
      <w:pPr>
        <w:spacing w:line="360" w:lineRule="auto"/>
        <w:rPr>
          <w:rFonts w:asciiTheme="majorBidi" w:hAnsiTheme="majorBidi" w:cstheme="majorBidi"/>
          <w:sz w:val="24"/>
          <w:szCs w:val="24"/>
        </w:rPr>
      </w:pPr>
    </w:p>
    <w:p w14:paraId="3C366AF5" w14:textId="0EB21A0A" w:rsidR="00611F4F" w:rsidRDefault="00611F4F" w:rsidP="004D566D">
      <w:pPr>
        <w:spacing w:line="360" w:lineRule="auto"/>
        <w:rPr>
          <w:rFonts w:asciiTheme="majorBidi" w:hAnsiTheme="majorBidi" w:cstheme="majorBidi"/>
          <w:sz w:val="24"/>
          <w:szCs w:val="24"/>
        </w:rPr>
      </w:pPr>
    </w:p>
    <w:p w14:paraId="619DADB9" w14:textId="791E85F8" w:rsidR="00611F4F" w:rsidRDefault="00611F4F" w:rsidP="004D566D">
      <w:pPr>
        <w:spacing w:line="360" w:lineRule="auto"/>
        <w:rPr>
          <w:rFonts w:asciiTheme="majorBidi" w:hAnsiTheme="majorBidi" w:cstheme="majorBidi"/>
          <w:sz w:val="24"/>
          <w:szCs w:val="24"/>
        </w:rPr>
      </w:pPr>
    </w:p>
    <w:p w14:paraId="4C84ED34" w14:textId="77777777" w:rsidR="00611F4F" w:rsidRDefault="00611F4F" w:rsidP="004D566D">
      <w:pPr>
        <w:spacing w:line="360" w:lineRule="auto"/>
        <w:rPr>
          <w:rFonts w:asciiTheme="majorBidi" w:hAnsiTheme="majorBidi" w:cstheme="majorBidi"/>
          <w:sz w:val="24"/>
          <w:szCs w:val="24"/>
        </w:rPr>
        <w:sectPr w:rsidR="00611F4F">
          <w:pgSz w:w="11906" w:h="16838"/>
          <w:pgMar w:top="1440" w:right="1440" w:bottom="1440" w:left="1440" w:header="708" w:footer="708" w:gutter="0"/>
          <w:cols w:space="708"/>
          <w:docGrid w:linePitch="360"/>
        </w:sectPr>
      </w:pPr>
    </w:p>
    <w:p w14:paraId="5492A1F5" w14:textId="25813F90" w:rsidR="004D566D" w:rsidRPr="004D566D" w:rsidRDefault="00236DD2" w:rsidP="004D566D">
      <w:pPr>
        <w:spacing w:line="360" w:lineRule="auto"/>
        <w:rPr>
          <w:rFonts w:asciiTheme="majorBidi" w:hAnsiTheme="majorBidi" w:cstheme="majorBidi"/>
          <w:b/>
          <w:bCs/>
          <w:sz w:val="24"/>
          <w:szCs w:val="24"/>
        </w:rPr>
      </w:pPr>
      <w:r w:rsidRPr="004D566D">
        <w:rPr>
          <w:rFonts w:asciiTheme="majorBidi" w:hAnsiTheme="majorBidi" w:cstheme="majorBidi"/>
          <w:b/>
          <w:bCs/>
          <w:sz w:val="24"/>
          <w:szCs w:val="24"/>
        </w:rPr>
        <w:lastRenderedPageBreak/>
        <w:t>Additional references</w:t>
      </w:r>
    </w:p>
    <w:p w14:paraId="39191823" w14:textId="74C7A33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fldChar w:fldCharType="begin"/>
      </w:r>
      <w:r w:rsidRPr="004D566D">
        <w:rPr>
          <w:rFonts w:asciiTheme="majorBidi" w:hAnsiTheme="majorBidi" w:cstheme="majorBidi"/>
          <w:sz w:val="24"/>
          <w:szCs w:val="24"/>
        </w:rPr>
        <w:instrText xml:space="preserve"> ADDIN EN.REFLIST </w:instrText>
      </w:r>
      <w:r w:rsidRPr="004D566D">
        <w:rPr>
          <w:rFonts w:asciiTheme="majorBidi" w:hAnsiTheme="majorBidi" w:cstheme="majorBidi"/>
          <w:sz w:val="24"/>
          <w:szCs w:val="24"/>
        </w:rPr>
        <w:fldChar w:fldCharType="separate"/>
      </w:r>
      <w:r w:rsidRPr="004D566D">
        <w:rPr>
          <w:rFonts w:asciiTheme="majorBidi" w:hAnsiTheme="majorBidi" w:cstheme="majorBidi"/>
          <w:sz w:val="24"/>
          <w:szCs w:val="24"/>
        </w:rPr>
        <w:t xml:space="preserve">Akaike, H. (1987). Factor analysis and AIC. </w:t>
      </w:r>
      <w:r w:rsidRPr="004D566D">
        <w:rPr>
          <w:rFonts w:asciiTheme="majorBidi" w:hAnsiTheme="majorBidi" w:cstheme="majorBidi"/>
          <w:i/>
          <w:sz w:val="24"/>
          <w:szCs w:val="24"/>
        </w:rPr>
        <w:t>Psychometrika, 52</w:t>
      </w:r>
      <w:r w:rsidRPr="004D566D">
        <w:rPr>
          <w:rFonts w:asciiTheme="majorBidi" w:hAnsiTheme="majorBidi" w:cstheme="majorBidi"/>
          <w:sz w:val="24"/>
          <w:szCs w:val="24"/>
        </w:rPr>
        <w:t>(3), 317-332. doi:10.1007/BF02294359</w:t>
      </w:r>
    </w:p>
    <w:p w14:paraId="118B42FD"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Buhr, K., &amp; Dugas, M. J. (2002). The intolerance of uncertainty scale: Psychometric properties of the English version. </w:t>
      </w:r>
      <w:r w:rsidRPr="004D566D">
        <w:rPr>
          <w:rFonts w:asciiTheme="majorBidi" w:hAnsiTheme="majorBidi" w:cstheme="majorBidi"/>
          <w:i/>
          <w:sz w:val="24"/>
          <w:szCs w:val="24"/>
        </w:rPr>
        <w:t>Behaviour Research and Therapy, 40</w:t>
      </w:r>
      <w:r w:rsidRPr="004D566D">
        <w:rPr>
          <w:rFonts w:asciiTheme="majorBidi" w:hAnsiTheme="majorBidi" w:cstheme="majorBidi"/>
          <w:sz w:val="24"/>
          <w:szCs w:val="24"/>
        </w:rPr>
        <w:t xml:space="preserve">(8), 931-945. </w:t>
      </w:r>
    </w:p>
    <w:p w14:paraId="5516D48A"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Hoffman, L. (2015). </w:t>
      </w:r>
      <w:r w:rsidRPr="004D566D">
        <w:rPr>
          <w:rFonts w:asciiTheme="majorBidi" w:hAnsiTheme="majorBidi" w:cstheme="majorBidi"/>
          <w:i/>
          <w:sz w:val="24"/>
          <w:szCs w:val="24"/>
        </w:rPr>
        <w:t>Longitudinal analysis: Modeling within-person fluctuation and change</w:t>
      </w:r>
      <w:r w:rsidRPr="004D566D">
        <w:rPr>
          <w:rFonts w:asciiTheme="majorBidi" w:hAnsiTheme="majorBidi" w:cstheme="majorBidi"/>
          <w:sz w:val="24"/>
          <w:szCs w:val="24"/>
        </w:rPr>
        <w:t>. New York, NY: Routledge.</w:t>
      </w:r>
    </w:p>
    <w:p w14:paraId="08B96EBF"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Hughes, M. E., Waite, L. J., Hawkley, L. C., &amp; Cacioppo, J. T. (2004). A short scale for measuring loneliness in large surveys: Results from two population-based studies. </w:t>
      </w:r>
      <w:r w:rsidRPr="004D566D">
        <w:rPr>
          <w:rFonts w:asciiTheme="majorBidi" w:hAnsiTheme="majorBidi" w:cstheme="majorBidi"/>
          <w:i/>
          <w:sz w:val="24"/>
          <w:szCs w:val="24"/>
        </w:rPr>
        <w:t>Research on Aging, 26</w:t>
      </w:r>
      <w:r w:rsidRPr="004D566D">
        <w:rPr>
          <w:rFonts w:asciiTheme="majorBidi" w:hAnsiTheme="majorBidi" w:cstheme="majorBidi"/>
          <w:sz w:val="24"/>
          <w:szCs w:val="24"/>
        </w:rPr>
        <w:t xml:space="preserve">(6), 655-672. </w:t>
      </w:r>
    </w:p>
    <w:p w14:paraId="6DB411BF" w14:textId="71C064BB"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Lo, Y., Mendell, N. R., &amp; Rubin, D. B. (2001). Testing the number of components in a normal mixture. </w:t>
      </w:r>
      <w:r w:rsidRPr="004D566D">
        <w:rPr>
          <w:rFonts w:asciiTheme="majorBidi" w:hAnsiTheme="majorBidi" w:cstheme="majorBidi"/>
          <w:i/>
          <w:sz w:val="24"/>
          <w:szCs w:val="24"/>
        </w:rPr>
        <w:t>Biometrika, 88</w:t>
      </w:r>
      <w:r w:rsidRPr="004D566D">
        <w:rPr>
          <w:rFonts w:asciiTheme="majorBidi" w:hAnsiTheme="majorBidi" w:cstheme="majorBidi"/>
          <w:sz w:val="24"/>
          <w:szCs w:val="24"/>
        </w:rPr>
        <w:t>(3), 767-778. doi:10.1093/biomet/88.3.767</w:t>
      </w:r>
    </w:p>
    <w:p w14:paraId="3225F7B5"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Masyn, K. E. (2013). Latent class analysis and finite mixture modeling. In T. D. Little (Ed.), </w:t>
      </w:r>
      <w:r w:rsidRPr="004D566D">
        <w:rPr>
          <w:rFonts w:asciiTheme="majorBidi" w:hAnsiTheme="majorBidi" w:cstheme="majorBidi"/>
          <w:i/>
          <w:sz w:val="24"/>
          <w:szCs w:val="24"/>
        </w:rPr>
        <w:t xml:space="preserve">The Oxford Handbook of Quantitative Methods, Vol 2: Statistical Analysis </w:t>
      </w:r>
      <w:r w:rsidRPr="004D566D">
        <w:rPr>
          <w:rFonts w:asciiTheme="majorBidi" w:hAnsiTheme="majorBidi" w:cstheme="majorBidi"/>
          <w:sz w:val="24"/>
          <w:szCs w:val="24"/>
        </w:rPr>
        <w:t>(pp. 551-611). New York, NY: Oxford University Press.</w:t>
      </w:r>
    </w:p>
    <w:p w14:paraId="71659E5C"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Muthén, L. K., &amp; Muthén, B. O. (2018). </w:t>
      </w:r>
      <w:r w:rsidRPr="004D566D">
        <w:rPr>
          <w:rFonts w:asciiTheme="majorBidi" w:hAnsiTheme="majorBidi" w:cstheme="majorBidi"/>
          <w:i/>
          <w:sz w:val="24"/>
          <w:szCs w:val="24"/>
        </w:rPr>
        <w:t>Mplus user's guide (8th ed.)</w:t>
      </w:r>
      <w:r w:rsidRPr="004D566D">
        <w:rPr>
          <w:rFonts w:asciiTheme="majorBidi" w:hAnsiTheme="majorBidi" w:cstheme="majorBidi"/>
          <w:sz w:val="24"/>
          <w:szCs w:val="24"/>
        </w:rPr>
        <w:t>. Los Angeles, CA: Muthen &amp; Muthen.</w:t>
      </w:r>
    </w:p>
    <w:p w14:paraId="7EDBB1D8" w14:textId="69895053"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Nylund, K. L., Asparouhov, T., &amp; Muthén, B. O. (2007). Deciding on the number of classes in latent class analysis and growth mixture modeling: A Monte Carlo simulation study. </w:t>
      </w:r>
      <w:r w:rsidRPr="004D566D">
        <w:rPr>
          <w:rFonts w:asciiTheme="majorBidi" w:hAnsiTheme="majorBidi" w:cstheme="majorBidi"/>
          <w:i/>
          <w:sz w:val="24"/>
          <w:szCs w:val="24"/>
        </w:rPr>
        <w:t>Structural Equation Modeling: A Multidisciplinary Journal, 14</w:t>
      </w:r>
      <w:r w:rsidRPr="004D566D">
        <w:rPr>
          <w:rFonts w:asciiTheme="majorBidi" w:hAnsiTheme="majorBidi" w:cstheme="majorBidi"/>
          <w:sz w:val="24"/>
          <w:szCs w:val="24"/>
        </w:rPr>
        <w:t>(4), 535-569. doi:10.1080/10705510701575396</w:t>
      </w:r>
    </w:p>
    <w:p w14:paraId="0F149604"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Sapp, S. G., &amp; Harrod, W. J. (1993). Reliability and validity of a brief version of Levenson's locus of control scale. </w:t>
      </w:r>
      <w:r w:rsidRPr="004D566D">
        <w:rPr>
          <w:rFonts w:asciiTheme="majorBidi" w:hAnsiTheme="majorBidi" w:cstheme="majorBidi"/>
          <w:i/>
          <w:sz w:val="24"/>
          <w:szCs w:val="24"/>
        </w:rPr>
        <w:t>Psychological Reports, 72</w:t>
      </w:r>
      <w:r w:rsidRPr="004D566D">
        <w:rPr>
          <w:rFonts w:asciiTheme="majorBidi" w:hAnsiTheme="majorBidi" w:cstheme="majorBidi"/>
          <w:sz w:val="24"/>
          <w:szCs w:val="24"/>
        </w:rPr>
        <w:t xml:space="preserve">(2), 539-550. </w:t>
      </w:r>
    </w:p>
    <w:p w14:paraId="4C18C080"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Schafer, J. L., &amp; Graham, J. W. (2002). Missing data: Our view of the state of the art. </w:t>
      </w:r>
      <w:r w:rsidRPr="004D566D">
        <w:rPr>
          <w:rFonts w:asciiTheme="majorBidi" w:hAnsiTheme="majorBidi" w:cstheme="majorBidi"/>
          <w:i/>
          <w:sz w:val="24"/>
          <w:szCs w:val="24"/>
        </w:rPr>
        <w:t>Psychological Methods, 7</w:t>
      </w:r>
      <w:r w:rsidRPr="004D566D">
        <w:rPr>
          <w:rFonts w:asciiTheme="majorBidi" w:hAnsiTheme="majorBidi" w:cstheme="majorBidi"/>
          <w:sz w:val="24"/>
          <w:szCs w:val="24"/>
        </w:rPr>
        <w:t xml:space="preserve">(2), 147–177. </w:t>
      </w:r>
    </w:p>
    <w:p w14:paraId="7E492A2F"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Schwarz, G. (1978). Estimating the dimension of a model. </w:t>
      </w:r>
      <w:r w:rsidRPr="004D566D">
        <w:rPr>
          <w:rFonts w:asciiTheme="majorBidi" w:hAnsiTheme="majorBidi" w:cstheme="majorBidi"/>
          <w:i/>
          <w:sz w:val="24"/>
          <w:szCs w:val="24"/>
        </w:rPr>
        <w:t>The Annals of Statistics, 6</w:t>
      </w:r>
      <w:r w:rsidRPr="004D566D">
        <w:rPr>
          <w:rFonts w:asciiTheme="majorBidi" w:hAnsiTheme="majorBidi" w:cstheme="majorBidi"/>
          <w:sz w:val="24"/>
          <w:szCs w:val="24"/>
        </w:rPr>
        <w:t xml:space="preserve">(2), 461-464. </w:t>
      </w:r>
    </w:p>
    <w:p w14:paraId="2D05F42F" w14:textId="1A9868A0"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Sclove, S. L. (1987). Application of model-selection criteria to some problems in multivariate analysis. </w:t>
      </w:r>
      <w:r w:rsidRPr="004D566D">
        <w:rPr>
          <w:rFonts w:asciiTheme="majorBidi" w:hAnsiTheme="majorBidi" w:cstheme="majorBidi"/>
          <w:i/>
          <w:sz w:val="24"/>
          <w:szCs w:val="24"/>
        </w:rPr>
        <w:t>Psychometrika, 52</w:t>
      </w:r>
      <w:r w:rsidRPr="004D566D">
        <w:rPr>
          <w:rFonts w:asciiTheme="majorBidi" w:hAnsiTheme="majorBidi" w:cstheme="majorBidi"/>
          <w:sz w:val="24"/>
          <w:szCs w:val="24"/>
        </w:rPr>
        <w:t>(3), 333-343. doi:10.1007/BF02294360</w:t>
      </w:r>
    </w:p>
    <w:p w14:paraId="53432BC6" w14:textId="77777777" w:rsidR="004D566D" w:rsidRPr="004D566D" w:rsidRDefault="004D566D" w:rsidP="004D566D">
      <w:pPr>
        <w:pStyle w:val="EndNoteBibliography"/>
        <w:spacing w:after="0"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t xml:space="preserve">Smith, B. W., Dalen, J., Wiggins, K., Tooley, E., Christopher, P., &amp; Bernard, J. (2008). The brief resilience scale: Assessing the ability to bounce back. </w:t>
      </w:r>
      <w:r w:rsidRPr="004D566D">
        <w:rPr>
          <w:rFonts w:asciiTheme="majorBidi" w:hAnsiTheme="majorBidi" w:cstheme="majorBidi"/>
          <w:i/>
          <w:sz w:val="24"/>
          <w:szCs w:val="24"/>
        </w:rPr>
        <w:t>International Journal of Behavioral Medicine, 15</w:t>
      </w:r>
      <w:r w:rsidRPr="004D566D">
        <w:rPr>
          <w:rFonts w:asciiTheme="majorBidi" w:hAnsiTheme="majorBidi" w:cstheme="majorBidi"/>
          <w:sz w:val="24"/>
          <w:szCs w:val="24"/>
        </w:rPr>
        <w:t xml:space="preserve">(3), 194-200. </w:t>
      </w:r>
    </w:p>
    <w:p w14:paraId="57013247" w14:textId="77777777" w:rsidR="004D566D" w:rsidRPr="004D566D" w:rsidRDefault="004D566D" w:rsidP="004D566D">
      <w:pPr>
        <w:pStyle w:val="EndNoteBibliography"/>
        <w:spacing w:line="360" w:lineRule="auto"/>
        <w:ind w:left="720" w:hanging="720"/>
        <w:rPr>
          <w:rFonts w:asciiTheme="majorBidi" w:hAnsiTheme="majorBidi" w:cstheme="majorBidi"/>
          <w:sz w:val="24"/>
          <w:szCs w:val="24"/>
        </w:rPr>
      </w:pPr>
      <w:r w:rsidRPr="004D566D">
        <w:rPr>
          <w:rFonts w:asciiTheme="majorBidi" w:hAnsiTheme="majorBidi" w:cstheme="majorBidi"/>
          <w:sz w:val="24"/>
          <w:szCs w:val="24"/>
        </w:rPr>
        <w:lastRenderedPageBreak/>
        <w:t xml:space="preserve">Tomás-Sábado, J., Gómez-Benito, J., &amp; Limonero, J. (2005). The Death Anxiety Inventory: A revision. </w:t>
      </w:r>
      <w:r w:rsidRPr="004D566D">
        <w:rPr>
          <w:rFonts w:asciiTheme="majorBidi" w:hAnsiTheme="majorBidi" w:cstheme="majorBidi"/>
          <w:i/>
          <w:sz w:val="24"/>
          <w:szCs w:val="24"/>
        </w:rPr>
        <w:t>Psychological Reports, 97</w:t>
      </w:r>
      <w:r w:rsidRPr="004D566D">
        <w:rPr>
          <w:rFonts w:asciiTheme="majorBidi" w:hAnsiTheme="majorBidi" w:cstheme="majorBidi"/>
          <w:sz w:val="24"/>
          <w:szCs w:val="24"/>
        </w:rPr>
        <w:t>, 793-796. doi:10.2466/pr0.97.3.793-796</w:t>
      </w:r>
    </w:p>
    <w:p w14:paraId="1F2DE8FC" w14:textId="32C147F3" w:rsidR="00423706" w:rsidRPr="002C5A9B" w:rsidRDefault="004D566D" w:rsidP="004D566D">
      <w:pPr>
        <w:spacing w:line="360" w:lineRule="auto"/>
        <w:rPr>
          <w:rFonts w:asciiTheme="majorBidi" w:hAnsiTheme="majorBidi" w:cstheme="majorBidi"/>
          <w:sz w:val="20"/>
          <w:szCs w:val="20"/>
        </w:rPr>
      </w:pPr>
      <w:r w:rsidRPr="004D566D">
        <w:rPr>
          <w:rFonts w:asciiTheme="majorBidi" w:hAnsiTheme="majorBidi" w:cstheme="majorBidi"/>
          <w:sz w:val="24"/>
          <w:szCs w:val="24"/>
        </w:rPr>
        <w:fldChar w:fldCharType="end"/>
      </w:r>
    </w:p>
    <w:sectPr w:rsidR="00423706" w:rsidRPr="002C5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EBF4" w14:textId="77777777" w:rsidR="009C1FE3" w:rsidRDefault="009C1FE3" w:rsidP="002C5A9B">
      <w:pPr>
        <w:spacing w:after="0" w:line="240" w:lineRule="auto"/>
      </w:pPr>
      <w:r>
        <w:separator/>
      </w:r>
    </w:p>
  </w:endnote>
  <w:endnote w:type="continuationSeparator" w:id="0">
    <w:p w14:paraId="637EBA6F" w14:textId="77777777" w:rsidR="009C1FE3" w:rsidRDefault="009C1FE3" w:rsidP="002C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CEEF" w14:textId="77777777" w:rsidR="009C1FE3" w:rsidRDefault="009C1FE3" w:rsidP="002C5A9B">
      <w:pPr>
        <w:spacing w:after="0" w:line="240" w:lineRule="auto"/>
      </w:pPr>
      <w:r>
        <w:separator/>
      </w:r>
    </w:p>
  </w:footnote>
  <w:footnote w:type="continuationSeparator" w:id="0">
    <w:p w14:paraId="4347F4C2" w14:textId="77777777" w:rsidR="009C1FE3" w:rsidRDefault="009C1FE3" w:rsidP="002C5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57D1"/>
    <w:multiLevelType w:val="multilevel"/>
    <w:tmpl w:val="7DBC2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fxr5xf6ff9vhez95u5prs0rarwezxxzxzz&quot;&gt;My EndNote Library&lt;record-ids&gt;&lt;item&gt;31&lt;/item&gt;&lt;item&gt;32&lt;/item&gt;&lt;item&gt;34&lt;/item&gt;&lt;item&gt;40&lt;/item&gt;&lt;item&gt;41&lt;/item&gt;&lt;item&gt;42&lt;/item&gt;&lt;item&gt;43&lt;/item&gt;&lt;item&gt;44&lt;/item&gt;&lt;item&gt;74&lt;/item&gt;&lt;item&gt;93&lt;/item&gt;&lt;item&gt;94&lt;/item&gt;&lt;item&gt;95&lt;/item&gt;&lt;item&gt;209&lt;/item&gt;&lt;item&gt;212&lt;/item&gt;&lt;/record-ids&gt;&lt;/item&gt;&lt;/Libraries&gt;"/>
  </w:docVars>
  <w:rsids>
    <w:rsidRoot w:val="00400FCA"/>
    <w:rsid w:val="000D69C1"/>
    <w:rsid w:val="00236DD2"/>
    <w:rsid w:val="002C5A9B"/>
    <w:rsid w:val="002D5E5F"/>
    <w:rsid w:val="003E3604"/>
    <w:rsid w:val="003F0D32"/>
    <w:rsid w:val="00400FCA"/>
    <w:rsid w:val="00423706"/>
    <w:rsid w:val="004B1B2A"/>
    <w:rsid w:val="004D566D"/>
    <w:rsid w:val="005D5AED"/>
    <w:rsid w:val="00611F4F"/>
    <w:rsid w:val="00617D0E"/>
    <w:rsid w:val="00650476"/>
    <w:rsid w:val="0069453A"/>
    <w:rsid w:val="006D7A64"/>
    <w:rsid w:val="00764827"/>
    <w:rsid w:val="0081310F"/>
    <w:rsid w:val="00820375"/>
    <w:rsid w:val="009128C4"/>
    <w:rsid w:val="00975C32"/>
    <w:rsid w:val="009C1FE3"/>
    <w:rsid w:val="00C963E7"/>
    <w:rsid w:val="00CD41BC"/>
    <w:rsid w:val="00D40989"/>
    <w:rsid w:val="00DB5901"/>
    <w:rsid w:val="00E15A1E"/>
    <w:rsid w:val="00E263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F14D4"/>
  <w15:chartTrackingRefBased/>
  <w15:docId w15:val="{DDA82CA0-F0AC-4293-99A1-E6684CC3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D2"/>
    <w:rPr>
      <w:rFonts w:ascii="Segoe UI" w:hAnsi="Segoe UI" w:cs="Segoe UI"/>
      <w:sz w:val="18"/>
      <w:szCs w:val="18"/>
    </w:rPr>
  </w:style>
  <w:style w:type="paragraph" w:styleId="NormalWeb">
    <w:name w:val="Normal (Web)"/>
    <w:basedOn w:val="Normal"/>
    <w:link w:val="NormalWebChar"/>
    <w:uiPriority w:val="99"/>
    <w:unhideWhenUsed/>
    <w:rsid w:val="00236D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5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A9B"/>
  </w:style>
  <w:style w:type="paragraph" w:styleId="Footer">
    <w:name w:val="footer"/>
    <w:basedOn w:val="Normal"/>
    <w:link w:val="FooterChar"/>
    <w:uiPriority w:val="99"/>
    <w:unhideWhenUsed/>
    <w:rsid w:val="002C5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A9B"/>
  </w:style>
  <w:style w:type="character" w:customStyle="1" w:styleId="nlmcatauxtitle">
    <w:name w:val="nlmcat_aux_title"/>
    <w:basedOn w:val="DefaultParagraphFont"/>
    <w:rsid w:val="002C5A9B"/>
  </w:style>
  <w:style w:type="paragraph" w:styleId="ListParagraph">
    <w:name w:val="List Paragraph"/>
    <w:basedOn w:val="Normal"/>
    <w:uiPriority w:val="34"/>
    <w:qFormat/>
    <w:rsid w:val="002C5A9B"/>
    <w:pPr>
      <w:ind w:left="720"/>
      <w:contextualSpacing/>
    </w:pPr>
  </w:style>
  <w:style w:type="paragraph" w:customStyle="1" w:styleId="EndNoteBibliographyTitle">
    <w:name w:val="EndNote Bibliography Title"/>
    <w:basedOn w:val="Normal"/>
    <w:link w:val="EndNoteBibliographyTitleChar"/>
    <w:rsid w:val="004D566D"/>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4D566D"/>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4D566D"/>
    <w:rPr>
      <w:rFonts w:ascii="Calibri" w:eastAsia="Times New Roman" w:hAnsi="Calibri" w:cs="Calibri"/>
      <w:noProof/>
      <w:sz w:val="24"/>
      <w:szCs w:val="24"/>
      <w:lang w:eastAsia="en-GB"/>
    </w:rPr>
  </w:style>
  <w:style w:type="paragraph" w:customStyle="1" w:styleId="EndNoteBibliography">
    <w:name w:val="EndNote Bibliography"/>
    <w:basedOn w:val="Normal"/>
    <w:link w:val="EndNoteBibliographyChar"/>
    <w:rsid w:val="004D566D"/>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4D566D"/>
    <w:rPr>
      <w:rFonts w:ascii="Calibri" w:eastAsia="Times New Roman" w:hAnsi="Calibri" w:cs="Calibri"/>
      <w:noProof/>
      <w:sz w:val="24"/>
      <w:szCs w:val="24"/>
      <w:lang w:eastAsia="en-GB"/>
    </w:rPr>
  </w:style>
  <w:style w:type="table" w:styleId="TableGridLight">
    <w:name w:val="Grid Table Light"/>
    <w:basedOn w:val="TableNormal"/>
    <w:uiPriority w:val="40"/>
    <w:rsid w:val="00650476"/>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4639</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Butter</dc:creator>
  <cp:keywords/>
  <dc:description/>
  <cp:lastModifiedBy>Sarah Butter</cp:lastModifiedBy>
  <cp:revision>4</cp:revision>
  <dcterms:created xsi:type="dcterms:W3CDTF">2021-02-02T08:21:00Z</dcterms:created>
  <dcterms:modified xsi:type="dcterms:W3CDTF">2021-02-02T13:09:00Z</dcterms:modified>
</cp:coreProperties>
</file>