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01" w:rsidRDefault="00E81801" w:rsidP="00DE7C95">
      <w:pPr>
        <w:spacing w:line="480" w:lineRule="auto"/>
        <w:rPr>
          <w:b/>
          <w:lang w:val="en-US"/>
        </w:rPr>
      </w:pPr>
      <w:r>
        <w:rPr>
          <w:b/>
          <w:lang w:val="en-US"/>
        </w:rPr>
        <w:t xml:space="preserve">Online-only </w:t>
      </w:r>
      <w:r w:rsidR="000B71F6">
        <w:rPr>
          <w:b/>
          <w:lang w:val="en-US"/>
        </w:rPr>
        <w:t>Supplementary Material</w:t>
      </w:r>
    </w:p>
    <w:p w:rsidR="00E81801" w:rsidRDefault="00E81801" w:rsidP="00DE7C95">
      <w:pPr>
        <w:spacing w:line="480" w:lineRule="auto"/>
        <w:rPr>
          <w:b/>
          <w:lang w:val="en-US"/>
        </w:rPr>
      </w:pPr>
      <w:r>
        <w:rPr>
          <w:b/>
          <w:lang w:val="en-US"/>
        </w:rPr>
        <w:t>Boden, JM, Foulds, JA, Newton-Howes, G., &amp; McKetin, R.  “</w:t>
      </w:r>
      <w:r w:rsidRPr="00B60F51">
        <w:rPr>
          <w:b/>
          <w:lang w:val="en-US"/>
        </w:rPr>
        <w:t>Methamphetamine use and psychotic symptoms: findings from a New Zealand longitudinal birth cohort</w:t>
      </w:r>
      <w:r>
        <w:rPr>
          <w:b/>
          <w:lang w:val="en-US"/>
        </w:rPr>
        <w:t>”</w:t>
      </w:r>
    </w:p>
    <w:p w:rsidR="00E81801" w:rsidRDefault="00E81801" w:rsidP="00DE7C95">
      <w:pPr>
        <w:spacing w:line="480" w:lineRule="auto"/>
        <w:rPr>
          <w:b/>
          <w:lang w:val="en-US"/>
        </w:rPr>
      </w:pPr>
    </w:p>
    <w:p w:rsidR="00E81801" w:rsidRPr="00FA7CB6" w:rsidRDefault="00E81801" w:rsidP="00DE7C95">
      <w:pPr>
        <w:spacing w:line="480" w:lineRule="auto"/>
        <w:rPr>
          <w:b/>
          <w:lang w:val="en-US"/>
        </w:rPr>
      </w:pPr>
      <w:r>
        <w:rPr>
          <w:b/>
          <w:lang w:val="en-US"/>
        </w:rPr>
        <w:t>Confounding</w:t>
      </w:r>
      <w:r w:rsidRPr="00FA7CB6">
        <w:rPr>
          <w:b/>
          <w:lang w:val="en-US"/>
        </w:rPr>
        <w:t xml:space="preserve"> factors</w:t>
      </w:r>
    </w:p>
    <w:p w:rsidR="00E81801" w:rsidRPr="00FA7CB6" w:rsidRDefault="00E81801" w:rsidP="00DE7C95">
      <w:pPr>
        <w:spacing w:line="480" w:lineRule="auto"/>
        <w:rPr>
          <w:lang w:val="en-US"/>
        </w:rPr>
      </w:pPr>
      <w:r w:rsidRPr="00FA7CB6">
        <w:rPr>
          <w:lang w:val="en-US"/>
        </w:rPr>
        <w:t xml:space="preserve">A number of potential confounding factors were abstracted from the study database, on the basis that they have been shown to be related to both </w:t>
      </w:r>
      <w:r>
        <w:rPr>
          <w:lang w:val="en-US"/>
        </w:rPr>
        <w:t>methamphetamine use</w:t>
      </w:r>
      <w:r w:rsidRPr="00FA7CB6">
        <w:rPr>
          <w:lang w:val="en-US"/>
        </w:rPr>
        <w:t xml:space="preserve"> and psychotic symptomatology in adolescence and adulthood.  These factors included:</w:t>
      </w:r>
    </w:p>
    <w:p w:rsidR="00E81801" w:rsidRPr="00FA7CB6" w:rsidRDefault="00E81801" w:rsidP="00DE7C95">
      <w:pPr>
        <w:spacing w:line="480" w:lineRule="auto"/>
        <w:rPr>
          <w:b/>
          <w:i/>
          <w:lang w:val="en-US"/>
        </w:rPr>
      </w:pPr>
      <w:r>
        <w:rPr>
          <w:b/>
          <w:i/>
          <w:lang w:val="en-US"/>
        </w:rPr>
        <w:t>Family socio-demographic background</w:t>
      </w:r>
    </w:p>
    <w:p w:rsidR="00E81801" w:rsidRDefault="00E81801" w:rsidP="00DE7C95">
      <w:pPr>
        <w:spacing w:line="480" w:lineRule="auto"/>
        <w:ind w:firstLine="720"/>
      </w:pPr>
      <w:r w:rsidRPr="00FA7CB6">
        <w:rPr>
          <w:b/>
          <w:i/>
        </w:rPr>
        <w:t>Family living standards (0-10 years).</w:t>
      </w:r>
      <w:r w:rsidRPr="00FA7CB6">
        <w:t xml:space="preserve">  At each year a global assessment of the material living standards of the family was obtained via interviewer rating.  Ratings were made on a five point scale that ranged from “very good” to “very poor”.  These ratings were averaged over the 10 year period to give a measure of typical family living standards during this period.</w:t>
      </w:r>
    </w:p>
    <w:p w:rsidR="00E81801" w:rsidRDefault="00E81801" w:rsidP="00DE7C95">
      <w:pPr>
        <w:spacing w:line="480" w:lineRule="auto"/>
      </w:pPr>
    </w:p>
    <w:p w:rsidR="00E81801" w:rsidRDefault="00E81801" w:rsidP="00DE7C95">
      <w:pPr>
        <w:spacing w:line="480" w:lineRule="auto"/>
        <w:rPr>
          <w:b/>
          <w:i/>
        </w:rPr>
      </w:pPr>
      <w:r>
        <w:rPr>
          <w:b/>
          <w:i/>
        </w:rPr>
        <w:t>Family functioning factors in childhood</w:t>
      </w:r>
    </w:p>
    <w:p w:rsidR="00E81801" w:rsidRDefault="00E81801" w:rsidP="00DE7C95">
      <w:pPr>
        <w:spacing w:line="480" w:lineRule="auto"/>
        <w:ind w:firstLine="720"/>
        <w:rPr>
          <w:lang w:val="en-GB"/>
        </w:rPr>
      </w:pPr>
      <w:r w:rsidRPr="00FA7CB6">
        <w:rPr>
          <w:b/>
          <w:i/>
        </w:rPr>
        <w:t xml:space="preserve">Changes of parents </w:t>
      </w:r>
      <w:r>
        <w:rPr>
          <w:b/>
          <w:i/>
        </w:rPr>
        <w:t>(</w:t>
      </w:r>
      <w:r w:rsidRPr="00FA7CB6">
        <w:rPr>
          <w:b/>
          <w:i/>
        </w:rPr>
        <w:t>to age 15</w:t>
      </w:r>
      <w:r>
        <w:rPr>
          <w:b/>
          <w:i/>
        </w:rPr>
        <w:t>)</w:t>
      </w:r>
      <w:r w:rsidRPr="00FA7CB6">
        <w:rPr>
          <w:b/>
          <w:i/>
        </w:rPr>
        <w:t>.</w:t>
      </w:r>
      <w:r w:rsidRPr="00FA7CB6">
        <w:rPr>
          <w:i/>
        </w:rPr>
        <w:t xml:space="preserve">  </w:t>
      </w:r>
      <w:r w:rsidRPr="00FA7CB6">
        <w:rPr>
          <w:lang w:val="en-GB"/>
        </w:rPr>
        <w:t xml:space="preserve">As part of the study data on changes of parents were collected at annual </w:t>
      </w:r>
      <w:proofErr w:type="gramStart"/>
      <w:r w:rsidRPr="00FA7CB6">
        <w:rPr>
          <w:lang w:val="en-GB"/>
        </w:rPr>
        <w:t xml:space="preserve">intervals  </w:t>
      </w:r>
      <w:r>
        <w:rPr>
          <w:noProof/>
          <w:lang w:val="en-GB"/>
        </w:rPr>
        <w:t>(</w:t>
      </w:r>
      <w:proofErr w:type="gramEnd"/>
      <w:r>
        <w:rPr>
          <w:noProof/>
          <w:lang w:val="en-GB"/>
        </w:rPr>
        <w:t>Fergusson, Horwood, &amp; Lynskey, 1994)</w:t>
      </w:r>
      <w:r w:rsidRPr="00FA7CB6">
        <w:rPr>
          <w:lang w:val="en-GB"/>
        </w:rPr>
        <w:t xml:space="preserve">.  These data were used to construct a measure of the number of changes of parent figures during the interval from birth to the age of 15 years, including changes due to parental separation/divorce, reconciliation, remarriage, death, and other changes of custodial parents. </w:t>
      </w:r>
    </w:p>
    <w:p w:rsidR="00E81801" w:rsidRDefault="00E81801" w:rsidP="00015E24">
      <w:pPr>
        <w:spacing w:line="480" w:lineRule="auto"/>
        <w:ind w:firstLine="720"/>
      </w:pPr>
      <w:r w:rsidRPr="00CD209F">
        <w:rPr>
          <w:b/>
          <w:i/>
        </w:rPr>
        <w:lastRenderedPageBreak/>
        <w:t>Parental intimate partner violence (IPV).</w:t>
      </w:r>
      <w:r w:rsidRPr="00A36245">
        <w:rPr>
          <w:i/>
        </w:rPr>
        <w:t xml:space="preserve">  </w:t>
      </w:r>
      <w:r w:rsidRPr="00A36245">
        <w:t xml:space="preserve">At the age of 18, sample members were questioned concerning their experience of violence </w:t>
      </w:r>
      <w:r>
        <w:t xml:space="preserve">between parental figures </w:t>
      </w:r>
      <w:r w:rsidRPr="00A36245">
        <w:t>during their childhood (prior to age 16 years)</w:t>
      </w:r>
      <w:r>
        <w:t xml:space="preserve">, with questions derived from </w:t>
      </w:r>
      <w:r w:rsidRPr="00A36245">
        <w:t xml:space="preserve">Conflict Tactics Scale </w:t>
      </w:r>
      <w:r>
        <w:rPr>
          <w:noProof/>
        </w:rPr>
        <w:t>(CTS</w:t>
      </w:r>
      <w:r w:rsidR="006D1AFA">
        <w:rPr>
          <w:noProof/>
        </w:rPr>
        <w:t>;</w:t>
      </w:r>
      <w:r>
        <w:rPr>
          <w:noProof/>
        </w:rPr>
        <w:t xml:space="preserve"> Straus, 1979)</w:t>
      </w:r>
      <w:r w:rsidRPr="00A36245">
        <w:t xml:space="preserve">.  The items were chosen on the basis that the </w:t>
      </w:r>
      <w:proofErr w:type="spellStart"/>
      <w:r w:rsidRPr="00A36245">
        <w:t>behaviors</w:t>
      </w:r>
      <w:proofErr w:type="spellEnd"/>
      <w:r w:rsidRPr="00A36245">
        <w:t xml:space="preserve"> could have been readily observed and reported on by the participant, and also to span the potential range of violent </w:t>
      </w:r>
      <w:proofErr w:type="spellStart"/>
      <w:r w:rsidRPr="00A36245">
        <w:t>behavior</w:t>
      </w:r>
      <w:proofErr w:type="spellEnd"/>
      <w:r w:rsidRPr="00A36245">
        <w:t xml:space="preserve"> from verbal abuse to physical assault.  Separate questioning was conducted for violence initiated by the father against the mother and for violence initiated by the mother against the father, and combined into a single scale score representing overall exposure across both parents.</w:t>
      </w:r>
    </w:p>
    <w:p w:rsidR="00E81801" w:rsidRDefault="00E81801" w:rsidP="00DE7C95">
      <w:pPr>
        <w:spacing w:line="480" w:lineRule="auto"/>
        <w:ind w:firstLine="720"/>
        <w:rPr>
          <w:i/>
        </w:rPr>
      </w:pPr>
      <w:r w:rsidRPr="00E31C64">
        <w:rPr>
          <w:b/>
          <w:i/>
        </w:rPr>
        <w:t>Parental history of alcohol problems.</w:t>
      </w:r>
      <w:r>
        <w:rPr>
          <w:i/>
        </w:rPr>
        <w:t xml:space="preserve">  </w:t>
      </w:r>
      <w:r w:rsidRPr="00A36245">
        <w:t>At the 15 year assessment, the parents of cohort members were questioned concerning their history of alcoholism or alcohol problems.  On the basis of this questioning 11.9% of the sample were classified as having a parental history of alcoholism/alcohol problems</w:t>
      </w:r>
      <w:r>
        <w:t>.</w:t>
      </w:r>
    </w:p>
    <w:p w:rsidR="00E81801" w:rsidRDefault="00E81801" w:rsidP="005D4910">
      <w:pPr>
        <w:spacing w:line="480" w:lineRule="auto"/>
      </w:pPr>
      <w:r>
        <w:rPr>
          <w:i/>
        </w:rPr>
        <w:tab/>
      </w:r>
      <w:r w:rsidRPr="00E31C64">
        <w:rPr>
          <w:b/>
          <w:i/>
        </w:rPr>
        <w:t>Parental history of criminal offending.</w:t>
      </w:r>
      <w:r>
        <w:t xml:space="preserve">  When participants were aged 15 years, parents were questioned about their involvement in criminal offending. Participants were classified as having a parental history of criminal offending if any parent reported a history of criminal offending (12.4% of the cohort).</w:t>
      </w:r>
    </w:p>
    <w:p w:rsidR="00E81801" w:rsidRDefault="00E81801" w:rsidP="00DE7C95">
      <w:pPr>
        <w:spacing w:line="480" w:lineRule="auto"/>
        <w:ind w:firstLine="720"/>
      </w:pPr>
      <w:r w:rsidRPr="00E31C64">
        <w:rPr>
          <w:b/>
          <w:i/>
        </w:rPr>
        <w:t>Parental history of illicit substance use.</w:t>
      </w:r>
      <w:r>
        <w:rPr>
          <w:i/>
        </w:rPr>
        <w:t xml:space="preserve">  </w:t>
      </w:r>
      <w:r w:rsidRPr="00B870B9">
        <w:t>When sample members were aged 11 their parents were questioned about parental usage of illicit drugs including cannabis.  On the basis of this questioning 27.5% of the sample were classified as having parents who used cannabis or other illicit drugs.</w:t>
      </w:r>
    </w:p>
    <w:p w:rsidR="00E81801" w:rsidRDefault="00E81801" w:rsidP="00DE7C95">
      <w:pPr>
        <w:pStyle w:val="Heading2"/>
        <w:ind w:firstLine="720"/>
        <w:rPr>
          <w:rFonts w:asciiTheme="minorHAnsi" w:hAnsiTheme="minorHAnsi"/>
          <w:b w:val="0"/>
          <w:sz w:val="22"/>
          <w:szCs w:val="22"/>
        </w:rPr>
      </w:pPr>
      <w:bookmarkStart w:id="0" w:name="_Toc90284965"/>
      <w:r w:rsidRPr="00B30767">
        <w:rPr>
          <w:rFonts w:asciiTheme="minorHAnsi" w:hAnsiTheme="minorHAnsi"/>
          <w:i/>
          <w:sz w:val="22"/>
          <w:szCs w:val="22"/>
        </w:rPr>
        <w:t>Parental Bonding (Maternal and Paternal Care and Protection</w:t>
      </w:r>
      <w:proofErr w:type="gramStart"/>
      <w:r w:rsidRPr="00B30767">
        <w:rPr>
          <w:rFonts w:asciiTheme="minorHAnsi" w:hAnsiTheme="minorHAnsi"/>
          <w:i/>
          <w:sz w:val="22"/>
          <w:szCs w:val="22"/>
        </w:rPr>
        <w:t>)</w:t>
      </w:r>
      <w:bookmarkEnd w:id="0"/>
      <w:r w:rsidRPr="00B30767">
        <w:rPr>
          <w:rFonts w:asciiTheme="minorHAnsi" w:hAnsiTheme="minorHAnsi"/>
          <w:i/>
          <w:sz w:val="22"/>
          <w:szCs w:val="22"/>
        </w:rPr>
        <w:t xml:space="preserve"> </w:t>
      </w:r>
      <w:r>
        <w:rPr>
          <w:rFonts w:asciiTheme="minorHAnsi" w:hAnsiTheme="minorHAnsi"/>
          <w:i/>
          <w:sz w:val="22"/>
          <w:szCs w:val="22"/>
        </w:rPr>
        <w:t>.</w:t>
      </w:r>
      <w:proofErr w:type="gramEnd"/>
      <w:r>
        <w:rPr>
          <w:rFonts w:asciiTheme="minorHAnsi" w:hAnsiTheme="minorHAnsi"/>
          <w:i/>
          <w:sz w:val="22"/>
          <w:szCs w:val="22"/>
        </w:rPr>
        <w:t xml:space="preserve">  </w:t>
      </w:r>
      <w:r w:rsidRPr="00B30767">
        <w:rPr>
          <w:rFonts w:asciiTheme="minorHAnsi" w:hAnsiTheme="minorHAnsi"/>
          <w:b w:val="0"/>
          <w:sz w:val="22"/>
          <w:szCs w:val="22"/>
        </w:rPr>
        <w:t xml:space="preserve">To measure parental bonding, the maternal care and protection scales of the Parental Bonding Instrument (PBI; Parker, </w:t>
      </w:r>
      <w:proofErr w:type="spellStart"/>
      <w:r w:rsidRPr="00B30767">
        <w:rPr>
          <w:rFonts w:asciiTheme="minorHAnsi" w:hAnsiTheme="minorHAnsi"/>
          <w:b w:val="0"/>
          <w:sz w:val="22"/>
          <w:szCs w:val="22"/>
        </w:rPr>
        <w:t>Tupling</w:t>
      </w:r>
      <w:proofErr w:type="spellEnd"/>
      <w:r w:rsidRPr="00B30767">
        <w:rPr>
          <w:rFonts w:asciiTheme="minorHAnsi" w:hAnsiTheme="minorHAnsi"/>
          <w:b w:val="0"/>
          <w:sz w:val="22"/>
          <w:szCs w:val="22"/>
        </w:rPr>
        <w:t xml:space="preserve"> &amp; Brown, 1979) were administered to the </w:t>
      </w:r>
      <w:r>
        <w:rPr>
          <w:rFonts w:asciiTheme="minorHAnsi" w:hAnsiTheme="minorHAnsi"/>
          <w:b w:val="0"/>
          <w:sz w:val="22"/>
          <w:szCs w:val="22"/>
        </w:rPr>
        <w:t>cohort members</w:t>
      </w:r>
      <w:r w:rsidRPr="00B30767">
        <w:rPr>
          <w:rFonts w:asciiTheme="minorHAnsi" w:hAnsiTheme="minorHAnsi"/>
          <w:b w:val="0"/>
          <w:sz w:val="22"/>
          <w:szCs w:val="22"/>
        </w:rPr>
        <w:t xml:space="preserve"> at the age of 16 years.  The young person was </w:t>
      </w:r>
      <w:r w:rsidRPr="00B30767">
        <w:rPr>
          <w:rFonts w:asciiTheme="minorHAnsi" w:hAnsiTheme="minorHAnsi"/>
          <w:b w:val="0"/>
          <w:sz w:val="22"/>
          <w:szCs w:val="22"/>
        </w:rPr>
        <w:lastRenderedPageBreak/>
        <w:t xml:space="preserve">asked to rate her mother on the PBI items describing the quality of maternal care and protection throughout their childhood. The care scale measures the extent to which the parents provide support, affection and nurturing with a high score indicating high levels of care.  The protection scale measures the extent to which parents exhibit tendencies to over protection or over </w:t>
      </w:r>
      <w:r w:rsidRPr="00E31C64">
        <w:rPr>
          <w:rFonts w:asciiTheme="minorHAnsi" w:hAnsiTheme="minorHAnsi"/>
          <w:b w:val="0"/>
          <w:sz w:val="22"/>
          <w:szCs w:val="22"/>
        </w:rPr>
        <w:t>control with a high score indicating tendencies to over control.  The reliabilities of the resulting scale scores were assessed using coefficient alpha and found to be good: maternal care α = .89; paternal care α = .91; maternal over protection α = .85; paternal over protection α = .87.</w:t>
      </w:r>
    </w:p>
    <w:p w:rsidR="00E81801" w:rsidRDefault="00E81801" w:rsidP="00DE7C95">
      <w:pPr>
        <w:spacing w:line="480" w:lineRule="auto"/>
        <w:rPr>
          <w:lang w:val="en-US" w:eastAsia="en-GB"/>
        </w:rPr>
      </w:pPr>
    </w:p>
    <w:p w:rsidR="00E81801" w:rsidRPr="009B7F91" w:rsidRDefault="00E81801" w:rsidP="009B7F91">
      <w:pPr>
        <w:spacing w:line="480" w:lineRule="auto"/>
        <w:rPr>
          <w:b/>
          <w:i/>
        </w:rPr>
      </w:pPr>
      <w:r w:rsidRPr="009B7F91">
        <w:rPr>
          <w:b/>
          <w:i/>
        </w:rPr>
        <w:t>Child abuse</w:t>
      </w:r>
    </w:p>
    <w:p w:rsidR="00E81801" w:rsidRPr="00D44850" w:rsidRDefault="00E81801" w:rsidP="009B7F91">
      <w:pPr>
        <w:spacing w:line="480" w:lineRule="auto"/>
        <w:ind w:firstLine="720"/>
      </w:pPr>
      <w:r w:rsidRPr="00015E24">
        <w:rPr>
          <w:b/>
          <w:i/>
        </w:rPr>
        <w:t>Childhood sexual abuse.</w:t>
      </w:r>
      <w:r w:rsidRPr="00D44850">
        <w:rPr>
          <w:i/>
        </w:rPr>
        <w:t xml:space="preserve">  </w:t>
      </w:r>
      <w:r w:rsidRPr="00D44850">
        <w:t xml:space="preserve">At ages 18 and 21 years sample members were questioned about their experience of sexual abuse during childhood (&lt;16 years) </w:t>
      </w:r>
      <w:r>
        <w:rPr>
          <w:noProof/>
        </w:rPr>
        <w:t>(Fergusson, Horwood, &amp; Woodward, 2000; Fergusson, Lynskey, &amp; Horwood, 1996)</w:t>
      </w:r>
      <w:r w:rsidRPr="00D44850">
        <w:t>.  Questioning spanned an array of abusive experiences from episodes involving non-contact abuse (e.g. indecent exposure) to episodes involving attempted or completed intercourse.  Sample members who reported an abusive episode were then questioned further about the nature and context of the abuse.  Using this information a 4-level scale was devised reflecting the most extreme form of sexual abuse reported by the young person at either age.  This classification was: no sexual abuse; non-contact abuse only; contact sexual abuse not involving attempted or completed intercourse; attempted/completed oral, anal, or vaginal intercourse.</w:t>
      </w:r>
    </w:p>
    <w:p w:rsidR="00E81801" w:rsidRPr="00D44850" w:rsidRDefault="00E81801" w:rsidP="009B7F91">
      <w:pPr>
        <w:spacing w:line="480" w:lineRule="auto"/>
        <w:ind w:firstLine="720"/>
      </w:pPr>
      <w:r w:rsidRPr="00015E24">
        <w:rPr>
          <w:b/>
          <w:i/>
        </w:rPr>
        <w:t>Parental use of physical punishment (childhood physical abuse).</w:t>
      </w:r>
      <w:r w:rsidRPr="00D44850">
        <w:rPr>
          <w:i/>
        </w:rPr>
        <w:t xml:space="preserve"> </w:t>
      </w:r>
      <w:r w:rsidRPr="00D44850">
        <w:t xml:space="preserve">At ages 18 and 21 sample members were asked to describe the extent to which their parents used physical punishment during childhood </w:t>
      </w:r>
      <w:r>
        <w:rPr>
          <w:noProof/>
        </w:rPr>
        <w:t>(Fergusson et al., 2000; Fergusson &amp; Lynskey, 1997)</w:t>
      </w:r>
      <w:r w:rsidRPr="00D44850">
        <w:t xml:space="preserve">.  Separate questioning was conducted for mothers and fathers.  This information was used to create a 4-level scale reflecting the most severe form of physical punishment reported for either parent: parents never used physical punishment; parents </w:t>
      </w:r>
      <w:r w:rsidRPr="00D44850">
        <w:lastRenderedPageBreak/>
        <w:t xml:space="preserve">rarely used physical punishment; at least one parent used physical punishment on a regular basis; at least one parent used physical punishment too often or too severely, or treated the respondent in a harsh or abusive manner.  </w:t>
      </w:r>
    </w:p>
    <w:p w:rsidR="00E81801" w:rsidRDefault="00E81801" w:rsidP="009B7F91">
      <w:pPr>
        <w:spacing w:line="480" w:lineRule="auto"/>
        <w:rPr>
          <w:lang w:val="en-US" w:eastAsia="en-GB"/>
        </w:rPr>
      </w:pPr>
    </w:p>
    <w:p w:rsidR="00E81801" w:rsidRPr="005D4910" w:rsidRDefault="00E81801" w:rsidP="00DE7C95">
      <w:pPr>
        <w:spacing w:line="480" w:lineRule="auto"/>
        <w:rPr>
          <w:b/>
          <w:i/>
          <w:lang w:val="en-US" w:eastAsia="en-GB"/>
        </w:rPr>
      </w:pPr>
      <w:r w:rsidRPr="005D4910">
        <w:rPr>
          <w:b/>
          <w:i/>
          <w:lang w:val="en-US" w:eastAsia="en-GB"/>
        </w:rPr>
        <w:t>Individual factors</w:t>
      </w:r>
    </w:p>
    <w:p w:rsidR="00E81801" w:rsidRDefault="00E81801" w:rsidP="00DE7C95">
      <w:pPr>
        <w:spacing w:line="480" w:lineRule="auto"/>
        <w:rPr>
          <w:lang w:val="en-US" w:eastAsia="en-GB"/>
        </w:rPr>
      </w:pPr>
      <w:r>
        <w:rPr>
          <w:b/>
          <w:lang w:val="en-US" w:eastAsia="en-GB"/>
        </w:rPr>
        <w:tab/>
      </w:r>
      <w:r>
        <w:rPr>
          <w:b/>
          <w:i/>
          <w:lang w:val="en-US" w:eastAsia="en-GB"/>
        </w:rPr>
        <w:t xml:space="preserve">Sex.  </w:t>
      </w:r>
      <w:r>
        <w:rPr>
          <w:lang w:val="en-US" w:eastAsia="en-GB"/>
        </w:rPr>
        <w:t>Recorded at birth.</w:t>
      </w:r>
    </w:p>
    <w:p w:rsidR="00E81801" w:rsidRDefault="00E81801" w:rsidP="00DE7C95">
      <w:pPr>
        <w:spacing w:line="480" w:lineRule="auto"/>
        <w:ind w:firstLine="720"/>
        <w:rPr>
          <w:i/>
        </w:rPr>
      </w:pPr>
      <w:r w:rsidRPr="00E31C64">
        <w:rPr>
          <w:b/>
          <w:i/>
        </w:rPr>
        <w:t xml:space="preserve">Child </w:t>
      </w:r>
      <w:proofErr w:type="spellStart"/>
      <w:r w:rsidRPr="00E31C64">
        <w:rPr>
          <w:b/>
          <w:i/>
        </w:rPr>
        <w:t>behavior</w:t>
      </w:r>
      <w:proofErr w:type="spellEnd"/>
      <w:r w:rsidRPr="00E31C64">
        <w:rPr>
          <w:b/>
          <w:i/>
        </w:rPr>
        <w:t xml:space="preserve"> problems (</w:t>
      </w:r>
      <w:proofErr w:type="gramStart"/>
      <w:r w:rsidRPr="00E31C64">
        <w:rPr>
          <w:b/>
          <w:i/>
        </w:rPr>
        <w:t>ages</w:t>
      </w:r>
      <w:proofErr w:type="gramEnd"/>
      <w:r w:rsidRPr="00E31C64">
        <w:rPr>
          <w:b/>
          <w:i/>
        </w:rPr>
        <w:t xml:space="preserve"> 7-9; conduct</w:t>
      </w:r>
      <w:r>
        <w:rPr>
          <w:b/>
          <w:i/>
        </w:rPr>
        <w:t xml:space="preserve"> and </w:t>
      </w:r>
      <w:r w:rsidRPr="00E31C64">
        <w:rPr>
          <w:b/>
          <w:i/>
        </w:rPr>
        <w:t>attention</w:t>
      </w:r>
      <w:r>
        <w:rPr>
          <w:b/>
          <w:i/>
        </w:rPr>
        <w:t xml:space="preserve"> </w:t>
      </w:r>
      <w:r w:rsidRPr="00E31C64">
        <w:rPr>
          <w:b/>
          <w:i/>
        </w:rPr>
        <w:t>problems)</w:t>
      </w:r>
      <w:r>
        <w:rPr>
          <w:b/>
          <w:i/>
        </w:rPr>
        <w:t>.</w:t>
      </w:r>
      <w:r>
        <w:rPr>
          <w:i/>
        </w:rPr>
        <w:t xml:space="preserve"> </w:t>
      </w:r>
      <w:r>
        <w:t xml:space="preserve">When sample members were aged 7, 8, and 9 years, information on child </w:t>
      </w:r>
      <w:proofErr w:type="spellStart"/>
      <w:r>
        <w:t>behavior</w:t>
      </w:r>
      <w:proofErr w:type="spellEnd"/>
      <w:r>
        <w:t xml:space="preserve"> problems was obtained from parental and teacher report.  Parental reports were obtained from an interview with the child’s mother using a </w:t>
      </w:r>
      <w:proofErr w:type="spellStart"/>
      <w:r>
        <w:t>behavior</w:t>
      </w:r>
      <w:proofErr w:type="spellEnd"/>
      <w:r>
        <w:t xml:space="preserve"> questionnaire that combined items from the Rutter </w:t>
      </w:r>
      <w:r>
        <w:rPr>
          <w:noProof/>
        </w:rPr>
        <w:t>(1970)</w:t>
      </w:r>
      <w:r>
        <w:t xml:space="preserve"> and </w:t>
      </w:r>
      <w:proofErr w:type="spellStart"/>
      <w:r>
        <w:t>Conners</w:t>
      </w:r>
      <w:proofErr w:type="spellEnd"/>
      <w:r>
        <w:t xml:space="preserve"> </w:t>
      </w:r>
      <w:r>
        <w:rPr>
          <w:noProof/>
        </w:rPr>
        <w:t>(1970)</w:t>
      </w:r>
      <w:r>
        <w:t xml:space="preserve"> parental questionnaires.  Parallel to the maternal report, the child’s class teacher was asked to complete a combined version of the Rutter </w:t>
      </w:r>
      <w:r>
        <w:rPr>
          <w:noProof/>
        </w:rPr>
        <w:t>(1970)</w:t>
      </w:r>
      <w:r>
        <w:t xml:space="preserve"> and </w:t>
      </w:r>
      <w:proofErr w:type="spellStart"/>
      <w:r>
        <w:t>Conners</w:t>
      </w:r>
      <w:proofErr w:type="spellEnd"/>
      <w:r>
        <w:t xml:space="preserve"> </w:t>
      </w:r>
      <w:r>
        <w:rPr>
          <w:noProof/>
        </w:rPr>
        <w:t>(1969)</w:t>
      </w:r>
      <w:r>
        <w:t xml:space="preserve"> teacher questionnaires.  Factor analysis of the item-level report data showed that it was possible to select items from these reports that formed </w:t>
      </w:r>
      <w:proofErr w:type="spellStart"/>
      <w:r>
        <w:t>uni</w:t>
      </w:r>
      <w:proofErr w:type="spellEnd"/>
      <w:r>
        <w:t xml:space="preserve">-dimensional scales reflecting the extent of parent-reported and teacher reported </w:t>
      </w:r>
      <w:proofErr w:type="spellStart"/>
      <w:r>
        <w:t>behavior</w:t>
      </w:r>
      <w:proofErr w:type="spellEnd"/>
      <w:r>
        <w:t xml:space="preserve"> problems in two domains of </w:t>
      </w:r>
      <w:proofErr w:type="spellStart"/>
      <w:r>
        <w:t>behavior</w:t>
      </w:r>
      <w:proofErr w:type="spellEnd"/>
      <w:r>
        <w:t xml:space="preserve"> </w:t>
      </w:r>
      <w:r>
        <w:rPr>
          <w:noProof/>
        </w:rPr>
        <w:t>(Fergusson &amp; Horwood, 1993; Fergusson, Horwood, &amp; Lloyd, 1991)</w:t>
      </w:r>
      <w:r>
        <w:t xml:space="preserve">: a) conduct problems: the extent to which the child exhibited aggressive, oppositional, and conduct disordered </w:t>
      </w:r>
      <w:proofErr w:type="spellStart"/>
      <w:r>
        <w:t>behaviors</w:t>
      </w:r>
      <w:proofErr w:type="spellEnd"/>
      <w:r>
        <w:t xml:space="preserve">; and b) attentional problems: the extent to which the child exhibited restless, inattentive, or hyperactive </w:t>
      </w:r>
      <w:proofErr w:type="spellStart"/>
      <w:r>
        <w:t>behaviors</w:t>
      </w:r>
      <w:proofErr w:type="spellEnd"/>
      <w:r>
        <w:t xml:space="preserve">.  For the purposes of the present analysis, the parent and teacher reports were summed for each domain and the resulting scores averaged over the three year period to produce two scale score measures reflecting the extent of the child’s tendencies to conduct problems and attentional problems at ages 7-9.  The alpha reliabilities of these </w:t>
      </w:r>
      <w:proofErr w:type="spellStart"/>
      <w:r>
        <w:t>scales</w:t>
      </w:r>
      <w:proofErr w:type="spellEnd"/>
      <w:r>
        <w:t xml:space="preserve"> were .97 and .93, respectively.</w:t>
      </w:r>
      <w:r>
        <w:rPr>
          <w:i/>
        </w:rPr>
        <w:tab/>
      </w:r>
    </w:p>
    <w:p w:rsidR="00E81801" w:rsidRDefault="00E81801" w:rsidP="00DE7C95">
      <w:pPr>
        <w:spacing w:line="480" w:lineRule="auto"/>
        <w:ind w:firstLine="720"/>
        <w:rPr>
          <w:b/>
          <w:i/>
        </w:rPr>
      </w:pPr>
    </w:p>
    <w:p w:rsidR="00E81801" w:rsidRDefault="00E81801" w:rsidP="005E7FE1">
      <w:pPr>
        <w:spacing w:line="480" w:lineRule="auto"/>
        <w:rPr>
          <w:b/>
          <w:i/>
        </w:rPr>
      </w:pPr>
      <w:r>
        <w:rPr>
          <w:b/>
          <w:i/>
        </w:rPr>
        <w:lastRenderedPageBreak/>
        <w:t>Adolescent adjustment</w:t>
      </w:r>
    </w:p>
    <w:p w:rsidR="00E81801" w:rsidRDefault="00E81801" w:rsidP="0040745C">
      <w:pPr>
        <w:spacing w:line="480" w:lineRule="auto"/>
        <w:ind w:firstLine="720"/>
        <w:rPr>
          <w:lang w:val="en-US" w:eastAsia="en-GB"/>
        </w:rPr>
      </w:pPr>
      <w:r w:rsidRPr="0040745C">
        <w:rPr>
          <w:b/>
          <w:i/>
          <w:lang w:val="en-US" w:eastAsia="en-GB"/>
        </w:rPr>
        <w:t>Self-esteem (age 15)</w:t>
      </w:r>
      <w:r w:rsidRPr="0040745C">
        <w:rPr>
          <w:i/>
          <w:lang w:val="en-US" w:eastAsia="en-GB"/>
        </w:rPr>
        <w:t>.</w:t>
      </w:r>
      <w:r w:rsidRPr="0040745C">
        <w:rPr>
          <w:lang w:val="en-US" w:eastAsia="en-GB"/>
        </w:rPr>
        <w:t xml:space="preserve"> Self-esteem was assessed at age 15 using the global measure from the </w:t>
      </w:r>
      <w:proofErr w:type="spellStart"/>
      <w:r w:rsidRPr="0040745C">
        <w:rPr>
          <w:lang w:val="en-US" w:eastAsia="en-GB"/>
        </w:rPr>
        <w:t>Coopersmith</w:t>
      </w:r>
      <w:proofErr w:type="spellEnd"/>
      <w:r w:rsidRPr="0040745C">
        <w:rPr>
          <w:lang w:val="en-US" w:eastAsia="en-GB"/>
        </w:rPr>
        <w:t xml:space="preserve"> Self Esteem Inventory </w:t>
      </w:r>
      <w:r>
        <w:rPr>
          <w:noProof/>
          <w:lang w:val="en-US" w:eastAsia="en-GB"/>
        </w:rPr>
        <w:t>(1981)</w:t>
      </w:r>
      <w:r w:rsidRPr="0040745C">
        <w:rPr>
          <w:lang w:val="en-US" w:eastAsia="en-GB"/>
        </w:rPr>
        <w:t>.  The overall measure of self-esteem was generated by summing of the four subscale scores (general, academic, social, and home).  The full scale score used in these analyses was found to be internally consistent (</w:t>
      </w:r>
      <w:r w:rsidRPr="0040745C">
        <w:rPr>
          <w:lang w:val="en-US" w:eastAsia="en-GB"/>
        </w:rPr>
        <w:t> = 0.87).</w:t>
      </w:r>
    </w:p>
    <w:p w:rsidR="00E81801" w:rsidRDefault="00E81801" w:rsidP="0040745C">
      <w:pPr>
        <w:pStyle w:val="Heading2"/>
        <w:ind w:firstLine="720"/>
        <w:rPr>
          <w:rFonts w:asciiTheme="minorHAnsi" w:hAnsiTheme="minorHAnsi"/>
          <w:b w:val="0"/>
          <w:sz w:val="22"/>
          <w:szCs w:val="22"/>
        </w:rPr>
      </w:pPr>
      <w:bookmarkStart w:id="1" w:name="_Toc90284993"/>
      <w:r w:rsidRPr="00A57E79">
        <w:rPr>
          <w:rFonts w:asciiTheme="minorHAnsi" w:hAnsiTheme="minorHAnsi"/>
          <w:i/>
          <w:sz w:val="22"/>
          <w:szCs w:val="22"/>
        </w:rPr>
        <w:t xml:space="preserve">Novelty </w:t>
      </w:r>
      <w:proofErr w:type="gramStart"/>
      <w:r w:rsidRPr="00A57E79">
        <w:rPr>
          <w:rFonts w:asciiTheme="minorHAnsi" w:hAnsiTheme="minorHAnsi"/>
          <w:i/>
          <w:sz w:val="22"/>
          <w:szCs w:val="22"/>
        </w:rPr>
        <w:t>Seeking</w:t>
      </w:r>
      <w:proofErr w:type="gramEnd"/>
      <w:r w:rsidRPr="00A57E79">
        <w:rPr>
          <w:rFonts w:asciiTheme="minorHAnsi" w:hAnsiTheme="minorHAnsi"/>
          <w:i/>
          <w:sz w:val="22"/>
          <w:szCs w:val="22"/>
        </w:rPr>
        <w:t xml:space="preserve"> (</w:t>
      </w:r>
      <w:r>
        <w:rPr>
          <w:rFonts w:asciiTheme="minorHAnsi" w:hAnsiTheme="minorHAnsi"/>
          <w:i/>
          <w:sz w:val="22"/>
          <w:szCs w:val="22"/>
        </w:rPr>
        <w:t>age 16</w:t>
      </w:r>
      <w:r w:rsidRPr="00A57E79">
        <w:rPr>
          <w:rFonts w:asciiTheme="minorHAnsi" w:hAnsiTheme="minorHAnsi"/>
          <w:i/>
          <w:sz w:val="22"/>
          <w:szCs w:val="22"/>
        </w:rPr>
        <w:t>)</w:t>
      </w:r>
      <w:bookmarkEnd w:id="1"/>
      <w:r>
        <w:rPr>
          <w:rFonts w:asciiTheme="minorHAnsi" w:hAnsiTheme="minorHAnsi"/>
          <w:i/>
          <w:sz w:val="22"/>
          <w:szCs w:val="22"/>
        </w:rPr>
        <w:t xml:space="preserve">.  </w:t>
      </w:r>
      <w:r w:rsidRPr="00A57E79">
        <w:rPr>
          <w:rFonts w:asciiTheme="minorHAnsi" w:hAnsiTheme="minorHAnsi"/>
          <w:b w:val="0"/>
          <w:sz w:val="22"/>
          <w:szCs w:val="22"/>
        </w:rPr>
        <w:t>When sample members were aged 16 years they were administered the novelty seeking items of the Tridimensional Personality Questionnaire (</w:t>
      </w:r>
      <w:proofErr w:type="spellStart"/>
      <w:r w:rsidRPr="00A57E79">
        <w:rPr>
          <w:rFonts w:asciiTheme="minorHAnsi" w:hAnsiTheme="minorHAnsi"/>
          <w:b w:val="0"/>
          <w:sz w:val="22"/>
          <w:szCs w:val="22"/>
        </w:rPr>
        <w:t>Cloninger</w:t>
      </w:r>
      <w:proofErr w:type="spellEnd"/>
      <w:r w:rsidRPr="00A57E79">
        <w:rPr>
          <w:rFonts w:asciiTheme="minorHAnsi" w:hAnsiTheme="minorHAnsi"/>
          <w:b w:val="0"/>
          <w:sz w:val="22"/>
          <w:szCs w:val="22"/>
        </w:rPr>
        <w:t>, 1987). Novelty seeking assesses the extent to which the individual is "impulsive, exploratory, excitable, disorderly and distractible" (p. 411). These items were summed to produce an overall novelty seeking measure. The reliability of this scale was assessed using coefficient alpha and found to be moderately good (</w:t>
      </w:r>
      <w:r w:rsidRPr="00A57E79">
        <w:rPr>
          <w:b w:val="0"/>
        </w:rPr>
        <w:t>α</w:t>
      </w:r>
      <w:r w:rsidRPr="00B870B9">
        <w:t xml:space="preserve"> </w:t>
      </w:r>
      <w:r w:rsidRPr="00A57E79">
        <w:rPr>
          <w:rFonts w:asciiTheme="minorHAnsi" w:hAnsiTheme="minorHAnsi"/>
          <w:b w:val="0"/>
          <w:sz w:val="22"/>
          <w:szCs w:val="22"/>
        </w:rPr>
        <w:t>= .76).</w:t>
      </w:r>
    </w:p>
    <w:p w:rsidR="00E81801" w:rsidRPr="0040745C" w:rsidRDefault="00E81801" w:rsidP="0040745C">
      <w:pPr>
        <w:spacing w:line="480" w:lineRule="auto"/>
        <w:ind w:firstLine="720"/>
        <w:rPr>
          <w:lang w:val="en-US" w:eastAsia="en-GB"/>
        </w:rPr>
      </w:pPr>
      <w:r w:rsidRPr="0040745C">
        <w:rPr>
          <w:b/>
          <w:i/>
          <w:lang w:val="en-US" w:eastAsia="en-GB"/>
        </w:rPr>
        <w:t>Conduct disorder (age 14-16).</w:t>
      </w:r>
      <w:r w:rsidRPr="0040745C">
        <w:rPr>
          <w:lang w:val="en-US" w:eastAsia="en-GB"/>
        </w:rPr>
        <w:t xml:space="preserve">  At ages 15 and 16, sample members were interviewed on a comprehensive mental health interview that examined aspects of mental health and adjustment over the previous 12 months. A parallel interview was also conducted with the child’s mother at the same assessment stage.  As part of the assessments information was obtained on DSM-III-R </w:t>
      </w:r>
      <w:r>
        <w:rPr>
          <w:noProof/>
          <w:lang w:val="en-US" w:eastAsia="en-GB"/>
        </w:rPr>
        <w:t>(American Psychiatric Association, 1987)</w:t>
      </w:r>
      <w:r w:rsidRPr="0040745C">
        <w:rPr>
          <w:lang w:val="en-US" w:eastAsia="en-GB"/>
        </w:rPr>
        <w:t xml:space="preserve"> symptom criteria for disruptive childhood </w:t>
      </w:r>
      <w:proofErr w:type="spellStart"/>
      <w:r w:rsidRPr="0040745C">
        <w:rPr>
          <w:lang w:val="en-US" w:eastAsia="en-GB"/>
        </w:rPr>
        <w:t>behaviours</w:t>
      </w:r>
      <w:proofErr w:type="spellEnd"/>
      <w:r w:rsidRPr="0040745C">
        <w:rPr>
          <w:lang w:val="en-US" w:eastAsia="en-GB"/>
        </w:rPr>
        <w:t xml:space="preserve"> over the previous 12 months, including conduct disorder (CD).  For child self-report, CD was assessed using the Self-Report Early Delinquency (SRED) scale </w:t>
      </w:r>
      <w:r>
        <w:rPr>
          <w:noProof/>
          <w:lang w:val="en-US" w:eastAsia="en-GB"/>
        </w:rPr>
        <w:t>(Moffitt &amp; Silva, 1988)</w:t>
      </w:r>
      <w:r w:rsidRPr="0040745C">
        <w:rPr>
          <w:lang w:val="en-US" w:eastAsia="en-GB"/>
        </w:rPr>
        <w:t xml:space="preserve">. For parental reports CD was assessed using a parent version of the SRED.  The observed symptom reports were used to derive a dichotomous measure of whether the cohort member met DSM criteria for conduct disorder on the basis of either self or parent report at age 14-16.   </w:t>
      </w:r>
    </w:p>
    <w:p w:rsidR="00E81801" w:rsidRDefault="00E81801" w:rsidP="00DE7C95">
      <w:pPr>
        <w:spacing w:line="480" w:lineRule="auto"/>
        <w:ind w:firstLine="720"/>
      </w:pPr>
      <w:r w:rsidRPr="00E31C64">
        <w:rPr>
          <w:b/>
          <w:i/>
        </w:rPr>
        <w:t>Adolescent anxiety disorder</w:t>
      </w:r>
      <w:r>
        <w:rPr>
          <w:b/>
          <w:i/>
        </w:rPr>
        <w:t xml:space="preserve"> </w:t>
      </w:r>
      <w:r w:rsidRPr="00E31C64">
        <w:rPr>
          <w:b/>
          <w:i/>
        </w:rPr>
        <w:t>(age 15).</w:t>
      </w:r>
      <w:r>
        <w:rPr>
          <w:i/>
        </w:rPr>
        <w:t xml:space="preserve"> </w:t>
      </w:r>
      <w:r w:rsidRPr="00322C55">
        <w:rPr>
          <w:i/>
        </w:rPr>
        <w:t xml:space="preserve"> </w:t>
      </w:r>
      <w:r w:rsidRPr="00322C55">
        <w:t xml:space="preserve">At age 15 sample members and their parents were interviewed separately concerning the extent of the young person’s </w:t>
      </w:r>
      <w:r>
        <w:t xml:space="preserve">symptoms of </w:t>
      </w:r>
      <w:r w:rsidR="00B111AB">
        <w:t>a</w:t>
      </w:r>
      <w:r>
        <w:t xml:space="preserve">nxiety disorders </w:t>
      </w:r>
      <w:r w:rsidRPr="00322C55">
        <w:t>during the preceding year.  Symptomatology was assessed using items from the self</w:t>
      </w:r>
      <w:r w:rsidR="00FC3CA4">
        <w:t>-</w:t>
      </w:r>
      <w:bookmarkStart w:id="2" w:name="_GoBack"/>
      <w:bookmarkEnd w:id="2"/>
      <w:r w:rsidRPr="00322C55">
        <w:t xml:space="preserve">report and parent </w:t>
      </w:r>
      <w:r w:rsidRPr="00322C55">
        <w:lastRenderedPageBreak/>
        <w:t xml:space="preserve">report forms of the Diagnostic Interview Schedule for Children </w:t>
      </w:r>
      <w:r>
        <w:rPr>
          <w:noProof/>
        </w:rPr>
        <w:t>(Costello, Edelbrock, Kalas, Kessler, &amp; Klaric, 1984)</w:t>
      </w:r>
      <w:r>
        <w:t xml:space="preserve"> </w:t>
      </w:r>
      <w:r w:rsidRPr="00322C55">
        <w:t xml:space="preserve">respectively, supplemented by additional items to assess DSM-III-R criteria.  On the basis of this information, sample members were classified as having </w:t>
      </w:r>
      <w:r>
        <w:t>anxiety disorder d</w:t>
      </w:r>
      <w:r w:rsidRPr="00322C55">
        <w:t xml:space="preserve">uring the </w:t>
      </w:r>
      <w:r>
        <w:t xml:space="preserve">period </w:t>
      </w:r>
      <w:r w:rsidRPr="00322C55">
        <w:t xml:space="preserve">14-15 years if, on the basis of either parent or </w:t>
      </w:r>
      <w:proofErr w:type="spellStart"/>
      <w:r w:rsidRPr="00322C55">
        <w:t>self report</w:t>
      </w:r>
      <w:proofErr w:type="spellEnd"/>
      <w:r w:rsidRPr="00322C55">
        <w:t>, they met DSM-III-R criteria for a</w:t>
      </w:r>
      <w:r w:rsidR="00B111AB">
        <w:t xml:space="preserve">n </w:t>
      </w:r>
      <w:r>
        <w:t>anxiety disorder.</w:t>
      </w:r>
    </w:p>
    <w:p w:rsidR="00E81801" w:rsidRPr="0040745C" w:rsidRDefault="00E81801" w:rsidP="0040745C">
      <w:pPr>
        <w:spacing w:line="480" w:lineRule="auto"/>
        <w:ind w:firstLine="720"/>
        <w:rPr>
          <w:lang w:val="en-US" w:eastAsia="en-GB"/>
        </w:rPr>
      </w:pPr>
      <w:r w:rsidRPr="0040745C">
        <w:rPr>
          <w:b/>
          <w:i/>
          <w:lang w:val="en-US" w:eastAsia="en-GB"/>
        </w:rPr>
        <w:t>Deviant Peer Affiliations (age 15).</w:t>
      </w:r>
      <w:r w:rsidRPr="0040745C">
        <w:rPr>
          <w:lang w:val="en-US" w:eastAsia="en-GB"/>
        </w:rPr>
        <w:t xml:space="preserve">  At age 15 years, sample members were questioned on a series of items relating to patterns of substance use and antisocial </w:t>
      </w:r>
      <w:proofErr w:type="spellStart"/>
      <w:r w:rsidRPr="0040745C">
        <w:rPr>
          <w:lang w:val="en-US" w:eastAsia="en-GB"/>
        </w:rPr>
        <w:t>behaviours</w:t>
      </w:r>
      <w:proofErr w:type="spellEnd"/>
      <w:r w:rsidRPr="0040745C">
        <w:rPr>
          <w:lang w:val="en-US" w:eastAsia="en-GB"/>
        </w:rPr>
        <w:t xml:space="preserve"> amongst their friends. These items assessed the extent to which their friends used alcohol, tobacco, cannabis, truanted or were suspended from school, or broke the law </w:t>
      </w:r>
      <w:r>
        <w:rPr>
          <w:noProof/>
          <w:lang w:val="en-US" w:eastAsia="en-GB"/>
        </w:rPr>
        <w:t>(Fergusson, Woodward, &amp; Horwood, 1999)</w:t>
      </w:r>
      <w:r w:rsidRPr="0040745C">
        <w:rPr>
          <w:lang w:val="en-US" w:eastAsia="en-GB"/>
        </w:rPr>
        <w:t xml:space="preserve">. These items were combined to produce a scale score measure representing the extent of the young person’s reported affiliations with delinquent or substance using peers at age 15. The reliability of this scale, assessed using coefficient alpha, was .77.  </w:t>
      </w:r>
    </w:p>
    <w:p w:rsidR="00E81801" w:rsidRDefault="00E81801" w:rsidP="00DE7C95">
      <w:pPr>
        <w:spacing w:line="480" w:lineRule="auto"/>
        <w:rPr>
          <w:lang w:val="en-US" w:eastAsia="en-GB"/>
        </w:rPr>
      </w:pPr>
    </w:p>
    <w:p w:rsidR="00E81801" w:rsidRPr="001479AB" w:rsidRDefault="00E81801" w:rsidP="001479AB">
      <w:pPr>
        <w:spacing w:line="480" w:lineRule="auto"/>
        <w:rPr>
          <w:b/>
          <w:i/>
        </w:rPr>
      </w:pPr>
      <w:r>
        <w:rPr>
          <w:b/>
          <w:lang w:val="en-US" w:eastAsia="en-GB"/>
        </w:rPr>
        <w:t xml:space="preserve">Time-dynamic covariate factors </w:t>
      </w:r>
      <w:r w:rsidRPr="001479AB">
        <w:rPr>
          <w:b/>
          <w:i/>
        </w:rPr>
        <w:t xml:space="preserve">(ages </w:t>
      </w:r>
      <w:r>
        <w:rPr>
          <w:b/>
          <w:i/>
        </w:rPr>
        <w:t xml:space="preserve">16-18, </w:t>
      </w:r>
      <w:r w:rsidRPr="001479AB">
        <w:rPr>
          <w:b/>
          <w:i/>
        </w:rPr>
        <w:t>18-21, 21-25, 25-30, and 30-35 years)</w:t>
      </w:r>
    </w:p>
    <w:p w:rsidR="00E81801" w:rsidRDefault="00E81801" w:rsidP="00DE7C95">
      <w:pPr>
        <w:spacing w:line="480" w:lineRule="auto"/>
        <w:rPr>
          <w:lang w:val="en-US" w:eastAsia="en-GB"/>
        </w:rPr>
      </w:pPr>
      <w:r>
        <w:rPr>
          <w:lang w:val="en-US" w:eastAsia="en-GB"/>
        </w:rPr>
        <w:t>It could be argued that any associations between methamphetamine use and psychotic symptomatology may in part be mediated by mental health and substance use disorders occurring contemporaneously with psychotic symptomatology.  In addition, life stress may also be regarded as a possible mediator of this association.  In order to examine this issue, a series of measures of mental health and substance use disorder, along with life stress were selected from the study database.  These measures included:</w:t>
      </w:r>
    </w:p>
    <w:p w:rsidR="00E81801" w:rsidRDefault="00E81801" w:rsidP="00DE7C95">
      <w:pPr>
        <w:pStyle w:val="ListParagraph"/>
        <w:spacing w:line="480" w:lineRule="auto"/>
        <w:ind w:left="0" w:firstLine="720"/>
        <w:contextualSpacing w:val="0"/>
        <w:rPr>
          <w:rFonts w:cs="Times New Roman"/>
          <w:lang w:val="en-GB"/>
        </w:rPr>
      </w:pPr>
      <w:r w:rsidRPr="003F1BCC">
        <w:rPr>
          <w:rFonts w:cs="Times New Roman"/>
          <w:b/>
          <w:i/>
          <w:lang w:val="en-GB"/>
        </w:rPr>
        <w:t>Major depression</w:t>
      </w:r>
      <w:r>
        <w:rPr>
          <w:rFonts w:cs="Times New Roman"/>
          <w:b/>
          <w:i/>
          <w:lang w:val="en-GB"/>
        </w:rPr>
        <w:t xml:space="preserve">, </w:t>
      </w:r>
      <w:r w:rsidRPr="003F1BCC">
        <w:rPr>
          <w:rFonts w:cs="Times New Roman"/>
          <w:b/>
          <w:i/>
          <w:lang w:val="en-GB"/>
        </w:rPr>
        <w:t>anxiety disorders</w:t>
      </w:r>
      <w:r>
        <w:rPr>
          <w:rFonts w:cs="Times New Roman"/>
          <w:b/>
          <w:i/>
          <w:lang w:val="en-GB"/>
        </w:rPr>
        <w:t>, alcohol use disorder, frequency of cannabis use</w:t>
      </w:r>
      <w:r w:rsidRPr="003F1BCC">
        <w:rPr>
          <w:rFonts w:cs="Times New Roman"/>
          <w:b/>
          <w:i/>
          <w:lang w:val="en-GB"/>
        </w:rPr>
        <w:t xml:space="preserve">.  </w:t>
      </w:r>
      <w:r w:rsidRPr="00CD3F3B">
        <w:rPr>
          <w:rFonts w:cs="Times New Roman"/>
          <w:lang w:val="en-GB"/>
        </w:rPr>
        <w:t>To control for any possible effects of correlated mental health</w:t>
      </w:r>
      <w:r>
        <w:rPr>
          <w:rFonts w:cs="Times New Roman"/>
          <w:lang w:val="en-GB"/>
        </w:rPr>
        <w:t xml:space="preserve"> and substance use</w:t>
      </w:r>
      <w:r w:rsidRPr="00CD3F3B">
        <w:rPr>
          <w:rFonts w:cs="Times New Roman"/>
          <w:lang w:val="en-GB"/>
        </w:rPr>
        <w:t xml:space="preserve"> disorders, time-dynamic measures of </w:t>
      </w:r>
      <w:r>
        <w:rPr>
          <w:rFonts w:cs="Times New Roman"/>
          <w:lang w:val="en-GB"/>
        </w:rPr>
        <w:t xml:space="preserve">DSM-III-R </w:t>
      </w:r>
      <w:r>
        <w:rPr>
          <w:rFonts w:cs="Times New Roman"/>
          <w:noProof/>
          <w:lang w:val="en-GB"/>
        </w:rPr>
        <w:t>(American Psychiatric Association, 1987)</w:t>
      </w:r>
      <w:r>
        <w:rPr>
          <w:rFonts w:cs="Times New Roman"/>
          <w:lang w:val="en-GB"/>
        </w:rPr>
        <w:t xml:space="preserve"> or </w:t>
      </w:r>
      <w:r w:rsidRPr="00CD3F3B">
        <w:rPr>
          <w:rFonts w:cs="Times New Roman"/>
          <w:lang w:val="en-GB"/>
        </w:rPr>
        <w:t xml:space="preserve">DSM-IV </w:t>
      </w:r>
      <w:r>
        <w:rPr>
          <w:rFonts w:cs="Times New Roman"/>
          <w:noProof/>
          <w:lang w:val="en-GB"/>
        </w:rPr>
        <w:t>(American Psychiatric Association, 1994)</w:t>
      </w:r>
      <w:r w:rsidRPr="00CD3F3B">
        <w:rPr>
          <w:rFonts w:cs="Times New Roman"/>
          <w:lang w:val="en-GB"/>
        </w:rPr>
        <w:t xml:space="preserve"> major depression</w:t>
      </w:r>
      <w:r>
        <w:rPr>
          <w:rFonts w:cs="Times New Roman"/>
          <w:lang w:val="en-GB"/>
        </w:rPr>
        <w:t xml:space="preserve">, </w:t>
      </w:r>
      <w:r w:rsidRPr="00CD3F3B">
        <w:rPr>
          <w:rFonts w:cs="Times New Roman"/>
          <w:lang w:val="en-GB"/>
        </w:rPr>
        <w:t>anxiety disorders</w:t>
      </w:r>
      <w:r>
        <w:rPr>
          <w:rFonts w:cs="Times New Roman"/>
          <w:lang w:val="en-GB"/>
        </w:rPr>
        <w:t>,</w:t>
      </w:r>
      <w:r w:rsidRPr="00CD3F3B">
        <w:rPr>
          <w:rFonts w:cs="Times New Roman"/>
          <w:lang w:val="en-GB"/>
        </w:rPr>
        <w:t xml:space="preserve"> </w:t>
      </w:r>
      <w:r>
        <w:rPr>
          <w:rFonts w:cs="Times New Roman"/>
          <w:lang w:val="en-GB"/>
        </w:rPr>
        <w:t xml:space="preserve">and </w:t>
      </w:r>
      <w:r w:rsidRPr="003F1BCC">
        <w:rPr>
          <w:rFonts w:cs="Times New Roman"/>
          <w:lang w:val="en-GB"/>
        </w:rPr>
        <w:t xml:space="preserve">alcohol use disorder </w:t>
      </w:r>
      <w:r w:rsidRPr="00CD3F3B">
        <w:rPr>
          <w:rFonts w:cs="Times New Roman"/>
          <w:lang w:val="en-GB"/>
        </w:rPr>
        <w:t xml:space="preserve">were used. At ages </w:t>
      </w:r>
      <w:r>
        <w:rPr>
          <w:rFonts w:cs="Times New Roman"/>
          <w:lang w:val="en-GB"/>
        </w:rPr>
        <w:t xml:space="preserve">18, 21, 25, 30, and </w:t>
      </w:r>
      <w:r w:rsidRPr="00CD3F3B">
        <w:rPr>
          <w:rFonts w:cs="Times New Roman"/>
          <w:lang w:val="en-GB"/>
        </w:rPr>
        <w:t xml:space="preserve">35 years, participants were questioned regarding symptoms of </w:t>
      </w:r>
      <w:r>
        <w:rPr>
          <w:rFonts w:cs="Times New Roman"/>
          <w:lang w:val="en-GB"/>
        </w:rPr>
        <w:t xml:space="preserve">the above-named </w:t>
      </w:r>
      <w:r w:rsidRPr="00CD3F3B">
        <w:rPr>
          <w:rFonts w:cs="Times New Roman"/>
          <w:lang w:val="en-GB"/>
        </w:rPr>
        <w:lastRenderedPageBreak/>
        <w:t>disorders</w:t>
      </w:r>
      <w:r>
        <w:rPr>
          <w:rFonts w:cs="Times New Roman"/>
          <w:lang w:val="en-GB"/>
        </w:rPr>
        <w:t xml:space="preserve"> during the period since the previous assessment</w:t>
      </w:r>
      <w:r w:rsidRPr="00CD3F3B">
        <w:rPr>
          <w:rFonts w:cs="Times New Roman"/>
          <w:lang w:val="en-GB"/>
        </w:rPr>
        <w:t xml:space="preserve"> using CIDI </w:t>
      </w:r>
      <w:r>
        <w:rPr>
          <w:rFonts w:cs="Times New Roman"/>
          <w:noProof/>
          <w:lang w:val="en-GB"/>
        </w:rPr>
        <w:t>(World Health Organization, 1993)</w:t>
      </w:r>
      <w:r w:rsidRPr="00CD3F3B">
        <w:rPr>
          <w:rFonts w:cs="Times New Roman"/>
          <w:lang w:val="en-GB"/>
        </w:rPr>
        <w:t xml:space="preserve"> items and </w:t>
      </w:r>
      <w:r>
        <w:rPr>
          <w:rFonts w:cs="Times New Roman"/>
          <w:lang w:val="en-GB"/>
        </w:rPr>
        <w:t xml:space="preserve">either </w:t>
      </w:r>
      <w:r w:rsidRPr="00CD3F3B">
        <w:rPr>
          <w:rFonts w:cs="Times New Roman"/>
          <w:lang w:val="en-GB"/>
        </w:rPr>
        <w:t xml:space="preserve">DSM-IV diagnostic criteria. </w:t>
      </w:r>
      <w:r>
        <w:rPr>
          <w:rFonts w:cs="Times New Roman"/>
          <w:lang w:val="en-GB"/>
        </w:rPr>
        <w:t xml:space="preserve"> </w:t>
      </w:r>
      <w:r w:rsidRPr="00CD3F3B">
        <w:rPr>
          <w:rFonts w:cs="Times New Roman"/>
          <w:lang w:val="en-GB"/>
        </w:rPr>
        <w:t>Sample members who met DSM</w:t>
      </w:r>
      <w:r>
        <w:rPr>
          <w:rFonts w:cs="Times New Roman"/>
          <w:lang w:val="en-GB"/>
        </w:rPr>
        <w:t>-III-R</w:t>
      </w:r>
      <w:r w:rsidRPr="00CD3F3B">
        <w:rPr>
          <w:rFonts w:cs="Times New Roman"/>
          <w:lang w:val="en-GB"/>
        </w:rPr>
        <w:t xml:space="preserve"> </w:t>
      </w:r>
      <w:r>
        <w:rPr>
          <w:rFonts w:cs="Times New Roman"/>
          <w:lang w:val="en-GB"/>
        </w:rPr>
        <w:t xml:space="preserve">(ages 16-18) or DSM-IV (age 18 onward) </w:t>
      </w:r>
      <w:r w:rsidRPr="00CD3F3B">
        <w:rPr>
          <w:rFonts w:cs="Times New Roman"/>
          <w:lang w:val="en-GB"/>
        </w:rPr>
        <w:t>diagnostic criteria for a</w:t>
      </w:r>
      <w:r>
        <w:rPr>
          <w:rFonts w:cs="Times New Roman"/>
          <w:lang w:val="en-GB"/>
        </w:rPr>
        <w:t>ny disorder du</w:t>
      </w:r>
      <w:r w:rsidRPr="00CD3F3B">
        <w:rPr>
          <w:rFonts w:cs="Times New Roman"/>
          <w:lang w:val="en-GB"/>
        </w:rPr>
        <w:t xml:space="preserve">ring </w:t>
      </w:r>
      <w:r>
        <w:rPr>
          <w:rFonts w:cs="Times New Roman"/>
          <w:lang w:val="en-GB"/>
        </w:rPr>
        <w:t>any</w:t>
      </w:r>
      <w:r w:rsidRPr="00CD3F3B">
        <w:rPr>
          <w:rFonts w:cs="Times New Roman"/>
          <w:lang w:val="en-GB"/>
        </w:rPr>
        <w:t xml:space="preserve"> assessment period (</w:t>
      </w:r>
      <w:r>
        <w:rPr>
          <w:rFonts w:cs="Times New Roman"/>
          <w:lang w:val="en-GB"/>
        </w:rPr>
        <w:t>ages 16-18, 18-21, 21-25, 25-30, and 30-35 years</w:t>
      </w:r>
      <w:r w:rsidRPr="00CD3F3B">
        <w:rPr>
          <w:rFonts w:cs="Times New Roman"/>
          <w:lang w:val="en-GB"/>
        </w:rPr>
        <w:t xml:space="preserve">) were classified using a </w:t>
      </w:r>
      <w:r>
        <w:rPr>
          <w:rFonts w:cs="Times New Roman"/>
          <w:lang w:val="en-GB"/>
        </w:rPr>
        <w:t xml:space="preserve">series </w:t>
      </w:r>
      <w:r w:rsidRPr="00CD3F3B">
        <w:rPr>
          <w:rFonts w:cs="Times New Roman"/>
          <w:lang w:val="en-GB"/>
        </w:rPr>
        <w:t xml:space="preserve">of dichotomous measures as having </w:t>
      </w:r>
      <w:r>
        <w:rPr>
          <w:rFonts w:cs="Times New Roman"/>
          <w:lang w:val="en-GB"/>
        </w:rPr>
        <w:t xml:space="preserve">that specific disorder </w:t>
      </w:r>
      <w:r w:rsidRPr="00CD3F3B">
        <w:rPr>
          <w:rFonts w:cs="Times New Roman"/>
          <w:lang w:val="en-GB"/>
        </w:rPr>
        <w:t>during that period.</w:t>
      </w:r>
    </w:p>
    <w:p w:rsidR="00E81801" w:rsidRDefault="00E81801" w:rsidP="00DE7C95">
      <w:pPr>
        <w:pStyle w:val="ListParagraph"/>
        <w:spacing w:line="480" w:lineRule="auto"/>
        <w:ind w:left="0" w:firstLine="720"/>
        <w:contextualSpacing w:val="0"/>
        <w:rPr>
          <w:rFonts w:cs="Times New Roman"/>
          <w:b/>
          <w:i/>
          <w:lang w:val="en-GB"/>
        </w:rPr>
      </w:pPr>
      <w:r>
        <w:rPr>
          <w:rFonts w:cs="Times New Roman"/>
          <w:lang w:val="en-GB"/>
        </w:rPr>
        <w:t>Frequency of cannabis use was assessed at each wave of data collection (ages 18, 21, 25, 30, and 35 years) using a five point scale representing the maximum frequency with which the participant reported using cannabis during the assessment period.  The five point scale ranged from “never” to “at least weekly”.</w:t>
      </w:r>
    </w:p>
    <w:p w:rsidR="006D1AFA" w:rsidRDefault="00E81801" w:rsidP="0033084F">
      <w:pPr>
        <w:spacing w:line="480" w:lineRule="auto"/>
        <w:ind w:firstLine="720"/>
        <w:rPr>
          <w:b/>
          <w:lang w:val="en-US" w:eastAsia="en-GB"/>
        </w:rPr>
      </w:pPr>
      <w:r w:rsidRPr="00357157">
        <w:rPr>
          <w:rFonts w:cs="Times New Roman"/>
          <w:b/>
          <w:i/>
          <w:lang w:val="en-GB"/>
        </w:rPr>
        <w:t>Stressful life events.</w:t>
      </w:r>
      <w:r>
        <w:rPr>
          <w:rFonts w:cs="Times New Roman"/>
          <w:b/>
          <w:i/>
          <w:lang w:val="en-GB"/>
        </w:rPr>
        <w:t xml:space="preserve">  </w:t>
      </w:r>
      <w:r>
        <w:rPr>
          <w:rFonts w:cs="Times New Roman"/>
          <w:lang w:val="en-GB"/>
        </w:rPr>
        <w:t>To</w:t>
      </w:r>
      <w:r w:rsidRPr="00577B13">
        <w:rPr>
          <w:rFonts w:cs="Times New Roman"/>
          <w:lang w:val="en-GB"/>
        </w:rPr>
        <w:t xml:space="preserve"> control for any possible effects of stressful life events in linking </w:t>
      </w:r>
      <w:r>
        <w:rPr>
          <w:rFonts w:cs="Times New Roman"/>
          <w:lang w:val="en-GB"/>
        </w:rPr>
        <w:t>abuse exposure and psychotic symptomatology</w:t>
      </w:r>
      <w:r w:rsidRPr="00577B13">
        <w:rPr>
          <w:rFonts w:cs="Times New Roman"/>
          <w:lang w:val="en-GB"/>
        </w:rPr>
        <w:t xml:space="preserve">, time-dynamic measures of stressful life events </w:t>
      </w:r>
      <w:r>
        <w:rPr>
          <w:rFonts w:cs="Times New Roman"/>
          <w:lang w:val="en-GB"/>
        </w:rPr>
        <w:t xml:space="preserve">were used.  </w:t>
      </w:r>
      <w:r w:rsidRPr="00577B13">
        <w:t>Exposure to stressful life events was assessed by questioning respondents about life events for each 12-month period over the periods 25-30</w:t>
      </w:r>
      <w:r>
        <w:t xml:space="preserve"> and 30-35 </w:t>
      </w:r>
      <w:r w:rsidRPr="00577B13">
        <w:t xml:space="preserve">years.  Life events were assessed using a 30-item inventory based on the Holmes and </w:t>
      </w:r>
      <w:proofErr w:type="spellStart"/>
      <w:r w:rsidRPr="00577B13">
        <w:t>Rahe</w:t>
      </w:r>
      <w:proofErr w:type="spellEnd"/>
      <w:r w:rsidRPr="00577B13">
        <w:t xml:space="preserve"> </w:t>
      </w:r>
      <w:r w:rsidRPr="00577B13">
        <w:rPr>
          <w:noProof/>
        </w:rPr>
        <w:t>(1967)</w:t>
      </w:r>
      <w:r w:rsidRPr="00577B13">
        <w:t xml:space="preserve"> Social Readjustment Rating Scale supplemented by custom-written survey items.  These items spanned several domains, including: changes to living situation; death/illness; relationship problems/difficulties; problems with family members/family members’ crises; problems with friends/friends’ crises; crime victimisation; and other problems.  All items were scored on a 0 to 4 scale with 0 representing “no event”, 1 “not upset/distressed”, 2 “a little upset/distressed”, 3 “moderately upset/distressed”, and 4 “very distressed”, based on the recommendations by Brown and Harris </w:t>
      </w:r>
      <w:r>
        <w:rPr>
          <w:noProof/>
        </w:rPr>
        <w:t>(Brown &amp; Harris, 1978)</w:t>
      </w:r>
      <w:r>
        <w:t xml:space="preserve"> </w:t>
      </w:r>
      <w:r w:rsidRPr="00577B13">
        <w:t xml:space="preserve">Using this information, </w:t>
      </w:r>
      <w:r>
        <w:t>a</w:t>
      </w:r>
      <w:r w:rsidRPr="00577B13">
        <w:t xml:space="preserve"> measures of exposure to stressful life events </w:t>
      </w:r>
      <w:r>
        <w:t>was</w:t>
      </w:r>
      <w:r w:rsidRPr="00577B13">
        <w:t xml:space="preserve"> created</w:t>
      </w:r>
      <w:r>
        <w:t xml:space="preserve">, </w:t>
      </w:r>
      <w:r w:rsidRPr="00577B13">
        <w:t xml:space="preserve">computed by summing the 0 to 4 scaling for each item for each 12-month period, and then summing over each assessment period, resulting in a total life events distress score for the periods </w:t>
      </w:r>
      <w:r>
        <w:t>16-18, 18-21, 21-25, 25-30, and 30-35</w:t>
      </w:r>
      <w:r w:rsidRPr="00577B13">
        <w:t xml:space="preserve"> years</w:t>
      </w:r>
      <w:r>
        <w:t>.</w:t>
      </w:r>
      <w:r w:rsidR="006D1AFA">
        <w:rPr>
          <w:b/>
          <w:lang w:val="en-US" w:eastAsia="en-GB"/>
        </w:rPr>
        <w:br w:type="page"/>
      </w:r>
    </w:p>
    <w:p w:rsidR="00E81801" w:rsidRPr="00CE1C34" w:rsidRDefault="00E81801" w:rsidP="00DE7C95">
      <w:pPr>
        <w:spacing w:line="480" w:lineRule="auto"/>
        <w:rPr>
          <w:rFonts w:cstheme="minorHAnsi"/>
          <w:b/>
          <w:lang w:val="en-US" w:eastAsia="en-GB"/>
        </w:rPr>
      </w:pPr>
      <w:r>
        <w:rPr>
          <w:b/>
          <w:lang w:val="en-US" w:eastAsia="en-GB"/>
        </w:rPr>
        <w:lastRenderedPageBreak/>
        <w:t xml:space="preserve">Table S1 Psychotic symptomatology items from the SCL-90 (administered at ages 18, 21 and 25 </w:t>
      </w:r>
      <w:r w:rsidRPr="00CE1C34">
        <w:rPr>
          <w:rFonts w:cstheme="minorHAnsi"/>
          <w:b/>
          <w:lang w:val="en-US" w:eastAsia="en-GB"/>
        </w:rPr>
        <w:t>years)</w:t>
      </w:r>
    </w:p>
    <w:tbl>
      <w:tblPr>
        <w:tblStyle w:val="TableGrid"/>
        <w:tblW w:w="0" w:type="auto"/>
        <w:tblInd w:w="0" w:type="dxa"/>
        <w:tblLook w:val="04A0" w:firstRow="1" w:lastRow="0" w:firstColumn="1" w:lastColumn="0" w:noHBand="0" w:noVBand="1"/>
      </w:tblPr>
      <w:tblGrid>
        <w:gridCol w:w="5496"/>
        <w:gridCol w:w="1534"/>
        <w:gridCol w:w="1058"/>
        <w:gridCol w:w="928"/>
      </w:tblGrid>
      <w:tr w:rsidR="00E81801" w:rsidRPr="00CE1C34" w:rsidTr="00CE1C34">
        <w:tc>
          <w:tcPr>
            <w:tcW w:w="5496" w:type="dxa"/>
            <w:tcBorders>
              <w:left w:val="nil"/>
              <w:bottom w:val="nil"/>
              <w:right w:val="nil"/>
            </w:tcBorders>
          </w:tcPr>
          <w:p w:rsidR="00E81801" w:rsidRPr="00CE1C34" w:rsidRDefault="00E81801" w:rsidP="005D5291">
            <w:pPr>
              <w:spacing w:line="360" w:lineRule="auto"/>
              <w:rPr>
                <w:rFonts w:cstheme="minorHAnsi"/>
              </w:rPr>
            </w:pPr>
            <w:r>
              <w:rPr>
                <w:rFonts w:cstheme="minorHAnsi"/>
              </w:rPr>
              <w:t>Symptoms</w:t>
            </w:r>
          </w:p>
        </w:tc>
        <w:tc>
          <w:tcPr>
            <w:tcW w:w="3520" w:type="dxa"/>
            <w:gridSpan w:val="3"/>
            <w:tcBorders>
              <w:left w:val="nil"/>
              <w:bottom w:val="single" w:sz="4" w:space="0" w:color="auto"/>
              <w:right w:val="nil"/>
            </w:tcBorders>
          </w:tcPr>
          <w:p w:rsidR="00E81801" w:rsidRPr="00CE1C34" w:rsidRDefault="00E81801" w:rsidP="005D5291">
            <w:pPr>
              <w:spacing w:line="360" w:lineRule="auto"/>
              <w:rPr>
                <w:rFonts w:cstheme="minorHAnsi"/>
              </w:rPr>
            </w:pPr>
            <w:r>
              <w:rPr>
                <w:rFonts w:cstheme="minorHAnsi"/>
              </w:rPr>
              <w:t>% reporting at each assessment</w:t>
            </w:r>
          </w:p>
        </w:tc>
      </w:tr>
      <w:tr w:rsidR="00E81801" w:rsidRPr="00CE1C34" w:rsidTr="00CE1C34">
        <w:tc>
          <w:tcPr>
            <w:tcW w:w="5496" w:type="dxa"/>
            <w:tcBorders>
              <w:top w:val="nil"/>
              <w:left w:val="nil"/>
              <w:bottom w:val="single" w:sz="4" w:space="0" w:color="auto"/>
              <w:right w:val="nil"/>
            </w:tcBorders>
          </w:tcPr>
          <w:p w:rsidR="00E81801" w:rsidRPr="00CE1C34" w:rsidRDefault="00E81801" w:rsidP="005D5291">
            <w:pPr>
              <w:spacing w:line="360" w:lineRule="auto"/>
              <w:rPr>
                <w:rFonts w:cstheme="minorHAnsi"/>
              </w:rPr>
            </w:pPr>
          </w:p>
        </w:tc>
        <w:tc>
          <w:tcPr>
            <w:tcW w:w="1534" w:type="dxa"/>
            <w:tcBorders>
              <w:left w:val="nil"/>
              <w:bottom w:val="single" w:sz="4" w:space="0" w:color="auto"/>
              <w:right w:val="nil"/>
            </w:tcBorders>
          </w:tcPr>
          <w:p w:rsidR="00E81801" w:rsidRPr="00CE1C34" w:rsidRDefault="00E81801" w:rsidP="005D5291">
            <w:pPr>
              <w:spacing w:line="360" w:lineRule="auto"/>
              <w:rPr>
                <w:rFonts w:cstheme="minorHAnsi"/>
              </w:rPr>
            </w:pPr>
            <w:r w:rsidRPr="00CE1C34">
              <w:rPr>
                <w:rFonts w:cstheme="minorHAnsi"/>
              </w:rPr>
              <w:t>Age 18</w:t>
            </w:r>
          </w:p>
        </w:tc>
        <w:tc>
          <w:tcPr>
            <w:tcW w:w="1058" w:type="dxa"/>
            <w:tcBorders>
              <w:left w:val="nil"/>
              <w:bottom w:val="single" w:sz="4" w:space="0" w:color="auto"/>
              <w:right w:val="nil"/>
            </w:tcBorders>
          </w:tcPr>
          <w:p w:rsidR="00E81801" w:rsidRPr="00CE1C34" w:rsidRDefault="00E81801" w:rsidP="005D5291">
            <w:pPr>
              <w:spacing w:line="360" w:lineRule="auto"/>
              <w:rPr>
                <w:rFonts w:cstheme="minorHAnsi"/>
              </w:rPr>
            </w:pPr>
            <w:r w:rsidRPr="00CE1C34">
              <w:rPr>
                <w:rFonts w:cstheme="minorHAnsi"/>
              </w:rPr>
              <w:t>Age 21</w:t>
            </w:r>
          </w:p>
        </w:tc>
        <w:tc>
          <w:tcPr>
            <w:tcW w:w="928" w:type="dxa"/>
            <w:tcBorders>
              <w:left w:val="nil"/>
              <w:bottom w:val="single" w:sz="4" w:space="0" w:color="auto"/>
              <w:right w:val="nil"/>
            </w:tcBorders>
          </w:tcPr>
          <w:p w:rsidR="00E81801" w:rsidRPr="00CE1C34" w:rsidRDefault="00E81801" w:rsidP="005D5291">
            <w:pPr>
              <w:spacing w:line="360" w:lineRule="auto"/>
              <w:rPr>
                <w:rFonts w:cstheme="minorHAnsi"/>
              </w:rPr>
            </w:pPr>
            <w:r w:rsidRPr="00CE1C34">
              <w:rPr>
                <w:rFonts w:cstheme="minorHAnsi"/>
              </w:rPr>
              <w:t>Age 25</w:t>
            </w:r>
          </w:p>
        </w:tc>
      </w:tr>
      <w:tr w:rsidR="00E81801" w:rsidRPr="00CE1C34" w:rsidTr="00CE1C34">
        <w:tc>
          <w:tcPr>
            <w:tcW w:w="5496" w:type="dxa"/>
            <w:tcBorders>
              <w:left w:val="nil"/>
              <w:bottom w:val="nil"/>
              <w:right w:val="nil"/>
            </w:tcBorders>
          </w:tcPr>
          <w:p w:rsidR="00E81801" w:rsidRPr="00CE1C34" w:rsidRDefault="00E81801" w:rsidP="005D5291">
            <w:pPr>
              <w:spacing w:line="360" w:lineRule="auto"/>
              <w:rPr>
                <w:rFonts w:cstheme="minorHAnsi"/>
              </w:rPr>
            </w:pPr>
            <w:r w:rsidRPr="00CE1C34">
              <w:rPr>
                <w:rFonts w:cstheme="minorHAnsi"/>
              </w:rPr>
              <w:t>The idea that someone else can control your thoughts</w:t>
            </w:r>
          </w:p>
        </w:tc>
        <w:tc>
          <w:tcPr>
            <w:tcW w:w="1534" w:type="dxa"/>
            <w:tcBorders>
              <w:left w:val="nil"/>
              <w:bottom w:val="nil"/>
              <w:right w:val="nil"/>
            </w:tcBorders>
          </w:tcPr>
          <w:p w:rsidR="00E81801" w:rsidRPr="00CE1C34" w:rsidRDefault="00E81801" w:rsidP="00CE1C34">
            <w:pPr>
              <w:spacing w:line="360" w:lineRule="auto"/>
              <w:rPr>
                <w:rFonts w:cstheme="minorHAnsi"/>
              </w:rPr>
            </w:pPr>
            <w:r w:rsidRPr="00CE1C34">
              <w:rPr>
                <w:rFonts w:cstheme="minorHAnsi"/>
              </w:rPr>
              <w:t>3.6</w:t>
            </w:r>
          </w:p>
        </w:tc>
        <w:tc>
          <w:tcPr>
            <w:tcW w:w="1058" w:type="dxa"/>
            <w:tcBorders>
              <w:left w:val="nil"/>
              <w:bottom w:val="nil"/>
              <w:right w:val="nil"/>
            </w:tcBorders>
          </w:tcPr>
          <w:p w:rsidR="00E81801" w:rsidRPr="00CE1C34" w:rsidRDefault="00E81801" w:rsidP="00CE1C34">
            <w:pPr>
              <w:spacing w:line="360" w:lineRule="auto"/>
              <w:rPr>
                <w:rFonts w:cstheme="minorHAnsi"/>
              </w:rPr>
            </w:pPr>
            <w:r w:rsidRPr="00CE1C34">
              <w:rPr>
                <w:rFonts w:cstheme="minorHAnsi"/>
              </w:rPr>
              <w:t>4.</w:t>
            </w:r>
            <w:r>
              <w:rPr>
                <w:rFonts w:cstheme="minorHAnsi"/>
              </w:rPr>
              <w:t>8</w:t>
            </w:r>
          </w:p>
        </w:tc>
        <w:tc>
          <w:tcPr>
            <w:tcW w:w="928" w:type="dxa"/>
            <w:tcBorders>
              <w:left w:val="nil"/>
              <w:bottom w:val="nil"/>
              <w:right w:val="nil"/>
            </w:tcBorders>
          </w:tcPr>
          <w:p w:rsidR="00E81801" w:rsidRPr="00CE1C34" w:rsidRDefault="00E81801" w:rsidP="00CE1C34">
            <w:pPr>
              <w:spacing w:line="360" w:lineRule="auto"/>
              <w:rPr>
                <w:rFonts w:cstheme="minorHAnsi"/>
              </w:rPr>
            </w:pPr>
            <w:r w:rsidRPr="00CE1C34">
              <w:rPr>
                <w:rFonts w:cstheme="minorHAnsi"/>
              </w:rPr>
              <w:t>2.</w:t>
            </w:r>
            <w:r>
              <w:rPr>
                <w:rFonts w:cstheme="minorHAnsi"/>
              </w:rPr>
              <w:t>6</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Hearing voices that other people do not hear</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2.</w:t>
            </w:r>
            <w:r>
              <w:rPr>
                <w:rFonts w:cstheme="minorHAnsi"/>
              </w:rPr>
              <w:t>1</w:t>
            </w:r>
          </w:p>
        </w:tc>
        <w:tc>
          <w:tcPr>
            <w:tcW w:w="105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w:t>
            </w:r>
            <w:r>
              <w:rPr>
                <w:rFonts w:cstheme="minorHAnsi"/>
              </w:rPr>
              <w:t>7</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2.</w:t>
            </w:r>
            <w:r>
              <w:rPr>
                <w:rFonts w:cstheme="minorHAnsi"/>
              </w:rPr>
              <w:t>1</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Other people being aware of your private thoughts</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15.0</w:t>
            </w:r>
          </w:p>
        </w:tc>
        <w:tc>
          <w:tcPr>
            <w:tcW w:w="105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15.7</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14.</w:t>
            </w:r>
            <w:r>
              <w:rPr>
                <w:rFonts w:cstheme="minorHAnsi"/>
              </w:rPr>
              <w:t>2</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Having thoughts that are not your own</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8.</w:t>
            </w:r>
            <w:r>
              <w:rPr>
                <w:rFonts w:cstheme="minorHAnsi"/>
              </w:rPr>
              <w:t>7</w:t>
            </w:r>
          </w:p>
        </w:tc>
        <w:tc>
          <w:tcPr>
            <w:tcW w:w="105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6.5</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4.</w:t>
            </w:r>
            <w:r>
              <w:rPr>
                <w:rFonts w:cstheme="minorHAnsi"/>
              </w:rPr>
              <w:t>4</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Having ideas or beliefs that others do not share</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15.0</w:t>
            </w:r>
          </w:p>
        </w:tc>
        <w:tc>
          <w:tcPr>
            <w:tcW w:w="105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19.</w:t>
            </w:r>
            <w:r>
              <w:rPr>
                <w:rFonts w:cstheme="minorHAnsi"/>
              </w:rPr>
              <w:t>5</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16.5</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The idea that something serious is wrong with your body</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2.8</w:t>
            </w:r>
          </w:p>
        </w:tc>
        <w:tc>
          <w:tcPr>
            <w:tcW w:w="105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2.</w:t>
            </w:r>
            <w:r>
              <w:rPr>
                <w:rFonts w:cstheme="minorHAnsi"/>
              </w:rPr>
              <w:t>9</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2.</w:t>
            </w:r>
            <w:r>
              <w:rPr>
                <w:rFonts w:cstheme="minorHAnsi"/>
              </w:rPr>
              <w:t>6</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Never feeling close to another person</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18.</w:t>
            </w:r>
            <w:r>
              <w:rPr>
                <w:rFonts w:cstheme="minorHAnsi"/>
              </w:rPr>
              <w:t>3</w:t>
            </w:r>
          </w:p>
        </w:tc>
        <w:tc>
          <w:tcPr>
            <w:tcW w:w="105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18.</w:t>
            </w:r>
            <w:r>
              <w:rPr>
                <w:rFonts w:cstheme="minorHAnsi"/>
              </w:rPr>
              <w:t>8</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15.</w:t>
            </w:r>
            <w:r>
              <w:rPr>
                <w:rFonts w:cstheme="minorHAnsi"/>
              </w:rPr>
              <w:t>9</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The idea that something is wrong with your mind</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7.7</w:t>
            </w:r>
          </w:p>
        </w:tc>
        <w:tc>
          <w:tcPr>
            <w:tcW w:w="1058"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8.8</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7.</w:t>
            </w:r>
            <w:r>
              <w:rPr>
                <w:rFonts w:cstheme="minorHAnsi"/>
              </w:rPr>
              <w:t>7</w:t>
            </w:r>
          </w:p>
        </w:tc>
      </w:tr>
      <w:tr w:rsidR="00E81801" w:rsidRPr="00CE1C34" w:rsidTr="00CE1C34">
        <w:tc>
          <w:tcPr>
            <w:tcW w:w="5496" w:type="dxa"/>
            <w:tcBorders>
              <w:top w:val="nil"/>
              <w:left w:val="nil"/>
              <w:bottom w:val="nil"/>
              <w:right w:val="nil"/>
            </w:tcBorders>
          </w:tcPr>
          <w:p w:rsidR="00E81801" w:rsidRPr="00CE1C34" w:rsidRDefault="00E81801" w:rsidP="005D5291">
            <w:pPr>
              <w:spacing w:line="360" w:lineRule="auto"/>
              <w:rPr>
                <w:rFonts w:cstheme="minorHAnsi"/>
              </w:rPr>
            </w:pPr>
            <w:r w:rsidRPr="00CE1C34">
              <w:rPr>
                <w:rFonts w:cstheme="minorHAnsi"/>
              </w:rPr>
              <w:t>Feeling that other people cannot be trusted</w:t>
            </w:r>
          </w:p>
        </w:tc>
        <w:tc>
          <w:tcPr>
            <w:tcW w:w="1534"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7.3</w:t>
            </w:r>
          </w:p>
        </w:tc>
        <w:tc>
          <w:tcPr>
            <w:tcW w:w="105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7.7</w:t>
            </w:r>
          </w:p>
        </w:tc>
        <w:tc>
          <w:tcPr>
            <w:tcW w:w="928" w:type="dxa"/>
            <w:tcBorders>
              <w:top w:val="nil"/>
              <w:left w:val="nil"/>
              <w:bottom w:val="nil"/>
              <w:right w:val="nil"/>
            </w:tcBorders>
          </w:tcPr>
          <w:p w:rsidR="00E81801" w:rsidRPr="00CE1C34" w:rsidRDefault="00E81801" w:rsidP="00CE1C34">
            <w:pPr>
              <w:spacing w:line="360" w:lineRule="auto"/>
              <w:rPr>
                <w:rFonts w:cstheme="minorHAnsi"/>
              </w:rPr>
            </w:pPr>
            <w:r w:rsidRPr="00CE1C34">
              <w:rPr>
                <w:rFonts w:cstheme="minorHAnsi"/>
              </w:rPr>
              <w:t>7.</w:t>
            </w:r>
            <w:r>
              <w:rPr>
                <w:rFonts w:cstheme="minorHAnsi"/>
              </w:rPr>
              <w:t>7</w:t>
            </w:r>
          </w:p>
        </w:tc>
      </w:tr>
      <w:tr w:rsidR="00E81801" w:rsidRPr="00CE1C34" w:rsidTr="00CE1C34">
        <w:tc>
          <w:tcPr>
            <w:tcW w:w="5496" w:type="dxa"/>
            <w:tcBorders>
              <w:top w:val="nil"/>
              <w:left w:val="nil"/>
              <w:right w:val="nil"/>
            </w:tcBorders>
          </w:tcPr>
          <w:p w:rsidR="00E81801" w:rsidRPr="00CE1C34" w:rsidRDefault="00E81801" w:rsidP="005D5291">
            <w:pPr>
              <w:spacing w:line="360" w:lineRule="auto"/>
              <w:rPr>
                <w:rFonts w:cstheme="minorHAnsi"/>
              </w:rPr>
            </w:pPr>
            <w:r w:rsidRPr="00CE1C34">
              <w:rPr>
                <w:rFonts w:cstheme="minorHAnsi"/>
              </w:rPr>
              <w:t>Feeling that you are watched or talked about by others</w:t>
            </w:r>
          </w:p>
        </w:tc>
        <w:tc>
          <w:tcPr>
            <w:tcW w:w="1534" w:type="dxa"/>
            <w:tcBorders>
              <w:top w:val="nil"/>
              <w:left w:val="nil"/>
              <w:right w:val="nil"/>
            </w:tcBorders>
          </w:tcPr>
          <w:p w:rsidR="00E81801" w:rsidRPr="00CE1C34" w:rsidRDefault="00E81801" w:rsidP="00CE1C34">
            <w:pPr>
              <w:spacing w:line="360" w:lineRule="auto"/>
              <w:rPr>
                <w:rFonts w:cstheme="minorHAnsi"/>
              </w:rPr>
            </w:pPr>
            <w:r w:rsidRPr="00CE1C34">
              <w:rPr>
                <w:rFonts w:cstheme="minorHAnsi"/>
              </w:rPr>
              <w:t>6.3</w:t>
            </w:r>
          </w:p>
        </w:tc>
        <w:tc>
          <w:tcPr>
            <w:tcW w:w="1058" w:type="dxa"/>
            <w:tcBorders>
              <w:top w:val="nil"/>
              <w:left w:val="nil"/>
              <w:right w:val="nil"/>
            </w:tcBorders>
          </w:tcPr>
          <w:p w:rsidR="00E81801" w:rsidRPr="00CE1C34" w:rsidRDefault="00E81801" w:rsidP="00CE1C34">
            <w:pPr>
              <w:spacing w:line="360" w:lineRule="auto"/>
              <w:rPr>
                <w:rFonts w:cstheme="minorHAnsi"/>
              </w:rPr>
            </w:pPr>
            <w:r w:rsidRPr="00CE1C34">
              <w:rPr>
                <w:rFonts w:cstheme="minorHAnsi"/>
              </w:rPr>
              <w:t>7.0</w:t>
            </w:r>
          </w:p>
        </w:tc>
        <w:tc>
          <w:tcPr>
            <w:tcW w:w="928" w:type="dxa"/>
            <w:tcBorders>
              <w:top w:val="nil"/>
              <w:left w:val="nil"/>
              <w:right w:val="nil"/>
            </w:tcBorders>
          </w:tcPr>
          <w:p w:rsidR="00E81801" w:rsidRPr="00CE1C34" w:rsidRDefault="00E81801" w:rsidP="00CE1C34">
            <w:pPr>
              <w:spacing w:line="360" w:lineRule="auto"/>
              <w:rPr>
                <w:rFonts w:cstheme="minorHAnsi"/>
              </w:rPr>
            </w:pPr>
            <w:r w:rsidRPr="00CE1C34">
              <w:rPr>
                <w:rFonts w:cstheme="minorHAnsi"/>
              </w:rPr>
              <w:t>7.</w:t>
            </w:r>
            <w:r>
              <w:rPr>
                <w:rFonts w:cstheme="minorHAnsi"/>
              </w:rPr>
              <w:t>4</w:t>
            </w:r>
          </w:p>
        </w:tc>
      </w:tr>
    </w:tbl>
    <w:p w:rsidR="00E81801" w:rsidRDefault="00E81801" w:rsidP="00DE7C95">
      <w:pPr>
        <w:spacing w:line="480" w:lineRule="auto"/>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33084F" w:rsidRDefault="0033084F" w:rsidP="006D1AFA">
      <w:pPr>
        <w:rPr>
          <w:b/>
          <w:lang w:val="en-US" w:eastAsia="en-GB"/>
        </w:rPr>
      </w:pPr>
    </w:p>
    <w:p w:rsidR="006D1AFA" w:rsidRDefault="006D1AFA" w:rsidP="006D1AFA">
      <w:pPr>
        <w:rPr>
          <w:b/>
          <w:lang w:val="en-US" w:eastAsia="en-GB"/>
        </w:rPr>
      </w:pPr>
      <w:r>
        <w:rPr>
          <w:b/>
          <w:lang w:val="en-US" w:eastAsia="en-GB"/>
        </w:rPr>
        <w:lastRenderedPageBreak/>
        <w:t>Table S2 Psychotic symptomatology items from the DIS (administered at ages 30 and 35)</w:t>
      </w:r>
    </w:p>
    <w:tbl>
      <w:tblPr>
        <w:tblW w:w="9106" w:type="dxa"/>
        <w:tblInd w:w="-34" w:type="dxa"/>
        <w:tblLayout w:type="fixed"/>
        <w:tblLook w:val="0000" w:firstRow="0" w:lastRow="0" w:firstColumn="0" w:lastColumn="0" w:noHBand="0" w:noVBand="0"/>
      </w:tblPr>
      <w:tblGrid>
        <w:gridCol w:w="6697"/>
        <w:gridCol w:w="1275"/>
        <w:gridCol w:w="1134"/>
      </w:tblGrid>
      <w:tr w:rsidR="00E81801" w:rsidRPr="00753F76" w:rsidTr="006D1AFA">
        <w:trPr>
          <w:cantSplit/>
        </w:trPr>
        <w:tc>
          <w:tcPr>
            <w:tcW w:w="6697" w:type="dxa"/>
          </w:tcPr>
          <w:p w:rsidR="00E81801" w:rsidRPr="00753F76" w:rsidRDefault="0033084F" w:rsidP="005D5291">
            <w:pPr>
              <w:keepNext/>
              <w:keepLines/>
              <w:widowControl w:val="0"/>
              <w:tabs>
                <w:tab w:val="left" w:pos="851"/>
                <w:tab w:val="left" w:pos="8647"/>
              </w:tabs>
              <w:spacing w:before="120" w:after="120"/>
              <w:ind w:left="284" w:hanging="284"/>
            </w:pPr>
            <w:r>
              <w:t>S</w:t>
            </w:r>
            <w:r w:rsidR="00E81801">
              <w:t>ymptoms</w:t>
            </w:r>
          </w:p>
        </w:tc>
        <w:tc>
          <w:tcPr>
            <w:tcW w:w="2409" w:type="dxa"/>
            <w:gridSpan w:val="2"/>
            <w:tcBorders>
              <w:top w:val="single" w:sz="6" w:space="0" w:color="auto"/>
              <w:bottom w:val="single" w:sz="6" w:space="0" w:color="auto"/>
            </w:tcBorders>
          </w:tcPr>
          <w:p w:rsidR="00E81801" w:rsidRPr="00753F76" w:rsidRDefault="00E81801" w:rsidP="005D5291">
            <w:pPr>
              <w:keepNext/>
              <w:keepLines/>
              <w:widowControl w:val="0"/>
              <w:tabs>
                <w:tab w:val="left" w:pos="851"/>
                <w:tab w:val="left" w:pos="8647"/>
              </w:tabs>
              <w:spacing w:before="120" w:after="120"/>
              <w:jc w:val="center"/>
            </w:pPr>
            <w:r>
              <w:t>% reporting at each assessment</w:t>
            </w:r>
          </w:p>
        </w:tc>
      </w:tr>
      <w:tr w:rsidR="00E81801" w:rsidRPr="00753F76" w:rsidTr="006D1AFA">
        <w:trPr>
          <w:cantSplit/>
        </w:trPr>
        <w:tc>
          <w:tcPr>
            <w:tcW w:w="6697" w:type="dxa"/>
            <w:tcBorders>
              <w:bottom w:val="single" w:sz="4" w:space="0" w:color="auto"/>
            </w:tcBorders>
          </w:tcPr>
          <w:p w:rsidR="00E81801" w:rsidRPr="00753F76" w:rsidRDefault="00E81801" w:rsidP="005D5291">
            <w:pPr>
              <w:keepNext/>
              <w:keepLines/>
              <w:widowControl w:val="0"/>
              <w:tabs>
                <w:tab w:val="left" w:pos="851"/>
                <w:tab w:val="left" w:pos="8647"/>
              </w:tabs>
              <w:spacing w:before="120" w:after="120"/>
              <w:ind w:left="284" w:hanging="284"/>
            </w:pPr>
          </w:p>
        </w:tc>
        <w:tc>
          <w:tcPr>
            <w:tcW w:w="1275" w:type="dxa"/>
            <w:tcBorders>
              <w:top w:val="single" w:sz="6" w:space="0" w:color="auto"/>
              <w:bottom w:val="single" w:sz="4" w:space="0" w:color="auto"/>
            </w:tcBorders>
          </w:tcPr>
          <w:p w:rsidR="00E81801" w:rsidRPr="00753F76" w:rsidRDefault="00E81801" w:rsidP="005D5291">
            <w:pPr>
              <w:keepNext/>
              <w:keepLines/>
              <w:widowControl w:val="0"/>
              <w:tabs>
                <w:tab w:val="left" w:pos="851"/>
                <w:tab w:val="left" w:pos="8647"/>
              </w:tabs>
              <w:spacing w:before="120" w:after="120"/>
              <w:jc w:val="center"/>
            </w:pPr>
            <w:r>
              <w:t>Age 30</w:t>
            </w:r>
          </w:p>
        </w:tc>
        <w:tc>
          <w:tcPr>
            <w:tcW w:w="1134" w:type="dxa"/>
            <w:tcBorders>
              <w:top w:val="single" w:sz="6" w:space="0" w:color="auto"/>
              <w:bottom w:val="single" w:sz="4" w:space="0" w:color="auto"/>
            </w:tcBorders>
          </w:tcPr>
          <w:p w:rsidR="00E81801" w:rsidRPr="00753F76" w:rsidRDefault="00E81801" w:rsidP="005D5291">
            <w:pPr>
              <w:keepNext/>
              <w:keepLines/>
              <w:widowControl w:val="0"/>
              <w:tabs>
                <w:tab w:val="left" w:pos="851"/>
                <w:tab w:val="left" w:pos="8647"/>
              </w:tabs>
              <w:spacing w:before="120" w:after="120"/>
              <w:jc w:val="center"/>
            </w:pPr>
            <w:r>
              <w:t>Age 35</w:t>
            </w:r>
          </w:p>
        </w:tc>
      </w:tr>
      <w:tr w:rsidR="00E81801" w:rsidRPr="00753F76" w:rsidTr="006D1AFA">
        <w:tc>
          <w:tcPr>
            <w:tcW w:w="6697" w:type="dxa"/>
            <w:tcBorders>
              <w:top w:val="single" w:sz="4" w:space="0" w:color="auto"/>
            </w:tcBorders>
          </w:tcPr>
          <w:p w:rsidR="00E81801" w:rsidRPr="00753F76" w:rsidRDefault="00E81801" w:rsidP="005D5291">
            <w:pPr>
              <w:keepNext/>
              <w:keepLines/>
              <w:widowControl w:val="0"/>
              <w:tabs>
                <w:tab w:val="left" w:pos="851"/>
                <w:tab w:val="left" w:pos="8647"/>
              </w:tabs>
              <w:spacing w:before="120" w:after="120"/>
            </w:pPr>
            <w:r w:rsidRPr="00753F76">
              <w:t>Believed you were being secretly tested or experimented on</w:t>
            </w:r>
          </w:p>
        </w:tc>
        <w:tc>
          <w:tcPr>
            <w:tcW w:w="1275" w:type="dxa"/>
            <w:tcBorders>
              <w:top w:val="single" w:sz="4" w:space="0" w:color="auto"/>
            </w:tcBorders>
            <w:vAlign w:val="center"/>
          </w:tcPr>
          <w:p w:rsidR="00E81801" w:rsidRPr="00753F76" w:rsidRDefault="00E81801" w:rsidP="005D5291">
            <w:pPr>
              <w:keepNext/>
              <w:keepLines/>
              <w:widowControl w:val="0"/>
              <w:tabs>
                <w:tab w:val="left" w:pos="851"/>
                <w:tab w:val="left" w:pos="8647"/>
              </w:tabs>
              <w:spacing w:before="120" w:after="120"/>
              <w:jc w:val="center"/>
            </w:pPr>
            <w:r>
              <w:t>1.9</w:t>
            </w:r>
          </w:p>
        </w:tc>
        <w:tc>
          <w:tcPr>
            <w:tcW w:w="1134" w:type="dxa"/>
            <w:tcBorders>
              <w:top w:val="single" w:sz="4" w:space="0" w:color="auto"/>
            </w:tcBorders>
            <w:vAlign w:val="center"/>
          </w:tcPr>
          <w:p w:rsidR="00E81801" w:rsidRPr="00753F76" w:rsidRDefault="00E81801" w:rsidP="005D5291">
            <w:pPr>
              <w:keepNext/>
              <w:keepLines/>
              <w:widowControl w:val="0"/>
              <w:tabs>
                <w:tab w:val="left" w:pos="851"/>
                <w:tab w:val="left" w:pos="8647"/>
              </w:tabs>
              <w:spacing w:before="120" w:after="120"/>
              <w:jc w:val="center"/>
            </w:pPr>
            <w:r>
              <w:t>0.4</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someone was plotting against you or trying to hurt or poison you</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1.5</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1.8</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someone was spying on you</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2.0</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1.5</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Been bothered by the belief that someone was following you</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1.7</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0.9</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Thought that people whom you didn’t know, were talking about you or laughing at you</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4.5</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2.2</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someone was reading your mind</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1.6</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0.4</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you could hear what another person was thinking, even though they were not speaking</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1.2</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1.0</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others could hear your thoughts</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1.4</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0.5</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a person, power or force could control your movements or thoughts against your will</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0.8</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0.6</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someone or something could put thoughts into your mind that were not your own</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1.7</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0.7</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Felt that someone or something took your thoughts out of your mind</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0.6</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0.5</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Been convinced that someone you had not met was in love with you</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0.3</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0.3</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Believed that you were being sent special messages through the television or radio, or that a programme, song or news story had been made just for you</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0.5</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0.5</w:t>
            </w:r>
          </w:p>
        </w:tc>
      </w:tr>
      <w:tr w:rsidR="00E81801" w:rsidRPr="00753F76" w:rsidTr="006D1AFA">
        <w:tc>
          <w:tcPr>
            <w:tcW w:w="6697" w:type="dxa"/>
          </w:tcPr>
          <w:p w:rsidR="00E81801" w:rsidRPr="00753F76" w:rsidRDefault="00E81801" w:rsidP="005D5291">
            <w:pPr>
              <w:keepNext/>
              <w:keepLines/>
              <w:widowControl w:val="0"/>
              <w:tabs>
                <w:tab w:val="left" w:pos="851"/>
                <w:tab w:val="left" w:pos="8647"/>
              </w:tabs>
              <w:spacing w:before="120" w:after="120"/>
            </w:pPr>
            <w:r w:rsidRPr="00753F76">
              <w:t>Felt strange forces working on you, as if you were being hypnotised, hit by x-rays or laser beams, or as if magic was being performed on you</w:t>
            </w:r>
          </w:p>
        </w:tc>
        <w:tc>
          <w:tcPr>
            <w:tcW w:w="1275" w:type="dxa"/>
            <w:vAlign w:val="center"/>
          </w:tcPr>
          <w:p w:rsidR="00E81801" w:rsidRPr="00753F76" w:rsidRDefault="00E81801" w:rsidP="005D5291">
            <w:pPr>
              <w:keepNext/>
              <w:keepLines/>
              <w:widowControl w:val="0"/>
              <w:tabs>
                <w:tab w:val="left" w:pos="851"/>
                <w:tab w:val="left" w:pos="8647"/>
              </w:tabs>
              <w:spacing w:before="120" w:after="120"/>
              <w:jc w:val="center"/>
            </w:pPr>
            <w:r>
              <w:t>0.4</w:t>
            </w:r>
          </w:p>
        </w:tc>
        <w:tc>
          <w:tcPr>
            <w:tcW w:w="1134" w:type="dxa"/>
            <w:vAlign w:val="center"/>
          </w:tcPr>
          <w:p w:rsidR="00E81801" w:rsidRPr="00753F76" w:rsidRDefault="00E81801" w:rsidP="005D5291">
            <w:pPr>
              <w:keepNext/>
              <w:keepLines/>
              <w:widowControl w:val="0"/>
              <w:tabs>
                <w:tab w:val="left" w:pos="851"/>
                <w:tab w:val="left" w:pos="8647"/>
              </w:tabs>
              <w:spacing w:before="120" w:after="120"/>
              <w:jc w:val="center"/>
            </w:pPr>
            <w:r>
              <w:t>0.0</w:t>
            </w:r>
          </w:p>
        </w:tc>
      </w:tr>
      <w:tr w:rsidR="00E81801" w:rsidRPr="00753F76" w:rsidTr="006D1AFA">
        <w:tc>
          <w:tcPr>
            <w:tcW w:w="6697" w:type="dxa"/>
            <w:tcBorders>
              <w:bottom w:val="single" w:sz="4" w:space="0" w:color="auto"/>
            </w:tcBorders>
          </w:tcPr>
          <w:p w:rsidR="00E81801" w:rsidRPr="00753F76" w:rsidRDefault="00E81801" w:rsidP="005D5291">
            <w:pPr>
              <w:keepNext/>
              <w:keepLines/>
              <w:widowControl w:val="0"/>
              <w:tabs>
                <w:tab w:val="left" w:pos="851"/>
                <w:tab w:val="left" w:pos="8647"/>
              </w:tabs>
              <w:spacing w:before="120" w:after="120"/>
            </w:pPr>
            <w:r w:rsidRPr="00753F76">
              <w:t>Believed that you did something terrible for which you should have been punished</w:t>
            </w:r>
          </w:p>
        </w:tc>
        <w:tc>
          <w:tcPr>
            <w:tcW w:w="1275" w:type="dxa"/>
            <w:tcBorders>
              <w:bottom w:val="single" w:sz="4" w:space="0" w:color="auto"/>
            </w:tcBorders>
            <w:vAlign w:val="center"/>
          </w:tcPr>
          <w:p w:rsidR="00E81801" w:rsidRPr="00753F76" w:rsidRDefault="00E81801" w:rsidP="005D5291">
            <w:pPr>
              <w:keepNext/>
              <w:keepLines/>
              <w:widowControl w:val="0"/>
              <w:tabs>
                <w:tab w:val="left" w:pos="851"/>
                <w:tab w:val="left" w:pos="8647"/>
              </w:tabs>
              <w:spacing w:before="120" w:after="120"/>
              <w:jc w:val="center"/>
            </w:pPr>
            <w:r>
              <w:t>1.0</w:t>
            </w:r>
          </w:p>
        </w:tc>
        <w:tc>
          <w:tcPr>
            <w:tcW w:w="1134" w:type="dxa"/>
            <w:tcBorders>
              <w:bottom w:val="single" w:sz="4" w:space="0" w:color="auto"/>
            </w:tcBorders>
            <w:vAlign w:val="center"/>
          </w:tcPr>
          <w:p w:rsidR="00E81801" w:rsidRPr="00753F76" w:rsidRDefault="00E81801" w:rsidP="005D5291">
            <w:pPr>
              <w:keepNext/>
              <w:keepLines/>
              <w:widowControl w:val="0"/>
              <w:tabs>
                <w:tab w:val="left" w:pos="851"/>
                <w:tab w:val="left" w:pos="8647"/>
              </w:tabs>
              <w:spacing w:before="120" w:after="120"/>
              <w:jc w:val="center"/>
            </w:pPr>
            <w:r>
              <w:t>1.1</w:t>
            </w:r>
          </w:p>
        </w:tc>
      </w:tr>
    </w:tbl>
    <w:p w:rsidR="00E81801" w:rsidRDefault="00E81801" w:rsidP="00DE7C95">
      <w:pPr>
        <w:spacing w:line="480" w:lineRule="auto"/>
        <w:rPr>
          <w:b/>
          <w:lang w:val="en-US" w:eastAsia="en-GB"/>
        </w:rPr>
      </w:pPr>
    </w:p>
    <w:p w:rsidR="0033084F" w:rsidRPr="0033084F" w:rsidRDefault="0033084F" w:rsidP="0033084F">
      <w:pPr>
        <w:rPr>
          <w:b/>
        </w:rPr>
      </w:pPr>
      <w:r>
        <w:rPr>
          <w:b/>
        </w:rPr>
        <w:br w:type="page"/>
      </w:r>
      <w:r w:rsidRPr="0033084F">
        <w:rPr>
          <w:b/>
        </w:rPr>
        <w:lastRenderedPageBreak/>
        <w:t>Table S3. Spearman’s correlations between</w:t>
      </w:r>
      <w:r>
        <w:rPr>
          <w:b/>
        </w:rPr>
        <w:t xml:space="preserve"> both</w:t>
      </w:r>
      <w:r w:rsidRPr="0033084F">
        <w:rPr>
          <w:b/>
        </w:rPr>
        <w:t>: a) methamphetamine use; and b) psychotic symptomatology; and covariate factors.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2735"/>
        <w:gridCol w:w="2726"/>
      </w:tblGrid>
      <w:tr w:rsidR="0033084F" w:rsidTr="00E81C57">
        <w:trPr>
          <w:trHeight w:val="397"/>
        </w:trPr>
        <w:tc>
          <w:tcPr>
            <w:tcW w:w="2083" w:type="pct"/>
            <w:tcBorders>
              <w:top w:val="single" w:sz="4" w:space="0" w:color="auto"/>
              <w:bottom w:val="single" w:sz="4" w:space="0" w:color="auto"/>
            </w:tcBorders>
            <w:tcMar>
              <w:top w:w="45" w:type="dxa"/>
              <w:bottom w:w="45" w:type="dxa"/>
            </w:tcMar>
            <w:vAlign w:val="center"/>
          </w:tcPr>
          <w:p w:rsidR="0033084F" w:rsidRDefault="0033084F" w:rsidP="00E81C57">
            <w:r>
              <w:t>Covariate factors</w:t>
            </w:r>
          </w:p>
        </w:tc>
        <w:tc>
          <w:tcPr>
            <w:tcW w:w="1461" w:type="pct"/>
            <w:tcBorders>
              <w:top w:val="single" w:sz="4" w:space="0" w:color="auto"/>
              <w:bottom w:val="single" w:sz="4" w:space="0" w:color="auto"/>
            </w:tcBorders>
            <w:tcMar>
              <w:top w:w="45" w:type="dxa"/>
              <w:bottom w:w="45" w:type="dxa"/>
            </w:tcMar>
            <w:vAlign w:val="center"/>
          </w:tcPr>
          <w:p w:rsidR="0033084F" w:rsidRDefault="0033084F" w:rsidP="00E81C57">
            <w:pPr>
              <w:jc w:val="center"/>
            </w:pPr>
            <w:r>
              <w:t>Methamphetamine use</w:t>
            </w:r>
          </w:p>
        </w:tc>
        <w:tc>
          <w:tcPr>
            <w:tcW w:w="1456" w:type="pct"/>
            <w:tcBorders>
              <w:top w:val="single" w:sz="4" w:space="0" w:color="auto"/>
              <w:bottom w:val="single" w:sz="4" w:space="0" w:color="auto"/>
            </w:tcBorders>
            <w:tcMar>
              <w:top w:w="45" w:type="dxa"/>
              <w:bottom w:w="45" w:type="dxa"/>
            </w:tcMar>
            <w:vAlign w:val="center"/>
          </w:tcPr>
          <w:p w:rsidR="0033084F" w:rsidRDefault="0033084F" w:rsidP="00E81C57">
            <w:pPr>
              <w:jc w:val="center"/>
            </w:pPr>
            <w:r>
              <w:t>Psychotic symptomatology</w:t>
            </w:r>
          </w:p>
        </w:tc>
      </w:tr>
      <w:tr w:rsidR="0033084F" w:rsidTr="00E81C57">
        <w:trPr>
          <w:trHeight w:val="397"/>
        </w:trPr>
        <w:tc>
          <w:tcPr>
            <w:tcW w:w="2083" w:type="pct"/>
            <w:tcBorders>
              <w:top w:val="single" w:sz="4" w:space="0" w:color="auto"/>
            </w:tcBorders>
            <w:tcMar>
              <w:top w:w="45" w:type="dxa"/>
              <w:bottom w:w="45" w:type="dxa"/>
            </w:tcMar>
            <w:vAlign w:val="center"/>
          </w:tcPr>
          <w:p w:rsidR="0033084F" w:rsidRPr="00D42593" w:rsidRDefault="0033084F" w:rsidP="00E81C57">
            <w:pPr>
              <w:rPr>
                <w:b/>
                <w:u w:val="single"/>
              </w:rPr>
            </w:pPr>
            <w:r w:rsidRPr="00D42593">
              <w:rPr>
                <w:b/>
                <w:u w:val="single"/>
              </w:rPr>
              <w:t>Childhood and adolescent factors</w:t>
            </w:r>
          </w:p>
        </w:tc>
        <w:tc>
          <w:tcPr>
            <w:tcW w:w="1461" w:type="pct"/>
            <w:tcBorders>
              <w:top w:val="single" w:sz="4" w:space="0" w:color="auto"/>
            </w:tcBorders>
            <w:tcMar>
              <w:top w:w="45" w:type="dxa"/>
              <w:bottom w:w="45" w:type="dxa"/>
            </w:tcMar>
            <w:vAlign w:val="center"/>
          </w:tcPr>
          <w:p w:rsidR="0033084F" w:rsidRDefault="0033084F" w:rsidP="00E81C57">
            <w:pPr>
              <w:jc w:val="center"/>
            </w:pPr>
          </w:p>
        </w:tc>
        <w:tc>
          <w:tcPr>
            <w:tcW w:w="1456" w:type="pct"/>
            <w:tcBorders>
              <w:top w:val="single" w:sz="4" w:space="0" w:color="auto"/>
            </w:tcBorders>
            <w:tcMar>
              <w:top w:w="45" w:type="dxa"/>
              <w:bottom w:w="45" w:type="dxa"/>
            </w:tcMar>
            <w:vAlign w:val="center"/>
          </w:tcPr>
          <w:p w:rsidR="0033084F" w:rsidRDefault="0033084F" w:rsidP="00E81C57">
            <w:pPr>
              <w:jc w:val="center"/>
            </w:pPr>
          </w:p>
        </w:tc>
      </w:tr>
      <w:tr w:rsidR="0033084F" w:rsidTr="00E81C57">
        <w:trPr>
          <w:trHeight w:val="397"/>
        </w:trPr>
        <w:tc>
          <w:tcPr>
            <w:tcW w:w="2083" w:type="pct"/>
            <w:tcMar>
              <w:top w:w="45" w:type="dxa"/>
              <w:bottom w:w="45" w:type="dxa"/>
            </w:tcMar>
            <w:vAlign w:val="center"/>
          </w:tcPr>
          <w:p w:rsidR="0033084F" w:rsidRDefault="0033084F" w:rsidP="00E81C57">
            <w:r>
              <w:t>Family living standards (ages 0-10)</w:t>
            </w:r>
          </w:p>
        </w:tc>
        <w:tc>
          <w:tcPr>
            <w:tcW w:w="1461" w:type="pct"/>
            <w:tcMar>
              <w:top w:w="45" w:type="dxa"/>
              <w:bottom w:w="45" w:type="dxa"/>
            </w:tcMar>
            <w:vAlign w:val="center"/>
          </w:tcPr>
          <w:p w:rsidR="0033084F" w:rsidRDefault="0033084F" w:rsidP="00E81C57">
            <w:pPr>
              <w:jc w:val="center"/>
            </w:pPr>
            <w:r>
              <w:t>-.02</w:t>
            </w:r>
          </w:p>
        </w:tc>
        <w:tc>
          <w:tcPr>
            <w:tcW w:w="1456" w:type="pct"/>
            <w:tcMar>
              <w:top w:w="45" w:type="dxa"/>
              <w:bottom w:w="45" w:type="dxa"/>
            </w:tcMar>
            <w:vAlign w:val="center"/>
          </w:tcPr>
          <w:p w:rsidR="0033084F" w:rsidRDefault="0033084F" w:rsidP="00E81C57">
            <w:pPr>
              <w:jc w:val="center"/>
            </w:pPr>
            <w:r>
              <w:t>.09*</w:t>
            </w:r>
          </w:p>
        </w:tc>
      </w:tr>
      <w:tr w:rsidR="0033084F" w:rsidTr="00E81C57">
        <w:trPr>
          <w:trHeight w:val="397"/>
        </w:trPr>
        <w:tc>
          <w:tcPr>
            <w:tcW w:w="2083" w:type="pct"/>
            <w:tcMar>
              <w:top w:w="45" w:type="dxa"/>
              <w:bottom w:w="45" w:type="dxa"/>
            </w:tcMar>
            <w:vAlign w:val="center"/>
          </w:tcPr>
          <w:p w:rsidR="0033084F" w:rsidRDefault="0033084F" w:rsidP="00E81C57">
            <w:r>
              <w:t>Changes of parents (ages 0-15)</w:t>
            </w:r>
          </w:p>
        </w:tc>
        <w:tc>
          <w:tcPr>
            <w:tcW w:w="1461" w:type="pct"/>
            <w:tcMar>
              <w:top w:w="45" w:type="dxa"/>
              <w:bottom w:w="45" w:type="dxa"/>
            </w:tcMar>
            <w:vAlign w:val="center"/>
          </w:tcPr>
          <w:p w:rsidR="0033084F" w:rsidRDefault="0033084F" w:rsidP="00E81C57">
            <w:pPr>
              <w:jc w:val="center"/>
            </w:pPr>
            <w:r>
              <w:t>.04</w:t>
            </w:r>
          </w:p>
        </w:tc>
        <w:tc>
          <w:tcPr>
            <w:tcW w:w="1456" w:type="pct"/>
            <w:tcMar>
              <w:top w:w="45" w:type="dxa"/>
              <w:bottom w:w="45" w:type="dxa"/>
            </w:tcMar>
            <w:vAlign w:val="center"/>
          </w:tcPr>
          <w:p w:rsidR="0033084F" w:rsidRDefault="0033084F" w:rsidP="00E81C57">
            <w:pPr>
              <w:jc w:val="center"/>
            </w:pPr>
            <w:r>
              <w:t>.09*</w:t>
            </w:r>
          </w:p>
        </w:tc>
      </w:tr>
      <w:tr w:rsidR="0033084F" w:rsidTr="00E81C57">
        <w:trPr>
          <w:trHeight w:val="397"/>
        </w:trPr>
        <w:tc>
          <w:tcPr>
            <w:tcW w:w="2083" w:type="pct"/>
            <w:tcMar>
              <w:top w:w="45" w:type="dxa"/>
              <w:bottom w:w="45" w:type="dxa"/>
            </w:tcMar>
            <w:vAlign w:val="center"/>
          </w:tcPr>
          <w:p w:rsidR="0033084F" w:rsidRDefault="0033084F" w:rsidP="00E81C57">
            <w:r>
              <w:t>Parental intimate partner violence (ages 0-16)</w:t>
            </w:r>
          </w:p>
        </w:tc>
        <w:tc>
          <w:tcPr>
            <w:tcW w:w="1461" w:type="pct"/>
            <w:tcMar>
              <w:top w:w="45" w:type="dxa"/>
              <w:bottom w:w="45" w:type="dxa"/>
            </w:tcMar>
            <w:vAlign w:val="center"/>
          </w:tcPr>
          <w:p w:rsidR="0033084F" w:rsidRDefault="0033084F" w:rsidP="00E81C57">
            <w:pPr>
              <w:jc w:val="center"/>
            </w:pPr>
            <w:r>
              <w:t>.02</w:t>
            </w:r>
          </w:p>
        </w:tc>
        <w:tc>
          <w:tcPr>
            <w:tcW w:w="1456" w:type="pct"/>
            <w:tcMar>
              <w:top w:w="45" w:type="dxa"/>
              <w:bottom w:w="45" w:type="dxa"/>
            </w:tcMar>
            <w:vAlign w:val="center"/>
          </w:tcPr>
          <w:p w:rsidR="0033084F" w:rsidRDefault="0033084F" w:rsidP="00E81C57">
            <w:pPr>
              <w:jc w:val="center"/>
            </w:pPr>
            <w:r>
              <w:t>.11*</w:t>
            </w:r>
          </w:p>
        </w:tc>
      </w:tr>
      <w:tr w:rsidR="0033084F" w:rsidTr="00E81C57">
        <w:trPr>
          <w:trHeight w:val="397"/>
        </w:trPr>
        <w:tc>
          <w:tcPr>
            <w:tcW w:w="2083" w:type="pct"/>
            <w:tcMar>
              <w:top w:w="45" w:type="dxa"/>
              <w:bottom w:w="45" w:type="dxa"/>
            </w:tcMar>
            <w:vAlign w:val="center"/>
          </w:tcPr>
          <w:p w:rsidR="0033084F" w:rsidRDefault="0033084F" w:rsidP="00E81C57">
            <w:r>
              <w:t>Parental alcohol problems</w:t>
            </w:r>
          </w:p>
        </w:tc>
        <w:tc>
          <w:tcPr>
            <w:tcW w:w="1461" w:type="pct"/>
            <w:tcMar>
              <w:top w:w="45" w:type="dxa"/>
              <w:bottom w:w="45" w:type="dxa"/>
            </w:tcMar>
            <w:vAlign w:val="center"/>
          </w:tcPr>
          <w:p w:rsidR="0033084F" w:rsidRDefault="0033084F" w:rsidP="00E81C57">
            <w:pPr>
              <w:jc w:val="center"/>
            </w:pPr>
            <w:r>
              <w:t>.00</w:t>
            </w:r>
          </w:p>
        </w:tc>
        <w:tc>
          <w:tcPr>
            <w:tcW w:w="1456" w:type="pct"/>
            <w:tcMar>
              <w:top w:w="45" w:type="dxa"/>
              <w:bottom w:w="45" w:type="dxa"/>
            </w:tcMar>
            <w:vAlign w:val="center"/>
          </w:tcPr>
          <w:p w:rsidR="0033084F" w:rsidRDefault="0033084F" w:rsidP="00E81C57">
            <w:pPr>
              <w:jc w:val="center"/>
            </w:pPr>
            <w:r>
              <w:t>.07*</w:t>
            </w:r>
          </w:p>
        </w:tc>
      </w:tr>
      <w:tr w:rsidR="0033084F" w:rsidTr="00E81C57">
        <w:trPr>
          <w:trHeight w:val="397"/>
        </w:trPr>
        <w:tc>
          <w:tcPr>
            <w:tcW w:w="2083" w:type="pct"/>
            <w:tcMar>
              <w:top w:w="45" w:type="dxa"/>
              <w:bottom w:w="45" w:type="dxa"/>
            </w:tcMar>
            <w:vAlign w:val="center"/>
          </w:tcPr>
          <w:p w:rsidR="0033084F" w:rsidRDefault="0033084F" w:rsidP="00E81C57">
            <w:r>
              <w:t>Parental history of offending</w:t>
            </w:r>
          </w:p>
        </w:tc>
        <w:tc>
          <w:tcPr>
            <w:tcW w:w="1461" w:type="pct"/>
            <w:tcMar>
              <w:top w:w="45" w:type="dxa"/>
              <w:bottom w:w="45" w:type="dxa"/>
            </w:tcMar>
            <w:vAlign w:val="center"/>
          </w:tcPr>
          <w:p w:rsidR="0033084F" w:rsidRDefault="0033084F" w:rsidP="00E81C57">
            <w:pPr>
              <w:jc w:val="center"/>
            </w:pPr>
            <w:r>
              <w:t>.11**</w:t>
            </w:r>
          </w:p>
        </w:tc>
        <w:tc>
          <w:tcPr>
            <w:tcW w:w="1456" w:type="pct"/>
            <w:tcMar>
              <w:top w:w="45" w:type="dxa"/>
              <w:bottom w:w="45" w:type="dxa"/>
            </w:tcMar>
            <w:vAlign w:val="center"/>
          </w:tcPr>
          <w:p w:rsidR="0033084F" w:rsidRDefault="0033084F" w:rsidP="00E81C57">
            <w:pPr>
              <w:jc w:val="center"/>
            </w:pPr>
            <w:r>
              <w:t>.08*</w:t>
            </w:r>
          </w:p>
        </w:tc>
      </w:tr>
      <w:tr w:rsidR="0033084F" w:rsidTr="00E81C57">
        <w:trPr>
          <w:trHeight w:val="397"/>
        </w:trPr>
        <w:tc>
          <w:tcPr>
            <w:tcW w:w="2083" w:type="pct"/>
            <w:tcMar>
              <w:top w:w="45" w:type="dxa"/>
              <w:bottom w:w="45" w:type="dxa"/>
            </w:tcMar>
            <w:vAlign w:val="center"/>
          </w:tcPr>
          <w:p w:rsidR="0033084F" w:rsidRDefault="0033084F" w:rsidP="00E81C57">
            <w:r>
              <w:t>Parental history of illicit drug use</w:t>
            </w:r>
          </w:p>
        </w:tc>
        <w:tc>
          <w:tcPr>
            <w:tcW w:w="1461" w:type="pct"/>
            <w:tcMar>
              <w:top w:w="45" w:type="dxa"/>
              <w:bottom w:w="45" w:type="dxa"/>
            </w:tcMar>
            <w:vAlign w:val="center"/>
          </w:tcPr>
          <w:p w:rsidR="0033084F" w:rsidRDefault="0033084F" w:rsidP="00E81C57">
            <w:pPr>
              <w:jc w:val="center"/>
            </w:pPr>
            <w:r>
              <w:t>.07*</w:t>
            </w:r>
          </w:p>
        </w:tc>
        <w:tc>
          <w:tcPr>
            <w:tcW w:w="1456" w:type="pct"/>
            <w:tcMar>
              <w:top w:w="45" w:type="dxa"/>
              <w:bottom w:w="45" w:type="dxa"/>
            </w:tcMar>
            <w:vAlign w:val="center"/>
          </w:tcPr>
          <w:p w:rsidR="0033084F" w:rsidRDefault="0033084F" w:rsidP="00E81C57">
            <w:pPr>
              <w:jc w:val="center"/>
            </w:pPr>
            <w:r>
              <w:t>.07*</w:t>
            </w:r>
          </w:p>
        </w:tc>
      </w:tr>
      <w:tr w:rsidR="0033084F" w:rsidTr="00E81C57">
        <w:trPr>
          <w:trHeight w:val="397"/>
        </w:trPr>
        <w:tc>
          <w:tcPr>
            <w:tcW w:w="2083" w:type="pct"/>
            <w:tcMar>
              <w:top w:w="45" w:type="dxa"/>
              <w:bottom w:w="45" w:type="dxa"/>
            </w:tcMar>
            <w:vAlign w:val="center"/>
          </w:tcPr>
          <w:p w:rsidR="0033084F" w:rsidRDefault="0033084F" w:rsidP="00E81C57">
            <w:r>
              <w:t>Maternal care (age 16)</w:t>
            </w:r>
          </w:p>
        </w:tc>
        <w:tc>
          <w:tcPr>
            <w:tcW w:w="1461" w:type="pct"/>
            <w:tcMar>
              <w:top w:w="45" w:type="dxa"/>
              <w:bottom w:w="45" w:type="dxa"/>
            </w:tcMar>
            <w:vAlign w:val="center"/>
          </w:tcPr>
          <w:p w:rsidR="0033084F" w:rsidRDefault="0033084F" w:rsidP="00E81C57">
            <w:pPr>
              <w:jc w:val="center"/>
            </w:pPr>
            <w:r>
              <w:t>-.04</w:t>
            </w:r>
          </w:p>
        </w:tc>
        <w:tc>
          <w:tcPr>
            <w:tcW w:w="1456" w:type="pct"/>
            <w:tcMar>
              <w:top w:w="45" w:type="dxa"/>
              <w:bottom w:w="45" w:type="dxa"/>
            </w:tcMar>
            <w:vAlign w:val="center"/>
          </w:tcPr>
          <w:p w:rsidR="0033084F" w:rsidRDefault="0033084F" w:rsidP="00E81C57">
            <w:pPr>
              <w:jc w:val="center"/>
            </w:pPr>
            <w:r>
              <w:t>-.08*</w:t>
            </w:r>
          </w:p>
        </w:tc>
      </w:tr>
      <w:tr w:rsidR="0033084F" w:rsidTr="00E81C57">
        <w:trPr>
          <w:trHeight w:val="397"/>
        </w:trPr>
        <w:tc>
          <w:tcPr>
            <w:tcW w:w="2083" w:type="pct"/>
            <w:tcMar>
              <w:top w:w="45" w:type="dxa"/>
              <w:bottom w:w="45" w:type="dxa"/>
            </w:tcMar>
            <w:vAlign w:val="center"/>
          </w:tcPr>
          <w:p w:rsidR="0033084F" w:rsidRDefault="0033084F" w:rsidP="00E81C57">
            <w:r>
              <w:t>Paternal care (age 16)</w:t>
            </w:r>
          </w:p>
        </w:tc>
        <w:tc>
          <w:tcPr>
            <w:tcW w:w="1461" w:type="pct"/>
            <w:tcMar>
              <w:top w:w="45" w:type="dxa"/>
              <w:bottom w:w="45" w:type="dxa"/>
            </w:tcMar>
            <w:vAlign w:val="center"/>
          </w:tcPr>
          <w:p w:rsidR="0033084F" w:rsidRDefault="0033084F" w:rsidP="00E81C57">
            <w:pPr>
              <w:jc w:val="center"/>
            </w:pPr>
            <w:r>
              <w:t>-.06</w:t>
            </w:r>
          </w:p>
        </w:tc>
        <w:tc>
          <w:tcPr>
            <w:tcW w:w="1456" w:type="pct"/>
            <w:tcMar>
              <w:top w:w="45" w:type="dxa"/>
              <w:bottom w:w="45" w:type="dxa"/>
            </w:tcMar>
            <w:vAlign w:val="center"/>
          </w:tcPr>
          <w:p w:rsidR="0033084F" w:rsidRDefault="0033084F" w:rsidP="00E81C57">
            <w:pPr>
              <w:jc w:val="center"/>
            </w:pPr>
            <w:r>
              <w:t>-.12**</w:t>
            </w:r>
          </w:p>
        </w:tc>
      </w:tr>
      <w:tr w:rsidR="0033084F" w:rsidTr="00E81C57">
        <w:trPr>
          <w:trHeight w:val="397"/>
        </w:trPr>
        <w:tc>
          <w:tcPr>
            <w:tcW w:w="2083" w:type="pct"/>
            <w:tcMar>
              <w:top w:w="45" w:type="dxa"/>
              <w:bottom w:w="45" w:type="dxa"/>
            </w:tcMar>
            <w:vAlign w:val="center"/>
          </w:tcPr>
          <w:p w:rsidR="0033084F" w:rsidRDefault="0033084F" w:rsidP="00E81C57">
            <w:r>
              <w:t>Maternal overprotection (age 16)</w:t>
            </w:r>
          </w:p>
        </w:tc>
        <w:tc>
          <w:tcPr>
            <w:tcW w:w="1461" w:type="pct"/>
            <w:tcMar>
              <w:top w:w="45" w:type="dxa"/>
              <w:bottom w:w="45" w:type="dxa"/>
            </w:tcMar>
            <w:vAlign w:val="center"/>
          </w:tcPr>
          <w:p w:rsidR="0033084F" w:rsidRDefault="0033084F" w:rsidP="00E81C57">
            <w:pPr>
              <w:jc w:val="center"/>
            </w:pPr>
            <w:r>
              <w:t>.04</w:t>
            </w:r>
          </w:p>
        </w:tc>
        <w:tc>
          <w:tcPr>
            <w:tcW w:w="1456" w:type="pct"/>
            <w:tcMar>
              <w:top w:w="45" w:type="dxa"/>
              <w:bottom w:w="45" w:type="dxa"/>
            </w:tcMar>
            <w:vAlign w:val="center"/>
          </w:tcPr>
          <w:p w:rsidR="0033084F" w:rsidRDefault="0033084F" w:rsidP="00E81C57">
            <w:pPr>
              <w:jc w:val="center"/>
            </w:pPr>
            <w:r>
              <w:t>.07*</w:t>
            </w:r>
          </w:p>
        </w:tc>
      </w:tr>
      <w:tr w:rsidR="0033084F" w:rsidTr="00E81C57">
        <w:trPr>
          <w:trHeight w:val="397"/>
        </w:trPr>
        <w:tc>
          <w:tcPr>
            <w:tcW w:w="2083" w:type="pct"/>
            <w:tcMar>
              <w:top w:w="45" w:type="dxa"/>
              <w:bottom w:w="45" w:type="dxa"/>
            </w:tcMar>
            <w:vAlign w:val="center"/>
          </w:tcPr>
          <w:p w:rsidR="0033084F" w:rsidRDefault="0033084F" w:rsidP="00E81C57">
            <w:r>
              <w:t>Paternal overprotection (age 16)</w:t>
            </w:r>
          </w:p>
        </w:tc>
        <w:tc>
          <w:tcPr>
            <w:tcW w:w="1461" w:type="pct"/>
            <w:tcMar>
              <w:top w:w="45" w:type="dxa"/>
              <w:bottom w:w="45" w:type="dxa"/>
            </w:tcMar>
            <w:vAlign w:val="center"/>
          </w:tcPr>
          <w:p w:rsidR="0033084F" w:rsidRDefault="0033084F" w:rsidP="00E81C57">
            <w:pPr>
              <w:jc w:val="center"/>
            </w:pPr>
            <w:r>
              <w:t>.07*</w:t>
            </w:r>
          </w:p>
        </w:tc>
        <w:tc>
          <w:tcPr>
            <w:tcW w:w="1456" w:type="pct"/>
            <w:tcMar>
              <w:top w:w="45" w:type="dxa"/>
              <w:bottom w:w="45" w:type="dxa"/>
            </w:tcMar>
            <w:vAlign w:val="center"/>
          </w:tcPr>
          <w:p w:rsidR="0033084F" w:rsidRDefault="0033084F" w:rsidP="00E81C57">
            <w:pPr>
              <w:jc w:val="center"/>
            </w:pPr>
            <w:r>
              <w:t>.09*</w:t>
            </w:r>
          </w:p>
        </w:tc>
      </w:tr>
      <w:tr w:rsidR="0033084F" w:rsidTr="00E81C57">
        <w:trPr>
          <w:trHeight w:val="397"/>
        </w:trPr>
        <w:tc>
          <w:tcPr>
            <w:tcW w:w="2083" w:type="pct"/>
            <w:tcMar>
              <w:top w:w="45" w:type="dxa"/>
              <w:bottom w:w="45" w:type="dxa"/>
            </w:tcMar>
            <w:vAlign w:val="center"/>
          </w:tcPr>
          <w:p w:rsidR="0033084F" w:rsidRDefault="0033084F" w:rsidP="00E81C57">
            <w:r>
              <w:t>Childhood sexual abuse</w:t>
            </w:r>
          </w:p>
        </w:tc>
        <w:tc>
          <w:tcPr>
            <w:tcW w:w="1461" w:type="pct"/>
            <w:tcMar>
              <w:top w:w="45" w:type="dxa"/>
              <w:bottom w:w="45" w:type="dxa"/>
            </w:tcMar>
            <w:vAlign w:val="center"/>
          </w:tcPr>
          <w:p w:rsidR="0033084F" w:rsidRDefault="0033084F" w:rsidP="00E81C57">
            <w:pPr>
              <w:jc w:val="center"/>
            </w:pPr>
            <w:r>
              <w:t>.02</w:t>
            </w:r>
          </w:p>
        </w:tc>
        <w:tc>
          <w:tcPr>
            <w:tcW w:w="1456" w:type="pct"/>
            <w:tcMar>
              <w:top w:w="45" w:type="dxa"/>
              <w:bottom w:w="45" w:type="dxa"/>
            </w:tcMar>
            <w:vAlign w:val="center"/>
          </w:tcPr>
          <w:p w:rsidR="0033084F" w:rsidRDefault="0033084F" w:rsidP="00E81C57">
            <w:pPr>
              <w:jc w:val="center"/>
            </w:pPr>
            <w:r>
              <w:t>.12**</w:t>
            </w:r>
          </w:p>
        </w:tc>
      </w:tr>
      <w:tr w:rsidR="0033084F" w:rsidTr="00E81C57">
        <w:trPr>
          <w:trHeight w:val="397"/>
        </w:trPr>
        <w:tc>
          <w:tcPr>
            <w:tcW w:w="2083" w:type="pct"/>
            <w:tcMar>
              <w:top w:w="45" w:type="dxa"/>
              <w:bottom w:w="45" w:type="dxa"/>
            </w:tcMar>
            <w:vAlign w:val="center"/>
          </w:tcPr>
          <w:p w:rsidR="0033084F" w:rsidRDefault="0033084F" w:rsidP="00E81C57">
            <w:r>
              <w:t>Childhood physical abuse</w:t>
            </w:r>
          </w:p>
        </w:tc>
        <w:tc>
          <w:tcPr>
            <w:tcW w:w="1461" w:type="pct"/>
            <w:tcMar>
              <w:top w:w="45" w:type="dxa"/>
              <w:bottom w:w="45" w:type="dxa"/>
            </w:tcMar>
            <w:vAlign w:val="center"/>
          </w:tcPr>
          <w:p w:rsidR="0033084F" w:rsidRDefault="0033084F" w:rsidP="00E81C57">
            <w:pPr>
              <w:jc w:val="center"/>
            </w:pPr>
            <w:r>
              <w:t>.05</w:t>
            </w:r>
          </w:p>
        </w:tc>
        <w:tc>
          <w:tcPr>
            <w:tcW w:w="1456" w:type="pct"/>
            <w:tcMar>
              <w:top w:w="45" w:type="dxa"/>
              <w:bottom w:w="45" w:type="dxa"/>
            </w:tcMar>
            <w:vAlign w:val="center"/>
          </w:tcPr>
          <w:p w:rsidR="0033084F" w:rsidRDefault="0033084F" w:rsidP="00E81C57">
            <w:pPr>
              <w:jc w:val="center"/>
            </w:pPr>
            <w:r>
              <w:t>.11**</w:t>
            </w:r>
          </w:p>
        </w:tc>
      </w:tr>
      <w:tr w:rsidR="0033084F" w:rsidTr="00E81C57">
        <w:trPr>
          <w:trHeight w:val="397"/>
        </w:trPr>
        <w:tc>
          <w:tcPr>
            <w:tcW w:w="2083" w:type="pct"/>
            <w:tcMar>
              <w:top w:w="45" w:type="dxa"/>
              <w:bottom w:w="45" w:type="dxa"/>
            </w:tcMar>
            <w:vAlign w:val="center"/>
          </w:tcPr>
          <w:p w:rsidR="0033084F" w:rsidRDefault="0033084F" w:rsidP="00E81C57">
            <w:r>
              <w:t>Female sex</w:t>
            </w:r>
          </w:p>
        </w:tc>
        <w:tc>
          <w:tcPr>
            <w:tcW w:w="1461" w:type="pct"/>
            <w:tcMar>
              <w:top w:w="45" w:type="dxa"/>
              <w:bottom w:w="45" w:type="dxa"/>
            </w:tcMar>
            <w:vAlign w:val="center"/>
          </w:tcPr>
          <w:p w:rsidR="0033084F" w:rsidRDefault="0033084F" w:rsidP="00E81C57">
            <w:pPr>
              <w:jc w:val="center"/>
            </w:pPr>
            <w:r>
              <w:t>-.09*</w:t>
            </w:r>
          </w:p>
        </w:tc>
        <w:tc>
          <w:tcPr>
            <w:tcW w:w="1456" w:type="pct"/>
            <w:tcMar>
              <w:top w:w="45" w:type="dxa"/>
              <w:bottom w:w="45" w:type="dxa"/>
            </w:tcMar>
            <w:vAlign w:val="center"/>
          </w:tcPr>
          <w:p w:rsidR="0033084F" w:rsidRDefault="0033084F" w:rsidP="00E81C57">
            <w:pPr>
              <w:jc w:val="center"/>
            </w:pPr>
            <w:r>
              <w:t>-.01</w:t>
            </w:r>
          </w:p>
        </w:tc>
      </w:tr>
      <w:tr w:rsidR="0033084F" w:rsidTr="00E81C57">
        <w:trPr>
          <w:trHeight w:val="397"/>
        </w:trPr>
        <w:tc>
          <w:tcPr>
            <w:tcW w:w="2083" w:type="pct"/>
            <w:tcMar>
              <w:top w:w="45" w:type="dxa"/>
              <w:bottom w:w="45" w:type="dxa"/>
            </w:tcMar>
            <w:vAlign w:val="center"/>
          </w:tcPr>
          <w:p w:rsidR="0033084F" w:rsidRDefault="0033084F" w:rsidP="00E81C57">
            <w:r>
              <w:t>Child conduct problems (ages 7-9)</w:t>
            </w:r>
          </w:p>
        </w:tc>
        <w:tc>
          <w:tcPr>
            <w:tcW w:w="1461" w:type="pct"/>
            <w:tcMar>
              <w:top w:w="45" w:type="dxa"/>
              <w:bottom w:w="45" w:type="dxa"/>
            </w:tcMar>
            <w:vAlign w:val="center"/>
          </w:tcPr>
          <w:p w:rsidR="0033084F" w:rsidRDefault="0033084F" w:rsidP="00E81C57">
            <w:pPr>
              <w:jc w:val="center"/>
            </w:pPr>
            <w:r>
              <w:t>.07*</w:t>
            </w:r>
          </w:p>
        </w:tc>
        <w:tc>
          <w:tcPr>
            <w:tcW w:w="1456" w:type="pct"/>
            <w:tcMar>
              <w:top w:w="45" w:type="dxa"/>
              <w:bottom w:w="45" w:type="dxa"/>
            </w:tcMar>
            <w:vAlign w:val="center"/>
          </w:tcPr>
          <w:p w:rsidR="0033084F" w:rsidRDefault="0033084F" w:rsidP="00E81C57">
            <w:pPr>
              <w:jc w:val="center"/>
            </w:pPr>
            <w:r>
              <w:t>.11**</w:t>
            </w:r>
          </w:p>
        </w:tc>
      </w:tr>
      <w:tr w:rsidR="0033084F" w:rsidTr="00E81C57">
        <w:trPr>
          <w:trHeight w:val="397"/>
        </w:trPr>
        <w:tc>
          <w:tcPr>
            <w:tcW w:w="2083" w:type="pct"/>
            <w:tcMar>
              <w:top w:w="45" w:type="dxa"/>
              <w:bottom w:w="45" w:type="dxa"/>
            </w:tcMar>
            <w:vAlign w:val="center"/>
          </w:tcPr>
          <w:p w:rsidR="0033084F" w:rsidRDefault="0033084F" w:rsidP="00E81C57">
            <w:r>
              <w:t>Child attention problems (ages 7-9)</w:t>
            </w:r>
          </w:p>
        </w:tc>
        <w:tc>
          <w:tcPr>
            <w:tcW w:w="1461" w:type="pct"/>
            <w:tcMar>
              <w:top w:w="45" w:type="dxa"/>
              <w:bottom w:w="45" w:type="dxa"/>
            </w:tcMar>
            <w:vAlign w:val="center"/>
          </w:tcPr>
          <w:p w:rsidR="0033084F" w:rsidRDefault="0033084F" w:rsidP="00E81C57">
            <w:pPr>
              <w:jc w:val="center"/>
            </w:pPr>
            <w:r>
              <w:t>.07*</w:t>
            </w:r>
          </w:p>
        </w:tc>
        <w:tc>
          <w:tcPr>
            <w:tcW w:w="1456" w:type="pct"/>
            <w:tcMar>
              <w:top w:w="45" w:type="dxa"/>
              <w:bottom w:w="45" w:type="dxa"/>
            </w:tcMar>
            <w:vAlign w:val="center"/>
          </w:tcPr>
          <w:p w:rsidR="0033084F" w:rsidRDefault="0033084F" w:rsidP="00E81C57">
            <w:pPr>
              <w:jc w:val="center"/>
            </w:pPr>
            <w:r>
              <w:t>.09*</w:t>
            </w:r>
          </w:p>
        </w:tc>
      </w:tr>
      <w:tr w:rsidR="0033084F" w:rsidTr="00E81C57">
        <w:trPr>
          <w:trHeight w:val="397"/>
        </w:trPr>
        <w:tc>
          <w:tcPr>
            <w:tcW w:w="2083" w:type="pct"/>
            <w:tcMar>
              <w:top w:w="45" w:type="dxa"/>
              <w:bottom w:w="45" w:type="dxa"/>
            </w:tcMar>
            <w:vAlign w:val="center"/>
          </w:tcPr>
          <w:p w:rsidR="0033084F" w:rsidRDefault="0033084F" w:rsidP="00E81C57">
            <w:r>
              <w:t>Self-esteem (age 15)</w:t>
            </w:r>
          </w:p>
        </w:tc>
        <w:tc>
          <w:tcPr>
            <w:tcW w:w="1461" w:type="pct"/>
            <w:tcMar>
              <w:top w:w="45" w:type="dxa"/>
              <w:bottom w:w="45" w:type="dxa"/>
            </w:tcMar>
            <w:vAlign w:val="center"/>
          </w:tcPr>
          <w:p w:rsidR="0033084F" w:rsidRDefault="0033084F" w:rsidP="00E81C57">
            <w:pPr>
              <w:jc w:val="center"/>
            </w:pPr>
            <w:r>
              <w:t>-.07*</w:t>
            </w:r>
          </w:p>
        </w:tc>
        <w:tc>
          <w:tcPr>
            <w:tcW w:w="1456" w:type="pct"/>
            <w:tcMar>
              <w:top w:w="45" w:type="dxa"/>
              <w:bottom w:w="45" w:type="dxa"/>
            </w:tcMar>
            <w:vAlign w:val="center"/>
          </w:tcPr>
          <w:p w:rsidR="0033084F" w:rsidRDefault="0033084F" w:rsidP="00E81C57">
            <w:pPr>
              <w:jc w:val="center"/>
            </w:pPr>
            <w:r>
              <w:t>-.24***</w:t>
            </w:r>
          </w:p>
        </w:tc>
      </w:tr>
      <w:tr w:rsidR="0033084F" w:rsidTr="00E81C57">
        <w:trPr>
          <w:trHeight w:val="397"/>
        </w:trPr>
        <w:tc>
          <w:tcPr>
            <w:tcW w:w="2083" w:type="pct"/>
            <w:tcMar>
              <w:top w:w="45" w:type="dxa"/>
              <w:bottom w:w="45" w:type="dxa"/>
            </w:tcMar>
            <w:vAlign w:val="center"/>
          </w:tcPr>
          <w:p w:rsidR="0033084F" w:rsidRDefault="0033084F" w:rsidP="00E81C57">
            <w:r>
              <w:t>Novelty-seeking (age 16)</w:t>
            </w:r>
          </w:p>
        </w:tc>
        <w:tc>
          <w:tcPr>
            <w:tcW w:w="1461" w:type="pct"/>
            <w:tcMar>
              <w:top w:w="45" w:type="dxa"/>
              <w:bottom w:w="45" w:type="dxa"/>
            </w:tcMar>
            <w:vAlign w:val="center"/>
          </w:tcPr>
          <w:p w:rsidR="0033084F" w:rsidRDefault="0033084F" w:rsidP="00E81C57">
            <w:pPr>
              <w:jc w:val="center"/>
            </w:pPr>
            <w:r>
              <w:t>.22***</w:t>
            </w:r>
          </w:p>
        </w:tc>
        <w:tc>
          <w:tcPr>
            <w:tcW w:w="1456" w:type="pct"/>
            <w:tcMar>
              <w:top w:w="45" w:type="dxa"/>
              <w:bottom w:w="45" w:type="dxa"/>
            </w:tcMar>
            <w:vAlign w:val="center"/>
          </w:tcPr>
          <w:p w:rsidR="0033084F" w:rsidRDefault="0033084F" w:rsidP="00E81C57">
            <w:pPr>
              <w:jc w:val="center"/>
            </w:pPr>
            <w:r>
              <w:t>.14***</w:t>
            </w:r>
          </w:p>
        </w:tc>
      </w:tr>
      <w:tr w:rsidR="0033084F" w:rsidTr="00E81C57">
        <w:trPr>
          <w:trHeight w:val="397"/>
        </w:trPr>
        <w:tc>
          <w:tcPr>
            <w:tcW w:w="2083" w:type="pct"/>
            <w:tcMar>
              <w:top w:w="45" w:type="dxa"/>
              <w:bottom w:w="45" w:type="dxa"/>
            </w:tcMar>
            <w:vAlign w:val="center"/>
          </w:tcPr>
          <w:p w:rsidR="0033084F" w:rsidRDefault="0033084F" w:rsidP="00E81C57">
            <w:r>
              <w:t>Conduct disorder (ages 14-16)</w:t>
            </w:r>
          </w:p>
        </w:tc>
        <w:tc>
          <w:tcPr>
            <w:tcW w:w="1461" w:type="pct"/>
            <w:tcMar>
              <w:top w:w="45" w:type="dxa"/>
              <w:bottom w:w="45" w:type="dxa"/>
            </w:tcMar>
            <w:vAlign w:val="center"/>
          </w:tcPr>
          <w:p w:rsidR="0033084F" w:rsidRDefault="0033084F" w:rsidP="00E81C57">
            <w:pPr>
              <w:jc w:val="center"/>
            </w:pPr>
            <w:r>
              <w:t>.22***</w:t>
            </w:r>
          </w:p>
        </w:tc>
        <w:tc>
          <w:tcPr>
            <w:tcW w:w="1456" w:type="pct"/>
            <w:tcMar>
              <w:top w:w="45" w:type="dxa"/>
              <w:bottom w:w="45" w:type="dxa"/>
            </w:tcMar>
            <w:vAlign w:val="center"/>
          </w:tcPr>
          <w:p w:rsidR="0033084F" w:rsidRDefault="0033084F" w:rsidP="00E81C57">
            <w:pPr>
              <w:jc w:val="center"/>
            </w:pPr>
            <w:r>
              <w:t>.18***</w:t>
            </w:r>
          </w:p>
        </w:tc>
      </w:tr>
      <w:tr w:rsidR="0033084F" w:rsidTr="00E81C57">
        <w:trPr>
          <w:trHeight w:val="397"/>
        </w:trPr>
        <w:tc>
          <w:tcPr>
            <w:tcW w:w="2083" w:type="pct"/>
            <w:tcMar>
              <w:top w:w="45" w:type="dxa"/>
              <w:bottom w:w="45" w:type="dxa"/>
            </w:tcMar>
            <w:vAlign w:val="center"/>
          </w:tcPr>
          <w:p w:rsidR="0033084F" w:rsidRDefault="0033084F" w:rsidP="00E81C57">
            <w:r>
              <w:t>Anxiety disorder (age 15)</w:t>
            </w:r>
          </w:p>
        </w:tc>
        <w:tc>
          <w:tcPr>
            <w:tcW w:w="1461" w:type="pct"/>
            <w:tcMar>
              <w:top w:w="45" w:type="dxa"/>
              <w:bottom w:w="45" w:type="dxa"/>
            </w:tcMar>
            <w:vAlign w:val="center"/>
          </w:tcPr>
          <w:p w:rsidR="0033084F" w:rsidRDefault="0033084F" w:rsidP="00E81C57">
            <w:pPr>
              <w:jc w:val="center"/>
            </w:pPr>
            <w:r>
              <w:t>-.03</w:t>
            </w:r>
          </w:p>
        </w:tc>
        <w:tc>
          <w:tcPr>
            <w:tcW w:w="1456" w:type="pct"/>
            <w:tcMar>
              <w:top w:w="45" w:type="dxa"/>
              <w:bottom w:w="45" w:type="dxa"/>
            </w:tcMar>
            <w:vAlign w:val="center"/>
          </w:tcPr>
          <w:p w:rsidR="0033084F" w:rsidRDefault="0033084F" w:rsidP="00E81C57">
            <w:pPr>
              <w:jc w:val="center"/>
            </w:pPr>
            <w:r>
              <w:t>.08*</w:t>
            </w:r>
          </w:p>
        </w:tc>
      </w:tr>
      <w:tr w:rsidR="0033084F" w:rsidTr="00E81C57">
        <w:trPr>
          <w:trHeight w:val="397"/>
        </w:trPr>
        <w:tc>
          <w:tcPr>
            <w:tcW w:w="2083" w:type="pct"/>
            <w:tcMar>
              <w:top w:w="45" w:type="dxa"/>
              <w:bottom w:w="45" w:type="dxa"/>
            </w:tcMar>
            <w:vAlign w:val="center"/>
          </w:tcPr>
          <w:p w:rsidR="0033084F" w:rsidRDefault="0033084F" w:rsidP="00E81C57">
            <w:r>
              <w:t>Deviant peer affiliation (age 15)</w:t>
            </w:r>
          </w:p>
        </w:tc>
        <w:tc>
          <w:tcPr>
            <w:tcW w:w="1461" w:type="pct"/>
            <w:tcMar>
              <w:top w:w="45" w:type="dxa"/>
              <w:bottom w:w="45" w:type="dxa"/>
            </w:tcMar>
            <w:vAlign w:val="center"/>
          </w:tcPr>
          <w:p w:rsidR="0033084F" w:rsidRDefault="0033084F" w:rsidP="00E81C57">
            <w:pPr>
              <w:jc w:val="center"/>
            </w:pPr>
            <w:r>
              <w:t>.18***</w:t>
            </w:r>
          </w:p>
        </w:tc>
        <w:tc>
          <w:tcPr>
            <w:tcW w:w="1456" w:type="pct"/>
            <w:tcMar>
              <w:top w:w="45" w:type="dxa"/>
              <w:bottom w:w="45" w:type="dxa"/>
            </w:tcMar>
            <w:vAlign w:val="center"/>
          </w:tcPr>
          <w:p w:rsidR="0033084F" w:rsidRDefault="0033084F" w:rsidP="00E81C57">
            <w:pPr>
              <w:jc w:val="center"/>
            </w:pPr>
            <w:r>
              <w:t>.17***</w:t>
            </w:r>
          </w:p>
        </w:tc>
      </w:tr>
      <w:tr w:rsidR="0033084F" w:rsidTr="00E81C57">
        <w:trPr>
          <w:trHeight w:val="397"/>
        </w:trPr>
        <w:tc>
          <w:tcPr>
            <w:tcW w:w="2083" w:type="pct"/>
            <w:tcMar>
              <w:top w:w="45" w:type="dxa"/>
              <w:bottom w:w="45" w:type="dxa"/>
            </w:tcMar>
            <w:vAlign w:val="center"/>
          </w:tcPr>
          <w:p w:rsidR="0033084F" w:rsidRPr="00D42593" w:rsidRDefault="0033084F" w:rsidP="00E81C57">
            <w:pPr>
              <w:rPr>
                <w:b/>
                <w:u w:val="single"/>
              </w:rPr>
            </w:pPr>
            <w:r w:rsidRPr="00D42593">
              <w:rPr>
                <w:b/>
                <w:u w:val="single"/>
              </w:rPr>
              <w:t>Time-dynamic factors (ages 16-35)</w:t>
            </w:r>
          </w:p>
        </w:tc>
        <w:tc>
          <w:tcPr>
            <w:tcW w:w="1461" w:type="pct"/>
            <w:tcMar>
              <w:top w:w="45" w:type="dxa"/>
              <w:bottom w:w="45" w:type="dxa"/>
            </w:tcMar>
            <w:vAlign w:val="center"/>
          </w:tcPr>
          <w:p w:rsidR="0033084F" w:rsidRDefault="0033084F" w:rsidP="00E81C57">
            <w:pPr>
              <w:jc w:val="center"/>
            </w:pPr>
          </w:p>
        </w:tc>
        <w:tc>
          <w:tcPr>
            <w:tcW w:w="1456" w:type="pct"/>
            <w:tcMar>
              <w:top w:w="45" w:type="dxa"/>
              <w:bottom w:w="45" w:type="dxa"/>
            </w:tcMar>
            <w:vAlign w:val="center"/>
          </w:tcPr>
          <w:p w:rsidR="0033084F" w:rsidRDefault="0033084F" w:rsidP="00E81C57">
            <w:pPr>
              <w:jc w:val="center"/>
            </w:pPr>
          </w:p>
        </w:tc>
      </w:tr>
      <w:tr w:rsidR="0033084F" w:rsidTr="00E81C57">
        <w:trPr>
          <w:trHeight w:val="397"/>
        </w:trPr>
        <w:tc>
          <w:tcPr>
            <w:tcW w:w="2083" w:type="pct"/>
            <w:tcMar>
              <w:top w:w="45" w:type="dxa"/>
              <w:bottom w:w="45" w:type="dxa"/>
            </w:tcMar>
            <w:vAlign w:val="center"/>
          </w:tcPr>
          <w:p w:rsidR="0033084F" w:rsidRDefault="0033084F" w:rsidP="00E81C57">
            <w:r>
              <w:t>Major depression</w:t>
            </w:r>
          </w:p>
        </w:tc>
        <w:tc>
          <w:tcPr>
            <w:tcW w:w="1461" w:type="pct"/>
            <w:tcMar>
              <w:top w:w="45" w:type="dxa"/>
              <w:bottom w:w="45" w:type="dxa"/>
            </w:tcMar>
            <w:vAlign w:val="center"/>
          </w:tcPr>
          <w:p w:rsidR="0033084F" w:rsidRDefault="0033084F" w:rsidP="00E81C57">
            <w:pPr>
              <w:jc w:val="center"/>
            </w:pPr>
            <w:r>
              <w:t>.09*</w:t>
            </w:r>
          </w:p>
        </w:tc>
        <w:tc>
          <w:tcPr>
            <w:tcW w:w="1456" w:type="pct"/>
            <w:tcMar>
              <w:top w:w="45" w:type="dxa"/>
              <w:bottom w:w="45" w:type="dxa"/>
            </w:tcMar>
            <w:vAlign w:val="center"/>
          </w:tcPr>
          <w:p w:rsidR="0033084F" w:rsidRDefault="0033084F" w:rsidP="00E81C57">
            <w:pPr>
              <w:jc w:val="center"/>
            </w:pPr>
            <w:r>
              <w:t>.25**</w:t>
            </w:r>
          </w:p>
        </w:tc>
      </w:tr>
      <w:tr w:rsidR="0033084F" w:rsidTr="00E81C57">
        <w:trPr>
          <w:trHeight w:val="397"/>
        </w:trPr>
        <w:tc>
          <w:tcPr>
            <w:tcW w:w="2083" w:type="pct"/>
            <w:tcMar>
              <w:top w:w="45" w:type="dxa"/>
              <w:bottom w:w="45" w:type="dxa"/>
            </w:tcMar>
            <w:vAlign w:val="center"/>
          </w:tcPr>
          <w:p w:rsidR="0033084F" w:rsidRDefault="0033084F" w:rsidP="00E81C57">
            <w:r>
              <w:lastRenderedPageBreak/>
              <w:t>Anxiety disorder</w:t>
            </w:r>
          </w:p>
        </w:tc>
        <w:tc>
          <w:tcPr>
            <w:tcW w:w="1461" w:type="pct"/>
            <w:tcMar>
              <w:top w:w="45" w:type="dxa"/>
              <w:bottom w:w="45" w:type="dxa"/>
            </w:tcMar>
            <w:vAlign w:val="center"/>
          </w:tcPr>
          <w:p w:rsidR="0033084F" w:rsidRDefault="0033084F" w:rsidP="00E81C57">
            <w:pPr>
              <w:jc w:val="center"/>
            </w:pPr>
            <w:r>
              <w:t>.02*</w:t>
            </w:r>
          </w:p>
        </w:tc>
        <w:tc>
          <w:tcPr>
            <w:tcW w:w="1456" w:type="pct"/>
            <w:tcMar>
              <w:top w:w="45" w:type="dxa"/>
              <w:bottom w:w="45" w:type="dxa"/>
            </w:tcMar>
            <w:vAlign w:val="center"/>
          </w:tcPr>
          <w:p w:rsidR="0033084F" w:rsidRDefault="0033084F" w:rsidP="00E81C57">
            <w:pPr>
              <w:jc w:val="center"/>
            </w:pPr>
            <w:r>
              <w:t>.21***</w:t>
            </w:r>
          </w:p>
        </w:tc>
      </w:tr>
      <w:tr w:rsidR="0033084F" w:rsidTr="00E81C57">
        <w:trPr>
          <w:trHeight w:val="397"/>
        </w:trPr>
        <w:tc>
          <w:tcPr>
            <w:tcW w:w="2083" w:type="pct"/>
            <w:tcMar>
              <w:top w:w="45" w:type="dxa"/>
              <w:bottom w:w="45" w:type="dxa"/>
            </w:tcMar>
            <w:vAlign w:val="center"/>
          </w:tcPr>
          <w:p w:rsidR="0033084F" w:rsidRDefault="0033084F" w:rsidP="00E81C57">
            <w:r>
              <w:t>Alcohol use disorder</w:t>
            </w:r>
          </w:p>
        </w:tc>
        <w:tc>
          <w:tcPr>
            <w:tcW w:w="1461" w:type="pct"/>
            <w:tcMar>
              <w:top w:w="45" w:type="dxa"/>
              <w:bottom w:w="45" w:type="dxa"/>
            </w:tcMar>
            <w:vAlign w:val="center"/>
          </w:tcPr>
          <w:p w:rsidR="0033084F" w:rsidRDefault="0033084F" w:rsidP="00E81C57">
            <w:pPr>
              <w:jc w:val="center"/>
            </w:pPr>
            <w:r>
              <w:t>.18***</w:t>
            </w:r>
          </w:p>
        </w:tc>
        <w:tc>
          <w:tcPr>
            <w:tcW w:w="1456" w:type="pct"/>
            <w:tcMar>
              <w:top w:w="45" w:type="dxa"/>
              <w:bottom w:w="45" w:type="dxa"/>
            </w:tcMar>
            <w:vAlign w:val="center"/>
          </w:tcPr>
          <w:p w:rsidR="0033084F" w:rsidRDefault="0033084F" w:rsidP="00E81C57">
            <w:pPr>
              <w:jc w:val="center"/>
            </w:pPr>
            <w:r>
              <w:t>.17***</w:t>
            </w:r>
          </w:p>
        </w:tc>
      </w:tr>
      <w:tr w:rsidR="0033084F" w:rsidTr="00E81C57">
        <w:trPr>
          <w:trHeight w:val="397"/>
        </w:trPr>
        <w:tc>
          <w:tcPr>
            <w:tcW w:w="2083" w:type="pct"/>
            <w:tcMar>
              <w:top w:w="45" w:type="dxa"/>
              <w:bottom w:w="45" w:type="dxa"/>
            </w:tcMar>
            <w:vAlign w:val="center"/>
          </w:tcPr>
          <w:p w:rsidR="0033084F" w:rsidRDefault="0033084F" w:rsidP="00E81C57">
            <w:r>
              <w:t>Frequency of cannabis use</w:t>
            </w:r>
          </w:p>
        </w:tc>
        <w:tc>
          <w:tcPr>
            <w:tcW w:w="1461" w:type="pct"/>
            <w:tcMar>
              <w:top w:w="45" w:type="dxa"/>
              <w:bottom w:w="45" w:type="dxa"/>
            </w:tcMar>
            <w:vAlign w:val="center"/>
          </w:tcPr>
          <w:p w:rsidR="0033084F" w:rsidRDefault="0033084F" w:rsidP="00E81C57">
            <w:pPr>
              <w:jc w:val="center"/>
            </w:pPr>
            <w:r>
              <w:t>.33***</w:t>
            </w:r>
          </w:p>
        </w:tc>
        <w:tc>
          <w:tcPr>
            <w:tcW w:w="1456" w:type="pct"/>
            <w:tcMar>
              <w:top w:w="45" w:type="dxa"/>
              <w:bottom w:w="45" w:type="dxa"/>
            </w:tcMar>
            <w:vAlign w:val="center"/>
          </w:tcPr>
          <w:p w:rsidR="0033084F" w:rsidRDefault="0033084F" w:rsidP="00E81C57">
            <w:pPr>
              <w:jc w:val="center"/>
            </w:pPr>
            <w:r>
              <w:t>.19***</w:t>
            </w:r>
          </w:p>
        </w:tc>
      </w:tr>
      <w:tr w:rsidR="0033084F" w:rsidTr="00E81C57">
        <w:trPr>
          <w:trHeight w:val="397"/>
        </w:trPr>
        <w:tc>
          <w:tcPr>
            <w:tcW w:w="2083" w:type="pct"/>
            <w:tcBorders>
              <w:bottom w:val="single" w:sz="4" w:space="0" w:color="auto"/>
            </w:tcBorders>
            <w:tcMar>
              <w:top w:w="45" w:type="dxa"/>
              <w:bottom w:w="45" w:type="dxa"/>
            </w:tcMar>
            <w:vAlign w:val="center"/>
          </w:tcPr>
          <w:p w:rsidR="0033084F" w:rsidRDefault="0033084F" w:rsidP="00E81C57">
            <w:r>
              <w:t>Life stress</w:t>
            </w:r>
          </w:p>
        </w:tc>
        <w:tc>
          <w:tcPr>
            <w:tcW w:w="1461" w:type="pct"/>
            <w:tcBorders>
              <w:bottom w:val="single" w:sz="4" w:space="0" w:color="auto"/>
            </w:tcBorders>
            <w:tcMar>
              <w:top w:w="45" w:type="dxa"/>
              <w:bottom w:w="45" w:type="dxa"/>
            </w:tcMar>
            <w:vAlign w:val="center"/>
          </w:tcPr>
          <w:p w:rsidR="0033084F" w:rsidRDefault="0033084F" w:rsidP="00E81C57">
            <w:pPr>
              <w:jc w:val="center"/>
            </w:pPr>
            <w:r>
              <w:t>.20***</w:t>
            </w:r>
          </w:p>
        </w:tc>
        <w:tc>
          <w:tcPr>
            <w:tcW w:w="1456" w:type="pct"/>
            <w:tcBorders>
              <w:bottom w:val="single" w:sz="4" w:space="0" w:color="auto"/>
            </w:tcBorders>
            <w:tcMar>
              <w:top w:w="45" w:type="dxa"/>
              <w:bottom w:w="45" w:type="dxa"/>
            </w:tcMar>
            <w:vAlign w:val="center"/>
          </w:tcPr>
          <w:p w:rsidR="0033084F" w:rsidRDefault="0033084F" w:rsidP="00E81C57">
            <w:pPr>
              <w:jc w:val="center"/>
            </w:pPr>
            <w:r>
              <w:t>.17***</w:t>
            </w:r>
          </w:p>
        </w:tc>
      </w:tr>
    </w:tbl>
    <w:p w:rsidR="0033084F" w:rsidRDefault="0033084F" w:rsidP="0033084F"/>
    <w:p w:rsidR="0033084F" w:rsidRDefault="0033084F" w:rsidP="0033084F">
      <w:r>
        <w:t xml:space="preserve">* </w:t>
      </w:r>
      <w:proofErr w:type="gramStart"/>
      <w:r>
        <w:t>p</w:t>
      </w:r>
      <w:proofErr w:type="gramEnd"/>
      <w:r>
        <w:t xml:space="preserve"> &lt; .05</w:t>
      </w:r>
    </w:p>
    <w:p w:rsidR="0033084F" w:rsidRDefault="0033084F" w:rsidP="0033084F">
      <w:r>
        <w:t xml:space="preserve">** </w:t>
      </w:r>
      <w:proofErr w:type="gramStart"/>
      <w:r>
        <w:t>p</w:t>
      </w:r>
      <w:proofErr w:type="gramEnd"/>
      <w:r>
        <w:t xml:space="preserve"> &lt; .01</w:t>
      </w:r>
    </w:p>
    <w:p w:rsidR="0033084F" w:rsidRDefault="0033084F" w:rsidP="0033084F">
      <w:r>
        <w:t xml:space="preserve">*** </w:t>
      </w:r>
      <w:proofErr w:type="gramStart"/>
      <w:r>
        <w:t>p</w:t>
      </w:r>
      <w:proofErr w:type="gramEnd"/>
      <w:r>
        <w:t xml:space="preserve"> &lt; .001</w:t>
      </w:r>
    </w:p>
    <w:p w:rsidR="0033084F" w:rsidRDefault="0033084F">
      <w:pPr>
        <w:rPr>
          <w:b/>
        </w:rPr>
      </w:pPr>
    </w:p>
    <w:p w:rsidR="0033084F" w:rsidRDefault="0033084F">
      <w:pPr>
        <w:rPr>
          <w:b/>
        </w:rPr>
      </w:pPr>
      <w:r>
        <w:rPr>
          <w:b/>
        </w:rPr>
        <w:br w:type="page"/>
      </w:r>
    </w:p>
    <w:p w:rsidR="00E81801" w:rsidRPr="0040745C" w:rsidRDefault="00E81801">
      <w:pPr>
        <w:rPr>
          <w:b/>
        </w:rPr>
      </w:pPr>
      <w:r>
        <w:rPr>
          <w:b/>
        </w:rPr>
        <w:lastRenderedPageBreak/>
        <w:t xml:space="preserve">References </w:t>
      </w:r>
    </w:p>
    <w:p w:rsidR="00E81801" w:rsidRPr="00545FC8" w:rsidRDefault="00E81801" w:rsidP="00545FC8">
      <w:pPr>
        <w:pStyle w:val="EndNoteBibliography"/>
        <w:spacing w:after="0"/>
        <w:ind w:left="720" w:hanging="720"/>
      </w:pPr>
      <w:r w:rsidRPr="00545FC8">
        <w:t xml:space="preserve">American Psychiatric Association. (1987). </w:t>
      </w:r>
      <w:r w:rsidRPr="00545FC8">
        <w:rPr>
          <w:i/>
        </w:rPr>
        <w:t>Diagnostic and Statistical Manual of Mental Disorders (3rd ed. - rev)</w:t>
      </w:r>
      <w:r w:rsidRPr="00545FC8">
        <w:t>. Washington, DC: American Psychiatric Association.</w:t>
      </w:r>
    </w:p>
    <w:p w:rsidR="00E81801" w:rsidRPr="00545FC8" w:rsidRDefault="00E81801" w:rsidP="00545FC8">
      <w:pPr>
        <w:pStyle w:val="EndNoteBibliography"/>
        <w:spacing w:after="0"/>
        <w:ind w:left="720" w:hanging="720"/>
      </w:pPr>
      <w:r w:rsidRPr="00545FC8">
        <w:t xml:space="preserve">American Psychiatric Association. (1994). </w:t>
      </w:r>
      <w:r w:rsidRPr="00545FC8">
        <w:rPr>
          <w:i/>
        </w:rPr>
        <w:t>Diagnostic and Statistical Manual of Mental Disorders (4th ed.)</w:t>
      </w:r>
      <w:r w:rsidRPr="00545FC8">
        <w:t>. Washington DC: American Psychiatric Association.</w:t>
      </w:r>
    </w:p>
    <w:p w:rsidR="00E81801" w:rsidRPr="00545FC8" w:rsidRDefault="00E81801" w:rsidP="00545FC8">
      <w:pPr>
        <w:pStyle w:val="EndNoteBibliography"/>
        <w:spacing w:after="0"/>
        <w:ind w:left="720" w:hanging="720"/>
      </w:pPr>
      <w:r w:rsidRPr="00545FC8">
        <w:t xml:space="preserve">Brown, G. W., &amp; Harris, T. O. (1978). </w:t>
      </w:r>
      <w:r w:rsidRPr="00545FC8">
        <w:rPr>
          <w:i/>
        </w:rPr>
        <w:t>Social Origins of Depression: A Study of Psychiatric Disorders in Women</w:t>
      </w:r>
      <w:r w:rsidRPr="00545FC8">
        <w:t>. London: Tavistock.</w:t>
      </w:r>
    </w:p>
    <w:p w:rsidR="00E81801" w:rsidRPr="00545FC8" w:rsidRDefault="00E81801" w:rsidP="00545FC8">
      <w:pPr>
        <w:pStyle w:val="EndNoteBibliography"/>
        <w:spacing w:after="0"/>
        <w:ind w:left="720" w:hanging="720"/>
      </w:pPr>
      <w:r w:rsidRPr="00545FC8">
        <w:t xml:space="preserve">Cloninger, C. R. (1987). A systematic method for clinical description and classification of personality variants: A proposal. </w:t>
      </w:r>
      <w:r w:rsidRPr="00545FC8">
        <w:rPr>
          <w:i/>
        </w:rPr>
        <w:t>Archives of General Psychiatry, 44</w:t>
      </w:r>
      <w:r w:rsidRPr="00545FC8">
        <w:t xml:space="preserve">(6), 573-588. </w:t>
      </w:r>
    </w:p>
    <w:p w:rsidR="00E81801" w:rsidRPr="00545FC8" w:rsidRDefault="00E81801" w:rsidP="00545FC8">
      <w:pPr>
        <w:pStyle w:val="EndNoteBibliography"/>
        <w:spacing w:after="0"/>
        <w:ind w:left="720" w:hanging="720"/>
      </w:pPr>
      <w:r w:rsidRPr="00545FC8">
        <w:t xml:space="preserve">Conners, C. K. (1969). A teacher rating scale for use in drug studies with children. </w:t>
      </w:r>
      <w:r w:rsidRPr="00545FC8">
        <w:rPr>
          <w:i/>
        </w:rPr>
        <w:t>American Journal of Psychiatry, 126</w:t>
      </w:r>
      <w:r w:rsidRPr="00545FC8">
        <w:t xml:space="preserve">, 884-888. </w:t>
      </w:r>
    </w:p>
    <w:p w:rsidR="00E81801" w:rsidRPr="00545FC8" w:rsidRDefault="00E81801" w:rsidP="00545FC8">
      <w:pPr>
        <w:pStyle w:val="EndNoteBibliography"/>
        <w:spacing w:after="0"/>
        <w:ind w:left="720" w:hanging="720"/>
      </w:pPr>
      <w:r w:rsidRPr="00545FC8">
        <w:t xml:space="preserve">Conners, C. K. (1970). Symptom patterns in hyperkinetic, neurotic and normal children. </w:t>
      </w:r>
      <w:r w:rsidRPr="00545FC8">
        <w:rPr>
          <w:i/>
        </w:rPr>
        <w:t>Child Development, 41</w:t>
      </w:r>
      <w:r w:rsidRPr="00545FC8">
        <w:t xml:space="preserve">, 667-682. </w:t>
      </w:r>
    </w:p>
    <w:p w:rsidR="00E81801" w:rsidRPr="00545FC8" w:rsidRDefault="00E81801" w:rsidP="00545FC8">
      <w:pPr>
        <w:pStyle w:val="EndNoteBibliography"/>
        <w:spacing w:after="0"/>
        <w:ind w:left="720" w:hanging="720"/>
      </w:pPr>
      <w:r w:rsidRPr="00545FC8">
        <w:t xml:space="preserve">Coopersmith, S. (1981). </w:t>
      </w:r>
      <w:r w:rsidRPr="00545FC8">
        <w:rPr>
          <w:i/>
        </w:rPr>
        <w:t>SEI - Self esteem inventories</w:t>
      </w:r>
      <w:r w:rsidRPr="00545FC8">
        <w:t>. Palo Alto, CA: Consulting Psychologists Press.</w:t>
      </w:r>
    </w:p>
    <w:p w:rsidR="00E81801" w:rsidRPr="00545FC8" w:rsidRDefault="00E81801" w:rsidP="00545FC8">
      <w:pPr>
        <w:pStyle w:val="EndNoteBibliography"/>
        <w:spacing w:after="0"/>
        <w:ind w:left="720" w:hanging="720"/>
      </w:pPr>
      <w:r w:rsidRPr="00545FC8">
        <w:t xml:space="preserve">Costello, A., Edelbrock, C., Kalas, R., Kessler, M., &amp; Klaric, S. A. (1984). </w:t>
      </w:r>
      <w:r w:rsidRPr="00545FC8">
        <w:rPr>
          <w:i/>
        </w:rPr>
        <w:t>Diagnostic Interview Schedule for Children (DISC)</w:t>
      </w:r>
      <w:r w:rsidRPr="00545FC8">
        <w:t xml:space="preserve">. Retrieved from Bethesda, MD: </w:t>
      </w:r>
    </w:p>
    <w:p w:rsidR="00E81801" w:rsidRPr="00545FC8" w:rsidRDefault="00E81801" w:rsidP="00545FC8">
      <w:pPr>
        <w:pStyle w:val="EndNoteBibliography"/>
        <w:spacing w:after="0"/>
        <w:ind w:left="720" w:hanging="720"/>
      </w:pPr>
      <w:r w:rsidRPr="00545FC8">
        <w:t xml:space="preserve">Fergusson, D. M., &amp; Horwood, L. J. (1993). The structure, stability and correlations of the trait components of conduct disorder, attention deficit and anxiety/withdrawal reports. </w:t>
      </w:r>
      <w:r w:rsidRPr="00545FC8">
        <w:rPr>
          <w:i/>
        </w:rPr>
        <w:t>Journal of Child Psychology &amp; Psychiatry, 34</w:t>
      </w:r>
      <w:r w:rsidRPr="00545FC8">
        <w:t xml:space="preserve">(5), 749-766. </w:t>
      </w:r>
    </w:p>
    <w:p w:rsidR="00E81801" w:rsidRPr="00545FC8" w:rsidRDefault="00E81801" w:rsidP="00545FC8">
      <w:pPr>
        <w:pStyle w:val="EndNoteBibliography"/>
        <w:spacing w:after="0"/>
        <w:ind w:left="720" w:hanging="720"/>
      </w:pPr>
      <w:r w:rsidRPr="00545FC8">
        <w:t xml:space="preserve">Fergusson, D. M., Horwood, L. J., &amp; Lloyd, M. (1991). A latent class model of child offending. </w:t>
      </w:r>
      <w:r w:rsidRPr="00545FC8">
        <w:rPr>
          <w:i/>
        </w:rPr>
        <w:t>Criminal Behaviour and Mental Health, 1</w:t>
      </w:r>
      <w:r w:rsidRPr="00545FC8">
        <w:t xml:space="preserve">, 90-106. </w:t>
      </w:r>
    </w:p>
    <w:p w:rsidR="00E81801" w:rsidRPr="00545FC8" w:rsidRDefault="00E81801" w:rsidP="00545FC8">
      <w:pPr>
        <w:pStyle w:val="EndNoteBibliography"/>
        <w:spacing w:after="0"/>
        <w:ind w:left="720" w:hanging="720"/>
      </w:pPr>
      <w:r w:rsidRPr="00545FC8">
        <w:t xml:space="preserve">Fergusson, D. M., Horwood, L. J., &amp; Lynskey, M. T. (1994). Parental separation, adolescent psychopathology, and problem behaviors. </w:t>
      </w:r>
      <w:r w:rsidRPr="00545FC8">
        <w:rPr>
          <w:i/>
        </w:rPr>
        <w:t>Journal of the American Academy of Child &amp; Adolescent Psychiatry, 33</w:t>
      </w:r>
      <w:r w:rsidRPr="00545FC8">
        <w:t xml:space="preserve">(8), 1122-1131; discussion 1131-1123. </w:t>
      </w:r>
    </w:p>
    <w:p w:rsidR="00E81801" w:rsidRPr="00545FC8" w:rsidRDefault="00E81801" w:rsidP="00545FC8">
      <w:pPr>
        <w:pStyle w:val="EndNoteBibliography"/>
        <w:spacing w:after="0"/>
        <w:ind w:left="720" w:hanging="720"/>
      </w:pPr>
      <w:r w:rsidRPr="00545FC8">
        <w:lastRenderedPageBreak/>
        <w:t xml:space="preserve">Fergusson, D. M., Horwood, L. J., &amp; Woodward, L. J. (2000). The stability of child abuse reports: A longitudinal study of the reporting behaviour of young adults. </w:t>
      </w:r>
      <w:r w:rsidRPr="00545FC8">
        <w:rPr>
          <w:i/>
        </w:rPr>
        <w:t>Psychological Medicine, 30</w:t>
      </w:r>
      <w:r w:rsidRPr="00545FC8">
        <w:t xml:space="preserve">, 529-544. </w:t>
      </w:r>
    </w:p>
    <w:p w:rsidR="00E81801" w:rsidRPr="00545FC8" w:rsidRDefault="00E81801" w:rsidP="00545FC8">
      <w:pPr>
        <w:pStyle w:val="EndNoteBibliography"/>
        <w:spacing w:after="0"/>
        <w:ind w:left="720" w:hanging="720"/>
      </w:pPr>
      <w:r w:rsidRPr="00545FC8">
        <w:t xml:space="preserve">Fergusson, D. M., &amp; Lynskey, M. T. (1997). Physical punishment/maltreatment during childhood and adjustment in young adulthood. </w:t>
      </w:r>
      <w:r w:rsidRPr="00545FC8">
        <w:rPr>
          <w:i/>
        </w:rPr>
        <w:t>Child Abuse and Neglect, 21</w:t>
      </w:r>
      <w:r w:rsidRPr="00545FC8">
        <w:t xml:space="preserve">(7), 617-630. </w:t>
      </w:r>
    </w:p>
    <w:p w:rsidR="00E81801" w:rsidRPr="00545FC8" w:rsidRDefault="00E81801" w:rsidP="00545FC8">
      <w:pPr>
        <w:pStyle w:val="EndNoteBibliography"/>
        <w:spacing w:after="0"/>
        <w:ind w:left="720" w:hanging="720"/>
      </w:pPr>
      <w:r w:rsidRPr="00545FC8">
        <w:t xml:space="preserve">Fergusson, D. M., Lynskey, M. T., &amp; Horwood, L. J. (1996). Childhood sexual abuse and psychiatric disorder in young adulthood: I. Prevalence of sexual abuse and factors associated with sexual abuse. </w:t>
      </w:r>
      <w:r w:rsidRPr="00545FC8">
        <w:rPr>
          <w:i/>
        </w:rPr>
        <w:t>Journal of the American Academy of Child and Adolescent Psychiatry, 35</w:t>
      </w:r>
      <w:r w:rsidRPr="00545FC8">
        <w:t>(10), 1355-1364. doi:10.1097/00004583-199610000-00023</w:t>
      </w:r>
    </w:p>
    <w:p w:rsidR="00E81801" w:rsidRPr="00545FC8" w:rsidRDefault="00E81801" w:rsidP="00545FC8">
      <w:pPr>
        <w:pStyle w:val="EndNoteBibliography"/>
        <w:spacing w:after="0"/>
        <w:ind w:left="720" w:hanging="720"/>
      </w:pPr>
      <w:r w:rsidRPr="00545FC8">
        <w:t xml:space="preserve">Fergusson, D. M., Woodward, L. J., &amp; Horwood, L. J. (1999). Childhood peer relationship problems and young people's involvement with deviant peers in adolescence. </w:t>
      </w:r>
      <w:r w:rsidRPr="00545FC8">
        <w:rPr>
          <w:i/>
        </w:rPr>
        <w:t>Journal of Abnormal Child Psychology, 27</w:t>
      </w:r>
      <w:r w:rsidRPr="00545FC8">
        <w:t xml:space="preserve">(5), 357-370. </w:t>
      </w:r>
    </w:p>
    <w:p w:rsidR="00E81801" w:rsidRPr="00545FC8" w:rsidRDefault="00E81801" w:rsidP="00545FC8">
      <w:pPr>
        <w:pStyle w:val="EndNoteBibliography"/>
        <w:spacing w:after="0"/>
        <w:ind w:left="720" w:hanging="720"/>
      </w:pPr>
      <w:r w:rsidRPr="00545FC8">
        <w:t xml:space="preserve">Holmes, T. H., &amp; Rahe, R. (1967). The Social Readjustment Rating Scale. </w:t>
      </w:r>
      <w:r w:rsidRPr="00545FC8">
        <w:rPr>
          <w:i/>
        </w:rPr>
        <w:t>Journal of Psychosomatic Research, 11</w:t>
      </w:r>
      <w:r w:rsidRPr="00545FC8">
        <w:t xml:space="preserve">, 213-218. </w:t>
      </w:r>
    </w:p>
    <w:p w:rsidR="00E81801" w:rsidRPr="00545FC8" w:rsidRDefault="00E81801" w:rsidP="00545FC8">
      <w:pPr>
        <w:pStyle w:val="EndNoteBibliography"/>
        <w:spacing w:after="0"/>
        <w:ind w:left="720" w:hanging="720"/>
      </w:pPr>
      <w:r w:rsidRPr="00545FC8">
        <w:t xml:space="preserve">Moffitt, T. R., &amp; Silva, P. A. (1988). Self-reported delinquency: Results from an instrument for New Zealand. </w:t>
      </w:r>
      <w:r w:rsidRPr="00545FC8">
        <w:rPr>
          <w:i/>
        </w:rPr>
        <w:t>Australian and New Zealand Journal of Criminology, 21</w:t>
      </w:r>
      <w:r w:rsidRPr="00545FC8">
        <w:t xml:space="preserve">, 227-240. </w:t>
      </w:r>
    </w:p>
    <w:p w:rsidR="00E81801" w:rsidRPr="00545FC8" w:rsidRDefault="00E81801" w:rsidP="00545FC8">
      <w:pPr>
        <w:pStyle w:val="EndNoteBibliography"/>
        <w:spacing w:after="0"/>
        <w:ind w:left="720" w:hanging="720"/>
      </w:pPr>
      <w:r w:rsidRPr="00545FC8">
        <w:t xml:space="preserve">Parker, G., Tupling, H., &amp; Brown, L. B. (1979). A parental bonding instrument. </w:t>
      </w:r>
      <w:r w:rsidRPr="00545FC8">
        <w:rPr>
          <w:i/>
        </w:rPr>
        <w:t>British Journal of Medical Psychology, 52</w:t>
      </w:r>
      <w:r w:rsidRPr="00545FC8">
        <w:t xml:space="preserve">, 1-10. </w:t>
      </w:r>
    </w:p>
    <w:p w:rsidR="00E81801" w:rsidRPr="00545FC8" w:rsidRDefault="00E81801" w:rsidP="00545FC8">
      <w:pPr>
        <w:pStyle w:val="EndNoteBibliography"/>
        <w:spacing w:after="0"/>
        <w:ind w:left="720" w:hanging="720"/>
      </w:pPr>
      <w:r w:rsidRPr="00545FC8">
        <w:t xml:space="preserve">Rutter, M., Tizard, J., &amp; Whitmore, K. (1970). </w:t>
      </w:r>
      <w:r w:rsidRPr="00545FC8">
        <w:rPr>
          <w:i/>
        </w:rPr>
        <w:t>Education, Health and Behaviour</w:t>
      </w:r>
      <w:r w:rsidRPr="00545FC8">
        <w:t>. London: Longmans.</w:t>
      </w:r>
    </w:p>
    <w:p w:rsidR="00E81801" w:rsidRPr="00545FC8" w:rsidRDefault="00E81801" w:rsidP="00545FC8">
      <w:pPr>
        <w:pStyle w:val="EndNoteBibliography"/>
        <w:spacing w:after="0"/>
        <w:ind w:left="720" w:hanging="720"/>
      </w:pPr>
      <w:r w:rsidRPr="00545FC8">
        <w:t xml:space="preserve">Straus, M. (1979). Measuring intrafamily conflict and violence: The conflict tactics (CT) scale. </w:t>
      </w:r>
      <w:r w:rsidRPr="00545FC8">
        <w:rPr>
          <w:i/>
        </w:rPr>
        <w:t>Journal of Marriage &amp; the Family, 41</w:t>
      </w:r>
      <w:r w:rsidRPr="00545FC8">
        <w:t xml:space="preserve">, 75-88. </w:t>
      </w:r>
    </w:p>
    <w:p w:rsidR="00E81801" w:rsidRDefault="00E81801" w:rsidP="002C5732">
      <w:pPr>
        <w:pStyle w:val="EndNoteBibliography"/>
        <w:ind w:left="720" w:hanging="720"/>
      </w:pPr>
      <w:r w:rsidRPr="00545FC8">
        <w:t xml:space="preserve">World Health Organization. (1993). </w:t>
      </w:r>
      <w:r w:rsidRPr="00545FC8">
        <w:rPr>
          <w:i/>
        </w:rPr>
        <w:t>Composite International Diagnostic Interview (CIDI): core version 1.1</w:t>
      </w:r>
      <w:r w:rsidRPr="00545FC8">
        <w:t>. Geneva, Switzerland: World Health Organization.</w:t>
      </w:r>
    </w:p>
    <w:p w:rsidR="009B7996" w:rsidRDefault="00FC3CA4"/>
    <w:sectPr w:rsidR="009B7996" w:rsidSect="00E5646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FA" w:rsidRDefault="006D1AFA" w:rsidP="006D1AFA">
      <w:pPr>
        <w:spacing w:after="0" w:line="240" w:lineRule="auto"/>
      </w:pPr>
      <w:r>
        <w:separator/>
      </w:r>
    </w:p>
  </w:endnote>
  <w:endnote w:type="continuationSeparator" w:id="0">
    <w:p w:rsidR="006D1AFA" w:rsidRDefault="006D1AFA" w:rsidP="006D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FA" w:rsidRDefault="006D1AFA" w:rsidP="006D1AFA">
      <w:pPr>
        <w:spacing w:after="0" w:line="240" w:lineRule="auto"/>
      </w:pPr>
      <w:r>
        <w:separator/>
      </w:r>
    </w:p>
  </w:footnote>
  <w:footnote w:type="continuationSeparator" w:id="0">
    <w:p w:rsidR="006D1AFA" w:rsidRDefault="006D1AFA" w:rsidP="006D1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066056"/>
      <w:docPartObj>
        <w:docPartGallery w:val="Page Numbers (Top of Page)"/>
        <w:docPartUnique/>
      </w:docPartObj>
    </w:sdtPr>
    <w:sdtEndPr>
      <w:rPr>
        <w:noProof/>
      </w:rPr>
    </w:sdtEndPr>
    <w:sdtContent>
      <w:p w:rsidR="006D1AFA" w:rsidRDefault="006D1AFA">
        <w:pPr>
          <w:pStyle w:val="Header"/>
          <w:jc w:val="right"/>
        </w:pPr>
        <w:r>
          <w:fldChar w:fldCharType="begin"/>
        </w:r>
        <w:r>
          <w:instrText xml:space="preserve"> PAGE   \* MERGEFORMAT </w:instrText>
        </w:r>
        <w:r>
          <w:fldChar w:fldCharType="separate"/>
        </w:r>
        <w:r w:rsidR="00FC3CA4">
          <w:rPr>
            <w:noProof/>
          </w:rPr>
          <w:t>13</w:t>
        </w:r>
        <w:r>
          <w:rPr>
            <w:noProof/>
          </w:rPr>
          <w:fldChar w:fldCharType="end"/>
        </w:r>
      </w:p>
    </w:sdtContent>
  </w:sdt>
  <w:p w:rsidR="006D1AFA" w:rsidRDefault="006D1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E81801"/>
    <w:rsid w:val="0003093B"/>
    <w:rsid w:val="000B71F6"/>
    <w:rsid w:val="002C5732"/>
    <w:rsid w:val="0033084F"/>
    <w:rsid w:val="00334458"/>
    <w:rsid w:val="006D1AFA"/>
    <w:rsid w:val="00B111AB"/>
    <w:rsid w:val="00B758F2"/>
    <w:rsid w:val="00E81801"/>
    <w:rsid w:val="00FC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B87B"/>
  <w15:chartTrackingRefBased/>
  <w15:docId w15:val="{F806CEF2-8672-4AFA-A30B-7EC369B4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01"/>
    <w:rPr>
      <w:lang w:val="en-NZ"/>
    </w:rPr>
  </w:style>
  <w:style w:type="paragraph" w:styleId="Heading1">
    <w:name w:val="heading 1"/>
    <w:basedOn w:val="Normal"/>
    <w:next w:val="Normal"/>
    <w:link w:val="Heading1Char"/>
    <w:uiPriority w:val="9"/>
    <w:qFormat/>
    <w:rsid w:val="00E81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81801"/>
    <w:pPr>
      <w:keepNext/>
      <w:spacing w:after="0" w:line="480" w:lineRule="auto"/>
      <w:outlineLvl w:val="1"/>
    </w:pPr>
    <w:rPr>
      <w:rFonts w:ascii="Times New Roman" w:eastAsia="Times New Roman" w:hAnsi="Times New Roman" w:cs="Times New Roman"/>
      <w:b/>
      <w:sz w:val="24"/>
      <w:szCs w:val="20"/>
      <w:lang w:val="en-US" w:eastAsia="en-GB"/>
    </w:rPr>
  </w:style>
  <w:style w:type="character" w:default="1" w:styleId="DefaultParagraphFont">
    <w:name w:val="Default Paragraph Font"/>
    <w:uiPriority w:val="1"/>
    <w:unhideWhenUsed/>
    <w:rsid w:val="00E818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1801"/>
  </w:style>
  <w:style w:type="character" w:customStyle="1" w:styleId="Heading1Char">
    <w:name w:val="Heading 1 Char"/>
    <w:basedOn w:val="DefaultParagraphFont"/>
    <w:link w:val="Heading1"/>
    <w:uiPriority w:val="9"/>
    <w:rsid w:val="00E81801"/>
    <w:rPr>
      <w:rFonts w:asciiTheme="majorHAnsi" w:eastAsiaTheme="majorEastAsia" w:hAnsiTheme="majorHAnsi" w:cstheme="majorBidi"/>
      <w:color w:val="2E74B5" w:themeColor="accent1" w:themeShade="BF"/>
      <w:sz w:val="32"/>
      <w:szCs w:val="32"/>
      <w:lang w:val="en-NZ"/>
    </w:rPr>
  </w:style>
  <w:style w:type="character" w:customStyle="1" w:styleId="Heading2Char">
    <w:name w:val="Heading 2 Char"/>
    <w:basedOn w:val="DefaultParagraphFont"/>
    <w:link w:val="Heading2"/>
    <w:rsid w:val="00E81801"/>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E81801"/>
    <w:pPr>
      <w:ind w:left="720"/>
      <w:contextualSpacing/>
    </w:pPr>
  </w:style>
  <w:style w:type="paragraph" w:customStyle="1" w:styleId="EndNoteBibliographyTitle">
    <w:name w:val="EndNote Bibliography Title"/>
    <w:basedOn w:val="Normal"/>
    <w:link w:val="EndNoteBibliographyTitleChar"/>
    <w:rsid w:val="00E8180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81801"/>
    <w:rPr>
      <w:rFonts w:ascii="Calibri" w:hAnsi="Calibri" w:cs="Calibri"/>
      <w:noProof/>
    </w:rPr>
  </w:style>
  <w:style w:type="paragraph" w:customStyle="1" w:styleId="EndNoteBibliography">
    <w:name w:val="EndNote Bibliography"/>
    <w:basedOn w:val="Normal"/>
    <w:link w:val="EndNoteBibliographyChar"/>
    <w:rsid w:val="00E81801"/>
    <w:pPr>
      <w:spacing w:line="48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81801"/>
    <w:rPr>
      <w:rFonts w:ascii="Calibri" w:hAnsi="Calibri" w:cs="Calibri"/>
      <w:noProof/>
    </w:rPr>
  </w:style>
  <w:style w:type="character" w:styleId="Hyperlink">
    <w:name w:val="Hyperlink"/>
    <w:basedOn w:val="DefaultParagraphFont"/>
    <w:uiPriority w:val="99"/>
    <w:unhideWhenUsed/>
    <w:rsid w:val="00E81801"/>
    <w:rPr>
      <w:color w:val="0563C1" w:themeColor="hyperlink"/>
      <w:u w:val="single"/>
    </w:rPr>
  </w:style>
  <w:style w:type="table" w:styleId="TableGrid">
    <w:name w:val="Table Grid"/>
    <w:basedOn w:val="TableNormal"/>
    <w:uiPriority w:val="39"/>
    <w:rsid w:val="00E81801"/>
    <w:pPr>
      <w:spacing w:after="0" w:line="240" w:lineRule="auto"/>
    </w:pPr>
    <w:rPr>
      <w:rFonts w:eastAsiaTheme="minorEastAsia"/>
      <w:lang w:val="en-NZ"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81801"/>
    <w:pPr>
      <w:spacing w:line="240" w:lineRule="auto"/>
    </w:pPr>
    <w:rPr>
      <w:rFonts w:eastAsiaTheme="minorEastAsia"/>
      <w:sz w:val="20"/>
      <w:szCs w:val="20"/>
      <w:lang w:eastAsia="zh-TW"/>
    </w:rPr>
  </w:style>
  <w:style w:type="character" w:customStyle="1" w:styleId="CommentTextChar">
    <w:name w:val="Comment Text Char"/>
    <w:basedOn w:val="DefaultParagraphFont"/>
    <w:link w:val="CommentText"/>
    <w:uiPriority w:val="99"/>
    <w:semiHidden/>
    <w:rsid w:val="00E81801"/>
    <w:rPr>
      <w:rFonts w:eastAsiaTheme="minorEastAsia"/>
      <w:sz w:val="20"/>
      <w:szCs w:val="20"/>
      <w:lang w:val="en-NZ" w:eastAsia="zh-TW"/>
    </w:rPr>
  </w:style>
  <w:style w:type="character" w:styleId="CommentReference">
    <w:name w:val="annotation reference"/>
    <w:basedOn w:val="DefaultParagraphFont"/>
    <w:uiPriority w:val="99"/>
    <w:semiHidden/>
    <w:unhideWhenUsed/>
    <w:rsid w:val="00E81801"/>
    <w:rPr>
      <w:sz w:val="16"/>
      <w:szCs w:val="16"/>
    </w:rPr>
  </w:style>
  <w:style w:type="paragraph" w:styleId="BalloonText">
    <w:name w:val="Balloon Text"/>
    <w:basedOn w:val="Normal"/>
    <w:link w:val="BalloonTextChar"/>
    <w:uiPriority w:val="99"/>
    <w:semiHidden/>
    <w:unhideWhenUsed/>
    <w:rsid w:val="00E8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801"/>
    <w:rPr>
      <w:rFonts w:ascii="Segoe UI" w:hAnsi="Segoe UI" w:cs="Segoe UI"/>
      <w:sz w:val="18"/>
      <w:szCs w:val="18"/>
      <w:lang w:val="en-NZ"/>
    </w:rPr>
  </w:style>
  <w:style w:type="paragraph" w:styleId="Header">
    <w:name w:val="header"/>
    <w:basedOn w:val="Normal"/>
    <w:link w:val="HeaderChar"/>
    <w:uiPriority w:val="99"/>
    <w:unhideWhenUsed/>
    <w:rsid w:val="006D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AFA"/>
    <w:rPr>
      <w:lang w:val="en-NZ"/>
    </w:rPr>
  </w:style>
  <w:style w:type="paragraph" w:styleId="Footer">
    <w:name w:val="footer"/>
    <w:basedOn w:val="Normal"/>
    <w:link w:val="FooterChar"/>
    <w:uiPriority w:val="99"/>
    <w:unhideWhenUsed/>
    <w:rsid w:val="006D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FA"/>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13</Pages>
  <Words>3055</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Boden</dc:creator>
  <cp:keywords/>
  <dc:description/>
  <cp:lastModifiedBy>Joseph Boden</cp:lastModifiedBy>
  <cp:revision>7</cp:revision>
  <dcterms:created xsi:type="dcterms:W3CDTF">2021-02-02T03:04:00Z</dcterms:created>
  <dcterms:modified xsi:type="dcterms:W3CDTF">2021-02-03T00:56:00Z</dcterms:modified>
</cp:coreProperties>
</file>