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0373" w14:textId="5FED7467" w:rsidR="00A8047E" w:rsidRPr="00C3030A" w:rsidRDefault="00C3030A">
      <w:pPr>
        <w:rPr>
          <w:b/>
          <w:bCs/>
        </w:rPr>
      </w:pPr>
      <w:r w:rsidRPr="00C3030A">
        <w:rPr>
          <w:b/>
          <w:bCs/>
        </w:rPr>
        <w:t>Supplementary materials</w:t>
      </w:r>
    </w:p>
    <w:p w14:paraId="1EE675F9" w14:textId="77777777" w:rsidR="00C3030A" w:rsidRDefault="00C3030A"/>
    <w:p w14:paraId="565775C8" w14:textId="35F1C79D" w:rsidR="00A8047E" w:rsidRPr="00C3030A" w:rsidRDefault="00C3030A">
      <w:pPr>
        <w:rPr>
          <w:rFonts w:cstheme="minorHAnsi"/>
        </w:rPr>
      </w:pPr>
      <w:r>
        <w:rPr>
          <w:rFonts w:cstheme="minorHAnsi"/>
        </w:rPr>
        <w:t xml:space="preserve">The software and method used to conduct confirmatory factor analysis </w:t>
      </w:r>
      <w:r w:rsidR="002B1636">
        <w:rPr>
          <w:rFonts w:cstheme="minorHAnsi"/>
        </w:rPr>
        <w:t>are</w:t>
      </w:r>
      <w:r>
        <w:rPr>
          <w:rFonts w:cstheme="minorHAnsi"/>
        </w:rPr>
        <w:t xml:space="preserve"> </w:t>
      </w:r>
      <w:r w:rsidRPr="005F5742">
        <w:rPr>
          <w:rFonts w:cstheme="minorHAnsi"/>
        </w:rPr>
        <w:t xml:space="preserve">described in the </w:t>
      </w:r>
      <w:r>
        <w:rPr>
          <w:rFonts w:cstheme="minorHAnsi"/>
        </w:rPr>
        <w:t>Statistical A</w:t>
      </w:r>
      <w:r w:rsidRPr="005F5742">
        <w:rPr>
          <w:rFonts w:cstheme="minorHAnsi"/>
        </w:rPr>
        <w:t xml:space="preserve">nalysis </w:t>
      </w:r>
      <w:r>
        <w:rPr>
          <w:rFonts w:cstheme="minorHAnsi"/>
        </w:rPr>
        <w:t xml:space="preserve">Plan section of the main article. The tables below </w:t>
      </w:r>
      <w:r w:rsidR="005A481C">
        <w:rPr>
          <w:rFonts w:cstheme="minorHAnsi"/>
        </w:rPr>
        <w:t>present</w:t>
      </w:r>
      <w:r>
        <w:rPr>
          <w:rFonts w:cstheme="minorHAnsi"/>
        </w:rPr>
        <w:t xml:space="preserve"> the factor loadings of the individual scales. The goodness-of-fit indices are reported in the main article. </w:t>
      </w:r>
    </w:p>
    <w:p w14:paraId="00414EA2" w14:textId="77777777" w:rsidR="00A8047E" w:rsidRDefault="00A8047E"/>
    <w:p w14:paraId="720E40C3" w14:textId="137B827C" w:rsidR="00A8047E" w:rsidRDefault="00A8047E">
      <w:r w:rsidRPr="00A8047E">
        <w:t xml:space="preserve">Table </w:t>
      </w:r>
      <w:r w:rsidR="00C3030A">
        <w:t>S1</w:t>
      </w:r>
      <w:r w:rsidRPr="00A8047E">
        <w:t>. Standardi</w:t>
      </w:r>
      <w:r>
        <w:t>s</w:t>
      </w:r>
      <w:r w:rsidRPr="00A8047E">
        <w:t>ed loadings based on confirmatory factor loadings</w:t>
      </w:r>
      <w:r>
        <w:t xml:space="preserve"> (Vaccine Hesitancy Scale)</w:t>
      </w:r>
    </w:p>
    <w:tbl>
      <w:tblPr>
        <w:tblW w:w="4253" w:type="dxa"/>
        <w:tblLook w:val="04A0" w:firstRow="1" w:lastRow="0" w:firstColumn="1" w:lastColumn="0" w:noHBand="0" w:noVBand="1"/>
      </w:tblPr>
      <w:tblGrid>
        <w:gridCol w:w="1701"/>
        <w:gridCol w:w="2552"/>
      </w:tblGrid>
      <w:tr w:rsidR="00A8047E" w:rsidRPr="00A8047E" w14:paraId="2D4ED247" w14:textId="77777777" w:rsidTr="00A3202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AFDA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3FC9D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Factor loading</w:t>
            </w:r>
          </w:p>
        </w:tc>
      </w:tr>
      <w:tr w:rsidR="00A8047E" w:rsidRPr="00A8047E" w14:paraId="0B93A3FF" w14:textId="77777777" w:rsidTr="00A32026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ACF5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1 (C1)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190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0.93</w:t>
            </w:r>
          </w:p>
        </w:tc>
      </w:tr>
      <w:tr w:rsidR="00A8047E" w:rsidRPr="00A8047E" w14:paraId="1B97B34A" w14:textId="77777777" w:rsidTr="00A32026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2994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2 (C2)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898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</w:tr>
      <w:tr w:rsidR="00A8047E" w:rsidRPr="00A8047E" w14:paraId="26207148" w14:textId="77777777" w:rsidTr="00A32026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F015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3 (C3)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1312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</w:tr>
      <w:tr w:rsidR="00A8047E" w:rsidRPr="00A8047E" w14:paraId="378D7ED1" w14:textId="77777777" w:rsidTr="00A32026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A588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4 (C4)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2C19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0.94</w:t>
            </w:r>
          </w:p>
        </w:tc>
      </w:tr>
      <w:tr w:rsidR="00A8047E" w:rsidRPr="00A8047E" w14:paraId="09DD1866" w14:textId="77777777" w:rsidTr="00A32026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F98F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5 (C5)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06D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0.89</w:t>
            </w:r>
          </w:p>
        </w:tc>
      </w:tr>
      <w:tr w:rsidR="00A8047E" w:rsidRPr="00A8047E" w14:paraId="3B58E5BB" w14:textId="77777777" w:rsidTr="00A32026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A985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6 (C6)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0A16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</w:tr>
      <w:tr w:rsidR="00A8047E" w:rsidRPr="00A8047E" w14:paraId="5C3EF1FD" w14:textId="77777777" w:rsidTr="00A3202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0B87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7 (C7)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6A8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0.90</w:t>
            </w:r>
          </w:p>
        </w:tc>
      </w:tr>
      <w:tr w:rsidR="00A8047E" w:rsidRPr="00A8047E" w14:paraId="39F8C684" w14:textId="77777777" w:rsidTr="00A32026">
        <w:trPr>
          <w:trHeight w:val="640"/>
        </w:trPr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5145" w14:textId="2911B5D4" w:rsidR="00A8047E" w:rsidRPr="00A8047E" w:rsidRDefault="00A8047E" w:rsidP="00A8047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i/>
                <w:iCs/>
                <w:color w:val="000000"/>
              </w:rPr>
              <w:t>Note</w:t>
            </w:r>
            <w:r w:rsidRPr="00A8047E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0F591B" w:rsidRPr="00C3030A">
              <w:rPr>
                <w:rFonts w:ascii="Calibri" w:eastAsia="Times New Roman" w:hAnsi="Calibri" w:cs="Times New Roman"/>
                <w:color w:val="000000"/>
              </w:rPr>
              <w:t>Standardi</w:t>
            </w:r>
            <w:r w:rsidR="000F591B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0F591B" w:rsidRPr="00C3030A">
              <w:rPr>
                <w:rFonts w:ascii="Calibri" w:eastAsia="Times New Roman" w:hAnsi="Calibri" w:cs="Times New Roman"/>
                <w:color w:val="000000"/>
              </w:rPr>
              <w:t xml:space="preserve">ed </w:t>
            </w:r>
            <w:r w:rsidRPr="00A8047E">
              <w:rPr>
                <w:rFonts w:ascii="Calibri" w:eastAsia="Times New Roman" w:hAnsi="Calibri" w:cs="Times New Roman"/>
                <w:color w:val="000000"/>
              </w:rPr>
              <w:t>item loadings for a single factor.</w:t>
            </w:r>
          </w:p>
        </w:tc>
      </w:tr>
    </w:tbl>
    <w:p w14:paraId="10094FA5" w14:textId="64725C50" w:rsidR="00A8047E" w:rsidRDefault="00A8047E"/>
    <w:p w14:paraId="124C6380" w14:textId="1791DFB9" w:rsidR="00A8047E" w:rsidRPr="00A8047E" w:rsidRDefault="00A8047E" w:rsidP="00A8047E"/>
    <w:p w14:paraId="746BFABB" w14:textId="7D71D814" w:rsidR="00A8047E" w:rsidRDefault="00A8047E" w:rsidP="00A8047E">
      <w:r w:rsidRPr="00A8047E">
        <w:t xml:space="preserve">Table </w:t>
      </w:r>
      <w:r w:rsidR="00C3030A">
        <w:t>S2</w:t>
      </w:r>
      <w:r w:rsidRPr="00A8047E">
        <w:t>. Standardi</w:t>
      </w:r>
      <w:r>
        <w:t>s</w:t>
      </w:r>
      <w:r w:rsidRPr="00A8047E">
        <w:t>ed loadings based on confirmatory factor loadings</w:t>
      </w:r>
      <w:r>
        <w:t xml:space="preserve"> (Specific Phobia Scale)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1760"/>
        <w:gridCol w:w="2320"/>
      </w:tblGrid>
      <w:tr w:rsidR="00A8047E" w:rsidRPr="00A8047E" w14:paraId="0A337367" w14:textId="77777777" w:rsidTr="00A8047E">
        <w:trPr>
          <w:trHeight w:val="340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661D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1BF6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Factor loading</w:t>
            </w:r>
          </w:p>
        </w:tc>
      </w:tr>
      <w:tr w:rsidR="00A8047E" w:rsidRPr="00A8047E" w14:paraId="27E49FE5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162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1 (F1r1)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AEE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0.75</w:t>
            </w:r>
          </w:p>
        </w:tc>
      </w:tr>
      <w:tr w:rsidR="00A8047E" w:rsidRPr="00A8047E" w14:paraId="44F5D6F3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C92B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2 (F1r2)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A35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0.74</w:t>
            </w:r>
          </w:p>
        </w:tc>
      </w:tr>
      <w:tr w:rsidR="00A8047E" w:rsidRPr="00A8047E" w14:paraId="100B9C72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DFF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4 (F1r4)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F1B0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0.67</w:t>
            </w:r>
          </w:p>
        </w:tc>
      </w:tr>
      <w:tr w:rsidR="00A8047E" w:rsidRPr="00A8047E" w14:paraId="3C4B92ED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B09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5 (F1r5)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D5E5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</w:tr>
      <w:tr w:rsidR="00A8047E" w:rsidRPr="00A8047E" w14:paraId="7158744D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54C1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6 (F1r6)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4F8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A8047E" w:rsidRPr="00A8047E" w14:paraId="14FD8625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F61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7 (F1r7)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5B2C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0.49</w:t>
            </w:r>
          </w:p>
        </w:tc>
        <w:bookmarkStart w:id="0" w:name="_GoBack"/>
        <w:bookmarkEnd w:id="0"/>
      </w:tr>
      <w:tr w:rsidR="00A8047E" w:rsidRPr="00A8047E" w14:paraId="2465A9E7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074A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9 (F1r9)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785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0.64</w:t>
            </w:r>
          </w:p>
        </w:tc>
      </w:tr>
      <w:tr w:rsidR="00A8047E" w:rsidRPr="00A8047E" w14:paraId="766CDDB4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BB90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11 (F1r11)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971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0.72</w:t>
            </w:r>
          </w:p>
        </w:tc>
      </w:tr>
      <w:tr w:rsidR="00A8047E" w:rsidRPr="00A8047E" w14:paraId="3AB614FF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316F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12 (F1r12)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0A8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0.83</w:t>
            </w:r>
          </w:p>
        </w:tc>
      </w:tr>
      <w:tr w:rsidR="00A8047E" w:rsidRPr="00A8047E" w14:paraId="38F310E3" w14:textId="77777777" w:rsidTr="00A8047E">
        <w:trPr>
          <w:trHeight w:val="3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DEA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13 (F1r13)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DB3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0.55</w:t>
            </w:r>
          </w:p>
        </w:tc>
      </w:tr>
      <w:tr w:rsidR="00A8047E" w:rsidRPr="00A8047E" w14:paraId="09505CCC" w14:textId="77777777" w:rsidTr="00A8047E">
        <w:trPr>
          <w:trHeight w:val="720"/>
        </w:trPr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AB88" w14:textId="4062A125" w:rsidR="00A8047E" w:rsidRPr="00A8047E" w:rsidRDefault="00A8047E" w:rsidP="00A8047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i/>
                <w:iCs/>
                <w:color w:val="000000"/>
              </w:rPr>
              <w:t>Note</w:t>
            </w:r>
            <w:r w:rsidRPr="00A8047E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0F591B" w:rsidRPr="00C3030A">
              <w:rPr>
                <w:rFonts w:ascii="Calibri" w:eastAsia="Times New Roman" w:hAnsi="Calibri" w:cs="Times New Roman"/>
                <w:color w:val="000000"/>
              </w:rPr>
              <w:t>Standardi</w:t>
            </w:r>
            <w:r w:rsidR="000F591B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0F591B" w:rsidRPr="00C3030A">
              <w:rPr>
                <w:rFonts w:ascii="Calibri" w:eastAsia="Times New Roman" w:hAnsi="Calibri" w:cs="Times New Roman"/>
                <w:color w:val="000000"/>
              </w:rPr>
              <w:t xml:space="preserve">ed </w:t>
            </w:r>
            <w:r w:rsidRPr="00A8047E">
              <w:rPr>
                <w:rFonts w:ascii="Calibri" w:eastAsia="Times New Roman" w:hAnsi="Calibri" w:cs="Times New Roman"/>
                <w:color w:val="000000"/>
              </w:rPr>
              <w:t>item loadings for a single factor.</w:t>
            </w:r>
          </w:p>
        </w:tc>
      </w:tr>
    </w:tbl>
    <w:p w14:paraId="3298F21B" w14:textId="3C5E3AB1" w:rsidR="00A8047E" w:rsidRDefault="00A8047E" w:rsidP="00A8047E"/>
    <w:p w14:paraId="05FE7870" w14:textId="1783AECD" w:rsidR="00A8047E" w:rsidRDefault="00A8047E" w:rsidP="00A8047E"/>
    <w:p w14:paraId="31D59D01" w14:textId="6AF5017B" w:rsidR="002B1636" w:rsidRDefault="002B1636" w:rsidP="00A8047E"/>
    <w:p w14:paraId="5446CEE2" w14:textId="3B7B900A" w:rsidR="002B1636" w:rsidRDefault="002B1636" w:rsidP="00A8047E"/>
    <w:p w14:paraId="0E51A49B" w14:textId="6D248108" w:rsidR="002B1636" w:rsidRDefault="002B1636" w:rsidP="00A8047E"/>
    <w:p w14:paraId="2C770EFC" w14:textId="6E86B5C8" w:rsidR="002B1636" w:rsidRDefault="002B1636" w:rsidP="00A8047E"/>
    <w:p w14:paraId="40F8AA80" w14:textId="1EB1B942" w:rsidR="002B1636" w:rsidRDefault="002B1636" w:rsidP="00A8047E"/>
    <w:p w14:paraId="231CDAC4" w14:textId="2501571D" w:rsidR="002B1636" w:rsidRDefault="002B1636" w:rsidP="00A8047E"/>
    <w:p w14:paraId="3F77B912" w14:textId="77777777" w:rsidR="002B1636" w:rsidRDefault="002B1636" w:rsidP="00A8047E"/>
    <w:p w14:paraId="684E70BB" w14:textId="1291C651" w:rsidR="00A8047E" w:rsidRDefault="00A8047E" w:rsidP="00A8047E">
      <w:r w:rsidRPr="00A8047E">
        <w:lastRenderedPageBreak/>
        <w:t xml:space="preserve">Table </w:t>
      </w:r>
      <w:r w:rsidR="00C3030A">
        <w:t>S3</w:t>
      </w:r>
      <w:r w:rsidRPr="00A8047E">
        <w:t>. Standardi</w:t>
      </w:r>
      <w:r>
        <w:t>s</w:t>
      </w:r>
      <w:r w:rsidRPr="00A8047E">
        <w:t>ed loadings based on confirmatory factor loadings</w:t>
      </w:r>
      <w:r>
        <w:t xml:space="preserve"> (Medical Fear Survey)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1760"/>
        <w:gridCol w:w="2320"/>
      </w:tblGrid>
      <w:tr w:rsidR="00A8047E" w:rsidRPr="00A8047E" w14:paraId="0E2A5602" w14:textId="77777777" w:rsidTr="00A8047E">
        <w:trPr>
          <w:trHeight w:val="340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5FF0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6DBA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Factor loading</w:t>
            </w:r>
          </w:p>
        </w:tc>
      </w:tr>
      <w:tr w:rsidR="00A8047E" w:rsidRPr="00A8047E" w14:paraId="243CE963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19D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1 (G1r1)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111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0.87</w:t>
            </w:r>
          </w:p>
        </w:tc>
      </w:tr>
      <w:tr w:rsidR="00A8047E" w:rsidRPr="00A8047E" w14:paraId="015B6BEB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722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2 (G1r2)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7B8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0.89</w:t>
            </w:r>
          </w:p>
        </w:tc>
      </w:tr>
      <w:tr w:rsidR="00A8047E" w:rsidRPr="00A8047E" w14:paraId="2D304C45" w14:textId="77777777" w:rsidTr="00A8047E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354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3 (G1r3)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6C1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</w:tr>
      <w:tr w:rsidR="00A8047E" w:rsidRPr="00A8047E" w14:paraId="482FBE1C" w14:textId="77777777" w:rsidTr="00A8047E">
        <w:trPr>
          <w:trHeight w:val="3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AF63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Item 4 (G1r4)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4E9" w14:textId="77777777" w:rsidR="00A8047E" w:rsidRPr="00A8047E" w:rsidRDefault="00A8047E" w:rsidP="00A804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color w:val="000000"/>
              </w:rPr>
              <w:t>0.78</w:t>
            </w:r>
          </w:p>
        </w:tc>
      </w:tr>
      <w:tr w:rsidR="00A8047E" w:rsidRPr="00A8047E" w14:paraId="25EB78B9" w14:textId="77777777" w:rsidTr="00A8047E">
        <w:trPr>
          <w:trHeight w:val="660"/>
        </w:trPr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D0C3D" w14:textId="77777777" w:rsidR="00A8047E" w:rsidRPr="00A8047E" w:rsidRDefault="00A8047E" w:rsidP="00A8047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A8047E">
              <w:rPr>
                <w:rFonts w:ascii="Calibri" w:eastAsia="Times New Roman" w:hAnsi="Calibri" w:cs="Times New Roman"/>
                <w:i/>
                <w:iCs/>
                <w:color w:val="000000"/>
              </w:rPr>
              <w:t>Note</w:t>
            </w:r>
            <w:r w:rsidRPr="00A8047E">
              <w:rPr>
                <w:rFonts w:ascii="Calibri" w:eastAsia="Times New Roman" w:hAnsi="Calibri" w:cs="Times New Roman"/>
                <w:color w:val="000000"/>
              </w:rPr>
              <w:t>. Standardized item loadings for a single factor.</w:t>
            </w:r>
          </w:p>
        </w:tc>
      </w:tr>
    </w:tbl>
    <w:p w14:paraId="70D77DF4" w14:textId="266E7944" w:rsidR="00A8047E" w:rsidRDefault="00A8047E" w:rsidP="00A8047E"/>
    <w:p w14:paraId="772EF19A" w14:textId="5EF7A139" w:rsidR="00A8047E" w:rsidRDefault="00A8047E" w:rsidP="00A8047E"/>
    <w:p w14:paraId="45EA96C6" w14:textId="77777777" w:rsidR="00C3030A" w:rsidRDefault="00C3030A" w:rsidP="00C3030A"/>
    <w:p w14:paraId="4487618C" w14:textId="04499569" w:rsidR="00A8047E" w:rsidRDefault="00C3030A" w:rsidP="00A8047E">
      <w:r w:rsidRPr="00A8047E">
        <w:t xml:space="preserve">Table </w:t>
      </w:r>
      <w:r>
        <w:t>S4</w:t>
      </w:r>
      <w:r w:rsidRPr="00A8047E">
        <w:t>. Standardi</w:t>
      </w:r>
      <w:r>
        <w:t>s</w:t>
      </w:r>
      <w:r w:rsidRPr="00A8047E">
        <w:t>ed loadings based on confirmatory factor loadings</w:t>
      </w:r>
      <w:r>
        <w:t xml:space="preserve"> (Injection Fears Survey)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1760"/>
        <w:gridCol w:w="2320"/>
      </w:tblGrid>
      <w:tr w:rsidR="00C3030A" w:rsidRPr="00C3030A" w14:paraId="7D1DAD0F" w14:textId="77777777" w:rsidTr="00C3030A">
        <w:trPr>
          <w:trHeight w:val="340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DEC9" w14:textId="77777777" w:rsidR="00C3030A" w:rsidRPr="00C3030A" w:rsidRDefault="00C3030A" w:rsidP="00C3030A">
            <w:pPr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Item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B2DE" w14:textId="77777777" w:rsidR="00C3030A" w:rsidRPr="00C3030A" w:rsidRDefault="00C3030A" w:rsidP="00C3030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Factor loading</w:t>
            </w:r>
          </w:p>
        </w:tc>
      </w:tr>
      <w:tr w:rsidR="00C3030A" w:rsidRPr="00C3030A" w14:paraId="705023E7" w14:textId="77777777" w:rsidTr="00C3030A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246A" w14:textId="77777777" w:rsidR="00C3030A" w:rsidRPr="00C3030A" w:rsidRDefault="00C3030A" w:rsidP="00C3030A">
            <w:pPr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Item 1 (F1r1)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DC09" w14:textId="77777777" w:rsidR="00C3030A" w:rsidRPr="00C3030A" w:rsidRDefault="00C3030A" w:rsidP="00C3030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</w:tr>
      <w:tr w:rsidR="00C3030A" w:rsidRPr="00C3030A" w14:paraId="557D0DE2" w14:textId="77777777" w:rsidTr="00C3030A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3EA4" w14:textId="77777777" w:rsidR="00C3030A" w:rsidRPr="00C3030A" w:rsidRDefault="00C3030A" w:rsidP="00C3030A">
            <w:pPr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Item 2 (F1r12)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FECD" w14:textId="77777777" w:rsidR="00C3030A" w:rsidRPr="00C3030A" w:rsidRDefault="00C3030A" w:rsidP="00C3030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0.88</w:t>
            </w:r>
          </w:p>
        </w:tc>
      </w:tr>
      <w:tr w:rsidR="00C3030A" w:rsidRPr="00C3030A" w14:paraId="273CC9EC" w14:textId="77777777" w:rsidTr="00C3030A">
        <w:trPr>
          <w:trHeight w:val="3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A6B" w14:textId="77777777" w:rsidR="00C3030A" w:rsidRPr="00C3030A" w:rsidRDefault="00C3030A" w:rsidP="00C3030A">
            <w:pPr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Item 3 (G1r1)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341" w14:textId="77777777" w:rsidR="00C3030A" w:rsidRPr="00C3030A" w:rsidRDefault="00C3030A" w:rsidP="00C3030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0.85</w:t>
            </w:r>
          </w:p>
        </w:tc>
      </w:tr>
      <w:tr w:rsidR="00C3030A" w:rsidRPr="00C3030A" w14:paraId="6A165C4E" w14:textId="77777777" w:rsidTr="00C3030A">
        <w:trPr>
          <w:trHeight w:val="3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3D3F" w14:textId="77777777" w:rsidR="00C3030A" w:rsidRPr="00C3030A" w:rsidRDefault="00C3030A" w:rsidP="00C3030A">
            <w:pPr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Item 4 (G1r4)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83E9" w14:textId="77777777" w:rsidR="00C3030A" w:rsidRPr="00C3030A" w:rsidRDefault="00C3030A" w:rsidP="00C3030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</w:tr>
      <w:tr w:rsidR="00C3030A" w:rsidRPr="00C3030A" w14:paraId="0D777A09" w14:textId="77777777" w:rsidTr="00C3030A">
        <w:trPr>
          <w:trHeight w:val="740"/>
        </w:trPr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144B" w14:textId="29CFA0CE" w:rsidR="00C3030A" w:rsidRPr="00C3030A" w:rsidRDefault="00C3030A" w:rsidP="00C3030A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3030A">
              <w:rPr>
                <w:rFonts w:ascii="Calibri" w:eastAsia="Times New Roman" w:hAnsi="Calibri" w:cs="Times New Roman"/>
                <w:i/>
                <w:iCs/>
                <w:color w:val="000000"/>
              </w:rPr>
              <w:t>Note</w:t>
            </w:r>
            <w:r w:rsidRPr="00C3030A">
              <w:rPr>
                <w:rFonts w:ascii="Calibri" w:eastAsia="Times New Roman" w:hAnsi="Calibri" w:cs="Times New Roman"/>
                <w:color w:val="000000"/>
              </w:rPr>
              <w:t>. Standardi</w:t>
            </w:r>
            <w:r w:rsidR="000F591B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C3030A">
              <w:rPr>
                <w:rFonts w:ascii="Calibri" w:eastAsia="Times New Roman" w:hAnsi="Calibri" w:cs="Times New Roman"/>
                <w:color w:val="000000"/>
              </w:rPr>
              <w:t>ed item loadings for a single factor.</w:t>
            </w:r>
          </w:p>
        </w:tc>
      </w:tr>
    </w:tbl>
    <w:p w14:paraId="77B460B5" w14:textId="77777777" w:rsidR="00C3030A" w:rsidRPr="00A8047E" w:rsidRDefault="00C3030A" w:rsidP="00A8047E"/>
    <w:sectPr w:rsidR="00C3030A" w:rsidRPr="00A8047E" w:rsidSect="00BD7E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7E"/>
    <w:rsid w:val="000F591B"/>
    <w:rsid w:val="00180BDE"/>
    <w:rsid w:val="002B1636"/>
    <w:rsid w:val="00566A39"/>
    <w:rsid w:val="0059572C"/>
    <w:rsid w:val="005A481C"/>
    <w:rsid w:val="006726B3"/>
    <w:rsid w:val="00696A51"/>
    <w:rsid w:val="007500AB"/>
    <w:rsid w:val="00931941"/>
    <w:rsid w:val="00974DBF"/>
    <w:rsid w:val="009B3C86"/>
    <w:rsid w:val="00A32026"/>
    <w:rsid w:val="00A8047E"/>
    <w:rsid w:val="00BD7EA7"/>
    <w:rsid w:val="00C27C3B"/>
    <w:rsid w:val="00C3030A"/>
    <w:rsid w:val="00F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3815"/>
  <w15:chartTrackingRefBased/>
  <w15:docId w15:val="{FE9E414F-536C-9242-A824-1134538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4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3" ma:contentTypeDescription="Create a new document." ma:contentTypeScope="" ma:versionID="a0ac044278462d89e3c1b95febbe3113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c469fd53967d473ca17ba38ccc7e783e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0348F-61C9-4511-996E-11B9E6DD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9C23C-19FC-4E4A-AFC4-FEFAFE88C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69F95-81C5-46EB-A46F-E870C9F260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b55023-286f-46d7-8b8e-5a79189d33e9"/>
    <ds:schemaRef ds:uri="adcfa805-e237-4af0-86e0-efffb5656f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Loe</dc:creator>
  <cp:keywords/>
  <dc:description/>
  <cp:lastModifiedBy>Daniel Freeman</cp:lastModifiedBy>
  <cp:revision>2</cp:revision>
  <dcterms:created xsi:type="dcterms:W3CDTF">2021-06-14T07:42:00Z</dcterms:created>
  <dcterms:modified xsi:type="dcterms:W3CDTF">2021-06-14T07:42:00Z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