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60D58" w14:textId="22B33F1C" w:rsidR="008847BB" w:rsidRDefault="008847BB" w:rsidP="008847BB">
      <w:pPr>
        <w:keepNext/>
        <w:keepLines/>
        <w:spacing w:after="0"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8847BB">
        <w:rPr>
          <w:rFonts w:ascii="Times New Roman" w:eastAsia="Times New Roman" w:hAnsi="Times New Roman" w:cs="Times New Roman"/>
          <w:b/>
        </w:rPr>
        <w:t>Supplementa</w:t>
      </w:r>
      <w:r w:rsidR="00867879">
        <w:rPr>
          <w:rFonts w:ascii="Times New Roman" w:eastAsia="Times New Roman" w:hAnsi="Times New Roman" w:cs="Times New Roman"/>
          <w:b/>
        </w:rPr>
        <w:t>l</w:t>
      </w:r>
      <w:r w:rsidRPr="008847BB">
        <w:rPr>
          <w:rFonts w:ascii="Times New Roman" w:eastAsia="Times New Roman" w:hAnsi="Times New Roman" w:cs="Times New Roman"/>
          <w:b/>
        </w:rPr>
        <w:t xml:space="preserve"> Materials</w:t>
      </w:r>
      <w:r w:rsidR="008F08AE">
        <w:rPr>
          <w:rFonts w:ascii="Times New Roman" w:eastAsia="Times New Roman" w:hAnsi="Times New Roman" w:cs="Times New Roman"/>
          <w:b/>
        </w:rPr>
        <w:t xml:space="preserve"> for</w:t>
      </w:r>
    </w:p>
    <w:p w14:paraId="020AD5D8" w14:textId="77777777" w:rsidR="008F08AE" w:rsidRDefault="008F08AE" w:rsidP="008847BB">
      <w:pPr>
        <w:keepNext/>
        <w:keepLines/>
        <w:spacing w:after="0"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2E7255A3" w14:textId="2DE08C50" w:rsidR="004728BF" w:rsidRPr="00937BB2" w:rsidRDefault="004728BF" w:rsidP="004728B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NZ"/>
        </w:rPr>
      </w:pPr>
      <w:bookmarkStart w:id="0" w:name="_Hlk47023151"/>
      <w:r w:rsidRPr="00937BB2">
        <w:rPr>
          <w:rFonts w:ascii="Times New Roman" w:hAnsi="Times New Roman" w:cs="Times New Roman"/>
          <w:b/>
          <w:sz w:val="24"/>
          <w:szCs w:val="24"/>
          <w:lang w:val="en-NZ"/>
        </w:rPr>
        <w:t xml:space="preserve">Associations between </w:t>
      </w:r>
      <w:r>
        <w:rPr>
          <w:rFonts w:ascii="Times New Roman" w:hAnsi="Times New Roman" w:cs="Times New Roman"/>
          <w:b/>
          <w:sz w:val="24"/>
          <w:szCs w:val="24"/>
          <w:lang w:val="en-NZ"/>
        </w:rPr>
        <w:t xml:space="preserve">mental </w:t>
      </w:r>
      <w:r w:rsidRPr="00937BB2">
        <w:rPr>
          <w:rFonts w:ascii="Times New Roman" w:hAnsi="Times New Roman" w:cs="Times New Roman"/>
          <w:b/>
          <w:sz w:val="24"/>
          <w:szCs w:val="24"/>
          <w:lang w:val="en-NZ"/>
        </w:rPr>
        <w:t xml:space="preserve">wellbeing </w:t>
      </w:r>
      <w:r>
        <w:rPr>
          <w:rFonts w:ascii="Times New Roman" w:hAnsi="Times New Roman" w:cs="Times New Roman"/>
          <w:b/>
          <w:sz w:val="24"/>
          <w:szCs w:val="24"/>
          <w:lang w:val="en-NZ"/>
        </w:rPr>
        <w:t xml:space="preserve">and </w:t>
      </w:r>
      <w:r w:rsidR="00AC725C">
        <w:rPr>
          <w:rFonts w:ascii="Times New Roman" w:hAnsi="Times New Roman" w:cs="Times New Roman"/>
          <w:b/>
          <w:sz w:val="24"/>
          <w:szCs w:val="24"/>
          <w:lang w:val="en-NZ"/>
        </w:rPr>
        <w:t xml:space="preserve">fMRI </w:t>
      </w:r>
      <w:r w:rsidRPr="00937BB2">
        <w:rPr>
          <w:rFonts w:ascii="Times New Roman" w:hAnsi="Times New Roman" w:cs="Times New Roman"/>
          <w:b/>
          <w:sz w:val="24"/>
          <w:szCs w:val="24"/>
          <w:lang w:val="en-NZ"/>
        </w:rPr>
        <w:t xml:space="preserve">neural bases </w:t>
      </w:r>
      <w:r>
        <w:rPr>
          <w:rFonts w:ascii="Times New Roman" w:hAnsi="Times New Roman" w:cs="Times New Roman"/>
          <w:b/>
          <w:sz w:val="24"/>
          <w:szCs w:val="24"/>
          <w:lang w:val="en-NZ"/>
        </w:rPr>
        <w:t>underlying</w:t>
      </w:r>
      <w:r w:rsidRPr="00937BB2">
        <w:rPr>
          <w:rFonts w:ascii="Times New Roman" w:hAnsi="Times New Roman" w:cs="Times New Roman"/>
          <w:b/>
          <w:sz w:val="24"/>
          <w:szCs w:val="24"/>
          <w:lang w:val="en-N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NZ"/>
        </w:rPr>
        <w:t xml:space="preserve">responses to positive </w:t>
      </w:r>
      <w:r w:rsidRPr="00937BB2">
        <w:rPr>
          <w:rFonts w:ascii="Times New Roman" w:hAnsi="Times New Roman" w:cs="Times New Roman"/>
          <w:b/>
          <w:sz w:val="24"/>
          <w:szCs w:val="24"/>
          <w:lang w:val="en-NZ"/>
        </w:rPr>
        <w:t xml:space="preserve">emotion </w:t>
      </w:r>
      <w:r>
        <w:rPr>
          <w:rFonts w:ascii="Times New Roman" w:hAnsi="Times New Roman" w:cs="Times New Roman"/>
          <w:b/>
          <w:sz w:val="24"/>
          <w:szCs w:val="24"/>
          <w:lang w:val="en-NZ"/>
        </w:rPr>
        <w:t xml:space="preserve">in a twin sample </w:t>
      </w:r>
    </w:p>
    <w:bookmarkEnd w:id="0"/>
    <w:p w14:paraId="2F6B4481" w14:textId="77777777" w:rsidR="008F08AE" w:rsidRPr="00E93963" w:rsidRDefault="008F08AE" w:rsidP="008F08A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NZ"/>
        </w:rPr>
      </w:pPr>
    </w:p>
    <w:p w14:paraId="412FD61D" w14:textId="77777777" w:rsidR="008F08AE" w:rsidRDefault="008F08AE" w:rsidP="008F08AE">
      <w:pPr>
        <w:spacing w:after="0" w:line="480" w:lineRule="auto"/>
        <w:rPr>
          <w:rFonts w:ascii="Times New Roman" w:hAnsi="Times New Roman" w:cs="Times New Roman"/>
          <w:vertAlign w:val="superscript"/>
          <w:lang w:val="en-NZ"/>
        </w:rPr>
      </w:pPr>
      <w:bookmarkStart w:id="1" w:name="_Hlk47023159"/>
      <w:r w:rsidRPr="00E93963">
        <w:rPr>
          <w:rFonts w:ascii="Times New Roman" w:hAnsi="Times New Roman" w:cs="Times New Roman"/>
          <w:sz w:val="24"/>
          <w:szCs w:val="24"/>
          <w:lang w:val="en-NZ"/>
        </w:rPr>
        <w:t>Haeme R.</w:t>
      </w:r>
      <w:r>
        <w:rPr>
          <w:rFonts w:ascii="Times New Roman" w:hAnsi="Times New Roman" w:cs="Times New Roman"/>
          <w:sz w:val="24"/>
          <w:szCs w:val="24"/>
          <w:lang w:val="en-NZ"/>
        </w:rPr>
        <w:t>P. Park</w:t>
      </w:r>
      <w:r w:rsidRPr="00E93963">
        <w:rPr>
          <w:rFonts w:ascii="Times New Roman" w:hAnsi="Times New Roman" w:cs="Times New Roman"/>
          <w:vertAlign w:val="superscript"/>
          <w:lang w:val="en-NZ"/>
        </w:rPr>
        <w:t>1</w:t>
      </w:r>
      <w:r>
        <w:rPr>
          <w:rFonts w:ascii="Times New Roman" w:hAnsi="Times New Roman" w:cs="Times New Roman"/>
          <w:vertAlign w:val="superscript"/>
          <w:lang w:val="en-NZ"/>
        </w:rPr>
        <w:t>,2</w:t>
      </w:r>
      <w:r>
        <w:rPr>
          <w:rFonts w:ascii="Times New Roman" w:hAnsi="Times New Roman" w:cs="Times New Roman"/>
          <w:sz w:val="24"/>
          <w:szCs w:val="24"/>
          <w:lang w:val="en-NZ"/>
        </w:rPr>
        <w:t>, Miranda R. Chilver</w:t>
      </w:r>
      <w:r w:rsidRPr="00E93963">
        <w:rPr>
          <w:rFonts w:ascii="Times New Roman" w:hAnsi="Times New Roman" w:cs="Times New Roman"/>
          <w:vertAlign w:val="superscript"/>
          <w:lang w:val="en-NZ"/>
        </w:rPr>
        <w:t>1</w:t>
      </w:r>
      <w:r>
        <w:rPr>
          <w:rFonts w:ascii="Times New Roman" w:hAnsi="Times New Roman" w:cs="Times New Roman"/>
          <w:vertAlign w:val="superscript"/>
          <w:lang w:val="en-NZ"/>
        </w:rPr>
        <w:t>,2</w:t>
      </w:r>
      <w:r>
        <w:rPr>
          <w:rFonts w:ascii="Times New Roman" w:hAnsi="Times New Roman" w:cs="Times New Roman"/>
          <w:sz w:val="24"/>
          <w:szCs w:val="24"/>
          <w:lang w:val="en-NZ"/>
        </w:rPr>
        <w:t>, Arthur Montalto</w:t>
      </w:r>
      <w:r w:rsidRPr="00E93963">
        <w:rPr>
          <w:rFonts w:ascii="Times New Roman" w:hAnsi="Times New Roman" w:cs="Times New Roman"/>
          <w:vertAlign w:val="superscript"/>
          <w:lang w:val="en-NZ"/>
        </w:rPr>
        <w:t>1</w:t>
      </w:r>
      <w:r>
        <w:rPr>
          <w:rFonts w:ascii="Times New Roman" w:hAnsi="Times New Roman" w:cs="Times New Roman"/>
          <w:vertAlign w:val="superscript"/>
          <w:lang w:val="en-NZ"/>
        </w:rPr>
        <w:t>,2</w:t>
      </w:r>
      <w:r>
        <w:rPr>
          <w:rFonts w:ascii="Times New Roman" w:hAnsi="Times New Roman" w:cs="Times New Roman"/>
          <w:sz w:val="24"/>
          <w:szCs w:val="24"/>
          <w:lang w:val="en-NZ"/>
        </w:rPr>
        <w:t>, Javad Jamshidi</w:t>
      </w:r>
      <w:r w:rsidRPr="00E93963">
        <w:rPr>
          <w:rFonts w:ascii="Times New Roman" w:hAnsi="Times New Roman" w:cs="Times New Roman"/>
          <w:vertAlign w:val="superscript"/>
          <w:lang w:val="en-NZ"/>
        </w:rPr>
        <w:t>1</w:t>
      </w:r>
      <w:r>
        <w:rPr>
          <w:rFonts w:ascii="Times New Roman" w:hAnsi="Times New Roman" w:cs="Times New Roman"/>
          <w:vertAlign w:val="superscript"/>
          <w:lang w:val="en-NZ"/>
        </w:rPr>
        <w:t>,2</w:t>
      </w:r>
      <w:r>
        <w:rPr>
          <w:rFonts w:ascii="Times New Roman" w:hAnsi="Times New Roman" w:cs="Times New Roman"/>
          <w:sz w:val="24"/>
          <w:szCs w:val="24"/>
          <w:lang w:val="en-NZ"/>
        </w:rPr>
        <w:t>, Peter R. Schofield</w:t>
      </w:r>
      <w:r w:rsidRPr="00E93963">
        <w:rPr>
          <w:rFonts w:ascii="Times New Roman" w:hAnsi="Times New Roman" w:cs="Times New Roman"/>
          <w:vertAlign w:val="superscript"/>
          <w:lang w:val="en-NZ"/>
        </w:rPr>
        <w:t>1</w:t>
      </w:r>
      <w:r>
        <w:rPr>
          <w:rFonts w:ascii="Times New Roman" w:hAnsi="Times New Roman" w:cs="Times New Roman"/>
          <w:vertAlign w:val="superscript"/>
          <w:lang w:val="en-NZ"/>
        </w:rPr>
        <w:t>,3</w:t>
      </w:r>
      <w:r>
        <w:rPr>
          <w:rFonts w:ascii="Times New Roman" w:hAnsi="Times New Roman" w:cs="Times New Roman"/>
          <w:sz w:val="24"/>
          <w:szCs w:val="24"/>
          <w:lang w:val="en-NZ"/>
        </w:rPr>
        <w:t>, Leanne M. Williams</w:t>
      </w:r>
      <w:r>
        <w:rPr>
          <w:rFonts w:ascii="Times New Roman" w:hAnsi="Times New Roman" w:cs="Times New Roman"/>
          <w:vertAlign w:val="superscript"/>
          <w:lang w:val="en-NZ"/>
        </w:rPr>
        <w:t>4</w:t>
      </w:r>
      <w:r>
        <w:rPr>
          <w:rFonts w:ascii="Times New Roman" w:hAnsi="Times New Roman" w:cs="Times New Roman"/>
          <w:sz w:val="24"/>
          <w:szCs w:val="24"/>
          <w:lang w:val="en-NZ"/>
        </w:rPr>
        <w:t>, Justine M. Gatt</w:t>
      </w:r>
      <w:r w:rsidRPr="00E93963">
        <w:rPr>
          <w:rFonts w:ascii="Times New Roman" w:hAnsi="Times New Roman" w:cs="Times New Roman"/>
          <w:vertAlign w:val="superscript"/>
          <w:lang w:val="en-NZ"/>
        </w:rPr>
        <w:t>1</w:t>
      </w:r>
      <w:r>
        <w:rPr>
          <w:rFonts w:ascii="Times New Roman" w:hAnsi="Times New Roman" w:cs="Times New Roman"/>
          <w:vertAlign w:val="superscript"/>
          <w:lang w:val="en-NZ"/>
        </w:rPr>
        <w:t>,2</w:t>
      </w:r>
    </w:p>
    <w:bookmarkEnd w:id="1"/>
    <w:p w14:paraId="6335FACA" w14:textId="77777777" w:rsidR="008F08AE" w:rsidRPr="00E93963" w:rsidRDefault="008F08AE" w:rsidP="008F08AE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  <w:lang w:val="en-NZ"/>
        </w:rPr>
      </w:pPr>
    </w:p>
    <w:p w14:paraId="28E2F293" w14:textId="77777777" w:rsidR="008F08AE" w:rsidRPr="00E93963" w:rsidRDefault="008F08AE" w:rsidP="008F08AE">
      <w:pPr>
        <w:spacing w:after="0" w:line="480" w:lineRule="auto"/>
        <w:rPr>
          <w:rFonts w:ascii="Times New Roman" w:hAnsi="Times New Roman" w:cs="Times New Roman"/>
          <w:lang w:val="en-NZ"/>
        </w:rPr>
      </w:pPr>
      <w:bookmarkStart w:id="2" w:name="_Hlk47023164"/>
      <w:r w:rsidRPr="00E93963">
        <w:rPr>
          <w:rFonts w:ascii="Times New Roman" w:hAnsi="Times New Roman" w:cs="Times New Roman"/>
          <w:vertAlign w:val="superscript"/>
          <w:lang w:val="en-NZ"/>
        </w:rPr>
        <w:t xml:space="preserve">1 </w:t>
      </w:r>
      <w:r>
        <w:rPr>
          <w:rFonts w:ascii="Times New Roman" w:hAnsi="Times New Roman" w:cs="Times New Roman"/>
          <w:lang w:val="en-NZ"/>
        </w:rPr>
        <w:t>Neuroscience Research Australia, Sydney, NSW, Australia</w:t>
      </w:r>
    </w:p>
    <w:p w14:paraId="2580A70E" w14:textId="77777777" w:rsidR="008F08AE" w:rsidRPr="00E93963" w:rsidRDefault="008F08AE" w:rsidP="008F08AE">
      <w:pPr>
        <w:spacing w:after="0" w:line="480" w:lineRule="auto"/>
        <w:rPr>
          <w:rFonts w:ascii="Times New Roman" w:hAnsi="Times New Roman" w:cs="Times New Roman"/>
          <w:lang w:val="en-NZ"/>
        </w:rPr>
      </w:pPr>
      <w:r w:rsidRPr="00E93963">
        <w:rPr>
          <w:rFonts w:ascii="Times New Roman" w:hAnsi="Times New Roman" w:cs="Times New Roman"/>
          <w:vertAlign w:val="superscript"/>
          <w:lang w:val="en-NZ"/>
        </w:rPr>
        <w:t xml:space="preserve">2 </w:t>
      </w:r>
      <w:r>
        <w:rPr>
          <w:rFonts w:ascii="Times New Roman" w:hAnsi="Times New Roman" w:cs="Times New Roman"/>
          <w:lang w:val="en-NZ"/>
        </w:rPr>
        <w:t>School of Psychology, University of New South Wales, Sydney, NSW, Australia</w:t>
      </w:r>
    </w:p>
    <w:p w14:paraId="539579A9" w14:textId="77777777" w:rsidR="008F08AE" w:rsidRPr="00E93963" w:rsidRDefault="008F08AE" w:rsidP="008F08AE">
      <w:pPr>
        <w:spacing w:after="0" w:line="480" w:lineRule="auto"/>
        <w:rPr>
          <w:rFonts w:ascii="Times New Roman" w:hAnsi="Times New Roman" w:cs="Times New Roman"/>
          <w:lang w:val="en-NZ"/>
        </w:rPr>
      </w:pPr>
      <w:r w:rsidRPr="00E93963">
        <w:rPr>
          <w:rFonts w:ascii="Times New Roman" w:hAnsi="Times New Roman" w:cs="Times New Roman"/>
          <w:vertAlign w:val="superscript"/>
          <w:lang w:val="en-NZ"/>
        </w:rPr>
        <w:t xml:space="preserve">3 </w:t>
      </w:r>
      <w:r w:rsidRPr="00E93963">
        <w:rPr>
          <w:rFonts w:ascii="Times New Roman" w:hAnsi="Times New Roman" w:cs="Times New Roman"/>
          <w:lang w:val="en-NZ"/>
        </w:rPr>
        <w:t xml:space="preserve">School of </w:t>
      </w:r>
      <w:r>
        <w:rPr>
          <w:rFonts w:ascii="Times New Roman" w:hAnsi="Times New Roman" w:cs="Times New Roman"/>
          <w:lang w:val="en-NZ"/>
        </w:rPr>
        <w:t>Medical Science, University of New South Wales, Sydney, NSW, Australia</w:t>
      </w:r>
    </w:p>
    <w:p w14:paraId="28691D5D" w14:textId="77777777" w:rsidR="008F08AE" w:rsidRPr="00E93963" w:rsidRDefault="008F08AE" w:rsidP="008F08AE">
      <w:pPr>
        <w:spacing w:after="0" w:line="480" w:lineRule="auto"/>
        <w:rPr>
          <w:rFonts w:ascii="Times New Roman" w:hAnsi="Times New Roman" w:cs="Times New Roman"/>
          <w:lang w:val="en-NZ"/>
        </w:rPr>
      </w:pPr>
      <w:r w:rsidRPr="00E93963">
        <w:rPr>
          <w:rFonts w:ascii="Times New Roman" w:hAnsi="Times New Roman" w:cs="Times New Roman"/>
          <w:vertAlign w:val="superscript"/>
          <w:lang w:val="en-NZ"/>
        </w:rPr>
        <w:t xml:space="preserve">4 </w:t>
      </w:r>
      <w:r>
        <w:rPr>
          <w:rFonts w:ascii="Times New Roman" w:hAnsi="Times New Roman" w:cs="Times New Roman"/>
          <w:lang w:val="en-NZ"/>
        </w:rPr>
        <w:t xml:space="preserve">Psychiatry and </w:t>
      </w:r>
      <w:proofErr w:type="spellStart"/>
      <w:r>
        <w:rPr>
          <w:rFonts w:ascii="Times New Roman" w:hAnsi="Times New Roman" w:cs="Times New Roman"/>
          <w:lang w:val="en-NZ"/>
        </w:rPr>
        <w:t>Behavioral</w:t>
      </w:r>
      <w:proofErr w:type="spellEnd"/>
      <w:r>
        <w:rPr>
          <w:rFonts w:ascii="Times New Roman" w:hAnsi="Times New Roman" w:cs="Times New Roman"/>
          <w:lang w:val="en-NZ"/>
        </w:rPr>
        <w:t xml:space="preserve"> Sciences, Stanford School of Medicine, Stanford University, Stanford, California, USA</w:t>
      </w:r>
    </w:p>
    <w:bookmarkEnd w:id="2"/>
    <w:p w14:paraId="639851E0" w14:textId="77777777" w:rsidR="008F08AE" w:rsidRPr="00E93963" w:rsidRDefault="008F08AE" w:rsidP="008F08AE">
      <w:pPr>
        <w:spacing w:line="480" w:lineRule="auto"/>
        <w:rPr>
          <w:rFonts w:ascii="Times New Roman" w:hAnsi="Times New Roman" w:cs="Times New Roman"/>
          <w:lang w:val="en-NZ"/>
        </w:rPr>
      </w:pPr>
    </w:p>
    <w:p w14:paraId="6589D717" w14:textId="77777777" w:rsidR="008F08AE" w:rsidRDefault="008F08AE" w:rsidP="008F08AE">
      <w:pPr>
        <w:spacing w:line="480" w:lineRule="auto"/>
        <w:rPr>
          <w:rFonts w:ascii="Times New Roman" w:hAnsi="Times New Roman" w:cs="Times New Roman"/>
          <w:lang w:val="en-NZ"/>
        </w:rPr>
      </w:pPr>
    </w:p>
    <w:p w14:paraId="740D6997" w14:textId="61CBAECC" w:rsidR="008F08AE" w:rsidRDefault="00AC725C" w:rsidP="002C21C5">
      <w:pPr>
        <w:spacing w:after="0" w:line="240" w:lineRule="auto"/>
        <w:rPr>
          <w:rFonts w:ascii="Times New Roman" w:hAnsi="Times New Roman" w:cs="Times New Roman"/>
          <w:lang w:val="en-NZ"/>
        </w:rPr>
      </w:pPr>
      <w:r>
        <w:rPr>
          <w:rFonts w:ascii="Times New Roman" w:hAnsi="Times New Roman" w:cs="Times New Roman"/>
          <w:lang w:val="en-NZ"/>
        </w:rPr>
        <w:t>This document contains:</w:t>
      </w:r>
    </w:p>
    <w:p w14:paraId="6F33179F" w14:textId="531AB1EE" w:rsidR="00AC725C" w:rsidRPr="00E93963" w:rsidRDefault="00AC725C" w:rsidP="002C21C5">
      <w:pPr>
        <w:spacing w:after="0" w:line="240" w:lineRule="auto"/>
        <w:rPr>
          <w:rFonts w:ascii="Times New Roman" w:hAnsi="Times New Roman" w:cs="Times New Roman"/>
          <w:lang w:val="en-NZ"/>
        </w:rPr>
      </w:pPr>
      <w:r>
        <w:rPr>
          <w:rFonts w:ascii="Times New Roman" w:hAnsi="Times New Roman" w:cs="Times New Roman"/>
          <w:lang w:val="en-NZ"/>
        </w:rPr>
        <w:t>Supplementary Methods S1</w:t>
      </w:r>
      <w:r w:rsidR="00DC622D">
        <w:rPr>
          <w:rFonts w:ascii="Times New Roman" w:hAnsi="Times New Roman" w:cs="Times New Roman"/>
          <w:lang w:val="en-NZ"/>
        </w:rPr>
        <w:t xml:space="preserve"> and</w:t>
      </w:r>
      <w:r w:rsidR="00115E22">
        <w:rPr>
          <w:rFonts w:ascii="Times New Roman" w:hAnsi="Times New Roman" w:cs="Times New Roman"/>
          <w:lang w:val="en-NZ"/>
        </w:rPr>
        <w:t xml:space="preserve"> </w:t>
      </w:r>
      <w:r>
        <w:rPr>
          <w:rFonts w:ascii="Times New Roman" w:hAnsi="Times New Roman" w:cs="Times New Roman"/>
          <w:lang w:val="en-NZ"/>
        </w:rPr>
        <w:t>S2</w:t>
      </w:r>
    </w:p>
    <w:p w14:paraId="3CD21C39" w14:textId="6DA1573B" w:rsidR="001B5287" w:rsidRDefault="00AC725C" w:rsidP="002C21C5">
      <w:pPr>
        <w:spacing w:after="0" w:line="240" w:lineRule="auto"/>
        <w:rPr>
          <w:rFonts w:ascii="Times New Roman" w:hAnsi="Times New Roman" w:cs="Times New Roman"/>
          <w:lang w:val="en-NZ"/>
        </w:rPr>
      </w:pPr>
      <w:r>
        <w:rPr>
          <w:rFonts w:ascii="Times New Roman" w:hAnsi="Times New Roman" w:cs="Times New Roman"/>
          <w:lang w:val="en-NZ"/>
        </w:rPr>
        <w:t xml:space="preserve">Supplementary Results </w:t>
      </w:r>
      <w:r w:rsidR="008D39EC">
        <w:rPr>
          <w:rFonts w:ascii="Times New Roman" w:hAnsi="Times New Roman" w:cs="Times New Roman"/>
          <w:lang w:val="en-NZ"/>
        </w:rPr>
        <w:t>Figure S1</w:t>
      </w:r>
      <w:r w:rsidR="00903A8C">
        <w:rPr>
          <w:rFonts w:ascii="Times New Roman" w:hAnsi="Times New Roman" w:cs="Times New Roman"/>
          <w:lang w:val="en-NZ"/>
        </w:rPr>
        <w:t xml:space="preserve">, </w:t>
      </w:r>
      <w:r>
        <w:rPr>
          <w:rFonts w:ascii="Times New Roman" w:hAnsi="Times New Roman" w:cs="Times New Roman"/>
          <w:lang w:val="en-NZ"/>
        </w:rPr>
        <w:t>Table S1</w:t>
      </w:r>
      <w:r w:rsidR="00903A8C">
        <w:rPr>
          <w:rFonts w:ascii="Times New Roman" w:hAnsi="Times New Roman" w:cs="Times New Roman"/>
          <w:lang w:val="en-NZ"/>
        </w:rPr>
        <w:t xml:space="preserve"> and S2</w:t>
      </w:r>
      <w:bookmarkStart w:id="3" w:name="_GoBack"/>
      <w:bookmarkEnd w:id="3"/>
    </w:p>
    <w:p w14:paraId="63601126" w14:textId="77777777" w:rsidR="001B5287" w:rsidRDefault="001B5287" w:rsidP="002C21C5">
      <w:pPr>
        <w:spacing w:after="0" w:line="240" w:lineRule="auto"/>
        <w:rPr>
          <w:rFonts w:ascii="Times New Roman" w:hAnsi="Times New Roman" w:cs="Times New Roman"/>
          <w:lang w:val="en-NZ"/>
        </w:rPr>
      </w:pPr>
    </w:p>
    <w:p w14:paraId="5692002D" w14:textId="77777777" w:rsidR="001B5287" w:rsidRDefault="001B5287" w:rsidP="008F08AE">
      <w:pPr>
        <w:spacing w:after="0" w:line="360" w:lineRule="auto"/>
        <w:rPr>
          <w:rFonts w:ascii="Times New Roman" w:hAnsi="Times New Roman" w:cs="Times New Roman"/>
          <w:lang w:val="en-NZ"/>
        </w:rPr>
      </w:pPr>
    </w:p>
    <w:p w14:paraId="1F949662" w14:textId="77777777" w:rsidR="001B5287" w:rsidRDefault="001B5287" w:rsidP="008F08AE">
      <w:pPr>
        <w:spacing w:after="0" w:line="360" w:lineRule="auto"/>
        <w:rPr>
          <w:rFonts w:ascii="Times New Roman" w:hAnsi="Times New Roman" w:cs="Times New Roman"/>
          <w:lang w:val="en-NZ"/>
        </w:rPr>
      </w:pPr>
    </w:p>
    <w:p w14:paraId="4198B6B3" w14:textId="3A1DAD78" w:rsidR="008F08AE" w:rsidRPr="003852D5" w:rsidRDefault="008F08AE" w:rsidP="008F08AE">
      <w:pPr>
        <w:spacing w:after="0" w:line="360" w:lineRule="auto"/>
        <w:rPr>
          <w:rFonts w:ascii="Times New Roman" w:hAnsi="Times New Roman" w:cs="Times New Roman"/>
          <w:lang w:val="en-NZ"/>
        </w:rPr>
      </w:pPr>
      <w:r w:rsidRPr="003852D5">
        <w:rPr>
          <w:rFonts w:ascii="Times New Roman" w:hAnsi="Times New Roman" w:cs="Times New Roman"/>
          <w:lang w:val="en-NZ"/>
        </w:rPr>
        <w:t>Corresponding author:</w:t>
      </w:r>
    </w:p>
    <w:p w14:paraId="1AA5B9C9" w14:textId="77777777" w:rsidR="008F08AE" w:rsidRPr="003852D5" w:rsidRDefault="008F08AE" w:rsidP="008F08AE">
      <w:pPr>
        <w:spacing w:after="0" w:line="360" w:lineRule="auto"/>
        <w:rPr>
          <w:rFonts w:ascii="Times New Roman" w:hAnsi="Times New Roman" w:cs="Times New Roman"/>
          <w:lang w:val="en-NZ"/>
        </w:rPr>
      </w:pPr>
      <w:r w:rsidRPr="003852D5">
        <w:rPr>
          <w:rFonts w:ascii="Times New Roman" w:hAnsi="Times New Roman" w:cs="Times New Roman"/>
          <w:lang w:val="en-NZ"/>
        </w:rPr>
        <w:t>Haeme Park</w:t>
      </w:r>
    </w:p>
    <w:p w14:paraId="62D515CE" w14:textId="77777777" w:rsidR="008F08AE" w:rsidRPr="003852D5" w:rsidRDefault="008F08AE" w:rsidP="008F08AE">
      <w:pPr>
        <w:spacing w:after="0" w:line="360" w:lineRule="auto"/>
        <w:rPr>
          <w:rFonts w:ascii="Times New Roman" w:hAnsi="Times New Roman" w:cs="Times New Roman"/>
          <w:lang w:val="en-NZ"/>
        </w:rPr>
      </w:pPr>
      <w:r w:rsidRPr="003852D5">
        <w:rPr>
          <w:rFonts w:ascii="Times New Roman" w:hAnsi="Times New Roman" w:cs="Times New Roman"/>
          <w:lang w:val="en-NZ"/>
        </w:rPr>
        <w:t>Neuroscience Research Australia</w:t>
      </w:r>
    </w:p>
    <w:p w14:paraId="23B26C1C" w14:textId="77777777" w:rsidR="008F08AE" w:rsidRPr="003852D5" w:rsidRDefault="008F08AE" w:rsidP="008F08AE">
      <w:pPr>
        <w:spacing w:after="0" w:line="360" w:lineRule="auto"/>
        <w:rPr>
          <w:rFonts w:ascii="Times New Roman" w:hAnsi="Times New Roman" w:cs="Times New Roman"/>
          <w:lang w:val="en-NZ"/>
        </w:rPr>
      </w:pPr>
      <w:r w:rsidRPr="003852D5">
        <w:rPr>
          <w:rFonts w:ascii="Times New Roman" w:hAnsi="Times New Roman" w:cs="Times New Roman"/>
          <w:lang w:val="en-NZ"/>
        </w:rPr>
        <w:t>Margarete Ainsworth Building</w:t>
      </w:r>
    </w:p>
    <w:p w14:paraId="0EEA33B5" w14:textId="77777777" w:rsidR="008F08AE" w:rsidRPr="003852D5" w:rsidRDefault="008F08AE" w:rsidP="008F08AE">
      <w:pPr>
        <w:spacing w:after="0" w:line="360" w:lineRule="auto"/>
        <w:rPr>
          <w:rFonts w:ascii="Times New Roman" w:hAnsi="Times New Roman" w:cs="Times New Roman"/>
          <w:lang w:val="en-NZ"/>
        </w:rPr>
      </w:pPr>
      <w:r w:rsidRPr="003852D5">
        <w:rPr>
          <w:rFonts w:ascii="Times New Roman" w:hAnsi="Times New Roman" w:cs="Times New Roman"/>
          <w:lang w:val="en-NZ"/>
        </w:rPr>
        <w:t>Barker Street</w:t>
      </w:r>
    </w:p>
    <w:p w14:paraId="49CE6FCF" w14:textId="77777777" w:rsidR="008F08AE" w:rsidRPr="003852D5" w:rsidRDefault="008F08AE" w:rsidP="008F08AE">
      <w:pPr>
        <w:spacing w:after="0" w:line="360" w:lineRule="auto"/>
        <w:rPr>
          <w:rFonts w:ascii="Times New Roman" w:hAnsi="Times New Roman" w:cs="Times New Roman"/>
          <w:lang w:val="en-NZ"/>
        </w:rPr>
      </w:pPr>
      <w:r w:rsidRPr="003852D5">
        <w:rPr>
          <w:rFonts w:ascii="Times New Roman" w:hAnsi="Times New Roman" w:cs="Times New Roman"/>
          <w:lang w:val="en-NZ"/>
        </w:rPr>
        <w:t>Randwick 2031</w:t>
      </w:r>
    </w:p>
    <w:p w14:paraId="0FA435DD" w14:textId="77777777" w:rsidR="008F08AE" w:rsidRPr="003852D5" w:rsidRDefault="008F08AE" w:rsidP="008F08AE">
      <w:pPr>
        <w:spacing w:after="0" w:line="360" w:lineRule="auto"/>
        <w:rPr>
          <w:rFonts w:ascii="Times New Roman" w:hAnsi="Times New Roman" w:cs="Times New Roman"/>
          <w:lang w:val="en-NZ"/>
        </w:rPr>
      </w:pPr>
      <w:r w:rsidRPr="003852D5">
        <w:rPr>
          <w:rFonts w:ascii="Times New Roman" w:hAnsi="Times New Roman" w:cs="Times New Roman"/>
          <w:lang w:val="en-NZ"/>
        </w:rPr>
        <w:t>Australia</w:t>
      </w:r>
    </w:p>
    <w:p w14:paraId="29B314B6" w14:textId="77777777" w:rsidR="008F08AE" w:rsidRPr="003852D5" w:rsidRDefault="008F08AE" w:rsidP="008F08AE">
      <w:pPr>
        <w:spacing w:after="0" w:line="360" w:lineRule="auto"/>
        <w:rPr>
          <w:rFonts w:ascii="Times New Roman" w:hAnsi="Times New Roman" w:cs="Times New Roman"/>
          <w:lang w:val="en-NZ"/>
        </w:rPr>
      </w:pPr>
      <w:r w:rsidRPr="003852D5">
        <w:rPr>
          <w:rFonts w:ascii="Times New Roman" w:hAnsi="Times New Roman" w:cs="Times New Roman"/>
          <w:lang w:val="en-NZ"/>
        </w:rPr>
        <w:t>Email: h.park@neura.edu.au</w:t>
      </w:r>
    </w:p>
    <w:p w14:paraId="7DCE16AD" w14:textId="2259F383" w:rsidR="008F08AE" w:rsidRPr="001B5287" w:rsidRDefault="008F08AE" w:rsidP="001B5287">
      <w:pPr>
        <w:spacing w:after="0" w:line="360" w:lineRule="auto"/>
        <w:rPr>
          <w:rFonts w:ascii="Times New Roman" w:hAnsi="Times New Roman" w:cs="Times New Roman"/>
          <w:lang w:val="en-NZ"/>
        </w:rPr>
      </w:pPr>
      <w:r w:rsidRPr="003852D5">
        <w:rPr>
          <w:rFonts w:ascii="Times New Roman" w:hAnsi="Times New Roman" w:cs="Times New Roman"/>
          <w:lang w:val="en-NZ"/>
        </w:rPr>
        <w:t>Phone: +61 2 9399 1884</w:t>
      </w:r>
      <w:r>
        <w:rPr>
          <w:rFonts w:ascii="Times New Roman" w:eastAsia="Times New Roman" w:hAnsi="Times New Roman" w:cs="Times New Roman"/>
          <w:u w:val="single"/>
        </w:rPr>
        <w:br w:type="page"/>
      </w:r>
    </w:p>
    <w:p w14:paraId="6648F47D" w14:textId="5F0ED780" w:rsidR="001163CD" w:rsidRPr="008847BB" w:rsidRDefault="00DC622D" w:rsidP="001163CD">
      <w:pPr>
        <w:keepNext/>
        <w:keepLines/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lastRenderedPageBreak/>
        <w:t xml:space="preserve">Supplementary </w:t>
      </w:r>
      <w:r w:rsidR="001163CD" w:rsidRPr="008847BB">
        <w:rPr>
          <w:rFonts w:ascii="Times New Roman" w:eastAsia="Times New Roman" w:hAnsi="Times New Roman" w:cs="Times New Roman"/>
          <w:u w:val="single"/>
        </w:rPr>
        <w:t>Methods</w:t>
      </w:r>
    </w:p>
    <w:p w14:paraId="17D8532D" w14:textId="77777777" w:rsidR="00B867CF" w:rsidRPr="0002046A" w:rsidRDefault="00B867CF" w:rsidP="001163CD">
      <w:pPr>
        <w:keepNext/>
        <w:keepLines/>
        <w:spacing w:after="0" w:line="480" w:lineRule="auto"/>
        <w:rPr>
          <w:rFonts w:ascii="Times New Roman" w:eastAsia="Times New Roman" w:hAnsi="Times New Roman" w:cs="Times New Roman"/>
          <w:i/>
        </w:rPr>
      </w:pPr>
      <w:r w:rsidRPr="0002046A">
        <w:rPr>
          <w:rFonts w:ascii="Times New Roman" w:eastAsia="Times New Roman" w:hAnsi="Times New Roman" w:cs="Times New Roman"/>
          <w:i/>
        </w:rPr>
        <w:t>S1 Psychometric measures</w:t>
      </w:r>
      <w:r w:rsidR="008F08AE">
        <w:rPr>
          <w:rFonts w:ascii="Times New Roman" w:eastAsia="Times New Roman" w:hAnsi="Times New Roman" w:cs="Times New Roman"/>
          <w:i/>
        </w:rPr>
        <w:t>.</w:t>
      </w:r>
    </w:p>
    <w:p w14:paraId="60FBB12C" w14:textId="2A8FDE0A" w:rsidR="008847BB" w:rsidRDefault="00B867CF" w:rsidP="008847B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 xml:space="preserve">COMPAS-W is a 26-item composite scale of wellbeing that measures both subjective and psychological wellbeing across six components (composure during stress, own-worth, mastery over environment, positivity, achievement and goal orientation, satisfaction with physical, psychological health and social relationships). It has shown moderate to strong internal consistency, test-retest reliability, and validity, and provides a reliable and valid index of mental health (Gatt et al., 2014). The DASS-42 is a 42-item measure of depression, anxiety, and stress symptoms, consisting of three subscales (DASS-Depression, DASS-Anxiety, DASS-Stress) that are based on the tripartite model of anxiety and depression (low positive affect, physiological hyperarousal, and negative affect; </w:t>
      </w:r>
      <w:r w:rsidR="008C32E6">
        <w:rPr>
          <w:rFonts w:ascii="Times New Roman" w:hAnsi="Times New Roman" w:cs="Times New Roman"/>
          <w:sz w:val="24"/>
          <w:szCs w:val="24"/>
          <w:lang w:val="en-NZ"/>
        </w:rPr>
        <w:t>Clark &amp; Watson</w:t>
      </w:r>
      <w:r>
        <w:rPr>
          <w:rFonts w:ascii="Times New Roman" w:hAnsi="Times New Roman" w:cs="Times New Roman"/>
          <w:sz w:val="24"/>
          <w:szCs w:val="24"/>
          <w:lang w:val="en-NZ"/>
        </w:rPr>
        <w:t xml:space="preserve">, 1991). In this current study, these are labelled collectively as negative mood symptoms. Good construct validity, excellent internal consistency, reliability and concurrent validity have been reported (Brown, </w:t>
      </w:r>
      <w:proofErr w:type="spellStart"/>
      <w:r>
        <w:rPr>
          <w:rFonts w:ascii="Times New Roman" w:hAnsi="Times New Roman" w:cs="Times New Roman"/>
          <w:sz w:val="24"/>
          <w:szCs w:val="24"/>
          <w:lang w:val="en-NZ"/>
        </w:rPr>
        <w:t>Chorpita</w:t>
      </w:r>
      <w:proofErr w:type="spellEnd"/>
      <w:r>
        <w:rPr>
          <w:rFonts w:ascii="Times New Roman" w:hAnsi="Times New Roman" w:cs="Times New Roman"/>
          <w:sz w:val="24"/>
          <w:szCs w:val="24"/>
          <w:lang w:val="en-N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NZ"/>
        </w:rPr>
        <w:t>Korotitsch</w:t>
      </w:r>
      <w:proofErr w:type="spellEnd"/>
      <w:r>
        <w:rPr>
          <w:rFonts w:ascii="Times New Roman" w:hAnsi="Times New Roman" w:cs="Times New Roman"/>
          <w:sz w:val="24"/>
          <w:szCs w:val="24"/>
          <w:lang w:val="en-NZ"/>
        </w:rPr>
        <w:t>, &amp; Barlow, 1997; Lovibond &amp; Lovibond, 1995).</w:t>
      </w:r>
    </w:p>
    <w:p w14:paraId="57EDA746" w14:textId="53371440" w:rsidR="00BE1480" w:rsidRDefault="00BE1480" w:rsidP="008847B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NZ"/>
        </w:rPr>
      </w:pPr>
    </w:p>
    <w:p w14:paraId="5F04C001" w14:textId="0DD3F270" w:rsidR="00424F17" w:rsidRPr="0002046A" w:rsidRDefault="00424F17" w:rsidP="008847BB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NZ"/>
        </w:rPr>
      </w:pPr>
      <w:r w:rsidRPr="0002046A">
        <w:rPr>
          <w:rFonts w:ascii="Times New Roman" w:hAnsi="Times New Roman" w:cs="Times New Roman"/>
          <w:i/>
          <w:sz w:val="24"/>
          <w:szCs w:val="24"/>
          <w:lang w:val="en-NZ"/>
        </w:rPr>
        <w:t>S</w:t>
      </w:r>
      <w:r w:rsidR="00DC622D">
        <w:rPr>
          <w:rFonts w:ascii="Times New Roman" w:hAnsi="Times New Roman" w:cs="Times New Roman"/>
          <w:i/>
          <w:sz w:val="24"/>
          <w:szCs w:val="24"/>
          <w:lang w:val="en-NZ"/>
        </w:rPr>
        <w:t>2</w:t>
      </w:r>
      <w:r w:rsidRPr="0002046A">
        <w:rPr>
          <w:rFonts w:ascii="Times New Roman" w:hAnsi="Times New Roman" w:cs="Times New Roman"/>
          <w:i/>
          <w:sz w:val="24"/>
          <w:szCs w:val="24"/>
          <w:lang w:val="en-NZ"/>
        </w:rPr>
        <w:t xml:space="preserve"> Univariate twin analysis</w:t>
      </w:r>
      <w:r w:rsidR="008F08AE" w:rsidRPr="0002046A">
        <w:rPr>
          <w:rFonts w:ascii="Times New Roman" w:hAnsi="Times New Roman" w:cs="Times New Roman"/>
          <w:i/>
          <w:sz w:val="24"/>
          <w:szCs w:val="24"/>
          <w:lang w:val="en-NZ"/>
        </w:rPr>
        <w:t>.</w:t>
      </w:r>
    </w:p>
    <w:p w14:paraId="5446E19F" w14:textId="76F527B7" w:rsidR="008847BB" w:rsidRDefault="00A01B0C" w:rsidP="008847B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It is assumed that MZ twins share 100% of additive genetic variance and common environmental variance, while DZ twins only share 50% of additive genetic variance</w:t>
      </w:r>
      <w:r w:rsidR="0002046A">
        <w:rPr>
          <w:rFonts w:ascii="Times New Roman" w:hAnsi="Times New Roman" w:cs="Times New Roman"/>
          <w:sz w:val="24"/>
          <w:szCs w:val="24"/>
          <w:lang w:val="en-NZ"/>
        </w:rPr>
        <w:t xml:space="preserve"> and 100% common environmental </w:t>
      </w:r>
      <w:r w:rsidR="0067481B">
        <w:rPr>
          <w:rFonts w:ascii="Times New Roman" w:hAnsi="Times New Roman" w:cs="Times New Roman"/>
          <w:sz w:val="24"/>
          <w:szCs w:val="24"/>
          <w:lang w:val="en-NZ"/>
        </w:rPr>
        <w:t>variance</w:t>
      </w:r>
      <w:r>
        <w:rPr>
          <w:rFonts w:ascii="Times New Roman" w:hAnsi="Times New Roman" w:cs="Times New Roman"/>
          <w:sz w:val="24"/>
          <w:szCs w:val="24"/>
          <w:lang w:val="en-NZ"/>
        </w:rPr>
        <w:t>.</w:t>
      </w:r>
      <w:r w:rsidR="002F3C73">
        <w:rPr>
          <w:rFonts w:ascii="Times New Roman" w:hAnsi="Times New Roman" w:cs="Times New Roman"/>
          <w:sz w:val="24"/>
          <w:szCs w:val="24"/>
          <w:lang w:val="en-N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NZ"/>
        </w:rPr>
        <w:t xml:space="preserve">Depending on the intra-class correlation values calculated for the MZ and DZ twins, either an ACE or an ADE model </w:t>
      </w:r>
      <w:r w:rsidR="008847BB">
        <w:rPr>
          <w:rFonts w:ascii="Times New Roman" w:hAnsi="Times New Roman" w:cs="Times New Roman"/>
          <w:sz w:val="24"/>
          <w:szCs w:val="24"/>
          <w:lang w:val="en-NZ"/>
        </w:rPr>
        <w:t>is</w:t>
      </w:r>
      <w:r>
        <w:rPr>
          <w:rFonts w:ascii="Times New Roman" w:hAnsi="Times New Roman" w:cs="Times New Roman"/>
          <w:sz w:val="24"/>
          <w:szCs w:val="24"/>
          <w:lang w:val="en-NZ"/>
        </w:rPr>
        <w:t xml:space="preserve"> tested. If the MZ correlation </w:t>
      </w:r>
      <w:r w:rsidR="008847BB">
        <w:rPr>
          <w:rFonts w:ascii="Times New Roman" w:hAnsi="Times New Roman" w:cs="Times New Roman"/>
          <w:sz w:val="24"/>
          <w:szCs w:val="24"/>
          <w:lang w:val="en-NZ"/>
        </w:rPr>
        <w:t>is</w:t>
      </w:r>
      <w:r>
        <w:rPr>
          <w:rFonts w:ascii="Times New Roman" w:hAnsi="Times New Roman" w:cs="Times New Roman"/>
          <w:sz w:val="24"/>
          <w:szCs w:val="24"/>
          <w:lang w:val="en-NZ"/>
        </w:rPr>
        <w:t xml:space="preserve"> greater than twice the DZ correlation, an ADE model would be appropriate due to non-additive genetic effects; otherwise, an ACE model </w:t>
      </w:r>
      <w:r w:rsidR="008847BB">
        <w:rPr>
          <w:rFonts w:ascii="Times New Roman" w:hAnsi="Times New Roman" w:cs="Times New Roman"/>
          <w:sz w:val="24"/>
          <w:szCs w:val="24"/>
          <w:lang w:val="en-NZ"/>
        </w:rPr>
        <w:t>would be</w:t>
      </w:r>
      <w:r>
        <w:rPr>
          <w:rFonts w:ascii="Times New Roman" w:hAnsi="Times New Roman" w:cs="Times New Roman"/>
          <w:sz w:val="24"/>
          <w:szCs w:val="24"/>
          <w:lang w:val="en-NZ"/>
        </w:rPr>
        <w:t xml:space="preserve"> chosen.</w:t>
      </w:r>
      <w:r w:rsidR="008847BB">
        <w:rPr>
          <w:rFonts w:ascii="Times New Roman" w:hAnsi="Times New Roman" w:cs="Times New Roman"/>
          <w:sz w:val="24"/>
          <w:szCs w:val="24"/>
          <w:lang w:val="en-NZ"/>
        </w:rPr>
        <w:t xml:space="preserve"> </w:t>
      </w:r>
    </w:p>
    <w:p w14:paraId="3E4A62E2" w14:textId="576E3F36" w:rsidR="001163CD" w:rsidRPr="00CB565F" w:rsidRDefault="00DC622D" w:rsidP="001163CD">
      <w:pPr>
        <w:keepNext/>
        <w:keepLine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Supplementary </w:t>
      </w:r>
      <w:r w:rsidR="001163CD" w:rsidRPr="00CB565F">
        <w:rPr>
          <w:rFonts w:ascii="Times New Roman" w:eastAsia="Times New Roman" w:hAnsi="Times New Roman" w:cs="Times New Roman"/>
          <w:sz w:val="24"/>
          <w:szCs w:val="24"/>
          <w:u w:val="single"/>
        </w:rPr>
        <w:t>Results</w:t>
      </w:r>
    </w:p>
    <w:p w14:paraId="1E23E9D5" w14:textId="4B9A8053" w:rsidR="00CB565F" w:rsidRDefault="00FC7A2C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  <w:bookmarkStart w:id="4" w:name="_Hlk39568316"/>
      <w:r>
        <w:rPr>
          <w:rFonts w:ascii="Times New Roman" w:hAnsi="Times New Roman" w:cs="Times New Roman"/>
          <w:noProof/>
          <w:u w:val="single"/>
          <w:lang w:eastAsia="en-AU"/>
        </w:rPr>
        <w:drawing>
          <wp:anchor distT="0" distB="0" distL="114300" distR="114300" simplePos="0" relativeHeight="251658240" behindDoc="1" locked="0" layoutInCell="1" allowOverlap="1" wp14:anchorId="55F2131C" wp14:editId="0139D263">
            <wp:simplePos x="0" y="0"/>
            <wp:positionH relativeFrom="margin">
              <wp:align>center</wp:align>
            </wp:positionH>
            <wp:positionV relativeFrom="paragraph">
              <wp:posOffset>17021</wp:posOffset>
            </wp:positionV>
            <wp:extent cx="4845133" cy="4797906"/>
            <wp:effectExtent l="0" t="0" r="0" b="31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133" cy="4797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606C3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3B5D5794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18FB9F84" w14:textId="6F87C624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4EAB2AC4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368063D3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02D41F48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617771DF" w14:textId="295111E0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60FA9F51" w14:textId="3FCEDE5B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799A3791" w14:textId="11F250E8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78D3D00A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06966625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73BF382E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3A15F642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2AE67A4D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6E93C04D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3C8C457E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412141F4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03492FF1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6934E3FD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2B763E8F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35BDC9FE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52607572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18AC5B56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43F24D3D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657C452B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3B213A5C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24AA8852" w14:textId="69B9F240" w:rsidR="00CB565F" w:rsidRDefault="00CB565F" w:rsidP="008D39EC">
      <w:pPr>
        <w:keepNext/>
        <w:keepLines/>
        <w:spacing w:after="0" w:line="480" w:lineRule="auto"/>
        <w:rPr>
          <w:rFonts w:ascii="Times New Roman" w:eastAsia="Times New Roman" w:hAnsi="Times New Roman" w:cs="Times New Roman"/>
        </w:rPr>
      </w:pPr>
      <w:r w:rsidRPr="00FC7A2C">
        <w:rPr>
          <w:rFonts w:ascii="Times New Roman" w:eastAsia="Times New Roman" w:hAnsi="Times New Roman" w:cs="Times New Roman"/>
          <w:i/>
        </w:rPr>
        <w:t>Figure S1.</w:t>
      </w:r>
      <w:r>
        <w:rPr>
          <w:rFonts w:ascii="Times New Roman" w:eastAsia="Times New Roman" w:hAnsi="Times New Roman" w:cs="Times New Roman"/>
        </w:rPr>
        <w:t xml:space="preserve"> </w:t>
      </w:r>
      <w:r w:rsidR="00FC7A2C">
        <w:rPr>
          <w:rFonts w:ascii="Times New Roman" w:eastAsia="Times New Roman" w:hAnsi="Times New Roman" w:cs="Times New Roman"/>
        </w:rPr>
        <w:t xml:space="preserve">Voxel-wise activation of the three negative emotion contrasts (Angry &gt; Neutral; Fear &gt; Neutral; Sad &gt; Neutral) showing significant clusters in the frontal and temporal regions. There were no significant regions for the Disgust &gt; Neutral contrast. </w:t>
      </w:r>
      <w:r w:rsidR="001437A4">
        <w:rPr>
          <w:rFonts w:ascii="Times New Roman" w:eastAsia="Times New Roman" w:hAnsi="Times New Roman" w:cs="Times New Roman"/>
        </w:rPr>
        <w:t>These clusters were not taken to univariate and multivariate modelling as they did not show significant associations with wellbeing in the linear mixed models.</w:t>
      </w:r>
    </w:p>
    <w:p w14:paraId="55A03E5A" w14:textId="4F048832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7BE9BE0D" w14:textId="512CFB66" w:rsidR="008D39EC" w:rsidRDefault="008D39EC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45B54980" w14:textId="56D19E59" w:rsidR="008D39EC" w:rsidRDefault="008D39EC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42B496EC" w14:textId="250EA65D" w:rsidR="008D39EC" w:rsidRDefault="008D39EC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3E111454" w14:textId="3045AC7D" w:rsidR="008D39EC" w:rsidRDefault="008D39EC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7BF7064E" w14:textId="4EB9E8CE" w:rsidR="008D39EC" w:rsidRDefault="008D39EC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4D24F416" w14:textId="1DB4D440" w:rsidR="008D39EC" w:rsidRDefault="008D39EC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3D3F5013" w14:textId="40EFC4EA" w:rsidR="008D39EC" w:rsidRDefault="008D39EC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496220F2" w14:textId="77777777" w:rsidR="008D39EC" w:rsidRDefault="008D39EC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26BCC910" w14:textId="77777777" w:rsidR="00CB565F" w:rsidRDefault="00CB565F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1D876708" w14:textId="1532E88D" w:rsidR="00D60EA8" w:rsidRDefault="00D60EA8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Table S1</w:t>
      </w:r>
    </w:p>
    <w:p w14:paraId="5D1027B6" w14:textId="0A66FAE1" w:rsidR="00D60EA8" w:rsidRPr="00693DEA" w:rsidRDefault="00D60EA8" w:rsidP="008F5F3C">
      <w:pPr>
        <w:keepNext/>
        <w:keepLines/>
        <w:spacing w:after="120" w:line="276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Full Width at Half Maximum (FWHM) of the Gaussian kernel and </w:t>
      </w:r>
      <w:proofErr w:type="spellStart"/>
      <w:r>
        <w:rPr>
          <w:rFonts w:ascii="Times New Roman" w:eastAsia="Times New Roman" w:hAnsi="Times New Roman" w:cs="Times New Roman"/>
          <w:i/>
        </w:rPr>
        <w:t>R</w:t>
      </w:r>
      <w:r w:rsidR="00693DEA">
        <w:rPr>
          <w:rFonts w:ascii="Times New Roman" w:eastAsia="Times New Roman" w:hAnsi="Times New Roman" w:cs="Times New Roman"/>
          <w:i/>
        </w:rPr>
        <w:t>esel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values for the</w:t>
      </w:r>
      <w:r w:rsidR="00DB2BFD">
        <w:rPr>
          <w:rFonts w:ascii="Times New Roman" w:eastAsia="Times New Roman" w:hAnsi="Times New Roman" w:cs="Times New Roman"/>
          <w:i/>
        </w:rPr>
        <w:t xml:space="preserve"> </w:t>
      </w:r>
      <w:r w:rsidR="006D28A3">
        <w:rPr>
          <w:rFonts w:ascii="Times New Roman" w:eastAsia="Times New Roman" w:hAnsi="Times New Roman" w:cs="Times New Roman"/>
          <w:i/>
        </w:rPr>
        <w:t>five</w:t>
      </w:r>
      <w:r>
        <w:rPr>
          <w:rFonts w:ascii="Times New Roman" w:eastAsia="Times New Roman" w:hAnsi="Times New Roman" w:cs="Times New Roman"/>
          <w:i/>
        </w:rPr>
        <w:t xml:space="preserve"> emotion contrasts.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60EA8" w:rsidRPr="006D28A3" w14:paraId="7DC21C52" w14:textId="77777777" w:rsidTr="007B4AA1">
        <w:tc>
          <w:tcPr>
            <w:tcW w:w="300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CCB2F37" w14:textId="2A549A07" w:rsidR="00D60EA8" w:rsidRPr="006D28A3" w:rsidRDefault="004E54CF" w:rsidP="007B4AA1">
            <w:pPr>
              <w:keepNext/>
              <w:keepLines/>
              <w:spacing w:before="60" w:after="6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8A3">
              <w:rPr>
                <w:rFonts w:ascii="Times New Roman" w:eastAsia="Times New Roman" w:hAnsi="Times New Roman" w:cs="Times New Roman"/>
                <w:sz w:val="20"/>
                <w:szCs w:val="20"/>
              </w:rPr>
              <w:t>Contrast</w:t>
            </w:r>
          </w:p>
        </w:tc>
        <w:tc>
          <w:tcPr>
            <w:tcW w:w="300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9DEF7B7" w14:textId="7DABA661" w:rsidR="00D60EA8" w:rsidRPr="006D28A3" w:rsidRDefault="004E54CF" w:rsidP="007B4AA1">
            <w:pPr>
              <w:keepNext/>
              <w:keepLines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8A3">
              <w:rPr>
                <w:rFonts w:ascii="Times New Roman" w:eastAsia="Times New Roman" w:hAnsi="Times New Roman" w:cs="Times New Roman"/>
                <w:sz w:val="20"/>
                <w:szCs w:val="20"/>
              </w:rPr>
              <w:t>FWHM</w:t>
            </w:r>
            <w:r w:rsidR="002C3FFA" w:rsidRPr="006D2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(voxels)</w:t>
            </w:r>
          </w:p>
        </w:tc>
        <w:tc>
          <w:tcPr>
            <w:tcW w:w="300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9D2242A" w14:textId="3F71A8A1" w:rsidR="00D60EA8" w:rsidRPr="006D28A3" w:rsidRDefault="004E54CF" w:rsidP="007B4AA1">
            <w:pPr>
              <w:keepNext/>
              <w:keepLines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28A3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693DEA">
              <w:rPr>
                <w:rFonts w:ascii="Times New Roman" w:eastAsia="Times New Roman" w:hAnsi="Times New Roman" w:cs="Times New Roman"/>
                <w:sz w:val="20"/>
                <w:szCs w:val="20"/>
              </w:rPr>
              <w:t>esels</w:t>
            </w:r>
            <w:proofErr w:type="spellEnd"/>
          </w:p>
        </w:tc>
      </w:tr>
      <w:tr w:rsidR="007B4AA1" w:rsidRPr="006D28A3" w14:paraId="63C7C131" w14:textId="77777777" w:rsidTr="007B4AA1">
        <w:tc>
          <w:tcPr>
            <w:tcW w:w="3005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1AC5776B" w14:textId="731AE57D" w:rsidR="00D60EA8" w:rsidRPr="006D28A3" w:rsidRDefault="004E54CF" w:rsidP="007B4AA1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60" w:after="60" w:line="276" w:lineRule="auto"/>
              <w:ind w:left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8A3">
              <w:rPr>
                <w:rFonts w:ascii="Times New Roman" w:eastAsia="Times New Roman" w:hAnsi="Times New Roman" w:cs="Times New Roman"/>
                <w:sz w:val="20"/>
                <w:szCs w:val="20"/>
              </w:rPr>
              <w:t>Happy &gt; Neutral</w:t>
            </w:r>
          </w:p>
        </w:tc>
        <w:tc>
          <w:tcPr>
            <w:tcW w:w="3005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248300A4" w14:textId="6D6C365D" w:rsidR="00D60EA8" w:rsidRPr="006D28A3" w:rsidRDefault="00052619" w:rsidP="007B4AA1">
            <w:pPr>
              <w:keepNext/>
              <w:keepLines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11.2   11.5   7.5</w:t>
            </w:r>
          </w:p>
        </w:tc>
        <w:tc>
          <w:tcPr>
            <w:tcW w:w="3006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50BC52F7" w14:textId="44B3C149" w:rsidR="00D60EA8" w:rsidRPr="006D28A3" w:rsidRDefault="00052619" w:rsidP="007B4AA1">
            <w:pPr>
              <w:keepNext/>
              <w:keepLines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180.7</w:t>
            </w:r>
          </w:p>
        </w:tc>
      </w:tr>
      <w:tr w:rsidR="007B4AA1" w:rsidRPr="006D28A3" w14:paraId="30DF9E8E" w14:textId="77777777" w:rsidTr="007B4AA1">
        <w:tc>
          <w:tcPr>
            <w:tcW w:w="300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014B717C" w14:textId="117A91D1" w:rsidR="00D60EA8" w:rsidRPr="006D28A3" w:rsidRDefault="004E54CF" w:rsidP="007B4AA1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60" w:after="60" w:line="276" w:lineRule="auto"/>
              <w:ind w:left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8A3">
              <w:rPr>
                <w:rFonts w:ascii="Times New Roman" w:eastAsia="Times New Roman" w:hAnsi="Times New Roman" w:cs="Times New Roman"/>
                <w:sz w:val="20"/>
                <w:szCs w:val="20"/>
              </w:rPr>
              <w:t>Angry &gt; Neutral</w:t>
            </w:r>
          </w:p>
        </w:tc>
        <w:tc>
          <w:tcPr>
            <w:tcW w:w="300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464D5F1D" w14:textId="6C260DD9" w:rsidR="00D60EA8" w:rsidRPr="006D28A3" w:rsidRDefault="00C177FA" w:rsidP="007B4AA1">
            <w:pPr>
              <w:keepNext/>
              <w:keepLines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11.3   11.5   7.5</w:t>
            </w:r>
          </w:p>
        </w:tc>
        <w:tc>
          <w:tcPr>
            <w:tcW w:w="300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2146B6CD" w14:textId="399D9639" w:rsidR="00D60EA8" w:rsidRPr="006D28A3" w:rsidRDefault="00C177FA" w:rsidP="007B4AA1">
            <w:pPr>
              <w:keepNext/>
              <w:keepLines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177.1</w:t>
            </w:r>
          </w:p>
        </w:tc>
      </w:tr>
      <w:tr w:rsidR="007B4AA1" w:rsidRPr="006D28A3" w14:paraId="15FC0D90" w14:textId="77777777" w:rsidTr="007B4AA1">
        <w:tc>
          <w:tcPr>
            <w:tcW w:w="300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0DD27D63" w14:textId="39DAEE42" w:rsidR="00D60EA8" w:rsidRPr="006D28A3" w:rsidRDefault="004E54CF" w:rsidP="007B4AA1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60" w:after="60" w:line="276" w:lineRule="auto"/>
              <w:ind w:left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8A3">
              <w:rPr>
                <w:rFonts w:ascii="Times New Roman" w:eastAsia="Times New Roman" w:hAnsi="Times New Roman" w:cs="Times New Roman"/>
                <w:sz w:val="20"/>
                <w:szCs w:val="20"/>
              </w:rPr>
              <w:t>Fear &gt; Neutral</w:t>
            </w:r>
          </w:p>
        </w:tc>
        <w:tc>
          <w:tcPr>
            <w:tcW w:w="300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5F210399" w14:textId="16E857E8" w:rsidR="00D60EA8" w:rsidRPr="006D28A3" w:rsidRDefault="002C3FFA" w:rsidP="007B4AA1">
            <w:pPr>
              <w:keepNext/>
              <w:keepLines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12.4 </w:t>
            </w:r>
            <w:r w:rsidR="00402B12" w:rsidRPr="006D2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6D2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12.6 </w:t>
            </w:r>
            <w:r w:rsidR="00402B12" w:rsidRPr="006D2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6D28A3">
              <w:rPr>
                <w:rFonts w:ascii="Times New Roman" w:eastAsia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300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1093ED1C" w14:textId="39B41B70" w:rsidR="00D60EA8" w:rsidRPr="006D28A3" w:rsidRDefault="002C3FFA" w:rsidP="007B4AA1">
            <w:pPr>
              <w:keepNext/>
              <w:keepLines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8A3">
              <w:rPr>
                <w:rFonts w:ascii="Times New Roman" w:eastAsia="Times New Roman" w:hAnsi="Times New Roman" w:cs="Times New Roman"/>
                <w:sz w:val="20"/>
                <w:szCs w:val="20"/>
              </w:rPr>
              <w:t>133.5</w:t>
            </w:r>
          </w:p>
        </w:tc>
      </w:tr>
      <w:tr w:rsidR="007B4AA1" w:rsidRPr="006D28A3" w14:paraId="554B7427" w14:textId="77777777" w:rsidTr="007B4AA1">
        <w:tc>
          <w:tcPr>
            <w:tcW w:w="300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01A0FE3F" w14:textId="235A1A77" w:rsidR="00D60EA8" w:rsidRPr="006D28A3" w:rsidRDefault="004E54CF" w:rsidP="007B4AA1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60" w:after="60" w:line="276" w:lineRule="auto"/>
              <w:ind w:left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8A3">
              <w:rPr>
                <w:rFonts w:ascii="Times New Roman" w:eastAsia="Times New Roman" w:hAnsi="Times New Roman" w:cs="Times New Roman"/>
                <w:sz w:val="20"/>
                <w:szCs w:val="20"/>
              </w:rPr>
              <w:t>Disgust &gt; Neutral</w:t>
            </w:r>
          </w:p>
        </w:tc>
        <w:tc>
          <w:tcPr>
            <w:tcW w:w="300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18465B74" w14:textId="684C98B2" w:rsidR="00D60EA8" w:rsidRPr="006D28A3" w:rsidRDefault="00693DEA" w:rsidP="007B4AA1">
            <w:pPr>
              <w:keepNext/>
              <w:keepLines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11.9  </w:t>
            </w:r>
            <w:r w:rsidR="00A378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12.1  </w:t>
            </w:r>
            <w:r w:rsidR="00A378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300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5E2F3D31" w14:textId="31D812C3" w:rsidR="00D60EA8" w:rsidRPr="006D28A3" w:rsidRDefault="00A378E7" w:rsidP="007B4AA1">
            <w:pPr>
              <w:keepNext/>
              <w:keepLines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153.7</w:t>
            </w:r>
          </w:p>
        </w:tc>
      </w:tr>
      <w:tr w:rsidR="007B4AA1" w:rsidRPr="006D28A3" w14:paraId="2A1997C8" w14:textId="77777777" w:rsidTr="007B4AA1">
        <w:tc>
          <w:tcPr>
            <w:tcW w:w="3005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AB3DB2D" w14:textId="72205498" w:rsidR="00D60EA8" w:rsidRPr="006D28A3" w:rsidRDefault="004E54CF" w:rsidP="007B4AA1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60" w:after="60" w:line="276" w:lineRule="auto"/>
              <w:ind w:left="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8A3">
              <w:rPr>
                <w:rFonts w:ascii="Times New Roman" w:eastAsia="Times New Roman" w:hAnsi="Times New Roman" w:cs="Times New Roman"/>
                <w:sz w:val="20"/>
                <w:szCs w:val="20"/>
              </w:rPr>
              <w:t>Sad &gt; Neutral</w:t>
            </w:r>
          </w:p>
        </w:tc>
        <w:tc>
          <w:tcPr>
            <w:tcW w:w="3005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0EC3379" w14:textId="450CD834" w:rsidR="00D60EA8" w:rsidRPr="006D28A3" w:rsidRDefault="00092AFC" w:rsidP="007B4AA1">
            <w:pPr>
              <w:keepNext/>
              <w:keepLines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13.5   14.0   8.9</w:t>
            </w:r>
          </w:p>
        </w:tc>
        <w:tc>
          <w:tcPr>
            <w:tcW w:w="3006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07F98E7" w14:textId="300C5A98" w:rsidR="00D60EA8" w:rsidRPr="006D28A3" w:rsidRDefault="00092AFC" w:rsidP="007B4AA1">
            <w:pPr>
              <w:keepNext/>
              <w:keepLines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104.4</w:t>
            </w:r>
          </w:p>
        </w:tc>
      </w:tr>
    </w:tbl>
    <w:p w14:paraId="7F816471" w14:textId="77777777" w:rsidR="00D60EA8" w:rsidRDefault="00D60EA8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3809C748" w14:textId="77777777" w:rsidR="00D60EA8" w:rsidRDefault="00D60EA8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</w:p>
    <w:p w14:paraId="05766A67" w14:textId="17086438" w:rsidR="000032A2" w:rsidRPr="00B945A4" w:rsidRDefault="000032A2" w:rsidP="009A1CD9">
      <w:pPr>
        <w:keepNext/>
        <w:keepLines/>
        <w:spacing w:after="0" w:line="276" w:lineRule="auto"/>
        <w:rPr>
          <w:rFonts w:ascii="Times New Roman" w:eastAsia="Times New Roman" w:hAnsi="Times New Roman" w:cs="Times New Roman"/>
        </w:rPr>
      </w:pPr>
      <w:r w:rsidRPr="00B945A4">
        <w:rPr>
          <w:rFonts w:ascii="Times New Roman" w:eastAsia="Times New Roman" w:hAnsi="Times New Roman" w:cs="Times New Roman"/>
        </w:rPr>
        <w:t xml:space="preserve">Table </w:t>
      </w:r>
      <w:r>
        <w:rPr>
          <w:rFonts w:ascii="Times New Roman" w:eastAsia="Times New Roman" w:hAnsi="Times New Roman" w:cs="Times New Roman"/>
        </w:rPr>
        <w:t>S</w:t>
      </w:r>
      <w:r w:rsidR="00A574BB">
        <w:rPr>
          <w:rFonts w:ascii="Times New Roman" w:eastAsia="Times New Roman" w:hAnsi="Times New Roman" w:cs="Times New Roman"/>
        </w:rPr>
        <w:t>2</w:t>
      </w:r>
    </w:p>
    <w:p w14:paraId="2ADCA319" w14:textId="77777777" w:rsidR="000032A2" w:rsidRPr="002D36C9" w:rsidRDefault="000032A2" w:rsidP="000032A2">
      <w:pPr>
        <w:keepNext/>
        <w:keepLines/>
        <w:spacing w:line="276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iCs/>
        </w:rPr>
        <w:t>Univariate heritability estimates for the COMPAS-W scores indexing wellbeing levels.</w:t>
      </w:r>
    </w:p>
    <w:tbl>
      <w:tblPr>
        <w:tblW w:w="5258" w:type="pct"/>
        <w:tblLook w:val="0620" w:firstRow="1" w:lastRow="0" w:firstColumn="0" w:lastColumn="0" w:noHBand="1" w:noVBand="1"/>
      </w:tblPr>
      <w:tblGrid>
        <w:gridCol w:w="741"/>
        <w:gridCol w:w="516"/>
        <w:gridCol w:w="532"/>
        <w:gridCol w:w="222"/>
        <w:gridCol w:w="1194"/>
        <w:gridCol w:w="738"/>
        <w:gridCol w:w="782"/>
        <w:gridCol w:w="589"/>
        <w:gridCol w:w="786"/>
        <w:gridCol w:w="423"/>
        <w:gridCol w:w="222"/>
        <w:gridCol w:w="61"/>
        <w:gridCol w:w="993"/>
        <w:gridCol w:w="691"/>
        <w:gridCol w:w="1002"/>
      </w:tblGrid>
      <w:tr w:rsidR="000032A2" w:rsidRPr="00B945A4" w14:paraId="286BE147" w14:textId="77777777" w:rsidTr="009A1CD9">
        <w:trPr>
          <w:trHeight w:val="533"/>
        </w:trPr>
        <w:tc>
          <w:tcPr>
            <w:tcW w:w="390" w:type="pct"/>
            <w:vMerge w:val="restart"/>
            <w:tcBorders>
              <w:top w:val="single" w:sz="4" w:space="0" w:color="auto"/>
            </w:tcBorders>
            <w:vAlign w:val="center"/>
          </w:tcPr>
          <w:p w14:paraId="1FE58537" w14:textId="77777777" w:rsidR="000032A2" w:rsidRPr="009E5E92" w:rsidRDefault="000032A2" w:rsidP="009A1CD9">
            <w:pPr>
              <w:keepNext/>
              <w:keepLines/>
              <w:spacing w:before="60" w:after="0" w:line="36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  <w:t>Model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448E6" w14:textId="77777777" w:rsidR="000032A2" w:rsidRPr="00B945A4" w:rsidRDefault="000032A2" w:rsidP="009A1CD9">
            <w:pPr>
              <w:keepNext/>
              <w:keepLines/>
              <w:spacing w:before="60" w:after="0" w:line="36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  <w:t>ICC</w:t>
            </w:r>
          </w:p>
        </w:tc>
        <w:tc>
          <w:tcPr>
            <w:tcW w:w="117" w:type="pct"/>
            <w:tcBorders>
              <w:top w:val="single" w:sz="4" w:space="0" w:color="auto"/>
            </w:tcBorders>
            <w:vAlign w:val="center"/>
          </w:tcPr>
          <w:p w14:paraId="47DD890E" w14:textId="77777777" w:rsidR="000032A2" w:rsidRDefault="000032A2" w:rsidP="009A1CD9">
            <w:pPr>
              <w:keepNext/>
              <w:keepLines/>
              <w:spacing w:before="60" w:after="0" w:line="36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</w:p>
        </w:tc>
        <w:tc>
          <w:tcPr>
            <w:tcW w:w="237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FAE56" w14:textId="1FE65BF1" w:rsidR="000032A2" w:rsidRPr="00B945A4" w:rsidRDefault="000032A2" w:rsidP="009A1CD9">
            <w:pPr>
              <w:keepNext/>
              <w:keepLines/>
              <w:spacing w:before="60" w:after="0" w:line="36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  <w:t>Model fit</w:t>
            </w:r>
          </w:p>
        </w:tc>
        <w:tc>
          <w:tcPr>
            <w:tcW w:w="117" w:type="pct"/>
            <w:tcBorders>
              <w:top w:val="single" w:sz="4" w:space="0" w:color="auto"/>
            </w:tcBorders>
          </w:tcPr>
          <w:p w14:paraId="582FE152" w14:textId="77777777" w:rsidR="000032A2" w:rsidRDefault="000032A2" w:rsidP="009A1CD9">
            <w:pPr>
              <w:keepNext/>
              <w:keepLines/>
              <w:spacing w:before="60" w:after="0" w:line="36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3FCF4" w14:textId="77777777" w:rsidR="000032A2" w:rsidRPr="00B945A4" w:rsidRDefault="000032A2" w:rsidP="009A1CD9">
            <w:pPr>
              <w:keepNext/>
              <w:keepLines/>
              <w:spacing w:before="60" w:after="0" w:line="36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  <w:t>Parameter estimates</w:t>
            </w:r>
          </w:p>
        </w:tc>
      </w:tr>
      <w:tr w:rsidR="000032A2" w:rsidRPr="00B945A4" w14:paraId="55A27C57" w14:textId="77777777" w:rsidTr="009A1CD9">
        <w:trPr>
          <w:trHeight w:val="410"/>
        </w:trPr>
        <w:tc>
          <w:tcPr>
            <w:tcW w:w="390" w:type="pct"/>
            <w:vMerge/>
            <w:tcBorders>
              <w:bottom w:val="single" w:sz="4" w:space="0" w:color="auto"/>
            </w:tcBorders>
          </w:tcPr>
          <w:p w14:paraId="4DAE22F4" w14:textId="77777777" w:rsidR="000032A2" w:rsidRPr="00B945A4" w:rsidRDefault="000032A2" w:rsidP="009A1CD9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7FD364" w14:textId="77777777" w:rsidR="000032A2" w:rsidRPr="00B945A4" w:rsidRDefault="000032A2" w:rsidP="009A1CD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  <w:t>MZ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DD7A9F" w14:textId="77777777" w:rsidR="000032A2" w:rsidRPr="00B945A4" w:rsidRDefault="000032A2" w:rsidP="009A1CD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  <w:t>DZ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vAlign w:val="bottom"/>
          </w:tcPr>
          <w:p w14:paraId="51B5F0B0" w14:textId="77777777" w:rsidR="000032A2" w:rsidRPr="00B945A4" w:rsidRDefault="000032A2" w:rsidP="009A1CD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DF825A" w14:textId="77777777" w:rsidR="000032A2" w:rsidRPr="00B945A4" w:rsidRDefault="000032A2" w:rsidP="009A1CD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  <w:t>Comparison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989E8B" w14:textId="77777777" w:rsidR="000032A2" w:rsidRPr="00B945A4" w:rsidRDefault="000032A2" w:rsidP="009A1CD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  <w:t>-2LL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073141" w14:textId="77777777" w:rsidR="000032A2" w:rsidRPr="00B945A4" w:rsidRDefault="000032A2" w:rsidP="009A1CD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  <w:t>AIC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F986FF" w14:textId="77777777" w:rsidR="000032A2" w:rsidRPr="00B945A4" w:rsidRDefault="000032A2" w:rsidP="009A1CD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  <w:t>df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BCAC32" w14:textId="77777777" w:rsidR="000032A2" w:rsidRPr="00B945A4" w:rsidRDefault="000032A2" w:rsidP="009A1CD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</w:rPr>
              <w:t>Δ</w:t>
            </w:r>
            <w:r w:rsidRPr="008A56CF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  <w:t>χ2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26BF8C" w14:textId="77777777" w:rsidR="000032A2" w:rsidRPr="008A56CF" w:rsidRDefault="000032A2" w:rsidP="009A1CD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i/>
                <w:kern w:val="32"/>
                <w:sz w:val="20"/>
                <w:szCs w:val="20"/>
              </w:rPr>
              <w:t>p</w:t>
            </w:r>
          </w:p>
        </w:tc>
        <w:tc>
          <w:tcPr>
            <w:tcW w:w="149" w:type="pct"/>
            <w:gridSpan w:val="2"/>
            <w:tcBorders>
              <w:bottom w:val="single" w:sz="4" w:space="0" w:color="auto"/>
            </w:tcBorders>
            <w:vAlign w:val="bottom"/>
          </w:tcPr>
          <w:p w14:paraId="558F3F57" w14:textId="77777777" w:rsidR="000032A2" w:rsidRDefault="000032A2" w:rsidP="009A1CD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7DD281" w14:textId="77777777" w:rsidR="000032A2" w:rsidRPr="00B945A4" w:rsidRDefault="000032A2" w:rsidP="009A1CD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  <w:t>A [CI]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01A044" w14:textId="77777777" w:rsidR="000032A2" w:rsidRPr="00B945A4" w:rsidRDefault="000032A2" w:rsidP="009A1CD9">
            <w:pPr>
              <w:keepNext/>
              <w:keepLines/>
              <w:spacing w:after="0" w:line="360" w:lineRule="auto"/>
              <w:ind w:right="-85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  <w:t>D [CI]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6E1EDB" w14:textId="77777777" w:rsidR="000032A2" w:rsidRPr="00B945A4" w:rsidRDefault="000032A2" w:rsidP="009A1CD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</w:rPr>
              <w:t>E [CI]</w:t>
            </w:r>
          </w:p>
        </w:tc>
      </w:tr>
    </w:tbl>
    <w:tbl>
      <w:tblPr>
        <w:tblStyle w:val="TableGrid"/>
        <w:tblpPr w:leftFromText="180" w:rightFromText="180" w:vertAnchor="text" w:tblpY="59"/>
        <w:tblW w:w="5358" w:type="pct"/>
        <w:tblInd w:w="0" w:type="dxa"/>
        <w:tblLook w:val="04A0" w:firstRow="1" w:lastRow="0" w:firstColumn="1" w:lastColumn="0" w:noHBand="0" w:noVBand="1"/>
      </w:tblPr>
      <w:tblGrid>
        <w:gridCol w:w="629"/>
        <w:gridCol w:w="567"/>
        <w:gridCol w:w="694"/>
        <w:gridCol w:w="1344"/>
        <w:gridCol w:w="749"/>
        <w:gridCol w:w="874"/>
        <w:gridCol w:w="516"/>
        <w:gridCol w:w="666"/>
        <w:gridCol w:w="977"/>
        <w:gridCol w:w="925"/>
        <w:gridCol w:w="789"/>
        <w:gridCol w:w="942"/>
      </w:tblGrid>
      <w:tr w:rsidR="000032A2" w:rsidRPr="00B11C19" w14:paraId="6F441985" w14:textId="77777777" w:rsidTr="00A15318">
        <w:trPr>
          <w:trHeight w:val="453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90C12" w14:textId="77777777" w:rsidR="000032A2" w:rsidRPr="00B11C19" w:rsidRDefault="000032A2" w:rsidP="009A1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ADE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0DFB1" w14:textId="217840F2" w:rsidR="000032A2" w:rsidRPr="00B11C19" w:rsidRDefault="00DD720E" w:rsidP="009A1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.447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231EA" w14:textId="4CDFDC42" w:rsidR="000032A2" w:rsidRPr="00B11C19" w:rsidRDefault="00DD720E" w:rsidP="009A1CD9">
            <w:pPr>
              <w:ind w:left="-2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1A2B7" w14:textId="77777777" w:rsidR="000032A2" w:rsidRPr="00B11C19" w:rsidRDefault="000032A2" w:rsidP="009A1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vs. saturated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C35F9" w14:textId="7DF6CF82" w:rsidR="000032A2" w:rsidRPr="00B11C19" w:rsidRDefault="00DD720E" w:rsidP="009A1CD9">
            <w:pPr>
              <w:ind w:lef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639.82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F7616" w14:textId="41D54FA4" w:rsidR="000032A2" w:rsidRPr="00B11C19" w:rsidRDefault="00DD720E" w:rsidP="009A1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191.82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201AA" w14:textId="1300EB41" w:rsidR="000032A2" w:rsidRPr="00B11C19" w:rsidRDefault="00DD720E" w:rsidP="009A1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677CD" w14:textId="2BFC8BBA" w:rsidR="000032A2" w:rsidRPr="00B11C19" w:rsidRDefault="00DD720E" w:rsidP="009A1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ED149" w14:textId="450635D6" w:rsidR="000032A2" w:rsidRPr="00B11C19" w:rsidRDefault="00D867BC" w:rsidP="009A1CD9">
            <w:pP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FB7E2" w14:textId="77777777" w:rsidR="000032A2" w:rsidRPr="00B11C19" w:rsidRDefault="000032A2" w:rsidP="009A1CD9">
            <w:pPr>
              <w:ind w:left="-62" w:hanging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6656E" w14:textId="77777777" w:rsidR="00CF7024" w:rsidRDefault="00CF7024" w:rsidP="009A1CD9">
            <w:pPr>
              <w:ind w:left="-62" w:hanging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.420</w:t>
            </w:r>
          </w:p>
          <w:p w14:paraId="33FB5558" w14:textId="233A4746" w:rsidR="000032A2" w:rsidRPr="00B11C19" w:rsidRDefault="000032A2" w:rsidP="009A1CD9">
            <w:pPr>
              <w:ind w:left="-62" w:hanging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[0, .</w:t>
            </w:r>
            <w:r w:rsidR="00A1531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1ECE0" w14:textId="77777777" w:rsidR="00CF7024" w:rsidRDefault="00CF7024" w:rsidP="009A1CD9">
            <w:pPr>
              <w:ind w:left="-62" w:hanging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.580</w:t>
            </w:r>
          </w:p>
          <w:p w14:paraId="18B4E865" w14:textId="1EF5D80F" w:rsidR="000032A2" w:rsidRPr="00B11C19" w:rsidRDefault="000032A2" w:rsidP="009A1CD9">
            <w:pPr>
              <w:ind w:left="-62" w:hanging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</w:t>
            </w:r>
            <w:r w:rsidR="00A1531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r w:rsidR="00A1531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0032A2" w:rsidRPr="00B913FF" w14:paraId="209D566B" w14:textId="77777777" w:rsidTr="00A15318">
        <w:trPr>
          <w:trHeight w:val="101"/>
        </w:trPr>
        <w:tc>
          <w:tcPr>
            <w:tcW w:w="4998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3F150" w14:textId="77777777" w:rsidR="000032A2" w:rsidRPr="00B913FF" w:rsidRDefault="000032A2" w:rsidP="009A1CD9">
            <w:pPr>
              <w:ind w:left="-284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32A2" w:rsidRPr="00B11C19" w14:paraId="1170A310" w14:textId="77777777" w:rsidTr="00A15318">
        <w:trPr>
          <w:trHeight w:val="453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8FDDE" w14:textId="77777777" w:rsidR="000032A2" w:rsidRPr="00D33389" w:rsidRDefault="000032A2" w:rsidP="009A1C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389">
              <w:rPr>
                <w:rFonts w:ascii="Times New Roman" w:hAnsi="Times New Roman" w:cs="Times New Roman"/>
                <w:b/>
                <w:sz w:val="20"/>
                <w:szCs w:val="20"/>
              </w:rPr>
              <w:t>AE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013ED" w14:textId="77777777" w:rsidR="000032A2" w:rsidRPr="00D33389" w:rsidRDefault="000032A2" w:rsidP="009A1C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9429D" w14:textId="77777777" w:rsidR="000032A2" w:rsidRPr="00D33389" w:rsidRDefault="000032A2" w:rsidP="009A1CD9">
            <w:pPr>
              <w:ind w:left="-2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D60DF" w14:textId="77777777" w:rsidR="000032A2" w:rsidRPr="00D33389" w:rsidRDefault="000032A2" w:rsidP="009A1C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389">
              <w:rPr>
                <w:rFonts w:ascii="Times New Roman" w:hAnsi="Times New Roman" w:cs="Times New Roman"/>
                <w:b/>
                <w:sz w:val="20"/>
                <w:szCs w:val="20"/>
              </w:rPr>
              <w:t>vs. ADE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A0AB3" w14:textId="4915E865" w:rsidR="000032A2" w:rsidRPr="00D33389" w:rsidRDefault="00DD720E" w:rsidP="009A1CD9">
            <w:pPr>
              <w:ind w:lef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640.45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95E01" w14:textId="60696090" w:rsidR="000032A2" w:rsidRPr="00D33389" w:rsidRDefault="00DD720E" w:rsidP="009A1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190.45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82933" w14:textId="7E73DB9F" w:rsidR="000032A2" w:rsidRPr="00D33389" w:rsidRDefault="00DD720E" w:rsidP="009A1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16563" w14:textId="22ABC2E8" w:rsidR="000032A2" w:rsidRPr="00D33389" w:rsidRDefault="00DD720E" w:rsidP="009A1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3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333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B7B54" w14:textId="65095EF8" w:rsidR="000032A2" w:rsidRPr="00D33389" w:rsidRDefault="00D867BC" w:rsidP="009A1CD9">
            <w:pPr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3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.426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D7BC7" w14:textId="77777777" w:rsidR="00CF7024" w:rsidRDefault="00CF7024" w:rsidP="009A1CD9">
            <w:pPr>
              <w:ind w:left="-62" w:hanging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406</w:t>
            </w:r>
          </w:p>
          <w:p w14:paraId="361C11E9" w14:textId="0CAF2B04" w:rsidR="000032A2" w:rsidRPr="007B7760" w:rsidRDefault="000032A2" w:rsidP="00A15318">
            <w:pPr>
              <w:ind w:left="-321" w:firstLine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="00A15318">
              <w:rPr>
                <w:rFonts w:ascii="Times New Roman" w:hAnsi="Times New Roman" w:cs="Times New Roman"/>
                <w:b/>
                <w:sz w:val="20"/>
                <w:szCs w:val="20"/>
              </w:rPr>
              <w:t>.22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.</w:t>
            </w:r>
            <w:r w:rsidR="00A15318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7F77A" w14:textId="77777777" w:rsidR="000032A2" w:rsidRPr="007B7760" w:rsidRDefault="000032A2" w:rsidP="009A1CD9">
            <w:pPr>
              <w:ind w:left="-62" w:hanging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DE95F" w14:textId="7617A8F0" w:rsidR="000032A2" w:rsidRDefault="00CF7024" w:rsidP="009A1CD9">
            <w:pPr>
              <w:ind w:left="-62" w:hanging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594</w:t>
            </w:r>
            <w:r w:rsidR="00003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BBECAA2" w14:textId="3E8789A4" w:rsidR="000032A2" w:rsidRPr="007B7760" w:rsidRDefault="000032A2" w:rsidP="009A1CD9">
            <w:pPr>
              <w:ind w:left="-62" w:hanging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[.</w:t>
            </w:r>
            <w:r w:rsidR="00A15318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A15318">
              <w:rPr>
                <w:rFonts w:ascii="Times New Roman" w:hAnsi="Times New Roman" w:cs="Times New Roman"/>
                <w:b/>
                <w:sz w:val="20"/>
                <w:szCs w:val="20"/>
              </w:rPr>
              <w:t>.78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0032A2" w:rsidRPr="00B11C19" w14:paraId="1D690F58" w14:textId="77777777" w:rsidTr="00A15318">
        <w:trPr>
          <w:trHeight w:val="453"/>
        </w:trPr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2C5A2E" w14:textId="77777777" w:rsidR="000032A2" w:rsidRDefault="000032A2" w:rsidP="009A1CD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C677C" w14:textId="77777777" w:rsidR="000032A2" w:rsidRPr="00B11C19" w:rsidRDefault="000032A2" w:rsidP="009A1CD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6AD28C" w14:textId="77777777" w:rsidR="000032A2" w:rsidRDefault="000032A2" w:rsidP="009A1CD9">
            <w:pPr>
              <w:spacing w:before="120" w:line="360" w:lineRule="auto"/>
              <w:ind w:left="-2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BF7D0" w14:textId="77777777" w:rsidR="000032A2" w:rsidRDefault="000032A2" w:rsidP="009A1CD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vs. AE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EADD2" w14:textId="0C296F6C" w:rsidR="000032A2" w:rsidRDefault="00DD720E" w:rsidP="009A1CD9">
            <w:pPr>
              <w:spacing w:before="120" w:line="360" w:lineRule="auto"/>
              <w:ind w:lef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656.25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F212A" w14:textId="0009E156" w:rsidR="000032A2" w:rsidRDefault="00DD720E" w:rsidP="009A1CD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204.25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8813DC" w14:textId="77777777" w:rsidR="000032A2" w:rsidRDefault="000032A2" w:rsidP="009A1CD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6EC354" w14:textId="5213E646" w:rsidR="000032A2" w:rsidRDefault="00DD720E" w:rsidP="009A1CD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83047" w14:textId="3EA5393B" w:rsidR="000032A2" w:rsidRDefault="00D867BC" w:rsidP="009A1CD9">
            <w:pPr>
              <w:spacing w:before="120" w:line="360" w:lineRule="auto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0E790" w14:textId="77777777" w:rsidR="000032A2" w:rsidRPr="00B11C19" w:rsidRDefault="000032A2" w:rsidP="009A1CD9">
            <w:pPr>
              <w:spacing w:before="120" w:line="360" w:lineRule="auto"/>
              <w:ind w:left="-62" w:hanging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705C00" w14:textId="77777777" w:rsidR="000032A2" w:rsidRPr="00B11C19" w:rsidRDefault="000032A2" w:rsidP="009A1CD9">
            <w:pPr>
              <w:spacing w:before="120" w:line="360" w:lineRule="auto"/>
              <w:ind w:left="-62" w:hanging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8639ED" w14:textId="77777777" w:rsidR="000032A2" w:rsidRPr="00B11C19" w:rsidRDefault="000032A2" w:rsidP="009A1CD9">
            <w:pPr>
              <w:spacing w:before="120" w:line="360" w:lineRule="auto"/>
              <w:ind w:left="-62" w:hanging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27E5911" w14:textId="77777777" w:rsidR="000032A2" w:rsidRPr="001434F8" w:rsidRDefault="000032A2" w:rsidP="000032A2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NZ"/>
        </w:rPr>
      </w:pPr>
      <w:r w:rsidRPr="001434F8">
        <w:rPr>
          <w:rFonts w:ascii="Times New Roman" w:hAnsi="Times New Roman" w:cs="Times New Roman"/>
          <w:i/>
          <w:sz w:val="20"/>
          <w:szCs w:val="20"/>
          <w:lang w:val="en-NZ"/>
        </w:rPr>
        <w:t>Note.</w:t>
      </w:r>
      <w:r w:rsidRPr="001434F8">
        <w:rPr>
          <w:rFonts w:ascii="Times New Roman" w:hAnsi="Times New Roman" w:cs="Times New Roman"/>
          <w:sz w:val="20"/>
          <w:szCs w:val="20"/>
          <w:lang w:val="en-NZ"/>
        </w:rPr>
        <w:t xml:space="preserve"> ICC = intra-class correlation; MZ = monozygotic twins; DZ = dizygotic twins; -2LL = minus twice the log likelihood; df = degrees of freedom; AIC = Akaike’s information criterion</w:t>
      </w:r>
      <w:r>
        <w:rPr>
          <w:rFonts w:ascii="Times New Roman" w:hAnsi="Times New Roman" w:cs="Times New Roman"/>
          <w:sz w:val="20"/>
          <w:szCs w:val="20"/>
          <w:lang w:val="en-NZ"/>
        </w:rPr>
        <w:t>; CI = 95% confidence intervals</w:t>
      </w:r>
      <w:r w:rsidRPr="001434F8">
        <w:rPr>
          <w:rFonts w:ascii="Times New Roman" w:hAnsi="Times New Roman" w:cs="Times New Roman"/>
          <w:sz w:val="20"/>
          <w:szCs w:val="20"/>
          <w:lang w:val="en-NZ"/>
        </w:rPr>
        <w:t>. The variance was decomposed into additive (A), non-additive (D), and unique environmental (E) factors. The AE model (in bold) was selected as the best-fitting</w:t>
      </w:r>
      <w:r>
        <w:rPr>
          <w:rFonts w:ascii="Times New Roman" w:hAnsi="Times New Roman" w:cs="Times New Roman"/>
          <w:sz w:val="20"/>
          <w:szCs w:val="20"/>
          <w:lang w:val="en-NZ"/>
        </w:rPr>
        <w:t xml:space="preserve"> model</w:t>
      </w:r>
      <w:r w:rsidRPr="001434F8">
        <w:rPr>
          <w:rFonts w:ascii="Times New Roman" w:hAnsi="Times New Roman" w:cs="Times New Roman"/>
          <w:sz w:val="20"/>
          <w:szCs w:val="20"/>
          <w:lang w:val="en-NZ"/>
        </w:rPr>
        <w:t xml:space="preserve"> based on parsimony and lowest AIC value. </w:t>
      </w:r>
      <w:r w:rsidRPr="001434F8">
        <w:rPr>
          <w:rFonts w:ascii="Times New Roman" w:eastAsia="Times New Roman" w:hAnsi="Times New Roman" w:cs="Arial"/>
          <w:bCs/>
          <w:kern w:val="32"/>
          <w:sz w:val="20"/>
          <w:szCs w:val="20"/>
        </w:rPr>
        <w:t xml:space="preserve"> </w:t>
      </w:r>
    </w:p>
    <w:bookmarkEnd w:id="4"/>
    <w:p w14:paraId="10DD1FA6" w14:textId="77777777" w:rsidR="00CB565F" w:rsidRDefault="00CB565F">
      <w:pPr>
        <w:rPr>
          <w:rFonts w:ascii="Times New Roman" w:hAnsi="Times New Roman" w:cs="Times New Roman"/>
          <w:u w:val="single"/>
        </w:rPr>
      </w:pPr>
    </w:p>
    <w:p w14:paraId="28F895C8" w14:textId="77777777" w:rsidR="00CB565F" w:rsidRDefault="00CB565F">
      <w:pPr>
        <w:rPr>
          <w:rFonts w:ascii="Times New Roman" w:hAnsi="Times New Roman" w:cs="Times New Roman"/>
          <w:u w:val="single"/>
        </w:rPr>
      </w:pPr>
    </w:p>
    <w:p w14:paraId="2C34186C" w14:textId="77777777" w:rsidR="00CB565F" w:rsidRDefault="00CB565F">
      <w:pPr>
        <w:rPr>
          <w:rFonts w:ascii="Times New Roman" w:hAnsi="Times New Roman" w:cs="Times New Roman"/>
          <w:u w:val="single"/>
        </w:rPr>
      </w:pPr>
    </w:p>
    <w:p w14:paraId="51D97DE4" w14:textId="77777777" w:rsidR="00CB565F" w:rsidRDefault="00CB565F">
      <w:pPr>
        <w:rPr>
          <w:rFonts w:ascii="Times New Roman" w:hAnsi="Times New Roman" w:cs="Times New Roman"/>
          <w:u w:val="single"/>
        </w:rPr>
      </w:pPr>
    </w:p>
    <w:p w14:paraId="0E7A43D0" w14:textId="17826CA3" w:rsidR="00CB565F" w:rsidRDefault="00CB565F">
      <w:pPr>
        <w:rPr>
          <w:rFonts w:ascii="Times New Roman" w:hAnsi="Times New Roman" w:cs="Times New Roman"/>
          <w:u w:val="single"/>
        </w:rPr>
      </w:pPr>
    </w:p>
    <w:p w14:paraId="64461359" w14:textId="37F96E4B" w:rsidR="008F08AE" w:rsidRDefault="008F08AE">
      <w:pPr>
        <w:rPr>
          <w:rFonts w:ascii="Times New Roman" w:hAnsi="Times New Roman" w:cs="Times New Roman"/>
          <w:u w:val="single"/>
        </w:rPr>
      </w:pPr>
    </w:p>
    <w:p w14:paraId="3B7BE22B" w14:textId="77777777" w:rsidR="00DC622D" w:rsidRDefault="00DC622D">
      <w:pPr>
        <w:rPr>
          <w:rFonts w:ascii="Times New Roman" w:hAnsi="Times New Roman" w:cs="Times New Roman"/>
          <w:u w:val="single"/>
        </w:rPr>
      </w:pPr>
    </w:p>
    <w:p w14:paraId="1AA06683" w14:textId="77777777" w:rsidR="00DC622D" w:rsidRDefault="00DC622D">
      <w:pPr>
        <w:rPr>
          <w:rFonts w:ascii="Times New Roman" w:hAnsi="Times New Roman" w:cs="Times New Roman"/>
          <w:u w:val="single"/>
        </w:rPr>
      </w:pPr>
    </w:p>
    <w:p w14:paraId="16896FBB" w14:textId="77777777" w:rsidR="00DC622D" w:rsidRDefault="00DC622D">
      <w:pPr>
        <w:rPr>
          <w:rFonts w:ascii="Times New Roman" w:hAnsi="Times New Roman" w:cs="Times New Roman"/>
          <w:u w:val="single"/>
        </w:rPr>
      </w:pPr>
    </w:p>
    <w:p w14:paraId="31901EFE" w14:textId="77777777" w:rsidR="00DC622D" w:rsidRDefault="00DC622D">
      <w:pPr>
        <w:rPr>
          <w:rFonts w:ascii="Times New Roman" w:hAnsi="Times New Roman" w:cs="Times New Roman"/>
          <w:u w:val="single"/>
        </w:rPr>
      </w:pPr>
    </w:p>
    <w:p w14:paraId="0101C9BF" w14:textId="77777777" w:rsidR="00DC622D" w:rsidRDefault="00DC622D">
      <w:pPr>
        <w:rPr>
          <w:rFonts w:ascii="Times New Roman" w:hAnsi="Times New Roman" w:cs="Times New Roman"/>
          <w:u w:val="single"/>
        </w:rPr>
      </w:pPr>
    </w:p>
    <w:p w14:paraId="3CA56533" w14:textId="77777777" w:rsidR="00DC622D" w:rsidRDefault="00DC622D">
      <w:pPr>
        <w:rPr>
          <w:rFonts w:ascii="Times New Roman" w:hAnsi="Times New Roman" w:cs="Times New Roman"/>
          <w:u w:val="single"/>
        </w:rPr>
      </w:pPr>
    </w:p>
    <w:p w14:paraId="6F613A4F" w14:textId="77777777" w:rsidR="00212FBC" w:rsidRPr="00A33515" w:rsidRDefault="00002BA6">
      <w:pPr>
        <w:rPr>
          <w:rFonts w:ascii="Times New Roman" w:hAnsi="Times New Roman" w:cs="Times New Roman"/>
          <w:u w:val="single"/>
        </w:rPr>
      </w:pPr>
      <w:r w:rsidRPr="00A33515">
        <w:rPr>
          <w:rFonts w:ascii="Times New Roman" w:hAnsi="Times New Roman" w:cs="Times New Roman"/>
          <w:u w:val="single"/>
        </w:rPr>
        <w:lastRenderedPageBreak/>
        <w:t>References</w:t>
      </w:r>
    </w:p>
    <w:p w14:paraId="0006E802" w14:textId="77777777" w:rsidR="005F6CA4" w:rsidRPr="00A33515" w:rsidRDefault="005F6CA4" w:rsidP="005F6CA4">
      <w:pPr>
        <w:spacing w:after="0" w:line="480" w:lineRule="auto"/>
        <w:rPr>
          <w:rFonts w:ascii="Times New Roman" w:hAnsi="Times New Roman" w:cs="Times New Roman"/>
        </w:rPr>
      </w:pPr>
      <w:r w:rsidRPr="00A33515">
        <w:rPr>
          <w:rFonts w:ascii="Times New Roman" w:hAnsi="Times New Roman" w:cs="Times New Roman"/>
        </w:rPr>
        <w:t xml:space="preserve">Brown, T.A., </w:t>
      </w:r>
      <w:proofErr w:type="spellStart"/>
      <w:r w:rsidRPr="00A33515">
        <w:rPr>
          <w:rFonts w:ascii="Times New Roman" w:hAnsi="Times New Roman" w:cs="Times New Roman"/>
        </w:rPr>
        <w:t>Chorpita</w:t>
      </w:r>
      <w:proofErr w:type="spellEnd"/>
      <w:r w:rsidRPr="00A33515">
        <w:rPr>
          <w:rFonts w:ascii="Times New Roman" w:hAnsi="Times New Roman" w:cs="Times New Roman"/>
        </w:rPr>
        <w:t xml:space="preserve">, B.F., </w:t>
      </w:r>
      <w:proofErr w:type="spellStart"/>
      <w:r w:rsidRPr="00A33515">
        <w:rPr>
          <w:rFonts w:ascii="Times New Roman" w:hAnsi="Times New Roman" w:cs="Times New Roman"/>
        </w:rPr>
        <w:t>Korotitsch</w:t>
      </w:r>
      <w:proofErr w:type="spellEnd"/>
      <w:r w:rsidRPr="00A33515">
        <w:rPr>
          <w:rFonts w:ascii="Times New Roman" w:hAnsi="Times New Roman" w:cs="Times New Roman"/>
        </w:rPr>
        <w:t xml:space="preserve">, W., &amp; Barlow, D.H. (1997). Psychometric </w:t>
      </w:r>
    </w:p>
    <w:p w14:paraId="23FF3938" w14:textId="77777777" w:rsidR="005F6CA4" w:rsidRPr="00A33515" w:rsidRDefault="005F6CA4" w:rsidP="005F6CA4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A33515">
        <w:rPr>
          <w:rFonts w:ascii="Times New Roman" w:hAnsi="Times New Roman" w:cs="Times New Roman"/>
        </w:rPr>
        <w:t xml:space="preserve">properties of the Depression Anxiety Stress Scales (DASS) in clinical samples. </w:t>
      </w:r>
    </w:p>
    <w:p w14:paraId="1142DE6F" w14:textId="77777777" w:rsidR="005F6CA4" w:rsidRPr="00A33515" w:rsidRDefault="005F6CA4" w:rsidP="005F6CA4">
      <w:pPr>
        <w:spacing w:after="0" w:line="480" w:lineRule="auto"/>
        <w:ind w:left="720"/>
        <w:rPr>
          <w:rFonts w:ascii="Times New Roman" w:hAnsi="Times New Roman" w:cs="Times New Roman"/>
        </w:rPr>
      </w:pPr>
      <w:r w:rsidRPr="00A33515">
        <w:rPr>
          <w:rFonts w:ascii="Times New Roman" w:hAnsi="Times New Roman" w:cs="Times New Roman"/>
          <w:i/>
        </w:rPr>
        <w:t>Behaviour Research and Therapy, 35(1),</w:t>
      </w:r>
      <w:r w:rsidRPr="00A33515">
        <w:rPr>
          <w:rFonts w:ascii="Times New Roman" w:hAnsi="Times New Roman" w:cs="Times New Roman"/>
        </w:rPr>
        <w:t xml:space="preserve"> 79-89. doi:10.1016/S0005-7967(96)00068-X</w:t>
      </w:r>
    </w:p>
    <w:p w14:paraId="4D5BF535" w14:textId="77777777" w:rsidR="00C2080C" w:rsidRPr="00A33515" w:rsidRDefault="00C2080C" w:rsidP="00C2080C">
      <w:pPr>
        <w:spacing w:after="0" w:line="480" w:lineRule="auto"/>
        <w:rPr>
          <w:rFonts w:ascii="Times New Roman" w:hAnsi="Times New Roman" w:cs="Times New Roman"/>
        </w:rPr>
      </w:pPr>
      <w:r w:rsidRPr="00A33515">
        <w:rPr>
          <w:rFonts w:ascii="Times New Roman" w:hAnsi="Times New Roman" w:cs="Times New Roman"/>
        </w:rPr>
        <w:t xml:space="preserve">Clark, L.A., &amp; Watson, D. (1991). Tripartite model of anxiety and depression: psychometric </w:t>
      </w:r>
    </w:p>
    <w:p w14:paraId="5BDAC486" w14:textId="77777777" w:rsidR="00C2080C" w:rsidRPr="00A33515" w:rsidRDefault="00C2080C" w:rsidP="00C2080C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A33515">
        <w:rPr>
          <w:rFonts w:ascii="Times New Roman" w:hAnsi="Times New Roman" w:cs="Times New Roman"/>
        </w:rPr>
        <w:t xml:space="preserve">evidence and taxonomic implications. </w:t>
      </w:r>
      <w:r w:rsidRPr="00A33515">
        <w:rPr>
          <w:rFonts w:ascii="Times New Roman" w:hAnsi="Times New Roman" w:cs="Times New Roman"/>
          <w:i/>
        </w:rPr>
        <w:t>Journal of Abnormal Psychology, 100(3),</w:t>
      </w:r>
      <w:r w:rsidRPr="00A33515">
        <w:rPr>
          <w:rFonts w:ascii="Times New Roman" w:hAnsi="Times New Roman" w:cs="Times New Roman"/>
        </w:rPr>
        <w:t xml:space="preserve"> 316-</w:t>
      </w:r>
    </w:p>
    <w:p w14:paraId="72B23373" w14:textId="77777777" w:rsidR="00C2080C" w:rsidRPr="00A33515" w:rsidRDefault="00C2080C" w:rsidP="00C2080C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A33515">
        <w:rPr>
          <w:rFonts w:ascii="Times New Roman" w:hAnsi="Times New Roman" w:cs="Times New Roman"/>
        </w:rPr>
        <w:t>336. doi:10.1037/0021-843X.100.3.316</w:t>
      </w:r>
    </w:p>
    <w:p w14:paraId="396CBCC3" w14:textId="77777777" w:rsidR="006116A3" w:rsidRPr="00A33515" w:rsidRDefault="006116A3" w:rsidP="006116A3">
      <w:pPr>
        <w:spacing w:after="0" w:line="480" w:lineRule="auto"/>
        <w:rPr>
          <w:rFonts w:ascii="Times New Roman" w:hAnsi="Times New Roman" w:cs="Times New Roman"/>
        </w:rPr>
      </w:pPr>
      <w:r w:rsidRPr="00A33515">
        <w:rPr>
          <w:rFonts w:ascii="Times New Roman" w:hAnsi="Times New Roman" w:cs="Times New Roman"/>
        </w:rPr>
        <w:t xml:space="preserve">Gatt, J.M., Burton, K.L.O., Schofield, P.R., Bryant, R.A., &amp; Williams, L.M. (2014). The </w:t>
      </w:r>
    </w:p>
    <w:p w14:paraId="1B925398" w14:textId="77777777" w:rsidR="006116A3" w:rsidRPr="00A33515" w:rsidRDefault="006116A3" w:rsidP="006116A3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A33515">
        <w:rPr>
          <w:rFonts w:ascii="Times New Roman" w:hAnsi="Times New Roman" w:cs="Times New Roman"/>
        </w:rPr>
        <w:t xml:space="preserve">heritability of mental health and wellbeing defined using COMPAS-W, a new </w:t>
      </w:r>
    </w:p>
    <w:p w14:paraId="579D9E06" w14:textId="77777777" w:rsidR="006116A3" w:rsidRPr="00A33515" w:rsidRDefault="006116A3" w:rsidP="006116A3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A33515">
        <w:rPr>
          <w:rFonts w:ascii="Times New Roman" w:hAnsi="Times New Roman" w:cs="Times New Roman"/>
        </w:rPr>
        <w:t xml:space="preserve">composite measure of wellbeing. </w:t>
      </w:r>
      <w:r w:rsidRPr="00A33515">
        <w:rPr>
          <w:rFonts w:ascii="Times New Roman" w:hAnsi="Times New Roman" w:cs="Times New Roman"/>
          <w:i/>
        </w:rPr>
        <w:t>Psychiatry Research, 219,</w:t>
      </w:r>
      <w:r w:rsidRPr="00A33515">
        <w:rPr>
          <w:rFonts w:ascii="Times New Roman" w:hAnsi="Times New Roman" w:cs="Times New Roman"/>
        </w:rPr>
        <w:t xml:space="preserve"> 204-213. </w:t>
      </w:r>
    </w:p>
    <w:p w14:paraId="54C421AC" w14:textId="77777777" w:rsidR="006116A3" w:rsidRPr="00A33515" w:rsidRDefault="006116A3" w:rsidP="006116A3">
      <w:pPr>
        <w:spacing w:after="0" w:line="480" w:lineRule="auto"/>
        <w:ind w:firstLine="720"/>
        <w:rPr>
          <w:rFonts w:ascii="Times New Roman" w:hAnsi="Times New Roman" w:cs="Times New Roman"/>
        </w:rPr>
      </w:pPr>
      <w:proofErr w:type="gramStart"/>
      <w:r w:rsidRPr="00A33515">
        <w:rPr>
          <w:rFonts w:ascii="Times New Roman" w:hAnsi="Times New Roman" w:cs="Times New Roman"/>
        </w:rPr>
        <w:t>doi:10.1016/j.psychres</w:t>
      </w:r>
      <w:proofErr w:type="gramEnd"/>
      <w:r w:rsidRPr="00A33515">
        <w:rPr>
          <w:rFonts w:ascii="Times New Roman" w:hAnsi="Times New Roman" w:cs="Times New Roman"/>
        </w:rPr>
        <w:t>.2014.04.033</w:t>
      </w:r>
    </w:p>
    <w:p w14:paraId="034CA6FE" w14:textId="77777777" w:rsidR="006116A3" w:rsidRPr="00A33515" w:rsidRDefault="006116A3" w:rsidP="006116A3">
      <w:pPr>
        <w:spacing w:after="0" w:line="480" w:lineRule="auto"/>
        <w:rPr>
          <w:rFonts w:ascii="Times New Roman" w:hAnsi="Times New Roman" w:cs="Times New Roman"/>
        </w:rPr>
      </w:pPr>
      <w:r w:rsidRPr="00A33515">
        <w:rPr>
          <w:rFonts w:ascii="Times New Roman" w:hAnsi="Times New Roman" w:cs="Times New Roman"/>
        </w:rPr>
        <w:t xml:space="preserve">Lovibond, P.F., &amp; Lovibond, S.H. (1995). The structure of negative emotion states: </w:t>
      </w:r>
    </w:p>
    <w:p w14:paraId="2EAF1A24" w14:textId="77777777" w:rsidR="006116A3" w:rsidRPr="00A33515" w:rsidRDefault="006116A3" w:rsidP="006116A3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A33515">
        <w:rPr>
          <w:rFonts w:ascii="Times New Roman" w:hAnsi="Times New Roman" w:cs="Times New Roman"/>
        </w:rPr>
        <w:t xml:space="preserve">comparison of the Depression Anxiety Stress Scales (DASS) with the Beck </w:t>
      </w:r>
    </w:p>
    <w:p w14:paraId="0E8AB5F1" w14:textId="77777777" w:rsidR="006116A3" w:rsidRPr="00A33515" w:rsidRDefault="006116A3" w:rsidP="006116A3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A33515">
        <w:rPr>
          <w:rFonts w:ascii="Times New Roman" w:hAnsi="Times New Roman" w:cs="Times New Roman"/>
        </w:rPr>
        <w:t xml:space="preserve">Depression and Anxiety Inventories. </w:t>
      </w:r>
      <w:r w:rsidRPr="00A33515">
        <w:rPr>
          <w:rFonts w:ascii="Times New Roman" w:hAnsi="Times New Roman" w:cs="Times New Roman"/>
          <w:i/>
        </w:rPr>
        <w:t>Behaviour Research and Therapy, 33(3),</w:t>
      </w:r>
      <w:r w:rsidRPr="00A33515">
        <w:rPr>
          <w:rFonts w:ascii="Times New Roman" w:hAnsi="Times New Roman" w:cs="Times New Roman"/>
        </w:rPr>
        <w:t xml:space="preserve"> 335-</w:t>
      </w:r>
    </w:p>
    <w:p w14:paraId="7A72A761" w14:textId="77777777" w:rsidR="00002BA6" w:rsidRPr="00A33515" w:rsidRDefault="006116A3" w:rsidP="004E04FE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A33515">
        <w:rPr>
          <w:rFonts w:ascii="Times New Roman" w:hAnsi="Times New Roman" w:cs="Times New Roman"/>
        </w:rPr>
        <w:t>343. doi:10.1016/0005-7967(94)00075-U</w:t>
      </w:r>
    </w:p>
    <w:sectPr w:rsidR="00002BA6" w:rsidRPr="00A3351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918E1" w16cex:dateUtc="2020-08-20T05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DF92F" w14:textId="77777777" w:rsidR="00F623C0" w:rsidRDefault="00F623C0" w:rsidP="00F623C0">
      <w:pPr>
        <w:spacing w:after="0" w:line="240" w:lineRule="auto"/>
      </w:pPr>
      <w:r>
        <w:separator/>
      </w:r>
    </w:p>
  </w:endnote>
  <w:endnote w:type="continuationSeparator" w:id="0">
    <w:p w14:paraId="55E6E46F" w14:textId="77777777" w:rsidR="00F623C0" w:rsidRDefault="00F623C0" w:rsidP="00F6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222988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81E14" w14:textId="5AF80EC3" w:rsidR="00BD5458" w:rsidRPr="00BD5458" w:rsidRDefault="00BD5458">
        <w:pPr>
          <w:pStyle w:val="Footer"/>
          <w:jc w:val="right"/>
          <w:rPr>
            <w:rFonts w:ascii="Times New Roman" w:hAnsi="Times New Roman" w:cs="Times New Roman"/>
          </w:rPr>
        </w:pPr>
        <w:r w:rsidRPr="00BD5458">
          <w:rPr>
            <w:rFonts w:ascii="Times New Roman" w:hAnsi="Times New Roman" w:cs="Times New Roman"/>
          </w:rPr>
          <w:fldChar w:fldCharType="begin"/>
        </w:r>
        <w:r w:rsidRPr="00BD5458">
          <w:rPr>
            <w:rFonts w:ascii="Times New Roman" w:hAnsi="Times New Roman" w:cs="Times New Roman"/>
          </w:rPr>
          <w:instrText xml:space="preserve"> PAGE   \* MERGEFORMAT </w:instrText>
        </w:r>
        <w:r w:rsidRPr="00BD5458">
          <w:rPr>
            <w:rFonts w:ascii="Times New Roman" w:hAnsi="Times New Roman" w:cs="Times New Roman"/>
          </w:rPr>
          <w:fldChar w:fldCharType="separate"/>
        </w:r>
        <w:r w:rsidRPr="00BD5458">
          <w:rPr>
            <w:rFonts w:ascii="Times New Roman" w:hAnsi="Times New Roman" w:cs="Times New Roman"/>
            <w:noProof/>
          </w:rPr>
          <w:t>2</w:t>
        </w:r>
        <w:r w:rsidRPr="00BD545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51D4B32" w14:textId="77777777" w:rsidR="00F623C0" w:rsidRPr="00BD5458" w:rsidRDefault="00F623C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54FBC" w14:textId="77777777" w:rsidR="00F623C0" w:rsidRDefault="00F623C0" w:rsidP="00F623C0">
      <w:pPr>
        <w:spacing w:after="0" w:line="240" w:lineRule="auto"/>
      </w:pPr>
      <w:r>
        <w:separator/>
      </w:r>
    </w:p>
  </w:footnote>
  <w:footnote w:type="continuationSeparator" w:id="0">
    <w:p w14:paraId="4CF6CF4E" w14:textId="77777777" w:rsidR="00F623C0" w:rsidRDefault="00F623C0" w:rsidP="00F62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45C95"/>
    <w:multiLevelType w:val="hybridMultilevel"/>
    <w:tmpl w:val="0D2A54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E1084"/>
    <w:multiLevelType w:val="hybridMultilevel"/>
    <w:tmpl w:val="D3A290F0"/>
    <w:lvl w:ilvl="0" w:tplc="DD084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2F6"/>
    <w:rsid w:val="00002BA6"/>
    <w:rsid w:val="000032A2"/>
    <w:rsid w:val="0002046A"/>
    <w:rsid w:val="00052619"/>
    <w:rsid w:val="000620A0"/>
    <w:rsid w:val="00092AFC"/>
    <w:rsid w:val="000C04FC"/>
    <w:rsid w:val="00115E22"/>
    <w:rsid w:val="001163CD"/>
    <w:rsid w:val="001437A4"/>
    <w:rsid w:val="00194BDD"/>
    <w:rsid w:val="001A398C"/>
    <w:rsid w:val="001B5287"/>
    <w:rsid w:val="00212CE4"/>
    <w:rsid w:val="00212FBC"/>
    <w:rsid w:val="00287EB7"/>
    <w:rsid w:val="002C21C5"/>
    <w:rsid w:val="002C3FFA"/>
    <w:rsid w:val="002E7D15"/>
    <w:rsid w:val="002F0F0F"/>
    <w:rsid w:val="002F3C73"/>
    <w:rsid w:val="003F6281"/>
    <w:rsid w:val="00402B12"/>
    <w:rsid w:val="00424F17"/>
    <w:rsid w:val="004263AB"/>
    <w:rsid w:val="004553DD"/>
    <w:rsid w:val="004728BF"/>
    <w:rsid w:val="004E04FE"/>
    <w:rsid w:val="004E54CF"/>
    <w:rsid w:val="004F0EB7"/>
    <w:rsid w:val="0051344E"/>
    <w:rsid w:val="00551264"/>
    <w:rsid w:val="005F6CA4"/>
    <w:rsid w:val="006116A3"/>
    <w:rsid w:val="0067481B"/>
    <w:rsid w:val="00693DEA"/>
    <w:rsid w:val="006B2735"/>
    <w:rsid w:val="006D28A3"/>
    <w:rsid w:val="007861CD"/>
    <w:rsid w:val="007B4AA1"/>
    <w:rsid w:val="00867879"/>
    <w:rsid w:val="008847BB"/>
    <w:rsid w:val="00891AC3"/>
    <w:rsid w:val="008C32E6"/>
    <w:rsid w:val="008D39EC"/>
    <w:rsid w:val="008D7355"/>
    <w:rsid w:val="008F08AE"/>
    <w:rsid w:val="008F5F3C"/>
    <w:rsid w:val="00903A8C"/>
    <w:rsid w:val="0091375D"/>
    <w:rsid w:val="009F42F6"/>
    <w:rsid w:val="00A01B0C"/>
    <w:rsid w:val="00A15318"/>
    <w:rsid w:val="00A33515"/>
    <w:rsid w:val="00A378E7"/>
    <w:rsid w:val="00A574BB"/>
    <w:rsid w:val="00AC725C"/>
    <w:rsid w:val="00AE38ED"/>
    <w:rsid w:val="00AE5624"/>
    <w:rsid w:val="00B35179"/>
    <w:rsid w:val="00B54B48"/>
    <w:rsid w:val="00B867CF"/>
    <w:rsid w:val="00BD5458"/>
    <w:rsid w:val="00BE1480"/>
    <w:rsid w:val="00C177FA"/>
    <w:rsid w:val="00C2080C"/>
    <w:rsid w:val="00CB565F"/>
    <w:rsid w:val="00CF7024"/>
    <w:rsid w:val="00D60EA8"/>
    <w:rsid w:val="00D867BC"/>
    <w:rsid w:val="00DB2BFD"/>
    <w:rsid w:val="00DB627A"/>
    <w:rsid w:val="00DC622D"/>
    <w:rsid w:val="00DD720E"/>
    <w:rsid w:val="00E54715"/>
    <w:rsid w:val="00EB3F2B"/>
    <w:rsid w:val="00F01783"/>
    <w:rsid w:val="00F623C0"/>
    <w:rsid w:val="00F63330"/>
    <w:rsid w:val="00FB0734"/>
    <w:rsid w:val="00F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CB2E"/>
  <w15:chartTrackingRefBased/>
  <w15:docId w15:val="{8AC42E36-495D-4B1B-B240-144C0CFD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2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0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8A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2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3C0"/>
  </w:style>
  <w:style w:type="paragraph" w:styleId="Footer">
    <w:name w:val="footer"/>
    <w:basedOn w:val="Normal"/>
    <w:link w:val="FooterChar"/>
    <w:uiPriority w:val="99"/>
    <w:unhideWhenUsed/>
    <w:rsid w:val="00F62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3C0"/>
  </w:style>
  <w:style w:type="paragraph" w:styleId="NormalWeb">
    <w:name w:val="Normal (Web)"/>
    <w:basedOn w:val="Normal"/>
    <w:uiPriority w:val="99"/>
    <w:semiHidden/>
    <w:unhideWhenUsed/>
    <w:rsid w:val="00CB56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4E54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E5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NSW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Haeme Riva Paige Park</dc:creator>
  <cp:keywords/>
  <dc:description/>
  <cp:lastModifiedBy>Haeme Riva Paige Park</cp:lastModifiedBy>
  <cp:revision>4</cp:revision>
  <dcterms:created xsi:type="dcterms:W3CDTF">2021-04-30T02:57:00Z</dcterms:created>
  <dcterms:modified xsi:type="dcterms:W3CDTF">2021-05-07T03:48:00Z</dcterms:modified>
</cp:coreProperties>
</file>