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E26C" w14:textId="17B7E9DB" w:rsidR="00FA714F" w:rsidRDefault="00FA714F" w:rsidP="00FA714F">
      <w:pPr>
        <w:jc w:val="center"/>
        <w:rPr>
          <w:rFonts w:ascii="Calibri Light" w:hAnsi="Calibri Light" w:cs="Calibri Light"/>
          <w:lang w:val="en-US"/>
        </w:rPr>
      </w:pPr>
      <w:r w:rsidRPr="00FA0FA8">
        <w:rPr>
          <w:rFonts w:ascii="Calibri Light" w:hAnsi="Calibri Light" w:cs="Calibri Light"/>
          <w:lang w:val="en-US"/>
        </w:rPr>
        <w:t xml:space="preserve">APPENDIX </w:t>
      </w:r>
    </w:p>
    <w:p w14:paraId="05932CBC" w14:textId="2A5BEC92" w:rsidR="00185F70" w:rsidRPr="00185F70" w:rsidRDefault="0025629C" w:rsidP="00FA714F">
      <w:pPr>
        <w:jc w:val="center"/>
        <w:rPr>
          <w:rFonts w:ascii="Calibri Light" w:hAnsi="Calibri Light" w:cs="Calibri Light"/>
          <w:b/>
          <w:lang w:val="en-US"/>
        </w:rPr>
      </w:pPr>
      <w:r>
        <w:rPr>
          <w:rFonts w:ascii="Calibri Light" w:hAnsi="Calibri Light" w:cs="Calibri Light"/>
          <w:b/>
          <w:lang w:val="en-US"/>
        </w:rPr>
        <w:t>Description</w:t>
      </w:r>
      <w:r w:rsidR="00185F70" w:rsidRPr="00185F70">
        <w:rPr>
          <w:rFonts w:ascii="Calibri Light" w:hAnsi="Calibri Light" w:cs="Calibri Light"/>
          <w:b/>
          <w:lang w:val="en-US"/>
        </w:rPr>
        <w:t xml:space="preserve"> of Registers</w:t>
      </w:r>
    </w:p>
    <w:p w14:paraId="730B2DD6" w14:textId="77777777" w:rsidR="007C61E8" w:rsidRPr="007C61E8" w:rsidRDefault="007C61E8" w:rsidP="0083015C">
      <w:pPr>
        <w:spacing w:after="0" w:line="240" w:lineRule="auto"/>
        <w:rPr>
          <w:rFonts w:ascii="Segoe UI" w:hAnsi="Segoe UI" w:cs="Segoe UI"/>
          <w:i/>
          <w:color w:val="212121"/>
          <w:shd w:val="clear" w:color="auto" w:fill="FFFFFF"/>
          <w:lang w:val="en-US"/>
        </w:rPr>
      </w:pPr>
      <w:r w:rsidRPr="007C61E8">
        <w:rPr>
          <w:rFonts w:ascii="Segoe UI" w:hAnsi="Segoe UI" w:cs="Segoe UI"/>
          <w:i/>
          <w:color w:val="212121"/>
          <w:shd w:val="clear" w:color="auto" w:fill="FFFFFF"/>
          <w:lang w:val="en-US"/>
        </w:rPr>
        <w:t xml:space="preserve">Multi-Generation Register </w:t>
      </w:r>
    </w:p>
    <w:p w14:paraId="44824E20" w14:textId="04094791" w:rsidR="0083015C" w:rsidRPr="00185F70" w:rsidRDefault="0083015C" w:rsidP="0083015C">
      <w:pPr>
        <w:spacing w:after="0" w:line="240" w:lineRule="auto"/>
        <w:rPr>
          <w:rFonts w:ascii="Segoe UI" w:hAnsi="Segoe UI" w:cs="Segoe UI"/>
          <w:i/>
          <w:color w:val="212121"/>
          <w:shd w:val="clear" w:color="auto" w:fill="FFFFFF"/>
          <w:lang w:val="en-US"/>
        </w:rPr>
      </w:pPr>
      <w:r w:rsidRPr="0083015C">
        <w:rPr>
          <w:rFonts w:ascii="Segoe UI" w:hAnsi="Segoe UI" w:cs="Segoe UI"/>
          <w:color w:val="212121"/>
          <w:shd w:val="clear" w:color="auto" w:fill="FFFFFF"/>
          <w:lang w:val="en-US"/>
        </w:rPr>
        <w:t xml:space="preserve">The </w:t>
      </w:r>
      <w:r w:rsidRPr="007C61E8">
        <w:rPr>
          <w:rFonts w:ascii="Segoe UI" w:hAnsi="Segoe UI" w:cs="Segoe UI"/>
          <w:color w:val="212121"/>
          <w:shd w:val="clear" w:color="auto" w:fill="FFFFFF"/>
          <w:lang w:val="en-US"/>
        </w:rPr>
        <w:t>Multi-Generation Register</w:t>
      </w:r>
      <w:r w:rsidRPr="0083015C">
        <w:rPr>
          <w:rFonts w:ascii="Segoe UI" w:hAnsi="Segoe UI" w:cs="Segoe UI"/>
          <w:color w:val="212121"/>
          <w:shd w:val="clear" w:color="auto" w:fill="FFFFFF"/>
          <w:lang w:val="en-US"/>
        </w:rPr>
        <w:t xml:space="preserve"> is a register made up of persons who have been registered in Sweden at some time since 1961 and those who were born in 1932 or later. These are called index persons. The register contains connections between index persons and their biological parents. There are about 11 million index persons in the register.  The Multi-Generation Register is a part of the register system for Total Population Register, where information comes from the National Tax Board. Every year, a new version of the register is created, including new index persons who immigrated or were born during the year. Information from the Multi-Generation Register may be disclosed for research and statistical purposes.</w:t>
      </w:r>
      <w:r w:rsidR="00185F70">
        <w:rPr>
          <w:rFonts w:ascii="Segoe UI" w:hAnsi="Segoe UI" w:cs="Segoe UI"/>
          <w:color w:val="212121"/>
          <w:shd w:val="clear" w:color="auto" w:fill="FFFFFF"/>
          <w:lang w:val="en-US"/>
        </w:rPr>
        <w:t xml:space="preserve"> For more information, see </w:t>
      </w:r>
      <w:r w:rsidR="00185F70" w:rsidRPr="00185F70">
        <w:rPr>
          <w:rFonts w:ascii="Segoe UI" w:hAnsi="Segoe UI" w:cs="Segoe UI"/>
          <w:i/>
          <w:color w:val="212121"/>
          <w:shd w:val="clear" w:color="auto" w:fill="FFFFFF"/>
          <w:lang w:val="en-US"/>
        </w:rPr>
        <w:t>Statistics Sweden, Background Facts, Population and Welfare Statistics 2017:2, Multi-generation register 2016. A description of contents and quality</w:t>
      </w:r>
    </w:p>
    <w:p w14:paraId="55FBE7E8" w14:textId="5730629D" w:rsidR="0083015C" w:rsidRDefault="0083015C" w:rsidP="0083015C">
      <w:pPr>
        <w:spacing w:after="0" w:line="240" w:lineRule="auto"/>
        <w:rPr>
          <w:rFonts w:ascii="Segoe UI" w:hAnsi="Segoe UI" w:cs="Segoe UI"/>
          <w:color w:val="212121"/>
          <w:shd w:val="clear" w:color="auto" w:fill="FFFFFF"/>
          <w:lang w:val="en-US"/>
        </w:rPr>
      </w:pPr>
    </w:p>
    <w:p w14:paraId="764409B5" w14:textId="15262A20" w:rsidR="007C61E8" w:rsidRPr="0083015C" w:rsidRDefault="007C61E8" w:rsidP="007C61E8">
      <w:pPr>
        <w:spacing w:after="0" w:line="240" w:lineRule="auto"/>
        <w:rPr>
          <w:rFonts w:ascii="Segoe UI" w:hAnsi="Segoe UI" w:cs="Segoe UI"/>
          <w:color w:val="212121"/>
          <w:shd w:val="clear" w:color="auto" w:fill="FFFFFF"/>
          <w:lang w:val="en-US"/>
        </w:rPr>
      </w:pPr>
      <w:r w:rsidRPr="007C61E8">
        <w:rPr>
          <w:rFonts w:ascii="Segoe UI" w:hAnsi="Segoe UI" w:cs="Segoe UI"/>
          <w:i/>
          <w:color w:val="212121"/>
          <w:shd w:val="clear" w:color="auto" w:fill="FFFFFF"/>
          <w:lang w:val="en-US"/>
        </w:rPr>
        <w:t>National Patient Register</w:t>
      </w:r>
    </w:p>
    <w:p w14:paraId="3BFC97A8" w14:textId="742678EE" w:rsidR="0083015C" w:rsidRPr="0083015C" w:rsidRDefault="0083015C" w:rsidP="0083015C">
      <w:pPr>
        <w:spacing w:after="0" w:line="240" w:lineRule="auto"/>
        <w:rPr>
          <w:rFonts w:ascii="Segoe UI" w:hAnsi="Segoe UI" w:cs="Segoe UI"/>
          <w:color w:val="212121"/>
          <w:shd w:val="clear" w:color="auto" w:fill="FFFFFF"/>
          <w:lang w:val="en-US"/>
        </w:rPr>
      </w:pPr>
      <w:r w:rsidRPr="0083015C">
        <w:rPr>
          <w:rFonts w:ascii="Segoe UI" w:hAnsi="Segoe UI" w:cs="Segoe UI"/>
          <w:color w:val="212121"/>
          <w:shd w:val="clear" w:color="auto" w:fill="FFFFFF"/>
          <w:lang w:val="en-US"/>
        </w:rPr>
        <w:t xml:space="preserve">In the 1960's the National Board of Health and Welfare started to collect information regarding in-patients at public hospitals, the </w:t>
      </w:r>
      <w:r w:rsidRPr="007C61E8">
        <w:rPr>
          <w:rFonts w:ascii="Segoe UI" w:hAnsi="Segoe UI" w:cs="Segoe UI"/>
          <w:color w:val="212121"/>
          <w:shd w:val="clear" w:color="auto" w:fill="FFFFFF"/>
          <w:lang w:val="en-US"/>
        </w:rPr>
        <w:t>National Patient Register</w:t>
      </w:r>
      <w:r w:rsidRPr="0083015C">
        <w:rPr>
          <w:rFonts w:ascii="Segoe UI" w:hAnsi="Segoe UI" w:cs="Segoe UI"/>
          <w:color w:val="212121"/>
          <w:shd w:val="clear" w:color="auto" w:fill="FFFFFF"/>
          <w:lang w:val="en-US"/>
        </w:rPr>
        <w:t xml:space="preserve"> (NPR). Initially it contained information about all patients treated in psychiatric care and approximately 16 percent of patients in somatic care. The register at that time covered six of the 26 county councils in Sweden. In </w:t>
      </w:r>
      <w:r w:rsidR="007C61E8" w:rsidRPr="0083015C">
        <w:rPr>
          <w:rFonts w:ascii="Segoe UI" w:hAnsi="Segoe UI" w:cs="Segoe UI"/>
          <w:color w:val="212121"/>
          <w:shd w:val="clear" w:color="auto" w:fill="FFFFFF"/>
          <w:lang w:val="en-US"/>
        </w:rPr>
        <w:t>1984,</w:t>
      </w:r>
      <w:r w:rsidRPr="0083015C">
        <w:rPr>
          <w:rFonts w:ascii="Segoe UI" w:hAnsi="Segoe UI" w:cs="Segoe UI"/>
          <w:color w:val="212121"/>
          <w:shd w:val="clear" w:color="auto" w:fill="FFFFFF"/>
          <w:lang w:val="en-US"/>
        </w:rPr>
        <w:t xml:space="preserve"> the Ministry of Health and Welfare together with the Federation of County Councils decided a mandatory participation for all county councils. From </w:t>
      </w:r>
      <w:r w:rsidR="007C61E8" w:rsidRPr="0083015C">
        <w:rPr>
          <w:rFonts w:ascii="Segoe UI" w:hAnsi="Segoe UI" w:cs="Segoe UI"/>
          <w:color w:val="212121"/>
          <w:shd w:val="clear" w:color="auto" w:fill="FFFFFF"/>
          <w:lang w:val="en-US"/>
        </w:rPr>
        <w:t>1987,</w:t>
      </w:r>
      <w:r w:rsidRPr="0083015C">
        <w:rPr>
          <w:rFonts w:ascii="Segoe UI" w:hAnsi="Segoe UI" w:cs="Segoe UI"/>
          <w:color w:val="212121"/>
          <w:shd w:val="clear" w:color="auto" w:fill="FFFFFF"/>
          <w:lang w:val="en-US"/>
        </w:rPr>
        <w:t xml:space="preserve"> NPR includes all in-patient care in Sweden. Since </w:t>
      </w:r>
      <w:r w:rsidR="007C61E8" w:rsidRPr="0083015C">
        <w:rPr>
          <w:rFonts w:ascii="Segoe UI" w:hAnsi="Segoe UI" w:cs="Segoe UI"/>
          <w:color w:val="212121"/>
          <w:shd w:val="clear" w:color="auto" w:fill="FFFFFF"/>
          <w:lang w:val="en-US"/>
        </w:rPr>
        <w:t>2001,</w:t>
      </w:r>
      <w:r w:rsidRPr="0083015C">
        <w:rPr>
          <w:rFonts w:ascii="Segoe UI" w:hAnsi="Segoe UI" w:cs="Segoe UI"/>
          <w:color w:val="212121"/>
          <w:shd w:val="clear" w:color="auto" w:fill="FFFFFF"/>
          <w:lang w:val="en-US"/>
        </w:rPr>
        <w:t xml:space="preserve"> the register also covers outpatient doctor visits including day surgery and psychiatric care from both private and public caregivers</w:t>
      </w:r>
      <w:r w:rsidR="00185F70">
        <w:rPr>
          <w:rFonts w:ascii="Segoe UI" w:hAnsi="Segoe UI" w:cs="Segoe UI"/>
          <w:color w:val="212121"/>
          <w:shd w:val="clear" w:color="auto" w:fill="FFFFFF"/>
          <w:lang w:val="en-US"/>
        </w:rPr>
        <w:t xml:space="preserve">. For more </w:t>
      </w:r>
      <w:r w:rsidR="007C61E8">
        <w:rPr>
          <w:rFonts w:ascii="Segoe UI" w:hAnsi="Segoe UI" w:cs="Segoe UI"/>
          <w:color w:val="212121"/>
          <w:shd w:val="clear" w:color="auto" w:fill="FFFFFF"/>
          <w:lang w:val="en-US"/>
        </w:rPr>
        <w:t>information,</w:t>
      </w:r>
      <w:r w:rsidR="00185F70">
        <w:rPr>
          <w:rFonts w:ascii="Segoe UI" w:hAnsi="Segoe UI" w:cs="Segoe UI"/>
          <w:color w:val="212121"/>
          <w:shd w:val="clear" w:color="auto" w:fill="FFFFFF"/>
          <w:lang w:val="en-US"/>
        </w:rPr>
        <w:t xml:space="preserve"> see </w:t>
      </w:r>
      <w:r w:rsidR="00185F70" w:rsidRPr="00185F70">
        <w:rPr>
          <w:rFonts w:ascii="Segoe UI" w:hAnsi="Segoe UI" w:cs="Segoe UI"/>
          <w:i/>
          <w:color w:val="212121"/>
          <w:shd w:val="clear" w:color="auto" w:fill="FFFFFF"/>
          <w:lang w:val="en-US"/>
        </w:rPr>
        <w:t>https://www.socialstyrelsen.se/en/statistics-and-data/registers/register-information/the-national-patient-register/</w:t>
      </w:r>
    </w:p>
    <w:p w14:paraId="6452E2D8" w14:textId="5A32476B" w:rsidR="0083015C" w:rsidRDefault="0083015C" w:rsidP="0083015C">
      <w:pPr>
        <w:spacing w:after="0" w:line="240" w:lineRule="auto"/>
        <w:rPr>
          <w:rFonts w:ascii="Segoe UI" w:hAnsi="Segoe UI" w:cs="Segoe UI"/>
          <w:color w:val="212121"/>
          <w:shd w:val="clear" w:color="auto" w:fill="FFFFFF"/>
          <w:lang w:val="en-US"/>
        </w:rPr>
      </w:pPr>
    </w:p>
    <w:p w14:paraId="55EAB9EC" w14:textId="28EB7BB6" w:rsidR="007C61E8" w:rsidRPr="007C61E8" w:rsidRDefault="007C61E8" w:rsidP="007C61E8">
      <w:pPr>
        <w:spacing w:after="0" w:line="240" w:lineRule="auto"/>
        <w:rPr>
          <w:rFonts w:ascii="Segoe UI" w:hAnsi="Segoe UI" w:cs="Segoe UI"/>
          <w:i/>
          <w:color w:val="212121"/>
          <w:shd w:val="clear" w:color="auto" w:fill="FFFFFF"/>
          <w:lang w:val="en-US"/>
        </w:rPr>
      </w:pPr>
      <w:r w:rsidRPr="007C61E8">
        <w:rPr>
          <w:rFonts w:ascii="Segoe UI" w:hAnsi="Segoe UI" w:cs="Segoe UI"/>
          <w:i/>
          <w:color w:val="212121"/>
          <w:shd w:val="clear" w:color="auto" w:fill="FFFFFF"/>
          <w:lang w:val="en-US"/>
        </w:rPr>
        <w:t>Primary Care Registry</w:t>
      </w:r>
    </w:p>
    <w:p w14:paraId="5AD55800" w14:textId="2102E6EA" w:rsidR="0083015C" w:rsidRPr="00185F70" w:rsidRDefault="0083015C" w:rsidP="00185F70">
      <w:pPr>
        <w:spacing w:after="0" w:line="240" w:lineRule="auto"/>
        <w:rPr>
          <w:rFonts w:ascii="Segoe UI" w:hAnsi="Segoe UI" w:cs="Segoe UI"/>
          <w:color w:val="212121"/>
          <w:shd w:val="clear" w:color="auto" w:fill="FFFFFF"/>
          <w:lang w:val="en-US"/>
        </w:rPr>
      </w:pPr>
      <w:r w:rsidRPr="00185F70">
        <w:rPr>
          <w:rFonts w:ascii="Segoe UI" w:hAnsi="Segoe UI" w:cs="Segoe UI"/>
          <w:color w:val="212121"/>
          <w:shd w:val="clear" w:color="auto" w:fill="FFFFFF"/>
          <w:lang w:val="en-US"/>
        </w:rPr>
        <w:t>We also used information from our new Primary Care Registry (PCR), a research dataset including individual-level information on clinical diagnoses from primary health care centers from the following 15 of the 21 Swedish counties: Blekinge (2009-2016), Värmland (2005-2015), Kalmar (2007-2016), Sörmland (1997-2017), Uppsala (2005-2015), Västernorrland (2008-2015), Norrbotten (2009-2016), Gävleborg (2010-2016), Halland (2007-2014), Jönköping (2008-2014), Kronoberg (2006-2016), Skåne (1998-2013), Östergötland (1997-2014), Stockholm (2003-2016), and Västergötland (2000-2013). In 2016, these counties included 87% of the Swedish population.</w:t>
      </w:r>
      <w:r w:rsidR="00185F70">
        <w:rPr>
          <w:rFonts w:ascii="Segoe UI" w:hAnsi="Segoe UI" w:cs="Segoe UI"/>
          <w:color w:val="212121"/>
          <w:shd w:val="clear" w:color="auto" w:fill="FFFFFF"/>
          <w:lang w:val="en-US"/>
        </w:rPr>
        <w:t xml:space="preserve"> For more information see </w:t>
      </w:r>
      <w:r w:rsidR="00185F70" w:rsidRPr="00185F70">
        <w:rPr>
          <w:rFonts w:ascii="Segoe UI" w:hAnsi="Segoe UI" w:cs="Segoe UI"/>
          <w:i/>
          <w:color w:val="212121"/>
          <w:shd w:val="clear" w:color="auto" w:fill="FFFFFF"/>
          <w:lang w:val="en-US"/>
        </w:rPr>
        <w:t>Sundquist, J., Ohlsson, H., Sundquist, K. et al. Common adult psychiatric disorders in Swedish primary care where most mental health patients are treated. BMC Psychiatry 17, 235 (2017).</w:t>
      </w:r>
      <w:r w:rsidR="00185F70" w:rsidRPr="00185F70">
        <w:rPr>
          <w:rFonts w:ascii="Segoe UI" w:hAnsi="Segoe UI" w:cs="Segoe UI"/>
          <w:color w:val="212121"/>
          <w:shd w:val="clear" w:color="auto" w:fill="FFFFFF"/>
          <w:lang w:val="en-US"/>
        </w:rPr>
        <w:t xml:space="preserve"> </w:t>
      </w:r>
    </w:p>
    <w:p w14:paraId="459DE88B" w14:textId="67134420" w:rsidR="0083015C" w:rsidRDefault="0083015C" w:rsidP="00FA714F">
      <w:pPr>
        <w:rPr>
          <w:rFonts w:ascii="Calibri Light" w:hAnsi="Calibri Light" w:cs="Calibri Light"/>
          <w:lang w:val="en-US"/>
        </w:rPr>
      </w:pPr>
    </w:p>
    <w:p w14:paraId="49A53043" w14:textId="77777777" w:rsidR="007E3522" w:rsidRPr="007E3522" w:rsidRDefault="007E3522" w:rsidP="007E3522">
      <w:pPr>
        <w:spacing w:after="0" w:line="240" w:lineRule="auto"/>
        <w:rPr>
          <w:rFonts w:ascii="Segoe UI" w:hAnsi="Segoe UI" w:cs="Segoe UI"/>
          <w:i/>
          <w:color w:val="212121"/>
          <w:shd w:val="clear" w:color="auto" w:fill="FFFFFF"/>
          <w:lang w:val="en-US"/>
        </w:rPr>
      </w:pPr>
      <w:r w:rsidRPr="007E3522">
        <w:rPr>
          <w:rFonts w:ascii="Segoe UI" w:hAnsi="Segoe UI" w:cs="Segoe UI"/>
          <w:i/>
          <w:color w:val="212121"/>
          <w:shd w:val="clear" w:color="auto" w:fill="FFFFFF"/>
          <w:lang w:val="en-US"/>
        </w:rPr>
        <w:t xml:space="preserve">The Swedish Crime register </w:t>
      </w:r>
    </w:p>
    <w:p w14:paraId="6139505B" w14:textId="4C431A50" w:rsidR="007E3522" w:rsidRDefault="007E3522" w:rsidP="007E3522">
      <w:pPr>
        <w:spacing w:after="0" w:line="240" w:lineRule="auto"/>
        <w:rPr>
          <w:rFonts w:ascii="Segoe UI" w:hAnsi="Segoe UI" w:cs="Segoe UI"/>
          <w:color w:val="212121"/>
          <w:shd w:val="clear" w:color="auto" w:fill="FFFFFF"/>
          <w:lang w:val="en-US"/>
        </w:rPr>
      </w:pPr>
      <w:r w:rsidRPr="007E3522">
        <w:rPr>
          <w:rFonts w:ascii="Segoe UI" w:hAnsi="Segoe UI" w:cs="Segoe UI"/>
          <w:color w:val="212121"/>
          <w:shd w:val="clear" w:color="auto" w:fill="FFFFFF"/>
          <w:lang w:val="en-US"/>
        </w:rPr>
        <w:t>Includes nationwide almost complete data on all convicted individuals from 197</w:t>
      </w:r>
      <w:r>
        <w:rPr>
          <w:rFonts w:ascii="Segoe UI" w:hAnsi="Segoe UI" w:cs="Segoe UI"/>
          <w:color w:val="212121"/>
          <w:shd w:val="clear" w:color="auto" w:fill="FFFFFF"/>
          <w:lang w:val="en-US"/>
        </w:rPr>
        <w:t>3</w:t>
      </w:r>
      <w:r w:rsidRPr="007E3522">
        <w:rPr>
          <w:rFonts w:ascii="Segoe UI" w:hAnsi="Segoe UI" w:cs="Segoe UI"/>
          <w:color w:val="212121"/>
          <w:shd w:val="clear" w:color="auto" w:fill="FFFFFF"/>
          <w:lang w:val="en-US"/>
        </w:rPr>
        <w:t xml:space="preserve"> and onwards</w:t>
      </w:r>
    </w:p>
    <w:p w14:paraId="45554049" w14:textId="729011EC" w:rsidR="007E3522" w:rsidRDefault="007E3522" w:rsidP="007E3522">
      <w:pPr>
        <w:spacing w:after="0" w:line="240" w:lineRule="auto"/>
        <w:rPr>
          <w:rFonts w:ascii="Segoe UI" w:hAnsi="Segoe UI" w:cs="Segoe UI"/>
          <w:color w:val="212121"/>
          <w:shd w:val="clear" w:color="auto" w:fill="FFFFFF"/>
          <w:lang w:val="en-US"/>
        </w:rPr>
      </w:pPr>
    </w:p>
    <w:p w14:paraId="10F7850D" w14:textId="77777777" w:rsidR="007E3522" w:rsidRPr="007E3522" w:rsidRDefault="007E3522" w:rsidP="007E3522">
      <w:pPr>
        <w:spacing w:after="0" w:line="240" w:lineRule="auto"/>
        <w:rPr>
          <w:rFonts w:ascii="Segoe UI" w:hAnsi="Segoe UI" w:cs="Segoe UI"/>
          <w:i/>
          <w:color w:val="212121"/>
          <w:shd w:val="clear" w:color="auto" w:fill="FFFFFF"/>
          <w:lang w:val="en-US"/>
        </w:rPr>
      </w:pPr>
      <w:r w:rsidRPr="007E3522">
        <w:rPr>
          <w:rFonts w:ascii="Segoe UI" w:hAnsi="Segoe UI" w:cs="Segoe UI"/>
          <w:i/>
          <w:color w:val="212121"/>
          <w:shd w:val="clear" w:color="auto" w:fill="FFFFFF"/>
          <w:lang w:val="en-US"/>
        </w:rPr>
        <w:t xml:space="preserve">The Swedish Suspicion Register </w:t>
      </w:r>
    </w:p>
    <w:p w14:paraId="1C0C9009" w14:textId="02B809C9" w:rsidR="007E3522" w:rsidRPr="007E3522" w:rsidRDefault="007E3522" w:rsidP="007E3522">
      <w:pPr>
        <w:spacing w:after="0" w:line="240" w:lineRule="auto"/>
        <w:rPr>
          <w:rFonts w:ascii="Segoe UI" w:hAnsi="Segoe UI" w:cs="Segoe UI"/>
          <w:color w:val="212121"/>
          <w:shd w:val="clear" w:color="auto" w:fill="FFFFFF"/>
          <w:lang w:val="en-US"/>
        </w:rPr>
      </w:pPr>
      <w:r w:rsidRPr="007E3522">
        <w:rPr>
          <w:rFonts w:ascii="Segoe UI" w:hAnsi="Segoe UI" w:cs="Segoe UI"/>
          <w:color w:val="212121"/>
          <w:shd w:val="clear" w:color="auto" w:fill="FFFFFF"/>
          <w:lang w:val="en-US"/>
        </w:rPr>
        <w:t xml:space="preserve">Includes nationwide data on all individuals suspected of a crime. The Swedish Law  regulating the Suspicion Register (1998:621) states that individuals suspected on reasonable grounds for a crime are to be registered in the Suspicion Register (§1), and that they are to be removed </w:t>
      </w:r>
      <w:r w:rsidRPr="007E3522">
        <w:rPr>
          <w:rFonts w:ascii="Segoe UI" w:hAnsi="Segoe UI" w:cs="Segoe UI"/>
          <w:color w:val="212121"/>
          <w:shd w:val="clear" w:color="auto" w:fill="FFFFFF"/>
          <w:lang w:val="en-US"/>
        </w:rPr>
        <w:lastRenderedPageBreak/>
        <w:t>from the register if the preliminary inquiry by the police has been dropped (§13, point 1), if an indictment by the prosecutor has been dropped (§13, point 2), if a court of law has passed a sentence convicting or acquitting the accused (§13, point 3), or if an accused is requested to be extradited and this request has been refused or executed by the court of law (§13, point 4).</w:t>
      </w:r>
    </w:p>
    <w:p w14:paraId="6ECCA0FA" w14:textId="77777777" w:rsidR="007E3522" w:rsidRPr="007E3522" w:rsidRDefault="007E3522" w:rsidP="007E3522">
      <w:pPr>
        <w:spacing w:after="0" w:line="240" w:lineRule="auto"/>
        <w:rPr>
          <w:rFonts w:ascii="Segoe UI" w:hAnsi="Segoe UI" w:cs="Segoe UI"/>
          <w:color w:val="212121"/>
          <w:shd w:val="clear" w:color="auto" w:fill="FFFFFF"/>
          <w:lang w:val="en-US"/>
        </w:rPr>
      </w:pPr>
    </w:p>
    <w:p w14:paraId="3B488291" w14:textId="77777777" w:rsidR="007E3522" w:rsidRPr="007E3522" w:rsidRDefault="007E3522" w:rsidP="007E3522">
      <w:pPr>
        <w:spacing w:after="0" w:line="240" w:lineRule="auto"/>
        <w:rPr>
          <w:rFonts w:ascii="Segoe UI" w:hAnsi="Segoe UI" w:cs="Segoe UI"/>
          <w:i/>
          <w:color w:val="212121"/>
          <w:shd w:val="clear" w:color="auto" w:fill="FFFFFF"/>
          <w:lang w:val="en-US"/>
        </w:rPr>
      </w:pPr>
      <w:r w:rsidRPr="007E3522">
        <w:rPr>
          <w:rFonts w:ascii="Segoe UI" w:hAnsi="Segoe UI" w:cs="Segoe UI"/>
          <w:i/>
          <w:color w:val="212121"/>
          <w:shd w:val="clear" w:color="auto" w:fill="FFFFFF"/>
          <w:lang w:val="en-US"/>
        </w:rPr>
        <w:t xml:space="preserve">The Swedish Prescribed Drug Register </w:t>
      </w:r>
    </w:p>
    <w:p w14:paraId="40737B05" w14:textId="67C5D64E" w:rsidR="006F48F6" w:rsidRDefault="007E3522" w:rsidP="007E3522">
      <w:pPr>
        <w:spacing w:after="0" w:line="240" w:lineRule="auto"/>
        <w:rPr>
          <w:rFonts w:ascii="Calibri Light" w:hAnsi="Calibri Light" w:cs="Calibri Light"/>
          <w:b/>
          <w:bCs/>
          <w:lang w:val="en-US"/>
        </w:rPr>
      </w:pPr>
      <w:r w:rsidRPr="007E3522">
        <w:rPr>
          <w:rFonts w:ascii="Segoe UI" w:hAnsi="Segoe UI" w:cs="Segoe UI"/>
          <w:color w:val="212121"/>
          <w:shd w:val="clear" w:color="auto" w:fill="FFFFFF"/>
          <w:lang w:val="en-US"/>
        </w:rPr>
        <w:t>The Swedish Prescribed Drug Register with personal identity numbers was established in July 2005 and contains all prescribed drugs dispensed at pharmacies. Each row in the register corresponds to one dispensation at a pharmacy.</w:t>
      </w:r>
      <w:r w:rsidRPr="007E3522">
        <w:rPr>
          <w:rFonts w:ascii="Calibri Light" w:hAnsi="Calibri Light" w:cs="Calibri Light"/>
          <w:b/>
          <w:bCs/>
          <w:lang w:val="en-US"/>
        </w:rPr>
        <w:t xml:space="preserve"> </w:t>
      </w:r>
      <w:r w:rsidR="006F48F6">
        <w:rPr>
          <w:rFonts w:ascii="Calibri Light" w:hAnsi="Calibri Light" w:cs="Calibri Light"/>
          <w:b/>
          <w:bCs/>
          <w:lang w:val="en-US"/>
        </w:rPr>
        <w:br w:type="page"/>
      </w:r>
    </w:p>
    <w:p w14:paraId="69296A8C" w14:textId="695FC27B" w:rsidR="00185F70" w:rsidRPr="00185F70" w:rsidRDefault="006519EE" w:rsidP="00185F70">
      <w:pPr>
        <w:jc w:val="center"/>
        <w:rPr>
          <w:rFonts w:ascii="Calibri Light" w:hAnsi="Calibri Light" w:cs="Calibri Light"/>
          <w:b/>
          <w:bCs/>
          <w:lang w:val="en-US"/>
        </w:rPr>
      </w:pPr>
      <w:r>
        <w:rPr>
          <w:rFonts w:ascii="Calibri Light" w:hAnsi="Calibri Light" w:cs="Calibri Light"/>
          <w:b/>
          <w:bCs/>
          <w:lang w:val="en-US"/>
        </w:rPr>
        <w:lastRenderedPageBreak/>
        <w:t xml:space="preserve">Table 1 - </w:t>
      </w:r>
      <w:r w:rsidR="00185F70" w:rsidRPr="00635205">
        <w:rPr>
          <w:rFonts w:ascii="Calibri Light" w:hAnsi="Calibri Light" w:cs="Calibri Light"/>
          <w:b/>
          <w:bCs/>
          <w:lang w:val="en-US"/>
        </w:rPr>
        <w:t>Definition of P</w:t>
      </w:r>
      <w:r w:rsidR="00185F70">
        <w:rPr>
          <w:rFonts w:ascii="Calibri Light" w:hAnsi="Calibri Light" w:cs="Calibri Light"/>
          <w:b/>
          <w:bCs/>
          <w:lang w:val="en-US"/>
        </w:rPr>
        <w:t>henotypes</w:t>
      </w:r>
    </w:p>
    <w:p w14:paraId="55EEEF97" w14:textId="253BF0E2" w:rsidR="00FA714F" w:rsidRDefault="00185F70" w:rsidP="00FA714F">
      <w:pPr>
        <w:rPr>
          <w:rFonts w:asciiTheme="majorHAnsi" w:hAnsiTheme="majorHAnsi" w:cstheme="majorHAnsi"/>
          <w:lang w:val="en-US"/>
        </w:rPr>
      </w:pPr>
      <w:r>
        <w:rPr>
          <w:rFonts w:asciiTheme="majorHAnsi" w:hAnsiTheme="majorHAnsi" w:cstheme="majorHAnsi"/>
          <w:lang w:val="en-US"/>
        </w:rPr>
        <w:t xml:space="preserve">The following ICD </w:t>
      </w:r>
      <w:r w:rsidR="00FA714F">
        <w:rPr>
          <w:rFonts w:asciiTheme="majorHAnsi" w:hAnsiTheme="majorHAnsi" w:cstheme="majorHAnsi"/>
          <w:lang w:val="en-US"/>
        </w:rPr>
        <w:t>codes were used to define the traits: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389"/>
      </w:tblGrid>
      <w:tr w:rsidR="005814F2" w:rsidRPr="002146B6" w14:paraId="15701F17" w14:textId="77777777" w:rsidTr="00E35F7B">
        <w:tc>
          <w:tcPr>
            <w:tcW w:w="2122" w:type="dxa"/>
            <w:shd w:val="clear" w:color="auto" w:fill="auto"/>
          </w:tcPr>
          <w:p w14:paraId="759E8536" w14:textId="77777777" w:rsidR="005814F2" w:rsidRPr="002146B6" w:rsidRDefault="005814F2" w:rsidP="00E35F7B">
            <w:pPr>
              <w:spacing w:after="0" w:line="240" w:lineRule="auto"/>
              <w:rPr>
                <w:rFonts w:ascii="Calibri Light" w:hAnsi="Calibri Light" w:cs="Calibri Light"/>
                <w:lang w:val="en-US"/>
              </w:rPr>
            </w:pPr>
          </w:p>
        </w:tc>
        <w:tc>
          <w:tcPr>
            <w:tcW w:w="2551" w:type="dxa"/>
            <w:shd w:val="clear" w:color="auto" w:fill="auto"/>
          </w:tcPr>
          <w:p w14:paraId="5D696D63" w14:textId="77777777" w:rsidR="005814F2" w:rsidRPr="002146B6" w:rsidRDefault="005814F2" w:rsidP="00E35F7B">
            <w:pPr>
              <w:spacing w:after="0" w:line="240" w:lineRule="auto"/>
              <w:rPr>
                <w:rFonts w:ascii="Calibri Light" w:hAnsi="Calibri Light" w:cs="Calibri Light"/>
                <w:lang w:val="en-US"/>
              </w:rPr>
            </w:pPr>
            <w:r w:rsidRPr="002146B6">
              <w:rPr>
                <w:rFonts w:ascii="Calibri Light" w:hAnsi="Calibri Light" w:cs="Calibri Light"/>
                <w:lang w:val="en-US"/>
              </w:rPr>
              <w:t>Registers Used</w:t>
            </w:r>
          </w:p>
        </w:tc>
        <w:tc>
          <w:tcPr>
            <w:tcW w:w="4389" w:type="dxa"/>
            <w:shd w:val="clear" w:color="auto" w:fill="auto"/>
          </w:tcPr>
          <w:p w14:paraId="30966A13" w14:textId="77777777" w:rsidR="005814F2" w:rsidRPr="002146B6" w:rsidRDefault="005814F2" w:rsidP="00E35F7B">
            <w:pPr>
              <w:spacing w:after="0" w:line="240" w:lineRule="auto"/>
              <w:rPr>
                <w:rFonts w:ascii="Calibri Light" w:hAnsi="Calibri Light" w:cs="Calibri Light"/>
                <w:lang w:val="en-US"/>
              </w:rPr>
            </w:pPr>
            <w:r w:rsidRPr="002146B6">
              <w:rPr>
                <w:rFonts w:ascii="Calibri Light" w:hAnsi="Calibri Light" w:cs="Calibri Light"/>
                <w:lang w:val="en-US"/>
              </w:rPr>
              <w:t xml:space="preserve">Definition </w:t>
            </w:r>
          </w:p>
        </w:tc>
      </w:tr>
      <w:tr w:rsidR="00673838" w:rsidRPr="00673838" w14:paraId="0EE36EC0" w14:textId="77777777" w:rsidTr="00E35F7B">
        <w:tc>
          <w:tcPr>
            <w:tcW w:w="2122" w:type="dxa"/>
            <w:shd w:val="clear" w:color="auto" w:fill="auto"/>
          </w:tcPr>
          <w:p w14:paraId="2D6A3281" w14:textId="54621D44" w:rsidR="00673838" w:rsidRPr="002146B6" w:rsidRDefault="00673838" w:rsidP="00673838">
            <w:pPr>
              <w:spacing w:after="0" w:line="240" w:lineRule="auto"/>
              <w:rPr>
                <w:rFonts w:ascii="Calibri Light" w:hAnsi="Calibri Light" w:cs="Calibri Light"/>
                <w:lang w:val="en-US"/>
              </w:rPr>
            </w:pPr>
            <w:r w:rsidRPr="002146B6">
              <w:rPr>
                <w:rFonts w:ascii="Calibri Light" w:hAnsi="Calibri Light" w:cs="Calibri Light"/>
                <w:sz w:val="18"/>
                <w:szCs w:val="18"/>
                <w:lang w:val="en-US"/>
              </w:rPr>
              <w:t>Alcohol Use Disorder (AUD)</w:t>
            </w:r>
          </w:p>
        </w:tc>
        <w:tc>
          <w:tcPr>
            <w:tcW w:w="2551" w:type="dxa"/>
            <w:shd w:val="clear" w:color="auto" w:fill="auto"/>
          </w:tcPr>
          <w:p w14:paraId="5E20376F" w14:textId="5309ADEB" w:rsidR="00673838" w:rsidRPr="002146B6" w:rsidRDefault="00673838" w:rsidP="00673838">
            <w:pPr>
              <w:spacing w:after="0" w:line="240" w:lineRule="auto"/>
              <w:rPr>
                <w:rFonts w:ascii="Calibri Light" w:hAnsi="Calibri Light" w:cs="Calibri Light"/>
                <w:lang w:val="en-US"/>
              </w:rPr>
            </w:pPr>
            <w:r w:rsidRPr="002146B6">
              <w:rPr>
                <w:rFonts w:ascii="Calibri Light" w:hAnsi="Calibri Light" w:cs="Calibri Light"/>
                <w:sz w:val="18"/>
                <w:szCs w:val="18"/>
                <w:lang w:val="en-US"/>
              </w:rPr>
              <w:t xml:space="preserve">The Swedish Hospital Discharge Register (coverage 1973-2017); Outpatient Care Register (national coverage 2001-2017); Primary Care Registry (Partly coverage from 1999-2017); the Swedish Drug Register (2005-2017); the Swedish Mortality Register, and the Swedish Criminal Register (1973-2017) and the Swedish Suspicion Register (1998-2017) </w:t>
            </w:r>
          </w:p>
        </w:tc>
        <w:tc>
          <w:tcPr>
            <w:tcW w:w="4389" w:type="dxa"/>
            <w:shd w:val="clear" w:color="auto" w:fill="auto"/>
          </w:tcPr>
          <w:p w14:paraId="14FB7C7C" w14:textId="3561DFA5" w:rsidR="00673838" w:rsidRPr="002146B6" w:rsidRDefault="00673838" w:rsidP="00673838">
            <w:pPr>
              <w:spacing w:after="0" w:line="240" w:lineRule="auto"/>
              <w:rPr>
                <w:rFonts w:ascii="Calibri Light" w:hAnsi="Calibri Light" w:cs="Calibri Light"/>
                <w:lang w:val="en-US"/>
              </w:rPr>
            </w:pPr>
            <w:r w:rsidRPr="002146B6">
              <w:rPr>
                <w:rFonts w:ascii="Calibri Light" w:hAnsi="Calibri Light" w:cs="Calibri Light"/>
                <w:sz w:val="18"/>
                <w:szCs w:val="18"/>
                <w:lang w:val="en-US"/>
              </w:rPr>
              <w:t xml:space="preserve">Alcohol Use Disorder (AUD) was identified in the Swedish medical and mortality registries by ICD codes: </w:t>
            </w:r>
            <w:r>
              <w:rPr>
                <w:rFonts w:ascii="Calibri Light" w:hAnsi="Calibri Light" w:cs="Calibri Light"/>
                <w:sz w:val="18"/>
                <w:szCs w:val="18"/>
                <w:lang w:val="en-US"/>
              </w:rPr>
              <w:t xml:space="preserve">ICD 8: 291, 303, 980, 571.0; </w:t>
            </w:r>
            <w:r w:rsidRPr="002146B6">
              <w:rPr>
                <w:rFonts w:ascii="Calibri Light" w:hAnsi="Calibri Light" w:cs="Calibri Light"/>
                <w:sz w:val="18"/>
                <w:szCs w:val="18"/>
                <w:lang w:val="en-US"/>
              </w:rPr>
              <w:t>ICD9: V79B, 305A, 357F, 571A-D, 425F, 535D, 291, 303, 980; ICD 10: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r w:rsidR="00673838" w:rsidRPr="00673838" w14:paraId="21AB9ADC" w14:textId="77777777" w:rsidTr="00E35F7B">
        <w:tc>
          <w:tcPr>
            <w:tcW w:w="2122" w:type="dxa"/>
            <w:shd w:val="clear" w:color="auto" w:fill="auto"/>
          </w:tcPr>
          <w:p w14:paraId="29A213B7" w14:textId="77777777" w:rsidR="00673838" w:rsidRPr="002146B6" w:rsidRDefault="00673838" w:rsidP="00673838">
            <w:pPr>
              <w:spacing w:after="0" w:line="240" w:lineRule="auto"/>
              <w:rPr>
                <w:rFonts w:ascii="Calibri Light" w:hAnsi="Calibri Light" w:cs="Calibri Light"/>
                <w:lang w:val="en-US"/>
              </w:rPr>
            </w:pPr>
          </w:p>
        </w:tc>
        <w:tc>
          <w:tcPr>
            <w:tcW w:w="2551" w:type="dxa"/>
            <w:shd w:val="clear" w:color="auto" w:fill="auto"/>
          </w:tcPr>
          <w:p w14:paraId="49DB1C76" w14:textId="77777777" w:rsidR="00673838" w:rsidRPr="002146B6" w:rsidRDefault="00673838" w:rsidP="00673838">
            <w:pPr>
              <w:spacing w:after="0" w:line="240" w:lineRule="auto"/>
              <w:rPr>
                <w:rFonts w:ascii="Calibri Light" w:hAnsi="Calibri Light" w:cs="Calibri Light"/>
                <w:lang w:val="en-US"/>
              </w:rPr>
            </w:pPr>
          </w:p>
        </w:tc>
        <w:tc>
          <w:tcPr>
            <w:tcW w:w="4389" w:type="dxa"/>
            <w:shd w:val="clear" w:color="auto" w:fill="auto"/>
          </w:tcPr>
          <w:p w14:paraId="75DFB18E" w14:textId="77777777" w:rsidR="00673838" w:rsidRPr="002146B6" w:rsidRDefault="00673838" w:rsidP="00673838">
            <w:pPr>
              <w:spacing w:after="0" w:line="240" w:lineRule="auto"/>
              <w:rPr>
                <w:rFonts w:ascii="Calibri Light" w:hAnsi="Calibri Light" w:cs="Calibri Light"/>
                <w:lang w:val="en-US"/>
              </w:rPr>
            </w:pPr>
          </w:p>
        </w:tc>
      </w:tr>
      <w:tr w:rsidR="00673838" w:rsidRPr="00673838" w14:paraId="78AAC8F0" w14:textId="77777777" w:rsidTr="00E35F7B">
        <w:tc>
          <w:tcPr>
            <w:tcW w:w="2122" w:type="dxa"/>
            <w:shd w:val="clear" w:color="auto" w:fill="auto"/>
          </w:tcPr>
          <w:p w14:paraId="09657413"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Major Depression (MD)</w:t>
            </w:r>
          </w:p>
        </w:tc>
        <w:tc>
          <w:tcPr>
            <w:tcW w:w="2551" w:type="dxa"/>
            <w:shd w:val="clear" w:color="auto" w:fill="auto"/>
          </w:tcPr>
          <w:p w14:paraId="1422B1A8"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120628B7" w14:textId="77777777" w:rsidR="00673838"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ICD-8: 296.2, 298.0, 300.4; ICD-9: 296.2, 296.4, 298.0, 300.4; ICD-10: F32, F33.</w:t>
            </w:r>
          </w:p>
          <w:p w14:paraId="1154AE2E" w14:textId="6B60D5EC" w:rsidR="00673838" w:rsidRPr="002146B6" w:rsidRDefault="00673838" w:rsidP="00673838">
            <w:pPr>
              <w:spacing w:after="0" w:line="240" w:lineRule="auto"/>
              <w:rPr>
                <w:rFonts w:ascii="Calibri Light" w:hAnsi="Calibri Light" w:cs="Calibri Light"/>
                <w:sz w:val="18"/>
                <w:szCs w:val="18"/>
                <w:lang w:val="en-US"/>
              </w:rPr>
            </w:pPr>
            <w:r w:rsidRPr="00556F9D">
              <w:rPr>
                <w:rFonts w:ascii="Calibri Light" w:hAnsi="Calibri Light" w:cs="Calibri Light"/>
                <w:b/>
                <w:sz w:val="18"/>
                <w:szCs w:val="18"/>
                <w:lang w:val="en-US"/>
              </w:rPr>
              <w:t>Note</w:t>
            </w:r>
            <w:r>
              <w:rPr>
                <w:rFonts w:ascii="Calibri Light" w:hAnsi="Calibri Light" w:cs="Calibri Light"/>
                <w:sz w:val="18"/>
                <w:szCs w:val="18"/>
                <w:lang w:val="en-US"/>
              </w:rPr>
              <w:t>: all individuals with a registration for Bipolar Disorder (BD) were excluded (see below for a BD definition).</w:t>
            </w:r>
          </w:p>
        </w:tc>
      </w:tr>
      <w:tr w:rsidR="00673838" w:rsidRPr="00673838" w14:paraId="46E6271D" w14:textId="77777777" w:rsidTr="00E35F7B">
        <w:tc>
          <w:tcPr>
            <w:tcW w:w="2122" w:type="dxa"/>
            <w:shd w:val="clear" w:color="auto" w:fill="auto"/>
          </w:tcPr>
          <w:p w14:paraId="199BD12B" w14:textId="3EB5DACC" w:rsidR="00673838" w:rsidRPr="002146B6" w:rsidRDefault="00673838" w:rsidP="00673838">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Drug Use Disorder (DUD</w:t>
            </w:r>
            <w:r w:rsidRPr="002146B6">
              <w:rPr>
                <w:rFonts w:ascii="Calibri Light" w:hAnsi="Calibri Light" w:cs="Calibri Light"/>
                <w:sz w:val="18"/>
                <w:szCs w:val="18"/>
                <w:lang w:val="en-US"/>
              </w:rPr>
              <w:t>)</w:t>
            </w:r>
          </w:p>
        </w:tc>
        <w:tc>
          <w:tcPr>
            <w:tcW w:w="2551" w:type="dxa"/>
            <w:shd w:val="clear" w:color="auto" w:fill="auto"/>
          </w:tcPr>
          <w:p w14:paraId="09B43085" w14:textId="785372E3"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 the Swedish Drug Register (2005-2017); the Swedish Mortality Register, and the Swedish Criminal Register (1973-2017) and the Swedish Suspicion Register (1998-2017)</w:t>
            </w:r>
          </w:p>
        </w:tc>
        <w:tc>
          <w:tcPr>
            <w:tcW w:w="4389" w:type="dxa"/>
            <w:shd w:val="clear" w:color="auto" w:fill="auto"/>
          </w:tcPr>
          <w:p w14:paraId="60B6263F" w14:textId="2D038CD4" w:rsidR="00673838" w:rsidRPr="002146B6" w:rsidRDefault="00673838" w:rsidP="00673838">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DUD</w:t>
            </w:r>
            <w:r w:rsidRPr="002146B6">
              <w:rPr>
                <w:rFonts w:ascii="Calibri Light" w:hAnsi="Calibri Light" w:cs="Calibri Light"/>
                <w:sz w:val="18"/>
                <w:szCs w:val="18"/>
                <w:lang w:val="en-US"/>
              </w:rPr>
              <w:t xml:space="preserve"> 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w:t>
            </w:r>
            <w:r>
              <w:rPr>
                <w:rFonts w:ascii="Calibri Light" w:hAnsi="Calibri Light" w:cs="Calibri Light"/>
                <w:sz w:val="18"/>
                <w:szCs w:val="18"/>
                <w:lang w:val="en-US"/>
              </w:rPr>
              <w:t>DUD</w:t>
            </w:r>
            <w:r w:rsidRPr="002146B6">
              <w:rPr>
                <w:rFonts w:ascii="Calibri Light" w:hAnsi="Calibri Light" w:cs="Calibri Light"/>
                <w:sz w:val="18"/>
                <w:szCs w:val="18"/>
                <w:lang w:val="en-US"/>
              </w:rPr>
              <w:t xml:space="preserve">; and in the Crime Register by references to laws covering narcotics (law 1968:64, paragraph 1, point 6) and drug-related driving offences (law 1951:649, paragraph 4, subsection 2 and paragraph 4A, subsection 2). </w:t>
            </w:r>
            <w:r>
              <w:rPr>
                <w:rFonts w:ascii="Calibri Light" w:hAnsi="Calibri Light" w:cs="Calibri Light"/>
                <w:sz w:val="18"/>
                <w:szCs w:val="18"/>
                <w:lang w:val="en-US"/>
              </w:rPr>
              <w:t>DUD</w:t>
            </w:r>
            <w:r w:rsidRPr="002146B6">
              <w:rPr>
                <w:rFonts w:ascii="Calibri Light" w:hAnsi="Calibri Light" w:cs="Calibri Light"/>
                <w:sz w:val="18"/>
                <w:szCs w:val="18"/>
                <w:lang w:val="en-US"/>
              </w:rPr>
              <w:t xml:space="preserve">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p>
        </w:tc>
      </w:tr>
      <w:tr w:rsidR="00673838" w:rsidRPr="005814F2" w14:paraId="5207F3FF" w14:textId="77777777" w:rsidTr="00E35F7B">
        <w:tc>
          <w:tcPr>
            <w:tcW w:w="2122" w:type="dxa"/>
            <w:shd w:val="clear" w:color="auto" w:fill="auto"/>
          </w:tcPr>
          <w:p w14:paraId="5F5BFD46" w14:textId="64086109" w:rsidR="00673838" w:rsidRPr="002146B6" w:rsidRDefault="00673838" w:rsidP="00673838">
            <w:pPr>
              <w:spacing w:after="0" w:line="240" w:lineRule="auto"/>
              <w:rPr>
                <w:rFonts w:ascii="Calibri Light" w:hAnsi="Calibri Light" w:cs="Calibri Light"/>
                <w:sz w:val="18"/>
                <w:szCs w:val="18"/>
                <w:lang w:val="en-US"/>
              </w:rPr>
            </w:pPr>
            <w:r w:rsidRPr="006A1952">
              <w:rPr>
                <w:rFonts w:ascii="Calibri Light" w:hAnsi="Calibri Light" w:cs="Calibri Light"/>
                <w:sz w:val="18"/>
                <w:szCs w:val="18"/>
                <w:lang w:val="en-US"/>
              </w:rPr>
              <w:t>ADHD</w:t>
            </w:r>
          </w:p>
        </w:tc>
        <w:tc>
          <w:tcPr>
            <w:tcW w:w="2551" w:type="dxa"/>
            <w:shd w:val="clear" w:color="auto" w:fill="auto"/>
          </w:tcPr>
          <w:p w14:paraId="671050C0" w14:textId="307F7521"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77F6CC49" w14:textId="24BD4B2E"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ICD-9: </w:t>
            </w:r>
            <w:r>
              <w:rPr>
                <w:rFonts w:ascii="Calibri Light" w:hAnsi="Calibri Light" w:cs="Calibri Light"/>
                <w:sz w:val="18"/>
                <w:szCs w:val="18"/>
                <w:lang w:val="en-US"/>
              </w:rPr>
              <w:t>314</w:t>
            </w:r>
            <w:r w:rsidRPr="002146B6">
              <w:rPr>
                <w:rFonts w:ascii="Calibri Light" w:hAnsi="Calibri Light" w:cs="Calibri Light"/>
                <w:sz w:val="18"/>
                <w:szCs w:val="18"/>
                <w:lang w:val="en-US"/>
              </w:rPr>
              <w:t xml:space="preserve">; ICD-10: </w:t>
            </w:r>
            <w:r>
              <w:rPr>
                <w:rFonts w:ascii="Calibri Light" w:hAnsi="Calibri Light" w:cs="Calibri Light"/>
                <w:sz w:val="18"/>
                <w:szCs w:val="18"/>
                <w:lang w:val="en-US"/>
              </w:rPr>
              <w:t>F90</w:t>
            </w:r>
          </w:p>
        </w:tc>
      </w:tr>
      <w:tr w:rsidR="00673838" w:rsidRPr="00673838" w14:paraId="6AC1100E" w14:textId="77777777" w:rsidTr="00E35F7B">
        <w:tc>
          <w:tcPr>
            <w:tcW w:w="2122" w:type="dxa"/>
            <w:shd w:val="clear" w:color="auto" w:fill="auto"/>
          </w:tcPr>
          <w:p w14:paraId="4AEBA229" w14:textId="77777777" w:rsidR="00673838" w:rsidRPr="002146B6" w:rsidRDefault="00673838" w:rsidP="00673838">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Anxiety Disorder (AD)</w:t>
            </w:r>
          </w:p>
        </w:tc>
        <w:tc>
          <w:tcPr>
            <w:tcW w:w="2551" w:type="dxa"/>
            <w:shd w:val="clear" w:color="auto" w:fill="auto"/>
          </w:tcPr>
          <w:p w14:paraId="4CB8EC37"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6D4AD457"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ICD-8: </w:t>
            </w:r>
            <w:r>
              <w:rPr>
                <w:rFonts w:ascii="Calibri Light" w:hAnsi="Calibri Light" w:cs="Calibri Light"/>
                <w:sz w:val="18"/>
                <w:szCs w:val="18"/>
                <w:lang w:val="en-US"/>
              </w:rPr>
              <w:t xml:space="preserve">300.0, 300.2 </w:t>
            </w:r>
            <w:r w:rsidRPr="002146B6">
              <w:rPr>
                <w:rFonts w:ascii="Calibri Light" w:hAnsi="Calibri Light" w:cs="Calibri Light"/>
                <w:sz w:val="18"/>
                <w:szCs w:val="18"/>
                <w:lang w:val="en-US"/>
              </w:rPr>
              <w:t xml:space="preserve">; ICD-9: </w:t>
            </w:r>
            <w:r>
              <w:rPr>
                <w:rFonts w:ascii="Calibri Light" w:hAnsi="Calibri Light" w:cs="Calibri Light"/>
                <w:sz w:val="18"/>
                <w:szCs w:val="18"/>
                <w:lang w:val="en-US"/>
              </w:rPr>
              <w:t>300A, 300C</w:t>
            </w:r>
            <w:r w:rsidRPr="002146B6">
              <w:rPr>
                <w:rFonts w:ascii="Calibri Light" w:hAnsi="Calibri Light" w:cs="Calibri Light"/>
                <w:sz w:val="18"/>
                <w:szCs w:val="18"/>
                <w:lang w:val="en-US"/>
              </w:rPr>
              <w:t xml:space="preserve">; ICD-10: </w:t>
            </w:r>
            <w:r>
              <w:rPr>
                <w:rFonts w:ascii="Calibri Light" w:hAnsi="Calibri Light" w:cs="Calibri Light"/>
                <w:sz w:val="18"/>
                <w:szCs w:val="18"/>
                <w:lang w:val="en-US"/>
              </w:rPr>
              <w:t>F40</w:t>
            </w:r>
            <w:r w:rsidRPr="002146B6">
              <w:rPr>
                <w:rFonts w:ascii="Calibri Light" w:hAnsi="Calibri Light" w:cs="Calibri Light"/>
                <w:sz w:val="18"/>
                <w:szCs w:val="18"/>
                <w:lang w:val="en-US"/>
              </w:rPr>
              <w:t xml:space="preserve">, </w:t>
            </w:r>
            <w:r>
              <w:rPr>
                <w:rFonts w:ascii="Calibri Light" w:hAnsi="Calibri Light" w:cs="Calibri Light"/>
                <w:sz w:val="18"/>
                <w:szCs w:val="18"/>
                <w:lang w:val="en-US"/>
              </w:rPr>
              <w:t>F41</w:t>
            </w:r>
          </w:p>
        </w:tc>
      </w:tr>
      <w:tr w:rsidR="00673838" w:rsidRPr="00673838" w14:paraId="7FA86DB4" w14:textId="77777777" w:rsidTr="00E35F7B">
        <w:tc>
          <w:tcPr>
            <w:tcW w:w="2122" w:type="dxa"/>
            <w:shd w:val="clear" w:color="auto" w:fill="auto"/>
          </w:tcPr>
          <w:p w14:paraId="6C8B5012"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Bipolar Disorder (BD)</w:t>
            </w:r>
          </w:p>
        </w:tc>
        <w:tc>
          <w:tcPr>
            <w:tcW w:w="2551" w:type="dxa"/>
            <w:shd w:val="clear" w:color="auto" w:fill="auto"/>
          </w:tcPr>
          <w:p w14:paraId="378BC2E4"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07C08484" w14:textId="1DF13D39" w:rsidR="00673838" w:rsidRPr="002146B6" w:rsidRDefault="00673838" w:rsidP="00673838">
            <w:pPr>
              <w:spacing w:after="0" w:line="240" w:lineRule="auto"/>
              <w:rPr>
                <w:rFonts w:ascii="Calibri Light" w:hAnsi="Calibri Light" w:cs="Calibri Light"/>
                <w:sz w:val="18"/>
                <w:szCs w:val="18"/>
                <w:lang w:val="en-US"/>
              </w:rPr>
            </w:pPr>
            <w:r w:rsidRPr="00673838">
              <w:rPr>
                <w:rFonts w:ascii="Calibri Light" w:hAnsi="Calibri Light" w:cs="Calibri Light"/>
                <w:sz w:val="18"/>
                <w:szCs w:val="18"/>
                <w:lang w:val="en-US"/>
              </w:rPr>
              <w:t>ICD-8: 296.1, 296.3, 296.8, 296.9, 298.1; ICD-9: 296A, 296C, 296D, 296E, 296W, 298B; ICD-10: F30, F31</w:t>
            </w:r>
          </w:p>
        </w:tc>
      </w:tr>
      <w:tr w:rsidR="00673838" w:rsidRPr="00673838" w14:paraId="7CF5DF31" w14:textId="77777777" w:rsidTr="00E35F7B">
        <w:tc>
          <w:tcPr>
            <w:tcW w:w="2122" w:type="dxa"/>
            <w:shd w:val="clear" w:color="auto" w:fill="auto"/>
          </w:tcPr>
          <w:p w14:paraId="1C370BD2" w14:textId="1CCB376D" w:rsidR="00673838" w:rsidRPr="002146B6" w:rsidRDefault="00673838" w:rsidP="00673838">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lastRenderedPageBreak/>
              <w:t xml:space="preserve">Criminal </w:t>
            </w:r>
            <w:r w:rsidR="001B6C2A">
              <w:rPr>
                <w:rFonts w:ascii="Calibri Light" w:hAnsi="Calibri Light" w:cs="Calibri Light"/>
                <w:sz w:val="18"/>
                <w:szCs w:val="18"/>
                <w:lang w:val="en-US"/>
              </w:rPr>
              <w:t>behavior</w:t>
            </w:r>
            <w:r>
              <w:rPr>
                <w:rFonts w:ascii="Calibri Light" w:hAnsi="Calibri Light" w:cs="Calibri Light"/>
                <w:sz w:val="18"/>
                <w:szCs w:val="18"/>
                <w:lang w:val="en-US"/>
              </w:rPr>
              <w:t xml:space="preserve"> (CB)</w:t>
            </w:r>
          </w:p>
        </w:tc>
        <w:tc>
          <w:tcPr>
            <w:tcW w:w="2551" w:type="dxa"/>
            <w:shd w:val="clear" w:color="auto" w:fill="auto"/>
          </w:tcPr>
          <w:p w14:paraId="06CD382E" w14:textId="73FE15F9" w:rsidR="00673838" w:rsidRPr="002146B6" w:rsidRDefault="00673838" w:rsidP="00673838">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T</w:t>
            </w:r>
            <w:r w:rsidRPr="002146B6">
              <w:rPr>
                <w:rFonts w:ascii="Calibri Light" w:hAnsi="Calibri Light" w:cs="Calibri Light"/>
                <w:sz w:val="18"/>
                <w:szCs w:val="18"/>
                <w:lang w:val="en-US"/>
              </w:rPr>
              <w:t>he Swedish Criminal Register (1973-2017)</w:t>
            </w:r>
          </w:p>
        </w:tc>
        <w:tc>
          <w:tcPr>
            <w:tcW w:w="4389" w:type="dxa"/>
            <w:shd w:val="clear" w:color="auto" w:fill="auto"/>
          </w:tcPr>
          <w:p w14:paraId="09F0FBBB" w14:textId="145BD687" w:rsidR="00673838" w:rsidRPr="002146B6" w:rsidRDefault="00673838" w:rsidP="00673838">
            <w:pPr>
              <w:spacing w:line="256" w:lineRule="auto"/>
              <w:rPr>
                <w:rFonts w:ascii="Calibri Light" w:hAnsi="Calibri Light" w:cs="Calibri Light"/>
                <w:sz w:val="18"/>
                <w:szCs w:val="18"/>
                <w:lang w:val="en-US"/>
              </w:rPr>
            </w:pPr>
            <w:r w:rsidRPr="00673838">
              <w:rPr>
                <w:rFonts w:ascii="Calibri Light" w:hAnsi="Calibri Light" w:cs="Calibri Light"/>
                <w:sz w:val="18"/>
                <w:szCs w:val="18"/>
                <w:lang w:val="en-US"/>
              </w:rPr>
              <w:t xml:space="preserve">Criminal behavior (CB) was identified by registration in the Swedish Crime </w:t>
            </w:r>
            <w:r w:rsidR="00B520D9" w:rsidRPr="00673838">
              <w:rPr>
                <w:rFonts w:ascii="Calibri Light" w:hAnsi="Calibri Light" w:cs="Calibri Light"/>
                <w:sz w:val="18"/>
                <w:szCs w:val="18"/>
                <w:lang w:val="en-US"/>
              </w:rPr>
              <w:t>register, which</w:t>
            </w:r>
            <w:r w:rsidRPr="00673838">
              <w:rPr>
                <w:rFonts w:ascii="Calibri Light" w:hAnsi="Calibri Light" w:cs="Calibri Light"/>
                <w:sz w:val="18"/>
                <w:szCs w:val="18"/>
                <w:lang w:val="en-US"/>
              </w:rPr>
              <w:t xml:space="preserve"> excluded convictions for minor crimes like traffic infractions. CB is measured using all available criminal conviction types.</w:t>
            </w:r>
          </w:p>
        </w:tc>
      </w:tr>
      <w:tr w:rsidR="00673838" w:rsidRPr="00673838" w14:paraId="1A27410A" w14:textId="77777777" w:rsidTr="00E35F7B">
        <w:tc>
          <w:tcPr>
            <w:tcW w:w="2122" w:type="dxa"/>
            <w:shd w:val="clear" w:color="auto" w:fill="auto"/>
          </w:tcPr>
          <w:p w14:paraId="2943839F" w14:textId="77777777" w:rsidR="00673838" w:rsidRPr="002146B6" w:rsidRDefault="00673838" w:rsidP="00673838">
            <w:pPr>
              <w:spacing w:after="0" w:line="240" w:lineRule="auto"/>
              <w:rPr>
                <w:rFonts w:ascii="Calibri Light" w:hAnsi="Calibri Light" w:cs="Calibri Light"/>
                <w:sz w:val="18"/>
                <w:szCs w:val="18"/>
                <w:lang w:val="en-US"/>
              </w:rPr>
            </w:pPr>
            <w:r w:rsidRPr="006A1952">
              <w:rPr>
                <w:rFonts w:ascii="Calibri Light" w:hAnsi="Calibri Light" w:cs="Calibri Light"/>
                <w:sz w:val="18"/>
                <w:szCs w:val="18"/>
                <w:lang w:val="en-US"/>
              </w:rPr>
              <w:t>Autism spectrum disorder (ASD)</w:t>
            </w:r>
          </w:p>
        </w:tc>
        <w:tc>
          <w:tcPr>
            <w:tcW w:w="2551" w:type="dxa"/>
            <w:shd w:val="clear" w:color="auto" w:fill="auto"/>
          </w:tcPr>
          <w:p w14:paraId="1E1D4102"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63539FD3" w14:textId="77777777" w:rsidR="00673838" w:rsidRPr="002146B6" w:rsidRDefault="00673838" w:rsidP="00673838">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ICD-9: </w:t>
            </w:r>
            <w:r>
              <w:rPr>
                <w:rFonts w:ascii="Calibri Light" w:hAnsi="Calibri Light" w:cs="Calibri Light"/>
                <w:sz w:val="18"/>
                <w:szCs w:val="18"/>
                <w:lang w:val="en-US"/>
              </w:rPr>
              <w:t>299</w:t>
            </w:r>
            <w:r w:rsidRPr="002146B6">
              <w:rPr>
                <w:rFonts w:ascii="Calibri Light" w:hAnsi="Calibri Light" w:cs="Calibri Light"/>
                <w:sz w:val="18"/>
                <w:szCs w:val="18"/>
                <w:lang w:val="en-US"/>
              </w:rPr>
              <w:t xml:space="preserve">; ICD-10: </w:t>
            </w:r>
            <w:r>
              <w:rPr>
                <w:rFonts w:ascii="Calibri Light" w:hAnsi="Calibri Light" w:cs="Calibri Light"/>
                <w:sz w:val="18"/>
                <w:szCs w:val="18"/>
                <w:lang w:val="en-US"/>
              </w:rPr>
              <w:t>F840, F841, F845, F849</w:t>
            </w:r>
          </w:p>
        </w:tc>
      </w:tr>
    </w:tbl>
    <w:p w14:paraId="6CF55429" w14:textId="73FDC5D8" w:rsidR="00B36DCB" w:rsidRDefault="00B36DCB" w:rsidP="00F1392D">
      <w:pPr>
        <w:rPr>
          <w:rFonts w:ascii="Calibri Light" w:hAnsi="Calibri Light" w:cs="Calibri Light"/>
          <w:lang w:val="en-US"/>
        </w:rPr>
      </w:pPr>
    </w:p>
    <w:p w14:paraId="699BE5A1" w14:textId="77777777" w:rsidR="00B36DCB" w:rsidRDefault="00B36DCB">
      <w:pPr>
        <w:rPr>
          <w:rFonts w:ascii="Calibri Light" w:hAnsi="Calibri Light" w:cs="Calibri Light"/>
          <w:lang w:val="en-US"/>
        </w:rPr>
      </w:pPr>
      <w:r>
        <w:rPr>
          <w:rFonts w:ascii="Calibri Light" w:hAnsi="Calibri Light" w:cs="Calibri Light"/>
          <w:lang w:val="en-US"/>
        </w:rPr>
        <w:br w:type="page"/>
      </w:r>
    </w:p>
    <w:tbl>
      <w:tblPr>
        <w:tblStyle w:val="TableGrid"/>
        <w:tblW w:w="0" w:type="auto"/>
        <w:tblLook w:val="04A0" w:firstRow="1" w:lastRow="0" w:firstColumn="1" w:lastColumn="0" w:noHBand="0" w:noVBand="1"/>
      </w:tblPr>
      <w:tblGrid>
        <w:gridCol w:w="9072"/>
      </w:tblGrid>
      <w:tr w:rsidR="00A931D2" w14:paraId="5065CE68" w14:textId="77777777" w:rsidTr="002069E1">
        <w:tc>
          <w:tcPr>
            <w:tcW w:w="9072" w:type="dxa"/>
          </w:tcPr>
          <w:p w14:paraId="39035878" w14:textId="42852C47" w:rsidR="00A931D2" w:rsidRPr="0023688A" w:rsidRDefault="00A931D2" w:rsidP="00A931D2">
            <w:pPr>
              <w:spacing w:before="100" w:beforeAutospacing="1" w:after="100" w:afterAutospacing="1"/>
              <w:contextualSpacing/>
              <w:jc w:val="center"/>
            </w:pPr>
            <w:r w:rsidRPr="00A931D2">
              <w:lastRenderedPageBreak/>
              <w:t xml:space="preserve">Table </w:t>
            </w:r>
            <w:r w:rsidR="00B36DCB">
              <w:t>2</w:t>
            </w:r>
            <w:r w:rsidRPr="00A931D2">
              <w:t xml:space="preserve"> -Steps for the Calculation of the FGRS</w:t>
            </w:r>
          </w:p>
        </w:tc>
      </w:tr>
      <w:tr w:rsidR="00B53D65" w14:paraId="6F778648" w14:textId="77777777" w:rsidTr="002069E1">
        <w:tc>
          <w:tcPr>
            <w:tcW w:w="9072" w:type="dxa"/>
          </w:tcPr>
          <w:p w14:paraId="677A50B6" w14:textId="77777777" w:rsidR="00B53D65" w:rsidRDefault="00B53D65" w:rsidP="002069E1">
            <w:pPr>
              <w:spacing w:before="100" w:beforeAutospacing="1" w:after="100" w:afterAutospacing="1"/>
              <w:contextualSpacing/>
            </w:pPr>
            <w:r w:rsidRPr="0023688A">
              <w:t xml:space="preserve">The </w:t>
            </w:r>
            <w:r>
              <w:t>dataset</w:t>
            </w:r>
            <w:r w:rsidRPr="0023688A">
              <w:t xml:space="preserve"> for the calculations</w:t>
            </w:r>
            <w:r>
              <w:t xml:space="preserve"> includes:</w:t>
            </w:r>
          </w:p>
          <w:p w14:paraId="5A775053" w14:textId="77777777" w:rsidR="00B53D65" w:rsidRDefault="00B53D65" w:rsidP="002069E1">
            <w:pPr>
              <w:spacing w:before="100" w:beforeAutospacing="1" w:after="100" w:afterAutospacing="1"/>
              <w:contextualSpacing/>
            </w:pPr>
            <w:r>
              <w:t>Column</w:t>
            </w:r>
            <w:r w:rsidRPr="0023688A">
              <w:t>1</w:t>
            </w:r>
            <w:r>
              <w:t xml:space="preserve"> = Identification number of the proband (Born 1932-1995)</w:t>
            </w:r>
          </w:p>
          <w:p w14:paraId="2E5163CF" w14:textId="77777777" w:rsidR="00B53D65" w:rsidRPr="0056447B" w:rsidRDefault="00B53D65" w:rsidP="002069E1">
            <w:pPr>
              <w:spacing w:before="100" w:beforeAutospacing="1" w:after="100" w:afterAutospacing="1"/>
              <w:contextualSpacing/>
            </w:pPr>
            <w:r>
              <w:t xml:space="preserve">Column2 = Identification number of the relative (1st to 5th degree relatives) </w:t>
            </w:r>
          </w:p>
          <w:p w14:paraId="036EC602" w14:textId="77777777" w:rsidR="00B53D65" w:rsidRPr="0023688A" w:rsidRDefault="00B53D65" w:rsidP="002069E1">
            <w:pPr>
              <w:spacing w:before="100" w:beforeAutospacing="1" w:after="100" w:afterAutospacing="1"/>
              <w:contextualSpacing/>
            </w:pPr>
            <w:r>
              <w:t>Column3 = Proportion of shared additive genetic effects (0.03125 to 0.50) with the proband</w:t>
            </w:r>
          </w:p>
          <w:p w14:paraId="4BAEEAFB" w14:textId="77777777" w:rsidR="00B53D65" w:rsidRDefault="00B53D65" w:rsidP="002069E1">
            <w:pPr>
              <w:spacing w:before="100" w:beforeAutospacing="1" w:after="100" w:afterAutospacing="1"/>
              <w:contextualSpacing/>
            </w:pPr>
            <w:r>
              <w:t>Column4 = Year of Birth of relative</w:t>
            </w:r>
          </w:p>
          <w:p w14:paraId="10797820" w14:textId="77777777" w:rsidR="00B53D65" w:rsidRDefault="00B53D65" w:rsidP="002069E1">
            <w:pPr>
              <w:spacing w:before="100" w:beforeAutospacing="1" w:after="100" w:afterAutospacing="1"/>
              <w:contextualSpacing/>
            </w:pPr>
            <w:r>
              <w:t>Column5 = Sex of relative</w:t>
            </w:r>
          </w:p>
          <w:p w14:paraId="1F022E68" w14:textId="77777777" w:rsidR="00B53D65" w:rsidRDefault="00B53D65" w:rsidP="002069E1">
            <w:pPr>
              <w:spacing w:before="100" w:beforeAutospacing="1" w:after="100" w:afterAutospacing="1"/>
              <w:contextualSpacing/>
            </w:pPr>
            <w:r>
              <w:t>Column6 = Age at registration for trait</w:t>
            </w:r>
          </w:p>
          <w:p w14:paraId="31BB09E6" w14:textId="77777777" w:rsidR="00B53D65" w:rsidRDefault="00B53D65" w:rsidP="002069E1">
            <w:pPr>
              <w:spacing w:before="100" w:beforeAutospacing="1" w:after="100" w:afterAutospacing="1"/>
              <w:contextualSpacing/>
              <w:rPr>
                <w:rFonts w:ascii="Calibri Light" w:hAnsi="Calibri Light" w:cs="Calibri Light"/>
                <w:lang w:val="en-US"/>
              </w:rPr>
            </w:pPr>
            <w:r>
              <w:t>Column7 = Age at end of follow-up (2017-12-31 or age at death, or age at emigration whichever came first)</w:t>
            </w:r>
          </w:p>
        </w:tc>
      </w:tr>
      <w:tr w:rsidR="00B53D65" w14:paraId="35FA44C2" w14:textId="77777777" w:rsidTr="002069E1">
        <w:tc>
          <w:tcPr>
            <w:tcW w:w="9072" w:type="dxa"/>
          </w:tcPr>
          <w:p w14:paraId="57676E2B" w14:textId="77777777" w:rsidR="00B53D65" w:rsidRDefault="00B53D65" w:rsidP="002069E1">
            <w:pPr>
              <w:spacing w:before="100" w:beforeAutospacing="1" w:after="100" w:afterAutospacing="1"/>
              <w:contextualSpacing/>
              <w:rPr>
                <w:rFonts w:ascii="Calibri Light" w:hAnsi="Calibri Light" w:cs="Calibri Light"/>
                <w:lang w:val="en-US"/>
              </w:rPr>
            </w:pPr>
            <w:r w:rsidRPr="0023688A">
              <w:rPr>
                <w:b/>
              </w:rPr>
              <w:t>Step 1:</w:t>
            </w:r>
            <w:r>
              <w:t xml:space="preserve"> Using all unique relatives with a registration for the disorder, we non-parametrically estimated the distribution of </w:t>
            </w:r>
            <w:r w:rsidRPr="0005603F">
              <w:rPr>
                <w:i/>
              </w:rPr>
              <w:t>Age at first registration</w:t>
            </w:r>
            <w:r>
              <w:t>. The empirical distribution is used to obtain weights for relatives without a registration for the disorder, in order to account for the proportion of the  time-at-risk period they had completed at the end of follow-up.</w:t>
            </w:r>
            <w:r w:rsidRPr="00863FED">
              <w:t xml:space="preserve"> </w:t>
            </w:r>
            <w:r>
              <w:t xml:space="preserve"> For example, for relatives at age x at end of follow-up, the weight corresponds to the proportion of relatives registered for the trait that had been registration at age x. For relatives born prior to 1958 we subtracted age at the end of follow-up with the following formula: </w:t>
            </w:r>
            <w:r w:rsidRPr="0005603F">
              <w:t>1958 - Year of birth of relative</w:t>
            </w:r>
            <w:r>
              <w:t>. This modification was done in order to control for registration effects (i.e, most registers in Sweden start in 1973 suggesting that relatives from early birth cohorts do not have the possibility to be registered at younger ages</w:t>
            </w:r>
            <w:r w:rsidRPr="0005603F">
              <w:t>).</w:t>
            </w:r>
            <w:r>
              <w:t xml:space="preserve"> Note that all relatives with the disorder are weighted one.</w:t>
            </w:r>
          </w:p>
        </w:tc>
      </w:tr>
      <w:tr w:rsidR="00B53D65" w14:paraId="12CA43B7" w14:textId="77777777" w:rsidTr="002069E1">
        <w:tc>
          <w:tcPr>
            <w:tcW w:w="9072" w:type="dxa"/>
          </w:tcPr>
          <w:p w14:paraId="5D2C97D9" w14:textId="77777777" w:rsidR="00B53D65" w:rsidRDefault="00B53D65" w:rsidP="002069E1">
            <w:pPr>
              <w:spacing w:before="100" w:beforeAutospacing="1" w:after="100" w:afterAutospacing="1"/>
              <w:contextualSpacing/>
              <w:rPr>
                <w:rFonts w:ascii="Calibri Light" w:hAnsi="Calibri Light" w:cs="Calibri Light"/>
                <w:lang w:val="en-US"/>
              </w:rPr>
            </w:pPr>
            <w:r w:rsidRPr="0005603F">
              <w:rPr>
                <w:b/>
              </w:rPr>
              <w:t>Step 2:</w:t>
            </w:r>
            <w:r>
              <w:t xml:space="preserve"> Transform the binary variable (trait yes/no) into a z-score based on the threshold for each trait.</w:t>
            </w:r>
            <w:r w:rsidRPr="0005603F">
              <w:t xml:space="preserve"> The</w:t>
            </w:r>
            <w:r>
              <w:t xml:space="preserve"> underlying liability of the individual is not assessable. Instead we estimated the mean of the underlying liability to obtain sex and birth decade specific Z-scores for relatives with the trait registration and relatives without the trait. We generate n random numbers from a N(0,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w:t>
            </w:r>
          </w:p>
        </w:tc>
      </w:tr>
      <w:tr w:rsidR="00B53D65" w14:paraId="706F0571" w14:textId="77777777" w:rsidTr="002069E1">
        <w:tc>
          <w:tcPr>
            <w:tcW w:w="9072" w:type="dxa"/>
          </w:tcPr>
          <w:p w14:paraId="74947BD3" w14:textId="2F4B1E78" w:rsidR="00B53D65" w:rsidRDefault="00B53D65" w:rsidP="002069E1">
            <w:pPr>
              <w:rPr>
                <w:rFonts w:ascii="Calibri Light" w:hAnsi="Calibri Light" w:cs="Calibri Light"/>
                <w:lang w:val="en-US"/>
              </w:rPr>
            </w:pPr>
            <w:r w:rsidRPr="0005603F">
              <w:rPr>
                <w:b/>
              </w:rPr>
              <w:t>Step 3</w:t>
            </w:r>
            <w:r>
              <w:t xml:space="preserve">: Correct for cohabitation effects. To estimate the cohabitation effect (i.e. “shared environment”), we created a database with all individuals in  the Swedish population born in Sweden 1955-1990. We also included the number of years, during ages 0-15, that individuals resided in the same household as their biological father. We thereby were able to define two kinds of families  i) “not-lived-with”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w:t>
            </w:r>
            <w:r w:rsidRPr="0005603F">
              <w:t>binary trait</w:t>
            </w:r>
            <w:r>
              <w:t xml:space="preserve"> in offspring as outcome and </w:t>
            </w:r>
            <w:r w:rsidRPr="0005603F">
              <w:t>the binary trait</w:t>
            </w:r>
            <w:r>
              <w:t xml:space="preserve"> in father, type of father, and their interaction as predictors. We used the interaction term as the difference of effect between genes only and genes + environment. The same approach was performed for half-siblings where we compared those who were reared together versus reared apart. </w:t>
            </w:r>
            <w:r w:rsidRPr="00682C16">
              <w:t xml:space="preserve">The following </w:t>
            </w:r>
            <w:r>
              <w:t>interaction terms were used in the calculations for each of our</w:t>
            </w:r>
            <w:r w:rsidR="00B40E44">
              <w:t xml:space="preserve"> 7</w:t>
            </w:r>
            <w:r>
              <w:t xml:space="preserve"> main disorders:</w:t>
            </w:r>
          </w:p>
          <w:tbl>
            <w:tblPr>
              <w:tblStyle w:val="TableGrid"/>
              <w:tblW w:w="0" w:type="auto"/>
              <w:tblLook w:val="04A0" w:firstRow="1" w:lastRow="0" w:firstColumn="1" w:lastColumn="0" w:noHBand="0" w:noVBand="1"/>
            </w:tblPr>
            <w:tblGrid>
              <w:gridCol w:w="1271"/>
              <w:gridCol w:w="2126"/>
              <w:gridCol w:w="1985"/>
            </w:tblGrid>
            <w:tr w:rsidR="00B53D65" w:rsidRPr="00682C16" w14:paraId="77A5F876" w14:textId="77777777" w:rsidTr="002069E1">
              <w:tc>
                <w:tcPr>
                  <w:tcW w:w="1271" w:type="dxa"/>
                </w:tcPr>
                <w:p w14:paraId="7F5F3E44" w14:textId="77777777" w:rsidR="00B53D65" w:rsidRDefault="00B53D65" w:rsidP="002069E1">
                  <w:pPr>
                    <w:spacing w:before="100" w:beforeAutospacing="1" w:after="100" w:afterAutospacing="1"/>
                  </w:pPr>
                </w:p>
              </w:tc>
              <w:tc>
                <w:tcPr>
                  <w:tcW w:w="2126" w:type="dxa"/>
                </w:tcPr>
                <w:p w14:paraId="03E4B736" w14:textId="77777777" w:rsidR="00B53D65" w:rsidRDefault="00B53D65" w:rsidP="002069E1">
                  <w:pPr>
                    <w:spacing w:before="100" w:beforeAutospacing="1" w:after="100" w:afterAutospacing="1"/>
                  </w:pPr>
                  <w:r>
                    <w:t xml:space="preserve">Parent/Children      </w:t>
                  </w:r>
                </w:p>
              </w:tc>
              <w:tc>
                <w:tcPr>
                  <w:tcW w:w="1985" w:type="dxa"/>
                </w:tcPr>
                <w:p w14:paraId="78553382" w14:textId="77777777" w:rsidR="00B53D65" w:rsidRPr="00682C16" w:rsidRDefault="00B53D65" w:rsidP="002069E1">
                  <w:pPr>
                    <w:spacing w:before="100" w:beforeAutospacing="1" w:after="100" w:afterAutospacing="1"/>
                  </w:pPr>
                  <w:r>
                    <w:t>Siblings</w:t>
                  </w:r>
                </w:p>
              </w:tc>
            </w:tr>
            <w:tr w:rsidR="00B53D65" w:rsidRPr="00682C16" w14:paraId="71E5B2B9" w14:textId="77777777" w:rsidTr="002069E1">
              <w:tc>
                <w:tcPr>
                  <w:tcW w:w="1271" w:type="dxa"/>
                </w:tcPr>
                <w:p w14:paraId="3539B8FC" w14:textId="1F504308" w:rsidR="00B53D65" w:rsidRPr="00682C16" w:rsidRDefault="00B53D65" w:rsidP="002069E1">
                  <w:pPr>
                    <w:spacing w:before="100" w:beforeAutospacing="1" w:after="100" w:afterAutospacing="1"/>
                  </w:pPr>
                  <w:r>
                    <w:t>MD</w:t>
                  </w:r>
                </w:p>
              </w:tc>
              <w:tc>
                <w:tcPr>
                  <w:tcW w:w="2126" w:type="dxa"/>
                </w:tcPr>
                <w:p w14:paraId="027A679A" w14:textId="5D8FA3BA" w:rsidR="00B53D65" w:rsidRPr="00682C16" w:rsidRDefault="00B53D65" w:rsidP="002069E1">
                  <w:pPr>
                    <w:spacing w:before="100" w:beforeAutospacing="1" w:after="100" w:afterAutospacing="1"/>
                  </w:pPr>
                  <w:r>
                    <w:t>.80</w:t>
                  </w:r>
                </w:p>
              </w:tc>
              <w:tc>
                <w:tcPr>
                  <w:tcW w:w="1985" w:type="dxa"/>
                </w:tcPr>
                <w:p w14:paraId="2CE5406F" w14:textId="421A61B9" w:rsidR="00B53D65" w:rsidRPr="00682C16" w:rsidRDefault="00B53D65" w:rsidP="002069E1">
                  <w:pPr>
                    <w:spacing w:before="100" w:beforeAutospacing="1" w:after="100" w:afterAutospacing="1"/>
                  </w:pPr>
                  <w:r>
                    <w:t>.85</w:t>
                  </w:r>
                </w:p>
              </w:tc>
            </w:tr>
            <w:tr w:rsidR="00B53D65" w:rsidRPr="00682C16" w14:paraId="35786AA2" w14:textId="77777777" w:rsidTr="002069E1">
              <w:tc>
                <w:tcPr>
                  <w:tcW w:w="1271" w:type="dxa"/>
                </w:tcPr>
                <w:p w14:paraId="1406503B" w14:textId="589BB2A9" w:rsidR="00B53D65" w:rsidRPr="00682C16" w:rsidRDefault="00B53D65" w:rsidP="002069E1">
                  <w:pPr>
                    <w:spacing w:before="100" w:beforeAutospacing="1" w:after="100" w:afterAutospacing="1"/>
                  </w:pPr>
                  <w:r>
                    <w:t>AD</w:t>
                  </w:r>
                </w:p>
              </w:tc>
              <w:tc>
                <w:tcPr>
                  <w:tcW w:w="2126" w:type="dxa"/>
                </w:tcPr>
                <w:p w14:paraId="5140A5FF" w14:textId="5E826F0D" w:rsidR="00B53D65" w:rsidRPr="00682C16" w:rsidRDefault="00B53D65" w:rsidP="002069E1">
                  <w:pPr>
                    <w:spacing w:before="100" w:beforeAutospacing="1" w:after="100" w:afterAutospacing="1"/>
                  </w:pPr>
                  <w:r>
                    <w:t>.87</w:t>
                  </w:r>
                </w:p>
              </w:tc>
              <w:tc>
                <w:tcPr>
                  <w:tcW w:w="1985" w:type="dxa"/>
                </w:tcPr>
                <w:p w14:paraId="382D1B2D" w14:textId="4B3DB6B2" w:rsidR="00B53D65" w:rsidRPr="00682C16" w:rsidRDefault="00B53D65" w:rsidP="002069E1">
                  <w:pPr>
                    <w:spacing w:before="100" w:beforeAutospacing="1" w:after="100" w:afterAutospacing="1"/>
                  </w:pPr>
                  <w:r>
                    <w:t>.81</w:t>
                  </w:r>
                </w:p>
              </w:tc>
            </w:tr>
            <w:tr w:rsidR="00B53D65" w:rsidRPr="00682C16" w14:paraId="680B9002" w14:textId="77777777" w:rsidTr="002069E1">
              <w:tc>
                <w:tcPr>
                  <w:tcW w:w="1271" w:type="dxa"/>
                </w:tcPr>
                <w:p w14:paraId="679FA829" w14:textId="79DFB5B3" w:rsidR="00B53D65" w:rsidRPr="00682C16" w:rsidRDefault="00B53D65" w:rsidP="002069E1">
                  <w:pPr>
                    <w:spacing w:before="100" w:beforeAutospacing="1" w:after="100" w:afterAutospacing="1"/>
                  </w:pPr>
                  <w:r>
                    <w:t>BD</w:t>
                  </w:r>
                </w:p>
              </w:tc>
              <w:tc>
                <w:tcPr>
                  <w:tcW w:w="2126" w:type="dxa"/>
                </w:tcPr>
                <w:p w14:paraId="73030887" w14:textId="40328D93" w:rsidR="00B53D65" w:rsidRPr="00682C16" w:rsidRDefault="00B53D65" w:rsidP="002069E1">
                  <w:pPr>
                    <w:spacing w:before="100" w:beforeAutospacing="1" w:after="100" w:afterAutospacing="1"/>
                  </w:pPr>
                  <w:r>
                    <w:t>.67</w:t>
                  </w:r>
                </w:p>
              </w:tc>
              <w:tc>
                <w:tcPr>
                  <w:tcW w:w="1985" w:type="dxa"/>
                </w:tcPr>
                <w:p w14:paraId="566B28DD" w14:textId="28892C26" w:rsidR="00B53D65" w:rsidRPr="00682C16" w:rsidRDefault="00B53D65" w:rsidP="002069E1">
                  <w:pPr>
                    <w:spacing w:before="100" w:beforeAutospacing="1" w:after="100" w:afterAutospacing="1"/>
                  </w:pPr>
                  <w:r>
                    <w:t>.77</w:t>
                  </w:r>
                </w:p>
              </w:tc>
            </w:tr>
            <w:tr w:rsidR="00B53D65" w:rsidRPr="00682C16" w14:paraId="4377230D" w14:textId="77777777" w:rsidTr="002069E1">
              <w:tc>
                <w:tcPr>
                  <w:tcW w:w="1271" w:type="dxa"/>
                </w:tcPr>
                <w:p w14:paraId="1EA081E2" w14:textId="7768491A" w:rsidR="00B53D65" w:rsidRPr="00682C16" w:rsidRDefault="00B53D65" w:rsidP="002069E1">
                  <w:pPr>
                    <w:spacing w:before="100" w:beforeAutospacing="1" w:after="100" w:afterAutospacing="1"/>
                  </w:pPr>
                  <w:r>
                    <w:t>AUD</w:t>
                  </w:r>
                </w:p>
              </w:tc>
              <w:tc>
                <w:tcPr>
                  <w:tcW w:w="2126" w:type="dxa"/>
                </w:tcPr>
                <w:p w14:paraId="0EA376D3" w14:textId="002A6D88" w:rsidR="00B53D65" w:rsidRPr="00682C16" w:rsidRDefault="00B53D65" w:rsidP="002069E1">
                  <w:pPr>
                    <w:spacing w:before="100" w:beforeAutospacing="1" w:after="100" w:afterAutospacing="1"/>
                  </w:pPr>
                  <w:r>
                    <w:t>.99</w:t>
                  </w:r>
                </w:p>
              </w:tc>
              <w:tc>
                <w:tcPr>
                  <w:tcW w:w="1985" w:type="dxa"/>
                </w:tcPr>
                <w:p w14:paraId="30122737" w14:textId="74D04C3C" w:rsidR="00B53D65" w:rsidRPr="00682C16" w:rsidRDefault="00B53D65" w:rsidP="002069E1">
                  <w:pPr>
                    <w:spacing w:before="100" w:beforeAutospacing="1" w:after="100" w:afterAutospacing="1"/>
                  </w:pPr>
                  <w:r>
                    <w:t>.69</w:t>
                  </w:r>
                </w:p>
              </w:tc>
            </w:tr>
            <w:tr w:rsidR="00B53D65" w:rsidRPr="00682C16" w14:paraId="296FA5B1" w14:textId="77777777" w:rsidTr="002069E1">
              <w:tc>
                <w:tcPr>
                  <w:tcW w:w="1271" w:type="dxa"/>
                </w:tcPr>
                <w:p w14:paraId="4C887ACB" w14:textId="37C1A945" w:rsidR="00B53D65" w:rsidRPr="00682C16" w:rsidRDefault="00B53D65" w:rsidP="002069E1">
                  <w:pPr>
                    <w:spacing w:before="100" w:beforeAutospacing="1" w:after="100" w:afterAutospacing="1"/>
                  </w:pPr>
                  <w:r>
                    <w:t>DUD</w:t>
                  </w:r>
                </w:p>
              </w:tc>
              <w:tc>
                <w:tcPr>
                  <w:tcW w:w="2126" w:type="dxa"/>
                </w:tcPr>
                <w:p w14:paraId="2ADBAC1E" w14:textId="24A49693" w:rsidR="00B53D65" w:rsidRPr="00682C16" w:rsidRDefault="00B53D65" w:rsidP="002069E1">
                  <w:pPr>
                    <w:spacing w:before="100" w:beforeAutospacing="1" w:after="100" w:afterAutospacing="1"/>
                  </w:pPr>
                  <w:r>
                    <w:t>.92</w:t>
                  </w:r>
                </w:p>
              </w:tc>
              <w:tc>
                <w:tcPr>
                  <w:tcW w:w="1985" w:type="dxa"/>
                </w:tcPr>
                <w:p w14:paraId="4866C3BB" w14:textId="41230616" w:rsidR="00B53D65" w:rsidRPr="00682C16" w:rsidRDefault="00B53D65" w:rsidP="002069E1">
                  <w:pPr>
                    <w:spacing w:before="100" w:beforeAutospacing="1" w:after="100" w:afterAutospacing="1"/>
                  </w:pPr>
                  <w:r>
                    <w:t>.52</w:t>
                  </w:r>
                </w:p>
              </w:tc>
            </w:tr>
            <w:tr w:rsidR="00B53D65" w:rsidRPr="00682C16" w14:paraId="4B926037" w14:textId="77777777" w:rsidTr="002069E1">
              <w:tc>
                <w:tcPr>
                  <w:tcW w:w="1271" w:type="dxa"/>
                </w:tcPr>
                <w:p w14:paraId="3B343917" w14:textId="6A203C8A" w:rsidR="00B53D65" w:rsidRPr="00682C16" w:rsidRDefault="00B53D65" w:rsidP="002069E1">
                  <w:pPr>
                    <w:spacing w:before="100" w:beforeAutospacing="1" w:after="100" w:afterAutospacing="1"/>
                  </w:pPr>
                  <w:r>
                    <w:t>ADHD</w:t>
                  </w:r>
                </w:p>
              </w:tc>
              <w:tc>
                <w:tcPr>
                  <w:tcW w:w="2126" w:type="dxa"/>
                </w:tcPr>
                <w:p w14:paraId="5D7EED43" w14:textId="5D6ECA4F" w:rsidR="00B53D65" w:rsidRPr="00682C16" w:rsidRDefault="00B53D65" w:rsidP="002069E1">
                  <w:pPr>
                    <w:spacing w:before="100" w:beforeAutospacing="1" w:after="100" w:afterAutospacing="1"/>
                  </w:pPr>
                  <w:r>
                    <w:t>.42</w:t>
                  </w:r>
                </w:p>
              </w:tc>
              <w:tc>
                <w:tcPr>
                  <w:tcW w:w="1985" w:type="dxa"/>
                </w:tcPr>
                <w:p w14:paraId="69610F3C" w14:textId="15DD8EAF" w:rsidR="00B53D65" w:rsidRPr="00682C16" w:rsidRDefault="00B53D65" w:rsidP="002069E1">
                  <w:pPr>
                    <w:spacing w:before="100" w:beforeAutospacing="1" w:after="100" w:afterAutospacing="1"/>
                  </w:pPr>
                  <w:r>
                    <w:t>.81</w:t>
                  </w:r>
                </w:p>
              </w:tc>
            </w:tr>
            <w:tr w:rsidR="00B53D65" w:rsidRPr="00682C16" w14:paraId="119D1D0C" w14:textId="77777777" w:rsidTr="002069E1">
              <w:tc>
                <w:tcPr>
                  <w:tcW w:w="1271" w:type="dxa"/>
                </w:tcPr>
                <w:p w14:paraId="4981FBA4" w14:textId="575542FA" w:rsidR="00B53D65" w:rsidRPr="00682C16" w:rsidRDefault="00B53D65" w:rsidP="002069E1">
                  <w:pPr>
                    <w:spacing w:before="100" w:beforeAutospacing="1" w:after="100" w:afterAutospacing="1"/>
                  </w:pPr>
                  <w:r>
                    <w:t>CB</w:t>
                  </w:r>
                </w:p>
              </w:tc>
              <w:tc>
                <w:tcPr>
                  <w:tcW w:w="2126" w:type="dxa"/>
                </w:tcPr>
                <w:p w14:paraId="1A9F9E5E" w14:textId="1B3493AB" w:rsidR="00B53D65" w:rsidRPr="00682C16" w:rsidRDefault="00B53D65" w:rsidP="002069E1">
                  <w:pPr>
                    <w:spacing w:before="100" w:beforeAutospacing="1" w:after="100" w:afterAutospacing="1"/>
                  </w:pPr>
                  <w:r>
                    <w:t>.87</w:t>
                  </w:r>
                </w:p>
              </w:tc>
              <w:tc>
                <w:tcPr>
                  <w:tcW w:w="1985" w:type="dxa"/>
                </w:tcPr>
                <w:p w14:paraId="788B432D" w14:textId="53577E5C" w:rsidR="00B53D65" w:rsidRPr="00682C16" w:rsidRDefault="00B53D65" w:rsidP="002069E1">
                  <w:pPr>
                    <w:spacing w:before="100" w:beforeAutospacing="1" w:after="100" w:afterAutospacing="1"/>
                  </w:pPr>
                  <w:r>
                    <w:t>.81</w:t>
                  </w:r>
                </w:p>
              </w:tc>
            </w:tr>
          </w:tbl>
          <w:p w14:paraId="49056E8D" w14:textId="77777777" w:rsidR="00B53D65" w:rsidRDefault="00B53D65" w:rsidP="002069E1">
            <w:pPr>
              <w:rPr>
                <w:rFonts w:ascii="Calibri Light" w:hAnsi="Calibri Light" w:cs="Calibri Light"/>
                <w:lang w:val="en-US"/>
              </w:rPr>
            </w:pPr>
          </w:p>
        </w:tc>
      </w:tr>
      <w:tr w:rsidR="00B53D65" w14:paraId="1E6FBBC3" w14:textId="77777777" w:rsidTr="002069E1">
        <w:tc>
          <w:tcPr>
            <w:tcW w:w="9072" w:type="dxa"/>
          </w:tcPr>
          <w:p w14:paraId="6E30A14E" w14:textId="77777777" w:rsidR="00B53D65" w:rsidRDefault="00B53D65" w:rsidP="002069E1">
            <w:pPr>
              <w:spacing w:before="100" w:beforeAutospacing="1" w:after="100" w:afterAutospacing="1"/>
              <w:contextualSpacing/>
            </w:pPr>
            <w:r w:rsidRPr="00682C16">
              <w:rPr>
                <w:b/>
              </w:rPr>
              <w:t>Step 4:</w:t>
            </w:r>
            <w:r>
              <w:t xml:space="preserve"> Calculate the product for each relative using the four components:</w:t>
            </w:r>
          </w:p>
          <w:p w14:paraId="5AA924D8" w14:textId="77777777" w:rsidR="00B53D65" w:rsidRDefault="00B53D65" w:rsidP="00B53D65">
            <w:pPr>
              <w:pStyle w:val="ListParagraph"/>
              <w:numPr>
                <w:ilvl w:val="0"/>
                <w:numId w:val="3"/>
              </w:numPr>
              <w:spacing w:before="100" w:beforeAutospacing="1" w:after="100" w:afterAutospacing="1"/>
            </w:pPr>
            <w:r>
              <w:t>Z-score</w:t>
            </w:r>
            <w:r w:rsidRPr="005F17F7">
              <w:t xml:space="preserve"> (reflecting </w:t>
            </w:r>
            <w:r>
              <w:t xml:space="preserve"> </w:t>
            </w:r>
            <w:r w:rsidRPr="005F17F7">
              <w:t>sex and year of birth adjusted rates)</w:t>
            </w:r>
            <w:r>
              <w:t xml:space="preserve"> </w:t>
            </w:r>
          </w:p>
          <w:p w14:paraId="25F767E2" w14:textId="77777777" w:rsidR="00B53D65" w:rsidRDefault="00B53D65" w:rsidP="00B53D65">
            <w:pPr>
              <w:pStyle w:val="ListParagraph"/>
              <w:numPr>
                <w:ilvl w:val="0"/>
                <w:numId w:val="3"/>
              </w:numPr>
              <w:spacing w:before="100" w:beforeAutospacing="1" w:after="100" w:afterAutospacing="1"/>
            </w:pPr>
            <w:r>
              <w:lastRenderedPageBreak/>
              <w:t xml:space="preserve">Weight (reflecting the proportion of risk period they had completed) </w:t>
            </w:r>
          </w:p>
          <w:p w14:paraId="1F5914C8" w14:textId="77777777" w:rsidR="00B53D65" w:rsidRDefault="00B53D65" w:rsidP="00B53D65">
            <w:pPr>
              <w:pStyle w:val="ListParagraph"/>
              <w:numPr>
                <w:ilvl w:val="0"/>
                <w:numId w:val="3"/>
              </w:numPr>
              <w:spacing w:before="100" w:beforeAutospacing="1" w:after="100" w:afterAutospacing="1"/>
            </w:pPr>
            <w:r>
              <w:t>Cohabitation effects</w:t>
            </w:r>
          </w:p>
          <w:p w14:paraId="377F01AB" w14:textId="71D4033B" w:rsidR="00B53D65" w:rsidRDefault="00B53D65" w:rsidP="00B53D65">
            <w:pPr>
              <w:pStyle w:val="ListParagraph"/>
              <w:numPr>
                <w:ilvl w:val="0"/>
                <w:numId w:val="3"/>
              </w:numPr>
              <w:spacing w:before="100" w:beforeAutospacing="1" w:after="100" w:afterAutospacing="1"/>
              <w:rPr>
                <w:rFonts w:ascii="Calibri Light" w:hAnsi="Calibri Light" w:cs="Calibri Light"/>
                <w:lang w:val="en-US"/>
              </w:rPr>
            </w:pPr>
            <w:r w:rsidRPr="005F17F7">
              <w:t xml:space="preserve">Proportion of shared genetic </w:t>
            </w:r>
            <w:r>
              <w:t xml:space="preserve">effects </w:t>
            </w:r>
            <w:r w:rsidRPr="005F17F7">
              <w:t>(0.0</w:t>
            </w:r>
            <w:r w:rsidR="00B40E44">
              <w:t>3125</w:t>
            </w:r>
            <w:r>
              <w:t xml:space="preserve"> </w:t>
            </w:r>
            <w:r w:rsidR="00B40E44">
              <w:t>–</w:t>
            </w:r>
            <w:r w:rsidRPr="005F17F7">
              <w:t xml:space="preserve"> </w:t>
            </w:r>
            <w:r w:rsidR="00B40E44">
              <w:t>0.5</w:t>
            </w:r>
            <w:r w:rsidRPr="005F17F7">
              <w:t>) with the proband</w:t>
            </w:r>
          </w:p>
        </w:tc>
      </w:tr>
      <w:tr w:rsidR="00B53D65" w:rsidRPr="00445E1B" w14:paraId="1F09CBB7" w14:textId="77777777" w:rsidTr="002069E1">
        <w:tc>
          <w:tcPr>
            <w:tcW w:w="9072" w:type="dxa"/>
          </w:tcPr>
          <w:p w14:paraId="3F82FBFC" w14:textId="77777777" w:rsidR="00B53D65" w:rsidRPr="00445E1B" w:rsidRDefault="00B53D65" w:rsidP="002069E1">
            <w:pPr>
              <w:spacing w:before="100" w:beforeAutospacing="1" w:after="100" w:afterAutospacing="1"/>
              <w:contextualSpacing/>
            </w:pPr>
            <w:r w:rsidRPr="00682C16">
              <w:rPr>
                <w:b/>
              </w:rPr>
              <w:lastRenderedPageBreak/>
              <w:t>Step 5:</w:t>
            </w:r>
            <w:r>
              <w:t xml:space="preserve"> Average the product calculated in step 4 across all relatives to a proband</w:t>
            </w:r>
          </w:p>
        </w:tc>
      </w:tr>
      <w:tr w:rsidR="00B53D65" w14:paraId="4E3B665F" w14:textId="77777777" w:rsidTr="002069E1">
        <w:tc>
          <w:tcPr>
            <w:tcW w:w="9072" w:type="dxa"/>
          </w:tcPr>
          <w:p w14:paraId="55D8E4CD" w14:textId="77777777" w:rsidR="00B53D65" w:rsidRPr="00682C16" w:rsidRDefault="00B53D65" w:rsidP="002069E1">
            <w:pPr>
              <w:spacing w:before="100" w:beforeAutospacing="1" w:after="100" w:afterAutospacing="1"/>
              <w:contextualSpacing/>
            </w:pPr>
            <w:r w:rsidRPr="00682C16">
              <w:rPr>
                <w:b/>
              </w:rPr>
              <w:t>Step 6</w:t>
            </w:r>
            <w:r>
              <w:t>: Correct for the number of relatives.</w:t>
            </w:r>
            <w:r w:rsidRPr="00682C16">
              <w:t xml:space="preserve"> W</w:t>
            </w:r>
            <w:r>
              <w:t>e multiplied the results from step 5 with a shrinkage factor. Shrinkage factor (SF):  B/(B+A/C)</w:t>
            </w:r>
            <w:r w:rsidRPr="00682C16">
              <w:t xml:space="preserve">. </w:t>
            </w:r>
            <w:r>
              <w:t xml:space="preserve"> It produces more shrinkage if B and C are small and A is large.</w:t>
            </w:r>
          </w:p>
          <w:p w14:paraId="7CCE6496" w14:textId="77777777" w:rsidR="00B53D65" w:rsidRDefault="00B53D65" w:rsidP="00B53D65">
            <w:pPr>
              <w:pStyle w:val="ListParagraph"/>
              <w:numPr>
                <w:ilvl w:val="0"/>
                <w:numId w:val="4"/>
              </w:numPr>
              <w:spacing w:before="100" w:beforeAutospacing="1" w:after="100" w:afterAutospacing="1"/>
            </w:pPr>
            <w:r>
              <w:t xml:space="preserve">the variance of the z-score of the disorder across all relatives, </w:t>
            </w:r>
          </w:p>
          <w:p w14:paraId="14F5BFB6" w14:textId="77777777" w:rsidR="00B53D65" w:rsidRDefault="00B53D65" w:rsidP="00B53D65">
            <w:pPr>
              <w:pStyle w:val="ListParagraph"/>
              <w:numPr>
                <w:ilvl w:val="0"/>
                <w:numId w:val="4"/>
              </w:numPr>
              <w:spacing w:before="100" w:beforeAutospacing="1" w:after="100" w:afterAutospacing="1"/>
            </w:pPr>
            <w:r>
              <w:t>the variance in the mean z-score across all probands,</w:t>
            </w:r>
          </w:p>
          <w:p w14:paraId="32C86E47" w14:textId="77777777" w:rsidR="00B53D65" w:rsidRDefault="00B53D65" w:rsidP="00B53D65">
            <w:pPr>
              <w:pStyle w:val="ListParagraph"/>
              <w:numPr>
                <w:ilvl w:val="0"/>
                <w:numId w:val="4"/>
              </w:numPr>
              <w:spacing w:before="100" w:beforeAutospacing="1" w:after="100" w:afterAutospacing="1"/>
              <w:rPr>
                <w:rFonts w:ascii="Calibri Light" w:hAnsi="Calibri Light" w:cs="Calibri Light"/>
                <w:lang w:val="en-US"/>
              </w:rPr>
            </w:pPr>
            <w:r>
              <w:t xml:space="preserve">the  weighted number of relatives for each proband (sum of Column 3 across each proband). </w:t>
            </w:r>
          </w:p>
        </w:tc>
      </w:tr>
      <w:tr w:rsidR="00B53D65" w14:paraId="580FBA6C" w14:textId="77777777" w:rsidTr="002069E1">
        <w:tc>
          <w:tcPr>
            <w:tcW w:w="9072" w:type="dxa"/>
          </w:tcPr>
          <w:p w14:paraId="57D3166A" w14:textId="77777777" w:rsidR="00B53D65" w:rsidRDefault="00B53D65" w:rsidP="002069E1">
            <w:pPr>
              <w:contextualSpacing/>
              <w:rPr>
                <w:rFonts w:ascii="Calibri Light" w:hAnsi="Calibri Light" w:cs="Calibri Light"/>
                <w:lang w:val="en-US"/>
              </w:rPr>
            </w:pPr>
            <w:r w:rsidRPr="00682C16">
              <w:rPr>
                <w:b/>
              </w:rPr>
              <w:t>Step 7:</w:t>
            </w:r>
            <w:r w:rsidRPr="00682C16">
              <w:t xml:space="preserve"> </w:t>
            </w:r>
            <w:r>
              <w:t>Correct for difference by year of birth and county differences. There are 21 counties in Sweden. For each proband we used the county they had resided in during the maximum number of years (measured from 1969 and onwards) W</w:t>
            </w:r>
            <w:r w:rsidRPr="00747533">
              <w:t xml:space="preserve">e standardized the </w:t>
            </w:r>
            <w:r>
              <w:t>risk score</w:t>
            </w:r>
            <w:r w:rsidRPr="00747533">
              <w:t xml:space="preserve"> </w:t>
            </w:r>
            <w:r>
              <w:t xml:space="preserve">by year of birth and county of the proband </w:t>
            </w:r>
            <w:r w:rsidRPr="00747533">
              <w:t>into a z-score with mean 0 and SD 1.</w:t>
            </w:r>
            <w:r>
              <w:t xml:space="preserve"> This was then used as the FGRS in the analyses.</w:t>
            </w:r>
          </w:p>
        </w:tc>
      </w:tr>
    </w:tbl>
    <w:p w14:paraId="70659C6C" w14:textId="0FC4D84E" w:rsidR="00B53D65" w:rsidRDefault="00B53D65" w:rsidP="00B520D9">
      <w:pPr>
        <w:rPr>
          <w:b/>
          <w:lang w:val="en-US"/>
        </w:rPr>
      </w:pPr>
    </w:p>
    <w:p w14:paraId="0DAAE10F" w14:textId="77777777" w:rsidR="00B53D65" w:rsidRDefault="00B53D65">
      <w:pPr>
        <w:rPr>
          <w:b/>
          <w:lang w:val="en-US"/>
        </w:rPr>
      </w:pPr>
      <w:r>
        <w:rPr>
          <w:b/>
          <w:lang w:val="en-US"/>
        </w:rPr>
        <w:br w:type="page"/>
      </w:r>
    </w:p>
    <w:p w14:paraId="16AC5437" w14:textId="77777777" w:rsidR="00B36DCB" w:rsidRDefault="00B36DCB" w:rsidP="00B36DCB">
      <w:pPr>
        <w:jc w:val="center"/>
        <w:rPr>
          <w:rFonts w:ascii="Calibri Light" w:hAnsi="Calibri Light" w:cs="Calibri Light"/>
          <w:b/>
          <w:bCs/>
          <w:lang w:val="en-US"/>
        </w:rPr>
      </w:pPr>
    </w:p>
    <w:p w14:paraId="08CBDC08" w14:textId="1CC53C90" w:rsidR="00A8036A" w:rsidRDefault="00B36DCB" w:rsidP="00B36DCB">
      <w:pPr>
        <w:jc w:val="center"/>
        <w:rPr>
          <w:rFonts w:ascii="Calibri Light" w:hAnsi="Calibri Light" w:cs="Calibri Light"/>
          <w:b/>
          <w:bCs/>
          <w:lang w:val="en-US"/>
        </w:rPr>
      </w:pPr>
      <w:r>
        <w:rPr>
          <w:rFonts w:ascii="Calibri Light" w:hAnsi="Calibri Light" w:cs="Calibri Light"/>
          <w:b/>
          <w:bCs/>
          <w:lang w:val="en-US"/>
        </w:rPr>
        <w:t xml:space="preserve">Table 3 - </w:t>
      </w:r>
      <w:r w:rsidRPr="00635205">
        <w:rPr>
          <w:rFonts w:ascii="Calibri Light" w:hAnsi="Calibri Light" w:cs="Calibri Light"/>
          <w:b/>
          <w:bCs/>
          <w:lang w:val="en-US"/>
        </w:rPr>
        <w:t xml:space="preserve">Definition of </w:t>
      </w:r>
      <w:r>
        <w:rPr>
          <w:rFonts w:ascii="Calibri Light" w:hAnsi="Calibri Light" w:cs="Calibri Light"/>
          <w:b/>
          <w:bCs/>
          <w:lang w:val="en-US"/>
        </w:rPr>
        <w:t>clinical features</w:t>
      </w:r>
    </w:p>
    <w:p w14:paraId="088FB8AF" w14:textId="77777777" w:rsidR="00B36DCB" w:rsidRPr="005D603F" w:rsidRDefault="00B36DCB" w:rsidP="00B36DCB">
      <w:pPr>
        <w:jc w:val="center"/>
        <w:rPr>
          <w:rFonts w:ascii="Calibri Light" w:hAnsi="Calibri Light" w:cs="Calibri Light"/>
          <w:b/>
          <w:bCs/>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4"/>
      </w:tblGrid>
      <w:tr w:rsidR="00B36DCB" w:rsidRPr="002146B6" w14:paraId="1EAEDE41" w14:textId="77777777" w:rsidTr="002069E1">
        <w:tc>
          <w:tcPr>
            <w:tcW w:w="2122" w:type="dxa"/>
            <w:shd w:val="clear" w:color="auto" w:fill="auto"/>
          </w:tcPr>
          <w:p w14:paraId="0CACC2E1" w14:textId="77777777" w:rsidR="00B36DCB" w:rsidRPr="005D603F" w:rsidRDefault="00B36DCB" w:rsidP="002069E1">
            <w:pPr>
              <w:spacing w:after="0" w:line="240" w:lineRule="auto"/>
              <w:rPr>
                <w:rFonts w:ascii="Calibri Light" w:hAnsi="Calibri Light" w:cs="Calibri Light"/>
                <w:b/>
                <w:lang w:val="en-US"/>
              </w:rPr>
            </w:pPr>
            <w:r w:rsidRPr="005D603F">
              <w:rPr>
                <w:rFonts w:ascii="Calibri Light" w:hAnsi="Calibri Light" w:cs="Calibri Light"/>
                <w:b/>
                <w:lang w:val="en-US"/>
              </w:rPr>
              <w:t>Clinical Feature</w:t>
            </w:r>
          </w:p>
        </w:tc>
        <w:tc>
          <w:tcPr>
            <w:tcW w:w="6804" w:type="dxa"/>
            <w:shd w:val="clear" w:color="auto" w:fill="auto"/>
          </w:tcPr>
          <w:p w14:paraId="5ABCF925" w14:textId="77777777" w:rsidR="00B36DCB" w:rsidRPr="005D603F" w:rsidRDefault="00B36DCB" w:rsidP="002069E1">
            <w:pPr>
              <w:spacing w:after="0" w:line="240" w:lineRule="auto"/>
              <w:rPr>
                <w:rFonts w:ascii="Calibri Light" w:hAnsi="Calibri Light" w:cs="Calibri Light"/>
                <w:b/>
                <w:lang w:val="en-US"/>
              </w:rPr>
            </w:pPr>
            <w:r w:rsidRPr="005D603F">
              <w:rPr>
                <w:rFonts w:ascii="Calibri Light" w:hAnsi="Calibri Light" w:cs="Calibri Light"/>
                <w:b/>
                <w:lang w:val="en-US"/>
              </w:rPr>
              <w:t xml:space="preserve">Definition </w:t>
            </w:r>
          </w:p>
        </w:tc>
      </w:tr>
      <w:tr w:rsidR="00B36DCB" w:rsidRPr="00673838" w14:paraId="024459C2" w14:textId="77777777" w:rsidTr="002069E1">
        <w:tc>
          <w:tcPr>
            <w:tcW w:w="2122" w:type="dxa"/>
            <w:shd w:val="clear" w:color="auto" w:fill="auto"/>
          </w:tcPr>
          <w:p w14:paraId="359126FA"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Age at Onset (AAO)</w:t>
            </w:r>
          </w:p>
        </w:tc>
        <w:tc>
          <w:tcPr>
            <w:tcW w:w="6804" w:type="dxa"/>
            <w:shd w:val="clear" w:color="auto" w:fill="auto"/>
          </w:tcPr>
          <w:p w14:paraId="1C91039D"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Age at first registration in either of the registers</w:t>
            </w:r>
          </w:p>
        </w:tc>
      </w:tr>
      <w:tr w:rsidR="00B36DCB" w:rsidRPr="00673838" w14:paraId="7EF4B876" w14:textId="77777777" w:rsidTr="002069E1">
        <w:tc>
          <w:tcPr>
            <w:tcW w:w="2122" w:type="dxa"/>
            <w:shd w:val="clear" w:color="auto" w:fill="auto"/>
          </w:tcPr>
          <w:p w14:paraId="1334120A"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Number of recurrences</w:t>
            </w:r>
          </w:p>
        </w:tc>
        <w:tc>
          <w:tcPr>
            <w:tcW w:w="6804" w:type="dxa"/>
            <w:shd w:val="clear" w:color="auto" w:fill="auto"/>
          </w:tcPr>
          <w:p w14:paraId="4FA4C3B4"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Total number of registrations in all registers</w:t>
            </w:r>
            <w:r>
              <w:rPr>
                <w:rFonts w:ascii="Calibri Light" w:hAnsi="Calibri Light" w:cs="Calibri Light"/>
                <w:lang w:val="en-US"/>
              </w:rPr>
              <w:t xml:space="preserve"> except from the prescription register</w:t>
            </w:r>
            <w:r w:rsidRPr="005D603F">
              <w:rPr>
                <w:rFonts w:ascii="Calibri Light" w:hAnsi="Calibri Light" w:cs="Calibri Light"/>
                <w:lang w:val="en-US"/>
              </w:rPr>
              <w:t>. Note that registrations within 90 days from the previous registration is not counted.</w:t>
            </w:r>
          </w:p>
        </w:tc>
      </w:tr>
      <w:tr w:rsidR="00B36DCB" w:rsidRPr="005814F2" w14:paraId="2A18153A" w14:textId="77777777" w:rsidTr="002069E1">
        <w:tc>
          <w:tcPr>
            <w:tcW w:w="2122" w:type="dxa"/>
            <w:shd w:val="clear" w:color="auto" w:fill="auto"/>
          </w:tcPr>
          <w:p w14:paraId="0D559289"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Source</w:t>
            </w:r>
            <w:r w:rsidRPr="005D603F">
              <w:rPr>
                <w:rFonts w:ascii="Calibri Light" w:hAnsi="Calibri Light" w:cs="Calibri Light"/>
                <w:lang w:val="en-US"/>
              </w:rPr>
              <w:t xml:space="preserve"> of ascertainment  1 (</w:t>
            </w:r>
            <w:r>
              <w:rPr>
                <w:rFonts w:ascii="Calibri Light" w:hAnsi="Calibri Light" w:cs="Calibri Light"/>
                <w:lang w:val="en-US"/>
              </w:rPr>
              <w:t>AUD</w:t>
            </w:r>
            <w:r w:rsidRPr="005D603F">
              <w:rPr>
                <w:rFonts w:ascii="Calibri Light" w:hAnsi="Calibri Light" w:cs="Calibri Light"/>
                <w:lang w:val="en-US"/>
              </w:rPr>
              <w:t>)</w:t>
            </w:r>
          </w:p>
        </w:tc>
        <w:tc>
          <w:tcPr>
            <w:tcW w:w="6804" w:type="dxa"/>
            <w:shd w:val="clear" w:color="auto" w:fill="auto"/>
          </w:tcPr>
          <w:p w14:paraId="26E35B6D" w14:textId="77777777" w:rsidR="00B36DCB" w:rsidRDefault="00B36DCB" w:rsidP="002069E1">
            <w:pPr>
              <w:rPr>
                <w:rFonts w:ascii="Calibri Light" w:hAnsi="Calibri Light" w:cs="Calibri Light"/>
                <w:lang w:val="en-US"/>
              </w:rPr>
            </w:pPr>
            <w:r w:rsidRPr="005D603F">
              <w:rPr>
                <w:rFonts w:ascii="Calibri Light" w:hAnsi="Calibri Light" w:cs="Calibri Light"/>
                <w:lang w:val="en-US"/>
              </w:rPr>
              <w:t>Registration in the criminal registers, the medical registers or the prescriptions register. Here we used a hierarchy – (1) criminal, (2) medical, (3) prescription - for individuals with multiple registrations.</w:t>
            </w:r>
          </w:p>
          <w:p w14:paraId="7B372D46"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 xml:space="preserve">Gr 1: </w:t>
            </w:r>
            <w:r>
              <w:rPr>
                <w:rFonts w:ascii="Calibri Light" w:hAnsi="Calibri Light" w:cs="Calibri Light"/>
                <w:lang w:val="en-US"/>
              </w:rPr>
              <w:t>N = 104,301 (28.9%)</w:t>
            </w:r>
          </w:p>
          <w:p w14:paraId="0ED0DDFA"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Gr2</w:t>
            </w:r>
            <w:r>
              <w:rPr>
                <w:rFonts w:ascii="Calibri Light" w:hAnsi="Calibri Light" w:cs="Calibri Light"/>
                <w:lang w:val="en-US"/>
              </w:rPr>
              <w:t>: N = 234,228 (64.9%)</w:t>
            </w:r>
          </w:p>
          <w:p w14:paraId="7DE089EC"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Gr3: N = 22,595 (6.3%)</w:t>
            </w:r>
          </w:p>
        </w:tc>
      </w:tr>
      <w:tr w:rsidR="00B36DCB" w:rsidRPr="005814F2" w14:paraId="5604B5D2" w14:textId="77777777" w:rsidTr="002069E1">
        <w:tc>
          <w:tcPr>
            <w:tcW w:w="2122" w:type="dxa"/>
            <w:shd w:val="clear" w:color="auto" w:fill="auto"/>
          </w:tcPr>
          <w:p w14:paraId="78F31A86"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Source</w:t>
            </w:r>
            <w:r w:rsidRPr="005D603F">
              <w:rPr>
                <w:rFonts w:ascii="Calibri Light" w:hAnsi="Calibri Light" w:cs="Calibri Light"/>
                <w:lang w:val="en-US"/>
              </w:rPr>
              <w:t xml:space="preserve"> of ascertainment </w:t>
            </w:r>
            <w:r>
              <w:rPr>
                <w:rFonts w:ascii="Calibri Light" w:hAnsi="Calibri Light" w:cs="Calibri Light"/>
                <w:lang w:val="en-US"/>
              </w:rPr>
              <w:t>medical registers</w:t>
            </w:r>
            <w:r w:rsidRPr="005D603F">
              <w:rPr>
                <w:rFonts w:ascii="Calibri Light" w:hAnsi="Calibri Light" w:cs="Calibri Light"/>
                <w:lang w:val="en-US"/>
              </w:rPr>
              <w:t xml:space="preserve"> (</w:t>
            </w:r>
            <w:r>
              <w:rPr>
                <w:rFonts w:ascii="Calibri Light" w:hAnsi="Calibri Light" w:cs="Calibri Light"/>
                <w:lang w:val="en-US"/>
              </w:rPr>
              <w:t>AUD</w:t>
            </w:r>
            <w:r w:rsidRPr="005D603F">
              <w:rPr>
                <w:rFonts w:ascii="Calibri Light" w:hAnsi="Calibri Light" w:cs="Calibri Light"/>
                <w:lang w:val="en-US"/>
              </w:rPr>
              <w:t>)</w:t>
            </w:r>
          </w:p>
        </w:tc>
        <w:tc>
          <w:tcPr>
            <w:tcW w:w="6804" w:type="dxa"/>
            <w:shd w:val="clear" w:color="auto" w:fill="auto"/>
          </w:tcPr>
          <w:p w14:paraId="214D7952"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For individuals with a DUD registration in the medical registers we used a hierarchy and categorized individuals into three groups; (1) at least one registration in the inpatient register, (2) registration in the specialist care, and (3) registration in primary care only.</w:t>
            </w:r>
          </w:p>
          <w:p w14:paraId="34341555"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 xml:space="preserve">Gr 1: </w:t>
            </w:r>
            <w:r>
              <w:rPr>
                <w:rFonts w:ascii="Calibri Light" w:hAnsi="Calibri Light" w:cs="Calibri Light"/>
                <w:lang w:val="en-US"/>
              </w:rPr>
              <w:t>203,509 (73.2%)</w:t>
            </w:r>
          </w:p>
          <w:p w14:paraId="4D232FDA"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 xml:space="preserve">Gr2: </w:t>
            </w:r>
            <w:r>
              <w:rPr>
                <w:rFonts w:ascii="Calibri Light" w:hAnsi="Calibri Light" w:cs="Calibri Light"/>
                <w:lang w:val="en-US"/>
              </w:rPr>
              <w:t>46,314 (16.7%)</w:t>
            </w:r>
          </w:p>
          <w:p w14:paraId="59EF8D18" w14:textId="77777777" w:rsidR="00B36DCB" w:rsidRPr="005D603F" w:rsidRDefault="00B36DCB" w:rsidP="002069E1">
            <w:pPr>
              <w:rPr>
                <w:rFonts w:ascii="Calibri Light" w:hAnsi="Calibri Light" w:cs="Calibri Light"/>
                <w:lang w:val="en-US"/>
              </w:rPr>
            </w:pPr>
            <w:r w:rsidRPr="005D603F">
              <w:rPr>
                <w:rFonts w:ascii="Calibri Light" w:hAnsi="Calibri Light" w:cs="Calibri Light"/>
                <w:lang w:val="en-US"/>
              </w:rPr>
              <w:t xml:space="preserve">Gr3: </w:t>
            </w:r>
            <w:r>
              <w:rPr>
                <w:rFonts w:ascii="Calibri Light" w:hAnsi="Calibri Light" w:cs="Calibri Light"/>
                <w:lang w:val="en-US"/>
              </w:rPr>
              <w:t>28,221 (10.2%)</w:t>
            </w:r>
          </w:p>
        </w:tc>
      </w:tr>
      <w:tr w:rsidR="00B36DCB" w:rsidRPr="00673838" w14:paraId="0900392D" w14:textId="77777777" w:rsidTr="002069E1">
        <w:tc>
          <w:tcPr>
            <w:tcW w:w="2122" w:type="dxa"/>
            <w:shd w:val="clear" w:color="auto" w:fill="auto"/>
          </w:tcPr>
          <w:p w14:paraId="0DC02CE8"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Medical Complications</w:t>
            </w:r>
          </w:p>
        </w:tc>
        <w:tc>
          <w:tcPr>
            <w:tcW w:w="6804" w:type="dxa"/>
            <w:shd w:val="clear" w:color="auto" w:fill="auto"/>
          </w:tcPr>
          <w:p w14:paraId="20877E2D"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 xml:space="preserve">202,909 individuals with AUD defined as ICD10: F10, ICD9: 303, 305, ICD8: 303. 7.83% had a Medical Complication defined </w:t>
            </w:r>
            <w:r w:rsidRPr="00D01299">
              <w:rPr>
                <w:rFonts w:ascii="Calibri Light" w:hAnsi="Calibri Light" w:cs="Calibri Light"/>
                <w:lang w:val="en-US"/>
              </w:rPr>
              <w:t xml:space="preserve">by ICD codes: ICD 8: 291, </w:t>
            </w:r>
            <w:r>
              <w:rPr>
                <w:rFonts w:ascii="Calibri Light" w:hAnsi="Calibri Light" w:cs="Calibri Light"/>
                <w:lang w:val="en-US"/>
              </w:rPr>
              <w:t xml:space="preserve">980, 571.0; ICD9: V79B, </w:t>
            </w:r>
            <w:r w:rsidRPr="00D01299">
              <w:rPr>
                <w:rFonts w:ascii="Calibri Light" w:hAnsi="Calibri Light" w:cs="Calibri Light"/>
                <w:lang w:val="en-US"/>
              </w:rPr>
              <w:t>357F, 571A-D, 425F, 535D, 291, 980; ICD 10: E244, G312, G621, G721, I426, K292,</w:t>
            </w:r>
            <w:r>
              <w:rPr>
                <w:rFonts w:ascii="Calibri Light" w:hAnsi="Calibri Light" w:cs="Calibri Light"/>
                <w:lang w:val="en-US"/>
              </w:rPr>
              <w:t xml:space="preserve"> K70, K852, K860, O354, T51 in the medical registers</w:t>
            </w:r>
          </w:p>
        </w:tc>
      </w:tr>
      <w:tr w:rsidR="00B36DCB" w:rsidRPr="001B6C2A" w14:paraId="5111CE5F" w14:textId="77777777" w:rsidTr="002069E1">
        <w:tc>
          <w:tcPr>
            <w:tcW w:w="2122" w:type="dxa"/>
            <w:shd w:val="clear" w:color="auto" w:fill="auto"/>
          </w:tcPr>
          <w:p w14:paraId="689E28FF"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Comorbidity with Major Depression</w:t>
            </w:r>
          </w:p>
        </w:tc>
        <w:tc>
          <w:tcPr>
            <w:tcW w:w="6804" w:type="dxa"/>
            <w:shd w:val="clear" w:color="auto" w:fill="auto"/>
          </w:tcPr>
          <w:p w14:paraId="16979A94"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MD defined in table above. 99,648 (27.6%) had a lifetime registration of MD.</w:t>
            </w:r>
          </w:p>
        </w:tc>
      </w:tr>
      <w:tr w:rsidR="00B36DCB" w:rsidRPr="001B6C2A" w14:paraId="06486EA3" w14:textId="77777777" w:rsidTr="002069E1">
        <w:tc>
          <w:tcPr>
            <w:tcW w:w="2122" w:type="dxa"/>
            <w:shd w:val="clear" w:color="auto" w:fill="auto"/>
          </w:tcPr>
          <w:p w14:paraId="3326EB9A"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Comorbidity with Drug Use Disorder</w:t>
            </w:r>
          </w:p>
        </w:tc>
        <w:tc>
          <w:tcPr>
            <w:tcW w:w="6804" w:type="dxa"/>
            <w:shd w:val="clear" w:color="auto" w:fill="auto"/>
          </w:tcPr>
          <w:p w14:paraId="77294BA8" w14:textId="77777777" w:rsidR="00B36DCB" w:rsidRPr="005D603F" w:rsidRDefault="00B36DCB" w:rsidP="002069E1">
            <w:pPr>
              <w:rPr>
                <w:rFonts w:ascii="Calibri Light" w:hAnsi="Calibri Light" w:cs="Calibri Light"/>
                <w:lang w:val="en-US"/>
              </w:rPr>
            </w:pPr>
            <w:r>
              <w:rPr>
                <w:rFonts w:ascii="Calibri Light" w:hAnsi="Calibri Light" w:cs="Calibri Light"/>
                <w:lang w:val="en-US"/>
              </w:rPr>
              <w:t>DUD defined in table above. 84,380 (23.4%) had a lifetime registration of DUD.</w:t>
            </w:r>
          </w:p>
        </w:tc>
      </w:tr>
      <w:tr w:rsidR="00B36DCB" w:rsidRPr="005814F2" w14:paraId="676AA926" w14:textId="77777777" w:rsidTr="002069E1">
        <w:tc>
          <w:tcPr>
            <w:tcW w:w="2122" w:type="dxa"/>
            <w:shd w:val="clear" w:color="auto" w:fill="auto"/>
          </w:tcPr>
          <w:p w14:paraId="23C90768" w14:textId="77777777" w:rsidR="00B36DCB" w:rsidRPr="002146B6" w:rsidRDefault="00B36DCB" w:rsidP="002069E1">
            <w:pPr>
              <w:spacing w:after="0" w:line="240" w:lineRule="auto"/>
              <w:rPr>
                <w:rFonts w:ascii="Calibri Light" w:hAnsi="Calibri Light" w:cs="Calibri Light"/>
                <w:sz w:val="18"/>
                <w:szCs w:val="18"/>
                <w:lang w:val="en-US"/>
              </w:rPr>
            </w:pPr>
          </w:p>
        </w:tc>
        <w:tc>
          <w:tcPr>
            <w:tcW w:w="6804" w:type="dxa"/>
            <w:shd w:val="clear" w:color="auto" w:fill="auto"/>
          </w:tcPr>
          <w:p w14:paraId="722DF05A" w14:textId="77777777" w:rsidR="00B36DCB" w:rsidRPr="002146B6" w:rsidRDefault="00B36DCB" w:rsidP="002069E1">
            <w:pPr>
              <w:spacing w:after="0" w:line="240" w:lineRule="auto"/>
              <w:rPr>
                <w:rFonts w:ascii="Calibri Light" w:hAnsi="Calibri Light" w:cs="Calibri Light"/>
                <w:sz w:val="18"/>
                <w:szCs w:val="18"/>
                <w:lang w:val="en-US"/>
              </w:rPr>
            </w:pPr>
          </w:p>
        </w:tc>
      </w:tr>
    </w:tbl>
    <w:p w14:paraId="29FFB6CB" w14:textId="77777777" w:rsidR="00F1392D" w:rsidRPr="00556F9D" w:rsidRDefault="00F1392D" w:rsidP="00F1392D">
      <w:pPr>
        <w:rPr>
          <w:lang w:val="en-US"/>
        </w:rPr>
      </w:pPr>
    </w:p>
    <w:p w14:paraId="52144F6E" w14:textId="77777777" w:rsidR="00F1392D" w:rsidRPr="00556F9D" w:rsidRDefault="00F1392D" w:rsidP="00F1392D">
      <w:pPr>
        <w:rPr>
          <w:lang w:val="en-US"/>
        </w:rPr>
      </w:pPr>
    </w:p>
    <w:p w14:paraId="703805F3" w14:textId="77777777" w:rsidR="00F1392D" w:rsidRPr="00556F9D" w:rsidRDefault="00F1392D" w:rsidP="00F1392D">
      <w:pPr>
        <w:rPr>
          <w:lang w:val="en-US"/>
        </w:rPr>
      </w:pPr>
    </w:p>
    <w:p w14:paraId="3049370F" w14:textId="77777777" w:rsidR="00F1392D" w:rsidRPr="00556F9D" w:rsidRDefault="00F1392D" w:rsidP="00F1392D">
      <w:pPr>
        <w:rPr>
          <w:lang w:val="en-US"/>
        </w:rPr>
      </w:pPr>
    </w:p>
    <w:p w14:paraId="03D216FD" w14:textId="77777777" w:rsidR="00F1392D" w:rsidRPr="00556F9D" w:rsidRDefault="00F1392D" w:rsidP="00F1392D">
      <w:pPr>
        <w:rPr>
          <w:lang w:val="en-US"/>
        </w:rPr>
      </w:pPr>
    </w:p>
    <w:p w14:paraId="2E4FE553" w14:textId="77777777" w:rsidR="00AA36F8" w:rsidRDefault="00AA36F8" w:rsidP="0055392D">
      <w:pPr>
        <w:jc w:val="center"/>
        <w:rPr>
          <w:lang w:val="en-US"/>
        </w:rPr>
        <w:sectPr w:rsidR="00AA36F8" w:rsidSect="00B40FD8">
          <w:pgSz w:w="11906" w:h="16838"/>
          <w:pgMar w:top="1412" w:right="1412" w:bottom="1412" w:left="1412" w:header="709" w:footer="709" w:gutter="0"/>
          <w:cols w:space="708"/>
          <w:docGrid w:linePitch="360"/>
        </w:sectPr>
      </w:pPr>
    </w:p>
    <w:p w14:paraId="3412BB7A" w14:textId="50947E85" w:rsidR="00B520D9" w:rsidRPr="00CE60D6" w:rsidRDefault="006519EE" w:rsidP="00B520D9">
      <w:pPr>
        <w:jc w:val="center"/>
        <w:rPr>
          <w:lang w:val="en-US"/>
        </w:rPr>
      </w:pPr>
      <w:bookmarkStart w:id="0" w:name="_Hlk66870303"/>
      <w:r>
        <w:rPr>
          <w:b/>
          <w:lang w:val="en-US"/>
        </w:rPr>
        <w:lastRenderedPageBreak/>
        <w:t xml:space="preserve">Table </w:t>
      </w:r>
      <w:r w:rsidR="00B36DCB">
        <w:rPr>
          <w:b/>
          <w:lang w:val="en-US"/>
        </w:rPr>
        <w:t>4</w:t>
      </w:r>
      <w:r>
        <w:rPr>
          <w:b/>
          <w:lang w:val="en-US"/>
        </w:rPr>
        <w:t xml:space="preserve"> - </w:t>
      </w:r>
      <w:r w:rsidR="00B520D9" w:rsidRPr="008263D6">
        <w:rPr>
          <w:b/>
          <w:lang w:val="en-US"/>
        </w:rPr>
        <w:t xml:space="preserve">Correlation with the </w:t>
      </w:r>
      <w:r w:rsidR="003D41CB">
        <w:rPr>
          <w:b/>
          <w:lang w:val="en-US"/>
        </w:rPr>
        <w:t xml:space="preserve">AUD </w:t>
      </w:r>
      <w:r>
        <w:rPr>
          <w:b/>
          <w:lang w:val="en-US"/>
        </w:rPr>
        <w:t>F</w:t>
      </w:r>
      <w:r w:rsidR="00B520D9" w:rsidRPr="008263D6">
        <w:rPr>
          <w:b/>
          <w:lang w:val="en-US"/>
        </w:rPr>
        <w:t>GRS used in th</w:t>
      </w:r>
      <w:r>
        <w:rPr>
          <w:b/>
          <w:lang w:val="en-US"/>
        </w:rPr>
        <w:t xml:space="preserve">is Manuscript with </w:t>
      </w:r>
      <w:r w:rsidR="00B520D9">
        <w:rPr>
          <w:b/>
          <w:lang w:val="en-US"/>
        </w:rPr>
        <w:t>selected FGRS</w:t>
      </w:r>
      <w:r>
        <w:rPr>
          <w:b/>
          <w:lang w:val="en-US"/>
        </w:rPr>
        <w:t xml:space="preserve"> </w:t>
      </w:r>
      <w:r w:rsidR="003D41CB">
        <w:rPr>
          <w:b/>
          <w:lang w:val="en-US"/>
        </w:rPr>
        <w:t>Missing Certain Features Used in the Final Calculation</w:t>
      </w:r>
    </w:p>
    <w:p w14:paraId="24CDF0A1" w14:textId="77777777" w:rsidR="00B520D9" w:rsidRDefault="00B520D9" w:rsidP="00B520D9">
      <w:pPr>
        <w:rPr>
          <w:lang w:val="en-US"/>
        </w:rPr>
      </w:pPr>
    </w:p>
    <w:p w14:paraId="0B951401" w14:textId="77777777" w:rsidR="00B520D9" w:rsidRDefault="00B520D9" w:rsidP="00B520D9">
      <w:pPr>
        <w:rPr>
          <w:lang w:val="en-US"/>
        </w:rPr>
      </w:pPr>
    </w:p>
    <w:tbl>
      <w:tblPr>
        <w:tblStyle w:val="TableGrid"/>
        <w:tblpPr w:leftFromText="141" w:rightFromText="141" w:vertAnchor="page" w:horzAnchor="margin" w:tblpXSpec="center" w:tblpY="2716"/>
        <w:tblW w:w="4604" w:type="dxa"/>
        <w:tblLook w:val="04A0" w:firstRow="1" w:lastRow="0" w:firstColumn="1" w:lastColumn="0" w:noHBand="0" w:noVBand="1"/>
      </w:tblPr>
      <w:tblGrid>
        <w:gridCol w:w="2895"/>
        <w:gridCol w:w="1709"/>
      </w:tblGrid>
      <w:tr w:rsidR="006519EE" w:rsidRPr="00FA714F" w14:paraId="443854C5" w14:textId="77777777" w:rsidTr="006519EE">
        <w:tc>
          <w:tcPr>
            <w:tcW w:w="2895" w:type="dxa"/>
          </w:tcPr>
          <w:p w14:paraId="5507F5B2" w14:textId="77777777" w:rsidR="006519EE" w:rsidRPr="00FA714F" w:rsidRDefault="006519EE" w:rsidP="006519EE">
            <w:pPr>
              <w:pStyle w:val="NoSpacing"/>
              <w:rPr>
                <w:lang w:val="en-US"/>
              </w:rPr>
            </w:pPr>
          </w:p>
        </w:tc>
        <w:tc>
          <w:tcPr>
            <w:tcW w:w="1709" w:type="dxa"/>
          </w:tcPr>
          <w:p w14:paraId="2D6985A2" w14:textId="77777777" w:rsidR="006519EE" w:rsidRPr="00FA714F" w:rsidRDefault="006519EE" w:rsidP="006519EE">
            <w:pPr>
              <w:pStyle w:val="NoSpacing"/>
            </w:pPr>
            <w:r>
              <w:t>AUD FGRS</w:t>
            </w:r>
          </w:p>
        </w:tc>
      </w:tr>
      <w:tr w:rsidR="006519EE" w:rsidRPr="00FA714F" w14:paraId="4BEBCDCA" w14:textId="77777777" w:rsidTr="006519EE">
        <w:tc>
          <w:tcPr>
            <w:tcW w:w="2895" w:type="dxa"/>
          </w:tcPr>
          <w:p w14:paraId="4018D6E5" w14:textId="77777777" w:rsidR="006519EE" w:rsidRPr="00FA714F" w:rsidRDefault="006519EE" w:rsidP="006519EE">
            <w:pPr>
              <w:pStyle w:val="NoSpacing"/>
              <w:rPr>
                <w:lang w:val="en-US"/>
              </w:rPr>
            </w:pPr>
            <w:r>
              <w:rPr>
                <w:lang w:val="en-US"/>
              </w:rPr>
              <w:t>F</w:t>
            </w:r>
            <w:r w:rsidRPr="00FA714F">
              <w:rPr>
                <w:lang w:val="en-US"/>
              </w:rPr>
              <w:t>GRS</w:t>
            </w:r>
            <w:r>
              <w:rPr>
                <w:lang w:val="en-US"/>
              </w:rPr>
              <w:t>(a) -</w:t>
            </w:r>
            <w:r w:rsidRPr="00FA714F">
              <w:rPr>
                <w:lang w:val="en-US"/>
              </w:rPr>
              <w:t xml:space="preserve"> 1</w:t>
            </w:r>
            <w:r w:rsidRPr="00FA714F">
              <w:rPr>
                <w:vertAlign w:val="superscript"/>
                <w:lang w:val="en-US"/>
              </w:rPr>
              <w:t>st</w:t>
            </w:r>
            <w:r w:rsidRPr="00FA714F">
              <w:rPr>
                <w:lang w:val="en-US"/>
              </w:rPr>
              <w:t xml:space="preserve"> degree relatives</w:t>
            </w:r>
          </w:p>
        </w:tc>
        <w:tc>
          <w:tcPr>
            <w:tcW w:w="1709" w:type="dxa"/>
          </w:tcPr>
          <w:p w14:paraId="13F8D40E" w14:textId="77777777" w:rsidR="006519EE" w:rsidRPr="00FA714F" w:rsidRDefault="006519EE" w:rsidP="006519EE">
            <w:pPr>
              <w:pStyle w:val="NoSpacing"/>
              <w:rPr>
                <w:lang w:val="en-US"/>
              </w:rPr>
            </w:pPr>
            <w:r>
              <w:rPr>
                <w:lang w:val="en-US"/>
              </w:rPr>
              <w:t>0.812</w:t>
            </w:r>
          </w:p>
        </w:tc>
      </w:tr>
      <w:tr w:rsidR="006519EE" w:rsidRPr="00FA714F" w14:paraId="396136E9" w14:textId="77777777" w:rsidTr="006519EE">
        <w:tc>
          <w:tcPr>
            <w:tcW w:w="2895" w:type="dxa"/>
          </w:tcPr>
          <w:p w14:paraId="30429AC5" w14:textId="77777777" w:rsidR="006519EE" w:rsidRPr="00FA714F" w:rsidRDefault="006519EE" w:rsidP="006519EE">
            <w:pPr>
              <w:pStyle w:val="NoSpacing"/>
              <w:rPr>
                <w:lang w:val="en-US"/>
              </w:rPr>
            </w:pPr>
            <w:r>
              <w:rPr>
                <w:lang w:val="en-US"/>
              </w:rPr>
              <w:t>F</w:t>
            </w:r>
            <w:r w:rsidRPr="00FA714F">
              <w:rPr>
                <w:lang w:val="en-US"/>
              </w:rPr>
              <w:t>GRS</w:t>
            </w:r>
            <w:r>
              <w:rPr>
                <w:lang w:val="en-US"/>
              </w:rPr>
              <w:t>(b) -</w:t>
            </w:r>
            <w:r w:rsidRPr="00FA714F">
              <w:rPr>
                <w:lang w:val="en-US"/>
              </w:rPr>
              <w:t xml:space="preserve"> no age correction</w:t>
            </w:r>
          </w:p>
        </w:tc>
        <w:tc>
          <w:tcPr>
            <w:tcW w:w="1709" w:type="dxa"/>
          </w:tcPr>
          <w:p w14:paraId="06384FFC" w14:textId="77777777" w:rsidR="006519EE" w:rsidRPr="00FA714F" w:rsidRDefault="006519EE" w:rsidP="006519EE">
            <w:pPr>
              <w:pStyle w:val="NoSpacing"/>
              <w:rPr>
                <w:lang w:val="en-US"/>
              </w:rPr>
            </w:pPr>
            <w:r>
              <w:rPr>
                <w:lang w:val="en-US"/>
              </w:rPr>
              <w:t>0.806</w:t>
            </w:r>
          </w:p>
        </w:tc>
      </w:tr>
      <w:tr w:rsidR="006519EE" w:rsidRPr="00182B11" w14:paraId="001FA099" w14:textId="77777777" w:rsidTr="006519EE">
        <w:tc>
          <w:tcPr>
            <w:tcW w:w="2895" w:type="dxa"/>
          </w:tcPr>
          <w:p w14:paraId="6184639B" w14:textId="77777777" w:rsidR="006519EE" w:rsidRPr="00FA714F" w:rsidRDefault="006519EE" w:rsidP="006519EE">
            <w:pPr>
              <w:pStyle w:val="NoSpacing"/>
              <w:rPr>
                <w:lang w:val="en-US"/>
              </w:rPr>
            </w:pPr>
            <w:r>
              <w:rPr>
                <w:lang w:val="en-US"/>
              </w:rPr>
              <w:t>F</w:t>
            </w:r>
            <w:r w:rsidRPr="00FA714F">
              <w:rPr>
                <w:lang w:val="en-US"/>
              </w:rPr>
              <w:t>GRS</w:t>
            </w:r>
            <w:r>
              <w:rPr>
                <w:lang w:val="en-US"/>
              </w:rPr>
              <w:t>(c) -</w:t>
            </w:r>
            <w:r w:rsidRPr="00FA714F">
              <w:rPr>
                <w:lang w:val="en-US"/>
              </w:rPr>
              <w:t xml:space="preserve"> </w:t>
            </w:r>
            <w:r w:rsidRPr="007C61E8">
              <w:rPr>
                <w:lang w:val="en-US"/>
              </w:rPr>
              <w:t>no cohabitation correction</w:t>
            </w:r>
          </w:p>
        </w:tc>
        <w:tc>
          <w:tcPr>
            <w:tcW w:w="1709" w:type="dxa"/>
          </w:tcPr>
          <w:p w14:paraId="2EEE1EC8" w14:textId="77777777" w:rsidR="006519EE" w:rsidRPr="00FA714F" w:rsidRDefault="006519EE" w:rsidP="006519EE">
            <w:pPr>
              <w:pStyle w:val="NoSpacing"/>
              <w:rPr>
                <w:lang w:val="en-US"/>
              </w:rPr>
            </w:pPr>
            <w:r>
              <w:rPr>
                <w:lang w:val="en-US"/>
              </w:rPr>
              <w:t>0.992</w:t>
            </w:r>
          </w:p>
        </w:tc>
      </w:tr>
      <w:tr w:rsidR="006519EE" w:rsidRPr="00FA714F" w14:paraId="07842BCA" w14:textId="77777777" w:rsidTr="006519EE">
        <w:tc>
          <w:tcPr>
            <w:tcW w:w="2895" w:type="dxa"/>
          </w:tcPr>
          <w:p w14:paraId="5860BB10" w14:textId="77777777" w:rsidR="006519EE" w:rsidRPr="00FA714F" w:rsidRDefault="006519EE" w:rsidP="006519EE">
            <w:pPr>
              <w:pStyle w:val="NoSpacing"/>
              <w:rPr>
                <w:lang w:val="en-US"/>
              </w:rPr>
            </w:pPr>
            <w:r>
              <w:rPr>
                <w:lang w:val="en-US"/>
              </w:rPr>
              <w:t>F</w:t>
            </w:r>
            <w:r w:rsidRPr="00FA714F">
              <w:rPr>
                <w:lang w:val="en-US"/>
              </w:rPr>
              <w:t>GRS</w:t>
            </w:r>
            <w:r>
              <w:rPr>
                <w:lang w:val="en-US"/>
              </w:rPr>
              <w:t>(d) -</w:t>
            </w:r>
            <w:r w:rsidRPr="00FA714F">
              <w:rPr>
                <w:lang w:val="en-US"/>
              </w:rPr>
              <w:t xml:space="preserve"> no weighting for # relatives</w:t>
            </w:r>
          </w:p>
        </w:tc>
        <w:tc>
          <w:tcPr>
            <w:tcW w:w="1709" w:type="dxa"/>
          </w:tcPr>
          <w:p w14:paraId="11F53879" w14:textId="77777777" w:rsidR="006519EE" w:rsidRPr="00FA714F" w:rsidRDefault="006519EE" w:rsidP="006519EE">
            <w:pPr>
              <w:pStyle w:val="NoSpacing"/>
              <w:rPr>
                <w:lang w:val="en-US"/>
              </w:rPr>
            </w:pPr>
            <w:r>
              <w:rPr>
                <w:lang w:val="en-US"/>
              </w:rPr>
              <w:t>0.952</w:t>
            </w:r>
          </w:p>
        </w:tc>
      </w:tr>
      <w:tr w:rsidR="006519EE" w:rsidRPr="00FA714F" w14:paraId="1D2EF262" w14:textId="77777777" w:rsidTr="006519EE">
        <w:tc>
          <w:tcPr>
            <w:tcW w:w="2895" w:type="dxa"/>
          </w:tcPr>
          <w:p w14:paraId="74908FD7" w14:textId="77777777" w:rsidR="006519EE" w:rsidRPr="00FA714F" w:rsidRDefault="006519EE" w:rsidP="006519EE">
            <w:pPr>
              <w:pStyle w:val="NoSpacing"/>
              <w:rPr>
                <w:lang w:val="en-US"/>
              </w:rPr>
            </w:pPr>
            <w:r>
              <w:rPr>
                <w:lang w:val="en-US"/>
              </w:rPr>
              <w:t>F</w:t>
            </w:r>
            <w:r w:rsidRPr="00FA714F">
              <w:rPr>
                <w:lang w:val="en-US"/>
              </w:rPr>
              <w:t>GRS</w:t>
            </w:r>
            <w:r>
              <w:rPr>
                <w:lang w:val="en-US"/>
              </w:rPr>
              <w:t>(e) -std by YoB only</w:t>
            </w:r>
          </w:p>
        </w:tc>
        <w:tc>
          <w:tcPr>
            <w:tcW w:w="1709" w:type="dxa"/>
          </w:tcPr>
          <w:p w14:paraId="68EB126E" w14:textId="77777777" w:rsidR="006519EE" w:rsidRPr="00FA714F" w:rsidRDefault="006519EE" w:rsidP="006519EE">
            <w:pPr>
              <w:pStyle w:val="NoSpacing"/>
              <w:rPr>
                <w:lang w:val="en-US"/>
              </w:rPr>
            </w:pPr>
            <w:r>
              <w:rPr>
                <w:lang w:val="en-US"/>
              </w:rPr>
              <w:t>0.992</w:t>
            </w:r>
          </w:p>
        </w:tc>
      </w:tr>
      <w:tr w:rsidR="006519EE" w:rsidRPr="00FA714F" w14:paraId="4AD474E4" w14:textId="77777777" w:rsidTr="006519EE">
        <w:tc>
          <w:tcPr>
            <w:tcW w:w="2895" w:type="dxa"/>
          </w:tcPr>
          <w:p w14:paraId="2D156D13" w14:textId="77777777" w:rsidR="006519EE" w:rsidRPr="00FA714F" w:rsidRDefault="006519EE" w:rsidP="006519EE">
            <w:pPr>
              <w:pStyle w:val="NoSpacing"/>
              <w:rPr>
                <w:lang w:val="en-US"/>
              </w:rPr>
            </w:pPr>
            <w:r>
              <w:rPr>
                <w:lang w:val="en-US"/>
              </w:rPr>
              <w:t>FGRS(f) - std by geography only</w:t>
            </w:r>
          </w:p>
        </w:tc>
        <w:tc>
          <w:tcPr>
            <w:tcW w:w="1709" w:type="dxa"/>
          </w:tcPr>
          <w:p w14:paraId="2A0632B8" w14:textId="77777777" w:rsidR="006519EE" w:rsidRPr="00FA714F" w:rsidRDefault="006519EE" w:rsidP="006519EE">
            <w:pPr>
              <w:pStyle w:val="NoSpacing"/>
              <w:rPr>
                <w:lang w:val="en-US"/>
              </w:rPr>
            </w:pPr>
            <w:r>
              <w:rPr>
                <w:lang w:val="en-US"/>
              </w:rPr>
              <w:t>0.969</w:t>
            </w:r>
          </w:p>
        </w:tc>
      </w:tr>
      <w:tr w:rsidR="006519EE" w:rsidRPr="00E6160C" w14:paraId="78D89991" w14:textId="77777777" w:rsidTr="006519EE">
        <w:tc>
          <w:tcPr>
            <w:tcW w:w="2895" w:type="dxa"/>
          </w:tcPr>
          <w:p w14:paraId="53952392" w14:textId="77777777" w:rsidR="006519EE" w:rsidRDefault="006519EE" w:rsidP="006519EE">
            <w:pPr>
              <w:pStyle w:val="NoSpacing"/>
              <w:rPr>
                <w:lang w:val="en-US"/>
              </w:rPr>
            </w:pPr>
            <w:r>
              <w:rPr>
                <w:lang w:val="en-US"/>
              </w:rPr>
              <w:t>FGRS(g) - std only by entire sample</w:t>
            </w:r>
          </w:p>
        </w:tc>
        <w:tc>
          <w:tcPr>
            <w:tcW w:w="1709" w:type="dxa"/>
          </w:tcPr>
          <w:p w14:paraId="1B828297" w14:textId="77777777" w:rsidR="006519EE" w:rsidRPr="00FA714F" w:rsidRDefault="006519EE" w:rsidP="006519EE">
            <w:pPr>
              <w:pStyle w:val="NoSpacing"/>
              <w:rPr>
                <w:lang w:val="en-US"/>
              </w:rPr>
            </w:pPr>
            <w:r>
              <w:rPr>
                <w:lang w:val="en-US"/>
              </w:rPr>
              <w:t>0.962</w:t>
            </w:r>
          </w:p>
        </w:tc>
      </w:tr>
      <w:tr w:rsidR="006519EE" w:rsidRPr="00E6160C" w14:paraId="1C6069AE" w14:textId="77777777" w:rsidTr="006519EE">
        <w:tc>
          <w:tcPr>
            <w:tcW w:w="2895" w:type="dxa"/>
          </w:tcPr>
          <w:p w14:paraId="28885127" w14:textId="6C406667" w:rsidR="006519EE" w:rsidRPr="00FA714F" w:rsidRDefault="00EB3210" w:rsidP="006519EE">
            <w:pPr>
              <w:pStyle w:val="NoSpacing"/>
              <w:rPr>
                <w:lang w:val="en-US"/>
              </w:rPr>
            </w:pPr>
            <w:r>
              <w:rPr>
                <w:lang w:val="en-US"/>
              </w:rPr>
              <w:t xml:space="preserve">Std – standardized </w:t>
            </w:r>
          </w:p>
        </w:tc>
        <w:tc>
          <w:tcPr>
            <w:tcW w:w="1709" w:type="dxa"/>
          </w:tcPr>
          <w:p w14:paraId="109E1A37" w14:textId="77777777" w:rsidR="006519EE" w:rsidRPr="00FA714F" w:rsidRDefault="006519EE" w:rsidP="006519EE">
            <w:pPr>
              <w:pStyle w:val="NoSpacing"/>
              <w:rPr>
                <w:lang w:val="en-US"/>
              </w:rPr>
            </w:pPr>
          </w:p>
        </w:tc>
      </w:tr>
    </w:tbl>
    <w:p w14:paraId="712D10B9" w14:textId="77777777" w:rsidR="00B520D9" w:rsidRDefault="00B520D9" w:rsidP="00B520D9">
      <w:pPr>
        <w:rPr>
          <w:lang w:val="en-US"/>
        </w:rPr>
      </w:pPr>
    </w:p>
    <w:p w14:paraId="68E78968" w14:textId="77777777" w:rsidR="00B520D9" w:rsidRDefault="00B520D9" w:rsidP="00B520D9">
      <w:pPr>
        <w:rPr>
          <w:lang w:val="en-US"/>
        </w:rPr>
      </w:pPr>
    </w:p>
    <w:p w14:paraId="158F52E5" w14:textId="77777777" w:rsidR="00B520D9" w:rsidRDefault="00B520D9" w:rsidP="00B520D9">
      <w:pPr>
        <w:rPr>
          <w:lang w:val="en-US"/>
        </w:rPr>
      </w:pPr>
    </w:p>
    <w:p w14:paraId="366BD530" w14:textId="08A0FEBD" w:rsidR="00B520D9" w:rsidRDefault="00B520D9" w:rsidP="00B520D9">
      <w:pPr>
        <w:rPr>
          <w:lang w:val="en-US"/>
        </w:rPr>
      </w:pPr>
    </w:p>
    <w:p w14:paraId="23594CAA" w14:textId="77777777" w:rsidR="00B520D9" w:rsidRDefault="00B520D9" w:rsidP="00B520D9">
      <w:pPr>
        <w:rPr>
          <w:lang w:val="en-US"/>
        </w:rPr>
      </w:pPr>
    </w:p>
    <w:p w14:paraId="61DE5C8A" w14:textId="77777777" w:rsidR="00B520D9" w:rsidRDefault="00B520D9" w:rsidP="00B520D9">
      <w:pPr>
        <w:jc w:val="center"/>
        <w:rPr>
          <w:lang w:val="en-US"/>
        </w:rPr>
      </w:pPr>
    </w:p>
    <w:p w14:paraId="2A910CA0" w14:textId="77777777" w:rsidR="00B520D9" w:rsidRDefault="00B520D9" w:rsidP="00B520D9">
      <w:pPr>
        <w:jc w:val="center"/>
        <w:rPr>
          <w:lang w:val="en-US"/>
        </w:rPr>
      </w:pPr>
    </w:p>
    <w:p w14:paraId="199E1E95" w14:textId="77777777" w:rsidR="00B520D9" w:rsidRDefault="00B520D9" w:rsidP="00B520D9">
      <w:pPr>
        <w:jc w:val="center"/>
        <w:rPr>
          <w:lang w:val="en-US"/>
        </w:rPr>
      </w:pPr>
    </w:p>
    <w:p w14:paraId="62080667" w14:textId="77777777" w:rsidR="00B520D9" w:rsidRDefault="00B520D9" w:rsidP="00B520D9">
      <w:pPr>
        <w:jc w:val="center"/>
        <w:rPr>
          <w:lang w:val="en-US"/>
        </w:rPr>
      </w:pPr>
    </w:p>
    <w:bookmarkEnd w:id="0"/>
    <w:p w14:paraId="57B8D47B" w14:textId="77777777" w:rsidR="00B520D9" w:rsidRDefault="00B520D9" w:rsidP="00B520D9">
      <w:pPr>
        <w:jc w:val="center"/>
        <w:rPr>
          <w:lang w:val="en-US"/>
        </w:rPr>
      </w:pPr>
    </w:p>
    <w:p w14:paraId="1A5AA7A8" w14:textId="77777777" w:rsidR="00B520D9" w:rsidRDefault="00B520D9" w:rsidP="00B520D9">
      <w:pPr>
        <w:jc w:val="center"/>
        <w:rPr>
          <w:lang w:val="en-US"/>
        </w:rPr>
      </w:pPr>
    </w:p>
    <w:p w14:paraId="50DC91E7" w14:textId="77777777" w:rsidR="00B520D9" w:rsidRDefault="00B520D9" w:rsidP="00B520D9">
      <w:pPr>
        <w:jc w:val="center"/>
        <w:rPr>
          <w:lang w:val="en-US"/>
        </w:rPr>
      </w:pPr>
    </w:p>
    <w:p w14:paraId="0C947DE6" w14:textId="77777777" w:rsidR="00B520D9" w:rsidRDefault="00B520D9" w:rsidP="00B520D9">
      <w:pPr>
        <w:jc w:val="center"/>
        <w:rPr>
          <w:lang w:val="en-US"/>
        </w:rPr>
      </w:pPr>
    </w:p>
    <w:p w14:paraId="407D1C8D" w14:textId="77777777" w:rsidR="00B520D9" w:rsidRDefault="00B520D9" w:rsidP="00B520D9">
      <w:pPr>
        <w:jc w:val="center"/>
        <w:rPr>
          <w:lang w:val="en-US"/>
        </w:rPr>
      </w:pPr>
    </w:p>
    <w:p w14:paraId="658D829D" w14:textId="77777777" w:rsidR="00B520D9" w:rsidRDefault="00B520D9" w:rsidP="00B520D9">
      <w:pPr>
        <w:jc w:val="center"/>
        <w:rPr>
          <w:lang w:val="en-US"/>
        </w:rPr>
      </w:pPr>
    </w:p>
    <w:p w14:paraId="11472EB7" w14:textId="77777777" w:rsidR="00B520D9" w:rsidRDefault="00B520D9" w:rsidP="00B520D9">
      <w:pPr>
        <w:jc w:val="center"/>
        <w:rPr>
          <w:lang w:val="en-US"/>
        </w:rPr>
      </w:pPr>
    </w:p>
    <w:p w14:paraId="5BA2A769" w14:textId="77777777" w:rsidR="00B520D9" w:rsidRDefault="00B520D9" w:rsidP="00B520D9">
      <w:pPr>
        <w:jc w:val="center"/>
        <w:rPr>
          <w:lang w:val="en-US"/>
        </w:rPr>
      </w:pPr>
    </w:p>
    <w:p w14:paraId="57929A3E" w14:textId="11832EF5" w:rsidR="0071449A" w:rsidRDefault="006519EE" w:rsidP="0071449A">
      <w:pPr>
        <w:jc w:val="center"/>
        <w:rPr>
          <w:lang w:val="en-US"/>
        </w:rPr>
      </w:pPr>
      <w:r>
        <w:rPr>
          <w:lang w:val="en-US"/>
        </w:rPr>
        <w:lastRenderedPageBreak/>
        <w:t xml:space="preserve">Figure </w:t>
      </w:r>
      <w:r w:rsidR="00B36DCB">
        <w:rPr>
          <w:lang w:val="en-US"/>
        </w:rPr>
        <w:t>1</w:t>
      </w:r>
      <w:r>
        <w:rPr>
          <w:lang w:val="en-US"/>
        </w:rPr>
        <w:t xml:space="preserve"> - </w:t>
      </w:r>
      <w:r w:rsidR="00B520D9">
        <w:rPr>
          <w:lang w:val="en-US"/>
        </w:rPr>
        <w:t xml:space="preserve">Stability of FGRS Scores </w:t>
      </w:r>
      <w:r w:rsidR="00196345">
        <w:rPr>
          <w:lang w:val="en-US"/>
        </w:rPr>
        <w:t xml:space="preserve">for AUD by </w:t>
      </w:r>
      <w:r w:rsidR="00B520D9">
        <w:rPr>
          <w:lang w:val="en-US"/>
        </w:rPr>
        <w:t>Geographical Region (North and South) within Sweden</w:t>
      </w:r>
      <w:r w:rsidR="0071449A">
        <w:rPr>
          <w:lang w:val="en-US"/>
        </w:rPr>
        <w:t xml:space="preserve"> and Median split for Cohort (Old: 1932-1963 vs Young: 1964-1995)</w:t>
      </w:r>
    </w:p>
    <w:p w14:paraId="68EA9A2C" w14:textId="2046CF7C" w:rsidR="00B520D9" w:rsidRDefault="00B520D9" w:rsidP="00B520D9">
      <w:pPr>
        <w:jc w:val="center"/>
        <w:rPr>
          <w:lang w:val="en-US"/>
        </w:rPr>
      </w:pPr>
    </w:p>
    <w:p w14:paraId="2641345E" w14:textId="106213DC" w:rsidR="005B25E4" w:rsidRDefault="00B520D9" w:rsidP="00B520D9">
      <w:pPr>
        <w:rPr>
          <w:lang w:val="en-US"/>
        </w:rPr>
      </w:pPr>
      <w:r>
        <w:rPr>
          <w:noProof/>
          <w:lang w:eastAsia="sv-SE"/>
        </w:rPr>
        <w:drawing>
          <wp:inline distT="0" distB="0" distL="0" distR="0" wp14:anchorId="5278F208" wp14:editId="5675EAEF">
            <wp:extent cx="8891270" cy="4868545"/>
            <wp:effectExtent l="0" t="0" r="5080" b="82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5B25E4" w:rsidSect="00296C44">
      <w:pgSz w:w="16838" w:h="11906" w:orient="landscape"/>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2B79C" w14:textId="77777777" w:rsidR="008F0E19" w:rsidRDefault="008F0E19" w:rsidP="00FA714F">
      <w:pPr>
        <w:spacing w:after="0" w:line="240" w:lineRule="auto"/>
      </w:pPr>
      <w:r>
        <w:separator/>
      </w:r>
    </w:p>
  </w:endnote>
  <w:endnote w:type="continuationSeparator" w:id="0">
    <w:p w14:paraId="5F7CD1B1" w14:textId="77777777" w:rsidR="008F0E19" w:rsidRDefault="008F0E19" w:rsidP="00FA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2D71" w14:textId="77777777" w:rsidR="008F0E19" w:rsidRDefault="008F0E19" w:rsidP="00FA714F">
      <w:pPr>
        <w:spacing w:after="0" w:line="240" w:lineRule="auto"/>
      </w:pPr>
      <w:r>
        <w:separator/>
      </w:r>
    </w:p>
  </w:footnote>
  <w:footnote w:type="continuationSeparator" w:id="0">
    <w:p w14:paraId="1BC075CC" w14:textId="77777777" w:rsidR="008F0E19" w:rsidRDefault="008F0E19" w:rsidP="00FA7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605848D0"/>
    <w:multiLevelType w:val="hybridMultilevel"/>
    <w:tmpl w:val="A35C8D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3" w15:restartNumberingAfterBreak="0">
    <w:nsid w:val="7C993AB0"/>
    <w:multiLevelType w:val="multilevel"/>
    <w:tmpl w:val="5862FF44"/>
    <w:lvl w:ilvl="0">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4A"/>
    <w:rsid w:val="00022D05"/>
    <w:rsid w:val="00026031"/>
    <w:rsid w:val="00033CDB"/>
    <w:rsid w:val="0007040E"/>
    <w:rsid w:val="00076E24"/>
    <w:rsid w:val="0008174C"/>
    <w:rsid w:val="000A349A"/>
    <w:rsid w:val="000A7783"/>
    <w:rsid w:val="000B05AD"/>
    <w:rsid w:val="000E21FE"/>
    <w:rsid w:val="000E29C2"/>
    <w:rsid w:val="000F4F2B"/>
    <w:rsid w:val="001004DA"/>
    <w:rsid w:val="001159A2"/>
    <w:rsid w:val="00182B11"/>
    <w:rsid w:val="001847B3"/>
    <w:rsid w:val="00185F70"/>
    <w:rsid w:val="00196345"/>
    <w:rsid w:val="001B6C2A"/>
    <w:rsid w:val="002124CC"/>
    <w:rsid w:val="0023048C"/>
    <w:rsid w:val="00230AD3"/>
    <w:rsid w:val="002415B4"/>
    <w:rsid w:val="0025629C"/>
    <w:rsid w:val="00274AE7"/>
    <w:rsid w:val="00283DE5"/>
    <w:rsid w:val="0029744D"/>
    <w:rsid w:val="00297BB6"/>
    <w:rsid w:val="002A154F"/>
    <w:rsid w:val="002A20C9"/>
    <w:rsid w:val="002A75D9"/>
    <w:rsid w:val="002B314D"/>
    <w:rsid w:val="002B5627"/>
    <w:rsid w:val="002D5941"/>
    <w:rsid w:val="002E7C2B"/>
    <w:rsid w:val="00313D56"/>
    <w:rsid w:val="00320A86"/>
    <w:rsid w:val="003525CB"/>
    <w:rsid w:val="003903CB"/>
    <w:rsid w:val="00391BBD"/>
    <w:rsid w:val="003A3E1F"/>
    <w:rsid w:val="003B4EC8"/>
    <w:rsid w:val="003D41CB"/>
    <w:rsid w:val="003F591F"/>
    <w:rsid w:val="0047319F"/>
    <w:rsid w:val="004B4465"/>
    <w:rsid w:val="004B4F4F"/>
    <w:rsid w:val="004C6D5A"/>
    <w:rsid w:val="004F42B9"/>
    <w:rsid w:val="00532C45"/>
    <w:rsid w:val="0055392D"/>
    <w:rsid w:val="005648AB"/>
    <w:rsid w:val="005814F2"/>
    <w:rsid w:val="005A66A5"/>
    <w:rsid w:val="005A686D"/>
    <w:rsid w:val="005B0134"/>
    <w:rsid w:val="005B25E4"/>
    <w:rsid w:val="005C3D0F"/>
    <w:rsid w:val="005D44AE"/>
    <w:rsid w:val="005D4882"/>
    <w:rsid w:val="005D603F"/>
    <w:rsid w:val="006236B2"/>
    <w:rsid w:val="00635205"/>
    <w:rsid w:val="006519EE"/>
    <w:rsid w:val="0066654A"/>
    <w:rsid w:val="0067136E"/>
    <w:rsid w:val="006725F7"/>
    <w:rsid w:val="00673838"/>
    <w:rsid w:val="006C60CE"/>
    <w:rsid w:val="006F48F6"/>
    <w:rsid w:val="006F4C96"/>
    <w:rsid w:val="0071449A"/>
    <w:rsid w:val="0074773B"/>
    <w:rsid w:val="007509AE"/>
    <w:rsid w:val="00763574"/>
    <w:rsid w:val="007742CE"/>
    <w:rsid w:val="00776A16"/>
    <w:rsid w:val="007879DC"/>
    <w:rsid w:val="007A1AC7"/>
    <w:rsid w:val="007B083E"/>
    <w:rsid w:val="007C61E8"/>
    <w:rsid w:val="007D2E4A"/>
    <w:rsid w:val="007E3522"/>
    <w:rsid w:val="008232DA"/>
    <w:rsid w:val="008263D6"/>
    <w:rsid w:val="0083015C"/>
    <w:rsid w:val="00843404"/>
    <w:rsid w:val="008575F0"/>
    <w:rsid w:val="008878B4"/>
    <w:rsid w:val="008C0B28"/>
    <w:rsid w:val="008C1799"/>
    <w:rsid w:val="008F0E19"/>
    <w:rsid w:val="008F5969"/>
    <w:rsid w:val="00953174"/>
    <w:rsid w:val="00971974"/>
    <w:rsid w:val="009744A4"/>
    <w:rsid w:val="00991119"/>
    <w:rsid w:val="009B0A28"/>
    <w:rsid w:val="009B4A78"/>
    <w:rsid w:val="009D2438"/>
    <w:rsid w:val="009D37E3"/>
    <w:rsid w:val="009E5594"/>
    <w:rsid w:val="009F1EFD"/>
    <w:rsid w:val="00A212B8"/>
    <w:rsid w:val="00A8036A"/>
    <w:rsid w:val="00A931D2"/>
    <w:rsid w:val="00AA36F8"/>
    <w:rsid w:val="00AA3709"/>
    <w:rsid w:val="00AB36F6"/>
    <w:rsid w:val="00AB3C32"/>
    <w:rsid w:val="00B36DCB"/>
    <w:rsid w:val="00B408BA"/>
    <w:rsid w:val="00B40E44"/>
    <w:rsid w:val="00B40FD8"/>
    <w:rsid w:val="00B520D9"/>
    <w:rsid w:val="00B530DC"/>
    <w:rsid w:val="00B53D65"/>
    <w:rsid w:val="00B56584"/>
    <w:rsid w:val="00B73857"/>
    <w:rsid w:val="00B808A0"/>
    <w:rsid w:val="00B9074A"/>
    <w:rsid w:val="00BB5418"/>
    <w:rsid w:val="00BD6975"/>
    <w:rsid w:val="00BF0A23"/>
    <w:rsid w:val="00C5256C"/>
    <w:rsid w:val="00C64D6E"/>
    <w:rsid w:val="00CD04AE"/>
    <w:rsid w:val="00D01299"/>
    <w:rsid w:val="00D15BE9"/>
    <w:rsid w:val="00D26503"/>
    <w:rsid w:val="00D54907"/>
    <w:rsid w:val="00D735F9"/>
    <w:rsid w:val="00D7481F"/>
    <w:rsid w:val="00D803DC"/>
    <w:rsid w:val="00DC1AD0"/>
    <w:rsid w:val="00DC4CAB"/>
    <w:rsid w:val="00E14A9E"/>
    <w:rsid w:val="00E366FC"/>
    <w:rsid w:val="00E40233"/>
    <w:rsid w:val="00E56F2B"/>
    <w:rsid w:val="00E6160C"/>
    <w:rsid w:val="00EA1A68"/>
    <w:rsid w:val="00EA436D"/>
    <w:rsid w:val="00EA6EA4"/>
    <w:rsid w:val="00EB3210"/>
    <w:rsid w:val="00EB685B"/>
    <w:rsid w:val="00EB7592"/>
    <w:rsid w:val="00ED7CE3"/>
    <w:rsid w:val="00F1392D"/>
    <w:rsid w:val="00F7665D"/>
    <w:rsid w:val="00F962E6"/>
    <w:rsid w:val="00FA714F"/>
    <w:rsid w:val="00FB2117"/>
    <w:rsid w:val="00FC638C"/>
    <w:rsid w:val="00FC71A5"/>
    <w:rsid w:val="00FF00FC"/>
    <w:rsid w:val="00FF0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0CC6"/>
  <w15:chartTrackingRefBased/>
  <w15:docId w15:val="{DC22FE5D-9A35-4D15-B5BE-0BB509AF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54A"/>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39"/>
    <w:rsid w:val="0085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1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14F"/>
  </w:style>
  <w:style w:type="paragraph" w:styleId="Footer">
    <w:name w:val="footer"/>
    <w:basedOn w:val="Normal"/>
    <w:link w:val="FooterChar"/>
    <w:uiPriority w:val="99"/>
    <w:unhideWhenUsed/>
    <w:rsid w:val="00FA71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14F"/>
  </w:style>
  <w:style w:type="paragraph" w:styleId="NoSpacing">
    <w:name w:val="No Spacing"/>
    <w:uiPriority w:val="1"/>
    <w:qFormat/>
    <w:rsid w:val="00FA714F"/>
    <w:pPr>
      <w:spacing w:after="0" w:line="240" w:lineRule="auto"/>
    </w:pPr>
  </w:style>
  <w:style w:type="paragraph" w:styleId="ListParagraph">
    <w:name w:val="List Paragraph"/>
    <w:basedOn w:val="Normal"/>
    <w:uiPriority w:val="34"/>
    <w:qFormat/>
    <w:rsid w:val="00FA714F"/>
    <w:pPr>
      <w:ind w:left="720"/>
      <w:contextualSpacing/>
    </w:pPr>
  </w:style>
  <w:style w:type="character" w:styleId="CommentReference">
    <w:name w:val="annotation reference"/>
    <w:basedOn w:val="DefaultParagraphFont"/>
    <w:uiPriority w:val="99"/>
    <w:semiHidden/>
    <w:unhideWhenUsed/>
    <w:rsid w:val="00182B11"/>
    <w:rPr>
      <w:sz w:val="16"/>
      <w:szCs w:val="16"/>
    </w:rPr>
  </w:style>
  <w:style w:type="paragraph" w:styleId="CommentText">
    <w:name w:val="annotation text"/>
    <w:basedOn w:val="Normal"/>
    <w:link w:val="CommentTextChar"/>
    <w:uiPriority w:val="99"/>
    <w:semiHidden/>
    <w:unhideWhenUsed/>
    <w:rsid w:val="00182B11"/>
    <w:pPr>
      <w:spacing w:line="240" w:lineRule="auto"/>
    </w:pPr>
    <w:rPr>
      <w:sz w:val="20"/>
      <w:szCs w:val="20"/>
    </w:rPr>
  </w:style>
  <w:style w:type="character" w:customStyle="1" w:styleId="CommentTextChar">
    <w:name w:val="Comment Text Char"/>
    <w:basedOn w:val="DefaultParagraphFont"/>
    <w:link w:val="CommentText"/>
    <w:uiPriority w:val="99"/>
    <w:semiHidden/>
    <w:rsid w:val="00182B11"/>
    <w:rPr>
      <w:sz w:val="20"/>
      <w:szCs w:val="20"/>
    </w:rPr>
  </w:style>
  <w:style w:type="paragraph" w:styleId="CommentSubject">
    <w:name w:val="annotation subject"/>
    <w:basedOn w:val="CommentText"/>
    <w:next w:val="CommentText"/>
    <w:link w:val="CommentSubjectChar"/>
    <w:uiPriority w:val="99"/>
    <w:semiHidden/>
    <w:unhideWhenUsed/>
    <w:rsid w:val="00182B11"/>
    <w:rPr>
      <w:b/>
      <w:bCs/>
    </w:rPr>
  </w:style>
  <w:style w:type="character" w:customStyle="1" w:styleId="CommentSubjectChar">
    <w:name w:val="Comment Subject Char"/>
    <w:basedOn w:val="CommentTextChar"/>
    <w:link w:val="CommentSubject"/>
    <w:uiPriority w:val="99"/>
    <w:semiHidden/>
    <w:rsid w:val="00182B11"/>
    <w:rPr>
      <w:b/>
      <w:bCs/>
      <w:sz w:val="20"/>
      <w:szCs w:val="20"/>
    </w:rPr>
  </w:style>
  <w:style w:type="paragraph" w:styleId="BalloonText">
    <w:name w:val="Balloon Text"/>
    <w:basedOn w:val="Normal"/>
    <w:link w:val="BalloonTextChar"/>
    <w:uiPriority w:val="99"/>
    <w:semiHidden/>
    <w:unhideWhenUsed/>
    <w:rsid w:val="00182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70608">
      <w:bodyDiv w:val="1"/>
      <w:marLeft w:val="0"/>
      <w:marRight w:val="0"/>
      <w:marTop w:val="0"/>
      <w:marBottom w:val="0"/>
      <w:divBdr>
        <w:top w:val="none" w:sz="0" w:space="0" w:color="auto"/>
        <w:left w:val="none" w:sz="0" w:space="0" w:color="auto"/>
        <w:bottom w:val="none" w:sz="0" w:space="0" w:color="auto"/>
        <w:right w:val="none" w:sz="0" w:space="0" w:color="auto"/>
      </w:divBdr>
      <w:divsChild>
        <w:div w:id="1226985202">
          <w:marLeft w:val="0"/>
          <w:marRight w:val="0"/>
          <w:marTop w:val="0"/>
          <w:marBottom w:val="0"/>
          <w:divBdr>
            <w:top w:val="none" w:sz="0" w:space="0" w:color="auto"/>
            <w:left w:val="none" w:sz="0" w:space="0" w:color="auto"/>
            <w:bottom w:val="none" w:sz="0" w:space="0" w:color="auto"/>
            <w:right w:val="none" w:sz="0" w:space="0" w:color="auto"/>
          </w:divBdr>
        </w:div>
        <w:div w:id="905914779">
          <w:marLeft w:val="0"/>
          <w:marRight w:val="0"/>
          <w:marTop w:val="0"/>
          <w:marBottom w:val="0"/>
          <w:divBdr>
            <w:top w:val="none" w:sz="0" w:space="0" w:color="auto"/>
            <w:left w:val="none" w:sz="0" w:space="0" w:color="auto"/>
            <w:bottom w:val="none" w:sz="0" w:space="0" w:color="auto"/>
            <w:right w:val="none" w:sz="0" w:space="0" w:color="auto"/>
          </w:divBdr>
        </w:div>
        <w:div w:id="1168253080">
          <w:marLeft w:val="0"/>
          <w:marRight w:val="0"/>
          <w:marTop w:val="0"/>
          <w:marBottom w:val="0"/>
          <w:divBdr>
            <w:top w:val="none" w:sz="0" w:space="0" w:color="auto"/>
            <w:left w:val="none" w:sz="0" w:space="0" w:color="auto"/>
            <w:bottom w:val="none" w:sz="0" w:space="0" w:color="auto"/>
            <w:right w:val="none" w:sz="0" w:space="0" w:color="auto"/>
          </w:divBdr>
        </w:div>
        <w:div w:id="1837770832">
          <w:marLeft w:val="0"/>
          <w:marRight w:val="0"/>
          <w:marTop w:val="0"/>
          <w:marBottom w:val="0"/>
          <w:divBdr>
            <w:top w:val="none" w:sz="0" w:space="0" w:color="auto"/>
            <w:left w:val="none" w:sz="0" w:space="0" w:color="auto"/>
            <w:bottom w:val="none" w:sz="0" w:space="0" w:color="auto"/>
            <w:right w:val="none" w:sz="0" w:space="0" w:color="auto"/>
          </w:divBdr>
        </w:div>
        <w:div w:id="660962202">
          <w:marLeft w:val="0"/>
          <w:marRight w:val="0"/>
          <w:marTop w:val="0"/>
          <w:marBottom w:val="0"/>
          <w:divBdr>
            <w:top w:val="none" w:sz="0" w:space="0" w:color="auto"/>
            <w:left w:val="none" w:sz="0" w:space="0" w:color="auto"/>
            <w:bottom w:val="none" w:sz="0" w:space="0" w:color="auto"/>
            <w:right w:val="none" w:sz="0" w:space="0" w:color="auto"/>
          </w:divBdr>
        </w:div>
        <w:div w:id="158276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Statistiker\HenrikO\KrimMed\GRS\AUD\Figures210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643745153590375E-2"/>
          <c:y val="6.3178557408411926E-2"/>
          <c:w val="0.91969665823469759"/>
          <c:h val="0.7307471457434504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5CD8-4A61-B576-7C9EFEF13789}"/>
              </c:ext>
            </c:extLst>
          </c:dPt>
          <c:dPt>
            <c:idx val="1"/>
            <c:invertIfNegative val="0"/>
            <c:bubble3D val="0"/>
            <c:spPr>
              <a:solidFill>
                <a:srgbClr val="C00000"/>
              </a:solidFill>
              <a:ln>
                <a:noFill/>
              </a:ln>
              <a:effectLst/>
            </c:spPr>
            <c:extLst>
              <c:ext xmlns:c16="http://schemas.microsoft.com/office/drawing/2014/chart" uri="{C3380CC4-5D6E-409C-BE32-E72D297353CC}">
                <c16:uniqueId val="{00000003-5CD8-4A61-B576-7C9EFEF13789}"/>
              </c:ext>
            </c:extLst>
          </c:dPt>
          <c:dPt>
            <c:idx val="3"/>
            <c:invertIfNegative val="0"/>
            <c:bubble3D val="0"/>
            <c:spPr>
              <a:solidFill>
                <a:srgbClr val="C00000"/>
              </a:solidFill>
              <a:ln>
                <a:noFill/>
              </a:ln>
              <a:effectLst/>
            </c:spPr>
            <c:extLst>
              <c:ext xmlns:c16="http://schemas.microsoft.com/office/drawing/2014/chart" uri="{C3380CC4-5D6E-409C-BE32-E72D297353CC}">
                <c16:uniqueId val="{00000005-5CD8-4A61-B576-7C9EFEF13789}"/>
              </c:ext>
            </c:extLst>
          </c:dPt>
          <c:dPt>
            <c:idx val="4"/>
            <c:invertIfNegative val="0"/>
            <c:bubble3D val="0"/>
            <c:spPr>
              <a:solidFill>
                <a:srgbClr val="C00000"/>
              </a:solidFill>
              <a:ln>
                <a:noFill/>
              </a:ln>
              <a:effectLst/>
            </c:spPr>
            <c:extLst>
              <c:ext xmlns:c16="http://schemas.microsoft.com/office/drawing/2014/chart" uri="{C3380CC4-5D6E-409C-BE32-E72D297353CC}">
                <c16:uniqueId val="{00000007-5CD8-4A61-B576-7C9EFEF13789}"/>
              </c:ext>
            </c:extLst>
          </c:dPt>
          <c:errBars>
            <c:errBarType val="both"/>
            <c:errValType val="cust"/>
            <c:noEndCap val="0"/>
            <c:plus>
              <c:numRef>
                <c:f>GEO!$I$28:$I$59</c:f>
                <c:numCache>
                  <c:formatCode>General</c:formatCode>
                  <c:ptCount val="32"/>
                  <c:pt idx="0">
                    <c:v>8.6965999999999433E-3</c:v>
                  </c:pt>
                  <c:pt idx="1">
                    <c:v>5.2008000000000054E-3</c:v>
                  </c:pt>
                  <c:pt idx="3">
                    <c:v>5.4976999999999943E-3</c:v>
                  </c:pt>
                  <c:pt idx="4">
                    <c:v>7.630899999999996E-3</c:v>
                  </c:pt>
                </c:numCache>
              </c:numRef>
            </c:plus>
            <c:minus>
              <c:numRef>
                <c:f>GEO!$I$28:$I$59</c:f>
                <c:numCache>
                  <c:formatCode>General</c:formatCode>
                  <c:ptCount val="32"/>
                  <c:pt idx="0">
                    <c:v>8.6965999999999433E-3</c:v>
                  </c:pt>
                  <c:pt idx="1">
                    <c:v>5.2008000000000054E-3</c:v>
                  </c:pt>
                  <c:pt idx="3">
                    <c:v>5.4976999999999943E-3</c:v>
                  </c:pt>
                  <c:pt idx="4">
                    <c:v>7.630899999999996E-3</c:v>
                  </c:pt>
                </c:numCache>
              </c:numRef>
            </c:minus>
            <c:spPr>
              <a:noFill/>
              <a:ln w="9525" cap="flat" cmpd="sng" algn="ctr">
                <a:solidFill>
                  <a:schemeClr val="tx1">
                    <a:lumMod val="65000"/>
                    <a:lumOff val="35000"/>
                  </a:schemeClr>
                </a:solidFill>
                <a:round/>
              </a:ln>
              <a:effectLst/>
            </c:spPr>
          </c:errBars>
          <c:cat>
            <c:multiLvlStrRef>
              <c:f>GEO!$A$28:$D$32</c:f>
              <c:multiLvlStrCache>
                <c:ptCount val="5"/>
                <c:lvl>
                  <c:pt idx="0">
                    <c:v>North</c:v>
                  </c:pt>
                  <c:pt idx="1">
                    <c:v>South</c:v>
                  </c:pt>
                  <c:pt idx="3">
                    <c:v>Old</c:v>
                  </c:pt>
                  <c:pt idx="4">
                    <c:v>Young</c:v>
                  </c:pt>
                </c:lvl>
                <c:lvl>
                  <c:pt idx="0">
                    <c:v>Difference:  -0.016</c:v>
                  </c:pt>
                  <c:pt idx="3">
                    <c:v>Difference:  0.099</c:v>
                  </c:pt>
                </c:lvl>
                <c:lvl>
                  <c:pt idx="0">
                    <c:v>P: 0.002</c:v>
                  </c:pt>
                  <c:pt idx="2">
                    <c:v> </c:v>
                  </c:pt>
                  <c:pt idx="3">
                    <c:v>P:&lt;.0001</c:v>
                  </c:pt>
                </c:lvl>
              </c:multiLvlStrCache>
            </c:multiLvlStrRef>
          </c:cat>
          <c:val>
            <c:numRef>
              <c:f>GEO!$E$28:$E$32</c:f>
              <c:numCache>
                <c:formatCode>0.00</c:formatCode>
                <c:ptCount val="5"/>
                <c:pt idx="0">
                  <c:v>0.54417760000000004</c:v>
                </c:pt>
                <c:pt idx="1">
                  <c:v>0.52784379999999997</c:v>
                </c:pt>
                <c:pt idx="3">
                  <c:v>0.49896109999999999</c:v>
                </c:pt>
                <c:pt idx="4">
                  <c:v>0.59771099999999999</c:v>
                </c:pt>
              </c:numCache>
            </c:numRef>
          </c:val>
          <c:extLst>
            <c:ext xmlns:c16="http://schemas.microsoft.com/office/drawing/2014/chart" uri="{C3380CC4-5D6E-409C-BE32-E72D297353CC}">
              <c16:uniqueId val="{00000008-5CD8-4A61-B576-7C9EFEF13789}"/>
            </c:ext>
          </c:extLst>
        </c:ser>
        <c:dLbls>
          <c:showLegendKey val="0"/>
          <c:showVal val="0"/>
          <c:showCatName val="0"/>
          <c:showSerName val="0"/>
          <c:showPercent val="0"/>
          <c:showBubbleSize val="0"/>
        </c:dLbls>
        <c:gapWidth val="10"/>
        <c:overlap val="-35"/>
        <c:axId val="758034912"/>
        <c:axId val="758036160"/>
      </c:barChart>
      <c:catAx>
        <c:axId val="758034912"/>
        <c:scaling>
          <c:orientation val="minMax"/>
        </c:scaling>
        <c:delete val="0"/>
        <c:axPos val="b"/>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758036160"/>
        <c:crosses val="autoZero"/>
        <c:auto val="1"/>
        <c:lblAlgn val="ctr"/>
        <c:lblOffset val="100"/>
        <c:noMultiLvlLbl val="0"/>
      </c:catAx>
      <c:valAx>
        <c:axId val="75803616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Mean Genetic Risk Score</a:t>
                </a:r>
              </a:p>
            </c:rich>
          </c:tx>
          <c:layout>
            <c:manualLayout>
              <c:xMode val="edge"/>
              <c:yMode val="edge"/>
              <c:x val="4.8421654049421517E-3"/>
              <c:y val="0.31505614100311286"/>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5803491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Ohlsson</dc:creator>
  <cp:keywords/>
  <dc:description/>
  <cp:lastModifiedBy>Kenneth Kendler</cp:lastModifiedBy>
  <cp:revision>13</cp:revision>
  <dcterms:created xsi:type="dcterms:W3CDTF">2021-03-17T10:09:00Z</dcterms:created>
  <dcterms:modified xsi:type="dcterms:W3CDTF">2021-07-09T10:31:00Z</dcterms:modified>
</cp:coreProperties>
</file>