
<file path=[Content_Types].xml><?xml version="1.0" encoding="utf-8"?>
<Types xmlns="http://schemas.openxmlformats.org/package/2006/content-types">
  <Default Extension="xml" ContentType="application/xml"/>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LineNumbers/>
        <w:spacing w:before="156" w:beforeLines="50" w:line="480" w:lineRule="auto"/>
        <w:jc w:val="center"/>
        <w:rPr>
          <w:rFonts w:cs="Times New Roman"/>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A</w:t>
      </w:r>
      <w:r>
        <w:rPr>
          <w:b/>
          <w:bCs/>
          <w:color w:val="000000" w:themeColor="text1"/>
          <w:sz w:val="28"/>
          <w:szCs w:val="28"/>
          <w:lang w:val="en-GB"/>
          <w14:textFill>
            <w14:solidFill>
              <w14:schemeClr w14:val="tx1"/>
            </w14:solidFill>
          </w14:textFill>
        </w:rPr>
        <w:t>berrant global and local dynamic properties</w:t>
      </w:r>
      <w:r>
        <w:rPr>
          <w:rFonts w:cs="Times New Roman"/>
          <w:b/>
          <w:bCs/>
          <w:color w:val="000000" w:themeColor="text1"/>
          <w:sz w:val="28"/>
          <w:szCs w:val="28"/>
          <w14:textFill>
            <w14:solidFill>
              <w14:schemeClr w14:val="tx1"/>
            </w14:solidFill>
          </w14:textFill>
        </w:rPr>
        <w:t xml:space="preserve"> in Schizophrenia with instantaneous phase method based on Hilbert </w:t>
      </w:r>
      <w:r>
        <w:rPr>
          <w:rFonts w:hint="eastAsia" w:cs="Times New Roman"/>
          <w:b/>
          <w:bCs/>
          <w:color w:val="000000" w:themeColor="text1"/>
          <w:sz w:val="28"/>
          <w:szCs w:val="28"/>
          <w14:textFill>
            <w14:solidFill>
              <w14:schemeClr w14:val="tx1"/>
            </w14:solidFill>
          </w14:textFill>
        </w:rPr>
        <w:t>t</w:t>
      </w:r>
      <w:r>
        <w:rPr>
          <w:rFonts w:cs="Times New Roman"/>
          <w:b/>
          <w:bCs/>
          <w:color w:val="000000" w:themeColor="text1"/>
          <w:sz w:val="28"/>
          <w:szCs w:val="28"/>
          <w14:textFill>
            <w14:solidFill>
              <w14:schemeClr w14:val="tx1"/>
            </w14:solidFill>
          </w14:textFill>
        </w:rPr>
        <w:t>ransform</w:t>
      </w:r>
    </w:p>
    <w:p>
      <w:pPr>
        <w:suppressLineNumbers/>
        <w:spacing w:line="480" w:lineRule="auto"/>
        <w:rPr>
          <w:color w:val="000000" w:themeColor="text1"/>
          <w:szCs w:val="22"/>
          <w14:textFill>
            <w14:solidFill>
              <w14:schemeClr w14:val="tx1"/>
            </w14:solidFill>
          </w14:textFill>
        </w:rPr>
      </w:pPr>
    </w:p>
    <w:p>
      <w:pPr>
        <w:suppressLineNumbers/>
        <w:spacing w:line="480" w:lineRule="auto"/>
        <w:jc w:val="center"/>
        <w:rPr>
          <w:rFonts w:cs="Times New Roman"/>
          <w:b/>
          <w:bCs/>
          <w:color w:val="000000" w:themeColor="text1"/>
          <w:sz w:val="24"/>
          <w14:textFill>
            <w14:solidFill>
              <w14:schemeClr w14:val="tx1"/>
            </w14:solidFill>
          </w14:textFill>
        </w:rPr>
      </w:pPr>
      <w:r>
        <w:rPr>
          <w:rFonts w:hint="eastAsia" w:cs="Times New Roman"/>
          <w:b/>
          <w:bCs/>
          <w:color w:val="000000" w:themeColor="text1"/>
          <w:sz w:val="24"/>
          <w14:textFill>
            <w14:solidFill>
              <w14:schemeClr w14:val="tx1"/>
            </w14:solidFill>
          </w14:textFill>
        </w:rPr>
        <w:t>Supplementary</w:t>
      </w:r>
      <w:r>
        <w:rPr>
          <w:rFonts w:cs="Times New Roman"/>
          <w:b/>
          <w:bCs/>
          <w:color w:val="000000" w:themeColor="text1"/>
          <w:sz w:val="24"/>
          <w14:textFill>
            <w14:solidFill>
              <w14:schemeClr w14:val="tx1"/>
            </w14:solidFill>
          </w14:textFill>
        </w:rPr>
        <w:t xml:space="preserve"> materials</w:t>
      </w:r>
    </w:p>
    <w:sdt>
      <w:sdtPr>
        <w:rPr>
          <w:rFonts w:ascii="宋体" w:hAnsi="宋体" w:eastAsia="宋体"/>
          <w:color w:val="000000" w:themeColor="text1"/>
          <w:sz w:val="21"/>
          <w14:textFill>
            <w14:solidFill>
              <w14:schemeClr w14:val="tx1"/>
            </w14:solidFill>
          </w14:textFill>
        </w:rPr>
        <w:id w:val="147481059"/>
        <w15:color w:val="DBDBDB"/>
        <w:docPartObj>
          <w:docPartGallery w:val="Table of Contents"/>
          <w:docPartUnique/>
        </w:docPartObj>
      </w:sdtPr>
      <w:sdtEndPr>
        <w:rPr>
          <w:rFonts w:ascii="宋体" w:hAnsi="宋体" w:eastAsia="宋体"/>
          <w:color w:val="000000" w:themeColor="text1"/>
          <w:sz w:val="21"/>
          <w14:textFill>
            <w14:solidFill>
              <w14:schemeClr w14:val="tx1"/>
            </w14:solidFill>
          </w14:textFill>
        </w:rPr>
      </w:sdtEndPr>
      <w:sdtContent>
        <w:p>
          <w:pPr>
            <w:suppressLineNumbers/>
            <w:spacing w:line="480" w:lineRule="auto"/>
            <w:jc w:val="center"/>
            <w:rPr>
              <w:color w:val="000000" w:themeColor="text1"/>
              <w14:textFill>
                <w14:solidFill>
                  <w14:schemeClr w14:val="tx1"/>
                </w14:solidFill>
              </w14:textFill>
            </w:rPr>
          </w:pP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"1-3" \h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"_Toc1937" </w:instrText>
          </w:r>
          <w:r>
            <w:rPr>
              <w:color w:val="000000" w:themeColor="text1"/>
              <w14:textFill>
                <w14:solidFill>
                  <w14:schemeClr w14:val="tx1"/>
                </w14:solidFill>
              </w14:textFill>
            </w:rPr>
            <w:fldChar w:fldCharType="separate"/>
          </w:r>
          <w:r>
            <w:rPr>
              <w:rFonts w:hint="eastAsia"/>
              <w:b/>
              <w:bCs/>
              <w:color w:val="000000" w:themeColor="text1"/>
              <w:sz w:val="28"/>
              <w:szCs w:val="28"/>
              <w14:textFill>
                <w14:solidFill>
                  <w14:schemeClr w14:val="tx1"/>
                </w14:solidFill>
              </w14:textFill>
            </w:rPr>
            <w:t>Contents</w:t>
          </w:r>
          <w:r>
            <w:rPr>
              <w:rFonts w:hint="eastAsia"/>
              <w:b/>
              <w:bCs/>
              <w:color w:val="000000" w:themeColor="text1"/>
              <w:sz w:val="28"/>
              <w:szCs w:val="28"/>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"_Toc9819"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Participants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"_Toc9819"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Data </w:t>
          </w:r>
          <w:r>
            <w:rPr>
              <w:rFonts w:hint="eastAsia"/>
              <w:color w:val="000000" w:themeColor="text1"/>
              <w14:textFill>
                <w14:solidFill>
                  <w14:schemeClr w14:val="tx1"/>
                </w14:solidFill>
              </w14:textFill>
            </w:rPr>
            <w:t>P</w:t>
          </w:r>
          <w:r>
            <w:rPr>
              <w:color w:val="000000" w:themeColor="text1"/>
              <w14:textFill>
                <w14:solidFill>
                  <w14:schemeClr w14:val="tx1"/>
                </w14:solidFill>
              </w14:textFill>
            </w:rPr>
            <w:t>reprocessing</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Index of Global Synchrony</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"_Toc6385"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Kolmogorov-Smirnov Test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Validation of Threshold in Global Synchrony</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"_Toc22974"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5</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Validation of Threshold in Global Synchrony</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"_Toc15530"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6</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Index of Intertemporal Closeness</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"_Toc15530"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7</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Validity of Intertemporal Closeness</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"_Toc27617"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"_Toc15991" </w:instrText>
          </w:r>
          <w:r>
            <w:rPr>
              <w:color w:val="000000" w:themeColor="text1"/>
              <w14:textFill>
                <w14:solidFill>
                  <w14:schemeClr w14:val="tx1"/>
                </w14:solidFill>
              </w14:textFill>
            </w:rPr>
            <w:fldChar w:fldCharType="separate"/>
          </w:r>
          <w:r>
            <w:rPr>
              <w:rFonts w:hint="eastAsia" w:cs="Times New Roman"/>
              <w:color w:val="000000" w:themeColor="text1"/>
              <w:szCs w:val="22"/>
              <w14:textFill>
                <w14:solidFill>
                  <w14:schemeClr w14:val="tx1"/>
                </w14:solidFill>
              </w14:textFill>
            </w:rPr>
            <w:t>Definition of the Dynamic Local Features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9</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"_Toc11637"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Network-Based Statistics Method</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0</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Study of Frequency Band</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"_Toc21998"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Support Vector Machine Modelling: Methods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"_Toc16152"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Support Vector Machine Modelling: Results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5</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"_Toc16152" </w:instrText>
          </w:r>
          <w:r>
            <w:rPr>
              <w:color w:val="000000" w:themeColor="text1"/>
              <w14:textFill>
                <w14:solidFill>
                  <w14:schemeClr w14:val="tx1"/>
                </w14:solidFill>
              </w14:textFill>
            </w:rPr>
            <w:fldChar w:fldCharType="separate"/>
          </w:r>
          <w:r>
            <w:rPr>
              <w:rFonts w:cs="Times New Roman"/>
              <w:color w:val="000000" w:themeColor="text1"/>
              <w:szCs w:val="22"/>
              <w14:textFill>
                <w14:solidFill>
                  <w14:schemeClr w14:val="tx1"/>
                </w14:solidFill>
              </w14:textFill>
            </w:rPr>
            <w:t xml:space="preserve">Results of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7</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"_Toc16152" </w:instrText>
          </w:r>
          <w:r>
            <w:rPr>
              <w:color w:val="000000" w:themeColor="text1"/>
              <w14:textFill>
                <w14:solidFill>
                  <w14:schemeClr w14:val="tx1"/>
                </w14:solidFill>
              </w14:textFill>
            </w:rPr>
            <w:fldChar w:fldCharType="separate"/>
          </w:r>
          <w:r>
            <w:rPr>
              <w:rFonts w:cs="Times New Roman"/>
              <w:color w:val="000000" w:themeColor="text1"/>
              <w:szCs w:val="22"/>
              <w14:textFill>
                <w14:solidFill>
                  <w14:schemeClr w14:val="tx1"/>
                </w14:solidFill>
              </w14:textFill>
            </w:rPr>
            <w:t xml:space="preserve">Results of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rFonts w:hint="eastAsia" w:cs="Times New Roman"/>
              <w:color w:val="000000" w:themeColor="text1"/>
              <w:szCs w:val="22"/>
              <w14:textFill>
                <w14:solidFill>
                  <w14:schemeClr w14:val="tx1"/>
                </w14:solidFill>
              </w14:textFill>
            </w:rPr>
            <w:t xml:space="preserve"> when Taking Age and Gender as Covariates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"_Toc834"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Figure S1. </w:t>
          </w:r>
          <w:r>
            <w:rPr>
              <w:color w:val="000000" w:themeColor="text1"/>
              <w14:textFill>
                <w14:solidFill>
                  <w14:schemeClr w14:val="tx1"/>
                </w14:solidFill>
              </w14:textFill>
            </w:rPr>
            <w:t xml:space="preserve">ICM analysis chart of </w:t>
          </w:r>
          <w:r>
            <w:rPr>
              <w:rFonts w:hint="eastAsia"/>
              <w:color w:val="000000" w:themeColor="text1"/>
              <w14:textFill>
                <w14:solidFill>
                  <w14:schemeClr w14:val="tx1"/>
                </w14:solidFill>
              </w14:textFill>
            </w:rPr>
            <w:t>the COBRE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"_Toc24343"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Figure S2. </w:t>
          </w:r>
          <w:r>
            <w:rPr>
              <w:color w:val="000000" w:themeColor="text1"/>
              <w14:textFill>
                <w14:solidFill>
                  <w14:schemeClr w14:val="tx1"/>
                </w14:solidFill>
              </w14:textFill>
            </w:rPr>
            <w:t xml:space="preserve">ICM analysis chart of </w:t>
          </w:r>
          <w:r>
            <w:rPr>
              <w:rFonts w:hint="eastAsia"/>
              <w:color w:val="000000" w:themeColor="text1"/>
              <w14:textFill>
                <w14:solidFill>
                  <w14:schemeClr w14:val="tx1"/>
                </w14:solidFill>
              </w14:textFill>
            </w:rPr>
            <w:t>the OpenfMRI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2</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"_Toc24343"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Figure S3. </w:t>
          </w:r>
          <w:r>
            <w:rPr>
              <w:rFonts w:hint="eastAsia" w:cs="Times New Roman"/>
              <w:color w:val="000000" w:themeColor="text1"/>
              <w:szCs w:val="22"/>
              <w14:textFill>
                <w14:solidFill>
                  <w14:schemeClr w14:val="tx1"/>
                </w14:solidFill>
              </w14:textFill>
            </w:rPr>
            <w:t xml:space="preserve">Averaged posterior probability intervals of the balanced accuracy (based on the </w:t>
          </w:r>
          <w:r>
            <w:rPr>
              <w:rFonts w:hint="eastAsia"/>
              <w:color w:val="000000" w:themeColor="text1"/>
              <w14:textFill>
                <w14:solidFill>
                  <w14:schemeClr w14:val="tx1"/>
                </w14:solidFill>
              </w14:textFill>
            </w:rPr>
            <w:t>discovery dataset</w:t>
          </w:r>
          <w:r>
            <w:rPr>
              <w:rFonts w:hint="eastAsia" w:cs="Times New Roman"/>
              <w:color w:val="000000" w:themeColor="text1"/>
              <w:szCs w:val="22"/>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"_Toc25440"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Figure S4. </w:t>
          </w:r>
          <w:r>
            <w:rPr>
              <w:color w:val="000000" w:themeColor="text1"/>
              <w14:textFill>
                <w14:solidFill>
                  <w14:schemeClr w14:val="tx1"/>
                </w14:solidFill>
              </w14:textFill>
            </w:rPr>
            <w:t xml:space="preserve">Significantly decreased connections </w:t>
          </w:r>
          <w:r>
            <w:rPr>
              <w:rFonts w:hint="eastAsia"/>
              <w:color w:val="000000" w:themeColor="text1"/>
              <w14:textFill>
                <w14:solidFill>
                  <w14:schemeClr w14:val="tx1"/>
                </w14:solidFill>
              </w14:textFill>
            </w:rPr>
            <w:t xml:space="preserve">(the strength of FC) </w:t>
          </w:r>
          <w:r>
            <w:rPr>
              <w:color w:val="000000" w:themeColor="text1"/>
              <w14:textFill>
                <w14:solidFill>
                  <w14:schemeClr w14:val="tx1"/>
                </w14:solidFill>
              </w14:textFill>
            </w:rPr>
            <w:t xml:space="preserve">in </w:t>
          </w:r>
          <w:r>
            <w:rPr>
              <w:rFonts w:hint="eastAsia"/>
              <w:color w:val="000000" w:themeColor="text1"/>
              <w14:textFill>
                <w14:solidFill>
                  <w14:schemeClr w14:val="tx1"/>
                </w14:solidFill>
              </w14:textFill>
            </w:rPr>
            <w:t>dynamic brain networks</w:t>
          </w:r>
          <w:r>
            <w:rPr>
              <w:color w:val="000000" w:themeColor="text1"/>
              <w14:textFill>
                <w14:solidFill>
                  <w14:schemeClr w14:val="tx1"/>
                </w14:solidFill>
              </w14:textFill>
            </w:rPr>
            <w:t xml:space="preserve"> analysis using the sliding-window approach (</w:t>
          </w:r>
          <w:r>
            <w:rPr>
              <w:rFonts w:hint="eastAsia"/>
              <w:color w:val="000000" w:themeColor="text1"/>
              <w14:textFill>
                <w14:solidFill>
                  <w14:schemeClr w14:val="tx1"/>
                </w14:solidFill>
              </w14:textFill>
            </w:rPr>
            <w:t>SZ</w:t>
          </w:r>
          <w:r>
            <w:rPr>
              <w:color w:val="000000" w:themeColor="text1"/>
              <w14:textFill>
                <w14:solidFill>
                  <w14:schemeClr w14:val="tx1"/>
                </w14:solidFill>
              </w14:textFill>
            </w:rPr>
            <w:t xml:space="preserve"> vs HC)</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4</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"_Toc25477"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Figure S5. The validation of threshold in global synchrony</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5</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"_Toc25477"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Figure S6. </w:t>
          </w:r>
          <w:r>
            <w:rPr>
              <w:rFonts w:hint="eastAsia" w:cs="Times New Roman"/>
              <w:color w:val="000000" w:themeColor="text1"/>
              <w:sz w:val="20"/>
              <w:szCs w:val="20"/>
              <w14:textFill>
                <w14:solidFill>
                  <w14:schemeClr w14:val="tx1"/>
                </w14:solidFill>
              </w14:textFill>
            </w:rPr>
            <w:t>The</w:t>
          </w:r>
          <w:r>
            <w:rPr>
              <w:color w:val="000000" w:themeColor="text1"/>
              <w:szCs w:val="22"/>
              <w14:textFill>
                <w14:solidFill>
                  <w14:schemeClr w14:val="tx1"/>
                </w14:solidFill>
              </w14:textFill>
            </w:rPr>
            <w:t xml:space="preserve"> results of the</w:t>
          </w:r>
          <w:r>
            <w:rPr>
              <w:rFonts w:hint="eastAsia"/>
              <w:color w:val="000000" w:themeColor="text1"/>
              <w:szCs w:val="22"/>
              <w14:textFill>
                <w14:solidFill>
                  <w14:schemeClr w14:val="tx1"/>
                </w14:solidFill>
              </w14:textFill>
            </w:rPr>
            <w:t xml:space="preserve"> aberrant </w:t>
          </w:r>
          <w:r>
            <w:rPr>
              <w:color w:val="000000" w:themeColor="text1"/>
              <w:szCs w:val="22"/>
              <w14:textFill>
                <w14:solidFill>
                  <w14:schemeClr w14:val="tx1"/>
                </w14:solidFill>
              </w14:textFill>
            </w:rPr>
            <w:t xml:space="preserve">local dynamic properties in </w:t>
          </w:r>
          <w:r>
            <w:rPr>
              <w:rFonts w:hint="eastAsia"/>
              <w:color w:val="000000" w:themeColor="text1"/>
              <w:szCs w:val="22"/>
              <w14:textFill>
                <w14:solidFill>
                  <w14:schemeClr w14:val="tx1"/>
                </w14:solidFill>
              </w14:textFill>
            </w:rPr>
            <w:t>sFC and vFC (regressed the effects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6</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"_Toc16666"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Table S1. </w:t>
          </w:r>
          <w:r>
            <w:rPr>
              <w:rFonts w:hint="eastAsia"/>
              <w:color w:val="000000" w:themeColor="text1"/>
              <w:szCs w:val="22"/>
              <w14:textFill>
                <w14:solidFill>
                  <w14:schemeClr w14:val="tx1"/>
                </w14:solidFill>
              </w14:textFill>
            </w:rPr>
            <w:t>Local alteration of brain networks for OpenfMRI dataset (schizophrenia patients VS healthy controls)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7</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"_Toc25149"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Table S2. </w:t>
          </w:r>
          <w:r>
            <w:rPr>
              <w:rFonts w:hint="eastAsia"/>
              <w:color w:val="000000" w:themeColor="text1"/>
              <w:szCs w:val="22"/>
              <w14:textFill>
                <w14:solidFill>
                  <w14:schemeClr w14:val="tx1"/>
                </w14:solidFill>
              </w14:textFill>
            </w:rPr>
            <w:t xml:space="preserve">SVM classification performances with different classification features in the </w:t>
          </w:r>
          <w:r>
            <w:rPr>
              <w:rFonts w:hint="eastAsia"/>
              <w:color w:val="000000" w:themeColor="text1"/>
              <w14:textFill>
                <w14:solidFill>
                  <w14:schemeClr w14:val="tx1"/>
                </w14:solidFill>
              </w14:textFill>
            </w:rPr>
            <w:t>discovery</w:t>
          </w:r>
          <w:r>
            <w:rPr>
              <w:rFonts w:hint="eastAsia"/>
              <w:color w:val="000000" w:themeColor="text1"/>
              <w:szCs w:val="22"/>
              <w14:textFill>
                <w14:solidFill>
                  <w14:schemeClr w14:val="tx1"/>
                </w14:solidFill>
              </w14:textFill>
            </w:rPr>
            <w:t xml:space="preserve">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"_Toc11228"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Table S3. </w:t>
          </w:r>
          <w:r>
            <w:rPr>
              <w:rFonts w:hint="eastAsia"/>
              <w:color w:val="000000" w:themeColor="text1"/>
              <w:szCs w:val="22"/>
              <w14:textFill>
                <w14:solidFill>
                  <w14:schemeClr w14:val="tx1"/>
                </w14:solidFill>
              </w14:textFill>
            </w:rPr>
            <w:t>Local alteration of brain networks in the strength of FC (sFC) based on the sliding-window approach (schizophrenia patients VS healthy controls)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9</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"_Toc16666"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Table S4. Local alteration of brain networks for COBRE dataset (after regressing out the covariate effect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0</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"_Toc16666"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Table S5. Local alteration of brain networks for OpenfMRI dataset (after regressing out the covariate effect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"_Toc15986"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References</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32</w:t>
          </w:r>
        </w:p>
        <w:p>
          <w:pPr>
            <w:suppressLineNumbers/>
            <w:spacing w:line="480" w:lineRule="auto"/>
            <w:rPr>
              <w:rFonts w:cs="Times New Roman"/>
              <w:b/>
              <w:bCs/>
              <w:color w:val="000000" w:themeColor="text1"/>
              <w:szCs w:val="22"/>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color w:val="000000" w:themeColor="text1"/>
              <w14:textFill>
                <w14:solidFill>
                  <w14:schemeClr w14:val="tx1"/>
                </w14:solidFill>
              </w14:textFill>
            </w:rPr>
            <w:fldChar w:fldCharType="end"/>
          </w:r>
        </w:p>
      </w:sdtContent>
    </w:sdt>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Participants</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Two independent datasets were included in the current study to validate the reproducibility of our findings.</w:t>
      </w:r>
    </w:p>
    <w:p>
      <w:pPr>
        <w:spacing w:line="480" w:lineRule="auto"/>
        <w:rPr>
          <w:rFonts w:eastAsia="宋体"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Dataset 1 comes from a publicly available dataset (the Center for Biomedical Research Excellence, COBRE), MRI data</w:t>
      </w:r>
      <w:r>
        <w:rPr>
          <w:rFonts w:hint="eastAsia" w:cs="Times New Roman"/>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w:t>
      </w:r>
      <w:r>
        <w:rPr>
          <w:rFonts w:hint="eastAsia"/>
          <w:color w:val="000000" w:themeColor="text1"/>
          <w:szCs w:val="22"/>
          <w14:textFill>
            <w14:solidFill>
              <w14:schemeClr w14:val="tx1"/>
            </w14:solidFill>
          </w14:textFill>
        </w:rPr>
        <w:t>ere</w:t>
      </w:r>
      <w:r>
        <w:rPr>
          <w:color w:val="000000" w:themeColor="text1"/>
          <w:szCs w:val="22"/>
          <w14:textFill>
            <w14:solidFill>
              <w14:schemeClr w14:val="tx1"/>
            </w14:solidFill>
          </w14:textFill>
        </w:rPr>
        <w:t xml:space="preserve"> acquired with a 3-Tesla Siemens Trio scanner (Siemens, Germany) and included a high-resolution T1-weighted images and resting-state fMRI scans (5 minutes).</w:t>
      </w:r>
      <w:r>
        <w:rPr>
          <w:rFonts w:hint="eastAsia"/>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72 patients with a Diagnostic and Statistical Manual of Mental Disorders (Fourth Edition) (DSM-IV) diagnosis of </w:t>
      </w:r>
      <w:r>
        <w:rPr>
          <w:rFonts w:hint="eastAsia" w:cs="Times New Roman"/>
          <w:color w:val="000000" w:themeColor="text1"/>
          <w:szCs w:val="22"/>
          <w14:textFill>
            <w14:solidFill>
              <w14:schemeClr w14:val="tx1"/>
            </w14:solidFill>
          </w14:textFill>
        </w:rPr>
        <w:t>schizophrenia</w:t>
      </w:r>
      <w:r>
        <w:rPr>
          <w:rFonts w:cs="Times New Roman"/>
          <w:color w:val="000000" w:themeColor="text1"/>
          <w:szCs w:val="22"/>
          <w14:textFill>
            <w14:solidFill>
              <w14:schemeClr w14:val="tx1"/>
            </w14:solidFill>
          </w14:textFill>
        </w:rPr>
        <w:t xml:space="preserve"> and 75 </w:t>
      </w:r>
      <w:r>
        <w:rPr>
          <w:rFonts w:hint="eastAsia" w:cs="Times New Roman"/>
          <w:color w:val="000000" w:themeColor="text1"/>
          <w:szCs w:val="22"/>
          <w14:textFill>
            <w14:solidFill>
              <w14:schemeClr w14:val="tx1"/>
            </w14:solidFill>
          </w14:textFill>
        </w:rPr>
        <w:t>healthy controls (HCs)</w:t>
      </w:r>
      <w:r>
        <w:rPr>
          <w:rFonts w:cs="Times New Roman"/>
          <w:color w:val="000000" w:themeColor="text1"/>
          <w:szCs w:val="22"/>
          <w14:textFill>
            <w14:solidFill>
              <w14:schemeClr w14:val="tx1"/>
            </w14:solidFill>
          </w14:textFill>
        </w:rPr>
        <w:t xml:space="preserve"> were enrolled in the COBRE. All subjects were screened and excluded if they had 1) history of neurological disorders, 2) history of mental retardation, 3) history of severe head trauma with more than 5 minutes loss of consciousness, or 4) history of substance abuse or dependence within the last 12 months. Diagnostic information was collected using the Structural Clinical Interview used for DSM Disorders (SCID). Healthy subjects were further screened and excluded if they had any of the following characteristics: 1) subjects with a first-degree relative suffering from psychotic disorder, 2) history of depressive episode or antidepressant use.</w:t>
      </w:r>
      <w:r>
        <w:rPr>
          <w:rFonts w:hint="eastAsia" w:eastAsia="宋体" w:cs="Times New Roman"/>
          <w:color w:val="000000" w:themeColor="text1"/>
          <w:szCs w:val="22"/>
          <w:shd w:val="clear" w:color="auto" w:fill="F8F8F8"/>
          <w14:textFill>
            <w14:solidFill>
              <w14:schemeClr w14:val="tx1"/>
            </w14:solidFill>
          </w14:textFill>
        </w:rPr>
        <w:t xml:space="preserve"> </w:t>
      </w:r>
      <w:r>
        <w:rPr>
          <w:rFonts w:cs="Times New Roman"/>
          <w:color w:val="000000" w:themeColor="text1"/>
          <w:szCs w:val="22"/>
          <w14:textFill>
            <w14:solidFill>
              <w14:schemeClr w14:val="tx1"/>
            </w14:solidFill>
          </w14:textFill>
        </w:rPr>
        <w:t>Detailed information could be found in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"http://fcon_1000.projects.nitrc.org/indi/retro/cobre.html" </w:instrText>
      </w:r>
      <w:r>
        <w:rPr>
          <w:color w:val="000000" w:themeColor="text1"/>
          <w14:textFill>
            <w14:solidFill>
              <w14:schemeClr w14:val="tx1"/>
            </w14:solidFill>
          </w14:textFill>
        </w:rPr>
        <w:fldChar w:fldCharType="separate"/>
      </w:r>
      <w:r>
        <w:rPr>
          <w:rStyle w:val="10"/>
          <w:rFonts w:cs="Times New Roman"/>
          <w:color w:val="000000" w:themeColor="text1"/>
          <w:szCs w:val="22"/>
          <w14:textFill>
            <w14:solidFill>
              <w14:schemeClr w14:val="tx1"/>
            </w14:solidFill>
          </w14:textFill>
        </w:rPr>
        <w:t>http://fcon_1000.projects.nitrc.org/indi/retro/cobre.html</w:t>
      </w:r>
      <w:r>
        <w:rPr>
          <w:rStyle w:val="10"/>
          <w:rFonts w:cs="Times New Roman"/>
          <w:color w:val="000000" w:themeColor="text1"/>
          <w:szCs w:val="22"/>
          <w14:textFill>
            <w14:solidFill>
              <w14:schemeClr w14:val="tx1"/>
            </w14:solidFill>
          </w14:textFill>
        </w:rPr>
        <w:fldChar w:fldCharType="end"/>
      </w:r>
      <w:r>
        <w:rPr>
          <w:rStyle w:val="10"/>
          <w:rFonts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w:t>
      </w:r>
    </w:p>
    <w:p>
      <w:pPr>
        <w:spacing w:line="480" w:lineRule="auto"/>
        <w:rPr>
          <w:rFonts w:eastAsia="宋体"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Data</w:t>
      </w:r>
      <w:r>
        <w:rPr>
          <w:rFonts w:hint="eastAsia" w:cs="Times New Roman"/>
          <w:color w:val="000000" w:themeColor="text1"/>
          <w:szCs w:val="22"/>
          <w14:textFill>
            <w14:solidFill>
              <w14:schemeClr w14:val="tx1"/>
            </w14:solidFill>
          </w14:textFill>
        </w:rPr>
        <w:t>set</w:t>
      </w:r>
      <w:r>
        <w:rPr>
          <w:rFonts w:cs="Times New Roman"/>
          <w:color w:val="000000" w:themeColor="text1"/>
          <w:szCs w:val="22"/>
          <w14:textFill>
            <w14:solidFill>
              <w14:schemeClr w14:val="tx1"/>
            </w14:solidFill>
          </w14:textFill>
        </w:rPr>
        <w:t xml:space="preserve"> 2 comes from OpenfMRI (UCLA Consortium for Neuropsychiatric Phenomics LA5c Study)</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MRI data were acquired on one of two 3T Siemens Trio scanners, located at the Ahmanson-Lovelace Brain Mapping Center (Siemens version syngo MR B15) and the Staglin Center for Cognitive Neuroscience (Siemens version syngo MR B17) at UCLA. Healthy adults were recruited by community advertisements from the Los Angeles area.</w:t>
      </w:r>
      <w:r>
        <w:rPr>
          <w:rFonts w:hint="eastAsia" w:cs="Times New Roman"/>
          <w:color w:val="000000" w:themeColor="text1"/>
          <w:szCs w:val="22"/>
          <w14:textFill>
            <w14:solidFill>
              <w14:schemeClr w14:val="tx1"/>
            </w14:solidFill>
          </w14:textFill>
        </w:rPr>
        <w:t xml:space="preserve"> A</w:t>
      </w:r>
      <w:r>
        <w:rPr>
          <w:rFonts w:cs="Times New Roman"/>
          <w:color w:val="000000" w:themeColor="text1"/>
          <w:szCs w:val="22"/>
          <w14:textFill>
            <w14:solidFill>
              <w14:schemeClr w14:val="tx1"/>
            </w14:solidFill>
          </w14:textFill>
        </w:rPr>
        <w:t>dult schizophrenia</w:t>
      </w:r>
      <w:r>
        <w:rPr>
          <w:rFonts w:hint="eastAsia" w:cs="Times New Roman"/>
          <w:color w:val="000000" w:themeColor="text1"/>
          <w:szCs w:val="22"/>
          <w14:textFill>
            <w14:solidFill>
              <w14:schemeClr w14:val="tx1"/>
            </w14:solidFill>
          </w14:textFill>
        </w:rPr>
        <w:t xml:space="preserve"> patients (SZ)</w:t>
      </w:r>
      <w:r>
        <w:rPr>
          <w:rFonts w:cs="Times New Roman"/>
          <w:color w:val="000000" w:themeColor="text1"/>
          <w:szCs w:val="22"/>
          <w14:textFill>
            <w14:solidFill>
              <w14:schemeClr w14:val="tx1"/>
            </w14:solidFill>
          </w14:textFill>
        </w:rPr>
        <w:t xml:space="preserve"> were recruited using a patient-oriented strategy involving outreach to local clinics and online portals (separate from the methods used to recruit healthy volunteers). After receiving a verbal explanation of the study, participants gave written informed consent following procedures approved by the Institutional Review Boards at UCLA and the Los Angeles County Department of Mental Health.</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For both groups, participants were ages 21–50 years; NIH racial/ ethnic category either White, not Hispanic or Latino; or Hispanic or Latino, of any racial group; primary language either English or Spanish; completed at least 8 years of formal education; no significant medical illness; adequate cooperation to complete assessments; visual acuity 20/60 or better; and urinalysis negative for drugs of abuse (</w:t>
      </w:r>
      <w:r>
        <w:rPr>
          <w:rFonts w:hint="eastAsia" w:cs="Times New Roman"/>
          <w:color w:val="000000" w:themeColor="text1"/>
          <w:szCs w:val="22"/>
          <w14:textFill>
            <w14:solidFill>
              <w14:schemeClr w14:val="tx1"/>
            </w14:solidFill>
          </w14:textFill>
        </w:rPr>
        <w:t>c</w:t>
      </w:r>
      <w:r>
        <w:rPr>
          <w:rFonts w:cs="Times New Roman"/>
          <w:color w:val="000000" w:themeColor="text1"/>
          <w:szCs w:val="22"/>
          <w14:textFill>
            <w14:solidFill>
              <w14:schemeClr w14:val="tx1"/>
            </w14:solidFill>
          </w14:textFill>
        </w:rPr>
        <w:t xml:space="preserve">ocaine;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ethamphetamine;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orphine; THC; and </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 xml:space="preserve">enzodiazepines). </w:t>
      </w:r>
      <w:r>
        <w:rPr>
          <w:rFonts w:hint="eastAsia" w:cs="Times New Roman"/>
          <w:color w:val="000000" w:themeColor="text1"/>
          <w:szCs w:val="22"/>
          <w14:textFill>
            <w14:solidFill>
              <w14:schemeClr w14:val="tx1"/>
            </w14:solidFill>
          </w14:textFill>
        </w:rPr>
        <w:t>HC</w:t>
      </w:r>
      <w:r>
        <w:rPr>
          <w:rFonts w:cs="Times New Roman"/>
          <w:color w:val="000000" w:themeColor="text1"/>
          <w:szCs w:val="22"/>
          <w14:textFill>
            <w14:solidFill>
              <w14:schemeClr w14:val="tx1"/>
            </w14:solidFill>
          </w14:textFill>
        </w:rPr>
        <w:t xml:space="preserve"> group were excluded if they had lifetime diagnoses of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chizophrenia or </w:t>
      </w:r>
      <w:r>
        <w:rPr>
          <w:rFonts w:hint="eastAsia" w:cs="Times New Roman"/>
          <w:color w:val="000000" w:themeColor="text1"/>
          <w:szCs w:val="22"/>
          <w14:textFill>
            <w14:solidFill>
              <w14:schemeClr w14:val="tx1"/>
            </w14:solidFill>
          </w14:textFill>
        </w:rPr>
        <w:t>o</w:t>
      </w:r>
      <w:r>
        <w:rPr>
          <w:rFonts w:cs="Times New Roman"/>
          <w:color w:val="000000" w:themeColor="text1"/>
          <w:szCs w:val="22"/>
          <w14:textFill>
            <w14:solidFill>
              <w14:schemeClr w14:val="tx1"/>
            </w14:solidFill>
          </w14:textFill>
        </w:rPr>
        <w:t xml:space="preserve">ther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 xml:space="preserve">sychotic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 xml:space="preserve">ipolar I or II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or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ubstance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buse or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ependence (not counting caffeine or nicotine); or current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ajor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epressive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suicidality;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nxiety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isorder (</w:t>
      </w:r>
      <w:r>
        <w:rPr>
          <w:rFonts w:hint="eastAsia" w:cs="Times New Roman"/>
          <w:color w:val="000000" w:themeColor="text1"/>
          <w:szCs w:val="22"/>
          <w14:textFill>
            <w14:solidFill>
              <w14:schemeClr w14:val="tx1"/>
            </w14:solidFill>
          </w14:textFill>
        </w:rPr>
        <w:t>o</w:t>
      </w:r>
      <w:r>
        <w:rPr>
          <w:rFonts w:cs="Times New Roman"/>
          <w:color w:val="000000" w:themeColor="text1"/>
          <w:szCs w:val="22"/>
          <w14:textFill>
            <w14:solidFill>
              <w14:schemeClr w14:val="tx1"/>
            </w14:solidFill>
          </w14:textFill>
        </w:rPr>
        <w:t xml:space="preserve">bsessive </w:t>
      </w:r>
      <w:r>
        <w:rPr>
          <w:rFonts w:hint="eastAsia" w:cs="Times New Roman"/>
          <w:color w:val="000000" w:themeColor="text1"/>
          <w:szCs w:val="22"/>
          <w14:textFill>
            <w14:solidFill>
              <w14:schemeClr w14:val="tx1"/>
            </w14:solidFill>
          </w14:textFill>
        </w:rPr>
        <w:t>c</w:t>
      </w:r>
      <w:r>
        <w:rPr>
          <w:rFonts w:cs="Times New Roman"/>
          <w:color w:val="000000" w:themeColor="text1"/>
          <w:szCs w:val="22"/>
          <w14:textFill>
            <w14:solidFill>
              <w14:schemeClr w14:val="tx1"/>
            </w14:solidFill>
          </w14:textFill>
        </w:rPr>
        <w:t xml:space="preserve">ompulsive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 xml:space="preserve">anic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g</w:t>
      </w:r>
      <w:r>
        <w:rPr>
          <w:rFonts w:cs="Times New Roman"/>
          <w:color w:val="000000" w:themeColor="text1"/>
          <w:szCs w:val="22"/>
          <w14:textFill>
            <w14:solidFill>
              <w14:schemeClr w14:val="tx1"/>
            </w14:solidFill>
          </w14:textFill>
        </w:rPr>
        <w:t xml:space="preserve">eneralized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nxiety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ost-</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raumatic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tress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ttention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eficit </w:t>
      </w:r>
      <w:r>
        <w:rPr>
          <w:rFonts w:hint="eastAsia" w:cs="Times New Roman"/>
          <w:color w:val="000000" w:themeColor="text1"/>
          <w:szCs w:val="22"/>
          <w14:textFill>
            <w14:solidFill>
              <w14:schemeClr w14:val="tx1"/>
            </w14:solidFill>
          </w14:textFill>
        </w:rPr>
        <w:t>h</w:t>
      </w:r>
      <w:r>
        <w:rPr>
          <w:rFonts w:cs="Times New Roman"/>
          <w:color w:val="000000" w:themeColor="text1"/>
          <w:szCs w:val="22"/>
          <w14:textFill>
            <w14:solidFill>
              <w14:schemeClr w14:val="tx1"/>
            </w14:solidFill>
          </w14:textFill>
        </w:rPr>
        <w:t xml:space="preserve">yperactivity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(ADHD).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table medications were permitted for the patients. For MRI studies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participants who were left handed, who believed they might be pregnant, or had other contraindications to scanning we</w:t>
      </w:r>
      <w:r>
        <w:rPr>
          <w:rFonts w:hint="eastAsia" w:cs="Times New Roman"/>
          <w:color w:val="000000" w:themeColor="text1"/>
          <w:szCs w:val="22"/>
          <w14:textFill>
            <w14:solidFill>
              <w14:schemeClr w14:val="tx1"/>
            </w14:solidFill>
          </w14:textFill>
        </w:rPr>
        <w:t>re</w:t>
      </w:r>
      <w:r>
        <w:rPr>
          <w:rFonts w:cs="Times New Roman"/>
          <w:color w:val="000000" w:themeColor="text1"/>
          <w:szCs w:val="22"/>
          <w14:textFill>
            <w14:solidFill>
              <w14:schemeClr w14:val="tx1"/>
            </w14:solidFill>
          </w14:textFill>
        </w:rPr>
        <w:t xml:space="preserve"> excluded (e.g., claustrophobia, metal in body, body too large to fit in scanner).</w:t>
      </w:r>
      <w:r>
        <w:rPr>
          <w:rFonts w:hint="eastAsia" w:cs="Times New Roman"/>
          <w:color w:val="000000" w:themeColor="text1"/>
          <w:szCs w:val="22"/>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The resting</w:t>
      </w:r>
      <w:r>
        <w:rPr>
          <w:rFonts w:hint="eastAsia" w:eastAsia="宋体" w:cs="Times New Roman"/>
          <w:color w:val="000000" w:themeColor="text1"/>
          <w:szCs w:val="22"/>
          <w:shd w:val="clear" w:color="auto" w:fill="F8F8F8"/>
          <w14:textFill>
            <w14:solidFill>
              <w14:schemeClr w14:val="tx1"/>
            </w14:solidFill>
          </w14:textFill>
        </w:rPr>
        <w:t>-state</w:t>
      </w:r>
      <w:r>
        <w:rPr>
          <w:rFonts w:eastAsia="Helvetica" w:cs="Times New Roman"/>
          <w:color w:val="000000" w:themeColor="text1"/>
          <w:szCs w:val="22"/>
          <w:shd w:val="clear" w:color="auto" w:fill="F8F8F8"/>
          <w14:textFill>
            <w14:solidFill>
              <w14:schemeClr w14:val="tx1"/>
            </w14:solidFill>
          </w14:textFill>
        </w:rPr>
        <w:t xml:space="preserve"> fMRI scan lasted 304 s. Participants were asked to remain relaxed and keep their eyes open; they were not presented any stimuli or asked to respond during the scan.</w:t>
      </w:r>
      <w:r>
        <w:rPr>
          <w:rFonts w:hint="eastAsia" w:eastAsia="宋体" w:cs="Times New Roman"/>
          <w:color w:val="000000" w:themeColor="text1"/>
          <w:szCs w:val="22"/>
          <w:shd w:val="clear" w:color="auto" w:fill="F8F8F8"/>
          <w14:textFill>
            <w14:solidFill>
              <w14:schemeClr w14:val="tx1"/>
            </w14:solidFill>
          </w14:textFill>
        </w:rPr>
        <w:t xml:space="preserve"> </w:t>
      </w:r>
      <w:r>
        <w:rPr>
          <w:rFonts w:cs="Times New Roman"/>
          <w:color w:val="000000" w:themeColor="text1"/>
          <w:szCs w:val="22"/>
          <w14:textFill>
            <w14:solidFill>
              <w14:schemeClr w14:val="tx1"/>
            </w14:solidFill>
          </w14:textFill>
        </w:rPr>
        <w:t>Detailed information could be found in (</w:t>
      </w:r>
      <w:r>
        <w:rPr>
          <w:rStyle w:val="10"/>
          <w:color w:val="000000" w:themeColor="text1"/>
          <w:szCs w:val="22"/>
          <w14:textFill>
            <w14:solidFill>
              <w14:schemeClr w14:val="tx1"/>
            </w14:solidFill>
          </w14:textFill>
        </w:rPr>
        <w:t>https://openneuro.org/datasets/ds000030/versions/1.0.0</w:t>
      </w:r>
      <w:r>
        <w:rPr>
          <w:rFonts w:cs="Times New Roman"/>
          <w:color w:val="000000" w:themeColor="text1"/>
          <w:szCs w:val="22"/>
          <w14:textFill>
            <w14:solidFill>
              <w14:schemeClr w14:val="tx1"/>
            </w14:solidFill>
          </w14:textFill>
        </w:rPr>
        <w:t>).</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bookmarkStart w:id="0" w:name="_Toc512459300"/>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eastAsia="Helvetica" w:cs="Times New Roman"/>
          <w:b/>
          <w:bCs/>
          <w:color w:val="000000" w:themeColor="text1"/>
          <w:szCs w:val="22"/>
          <w:shd w:val="clear" w:color="auto" w:fill="F8F8F8"/>
          <w14:textFill>
            <w14:solidFill>
              <w14:schemeClr w14:val="tx1"/>
            </w14:solidFill>
          </w14:textFill>
        </w:rPr>
        <w:t xml:space="preserve">Data </w:t>
      </w:r>
      <w:r>
        <w:rPr>
          <w:rFonts w:hint="eastAsia" w:eastAsia="Helvetica" w:cs="Times New Roman"/>
          <w:b/>
          <w:bCs/>
          <w:color w:val="000000" w:themeColor="text1"/>
          <w:szCs w:val="22"/>
          <w:shd w:val="clear" w:color="auto" w:fill="F8F8F8"/>
          <w14:textFill>
            <w14:solidFill>
              <w14:schemeClr w14:val="tx1"/>
            </w14:solidFill>
          </w14:textFill>
        </w:rPr>
        <w:t>P</w:t>
      </w:r>
      <w:r>
        <w:rPr>
          <w:rFonts w:eastAsia="Helvetica" w:cs="Times New Roman"/>
          <w:b/>
          <w:bCs/>
          <w:color w:val="000000" w:themeColor="text1"/>
          <w:szCs w:val="22"/>
          <w:shd w:val="clear" w:color="auto" w:fill="F8F8F8"/>
          <w14:textFill>
            <w14:solidFill>
              <w14:schemeClr w14:val="tx1"/>
            </w14:solidFill>
          </w14:textFill>
        </w:rPr>
        <w:t>reprocessing</w:t>
      </w:r>
      <w:bookmarkEnd w:id="0"/>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hint="eastAsia" w:eastAsia="Helvetica" w:cs="Times New Roman"/>
          <w:color w:val="000000" w:themeColor="text1"/>
          <w:szCs w:val="22"/>
          <w:shd w:val="clear" w:color="auto" w:fill="F8F8F8"/>
          <w14:textFill>
            <w14:solidFill>
              <w14:schemeClr w14:val="tx1"/>
            </w14:solidFill>
          </w14:textFill>
        </w:rPr>
        <w:t>T</w:t>
      </w:r>
      <w:r>
        <w:rPr>
          <w:rFonts w:eastAsia="Helvetica" w:cs="Times New Roman"/>
          <w:color w:val="000000" w:themeColor="text1"/>
          <w:szCs w:val="22"/>
          <w:shd w:val="clear" w:color="auto" w:fill="F8F8F8"/>
          <w14:textFill>
            <w14:solidFill>
              <w14:schemeClr w14:val="tx1"/>
            </w14:solidFill>
          </w14:textFill>
        </w:rPr>
        <w:t>he Data Processing Assistant for Resting-State fMRI toolbox (</w:t>
      </w:r>
      <w:r>
        <w:rPr>
          <w:rFonts w:hint="eastAsia" w:eastAsia="Helvetica" w:cs="Times New Roman"/>
          <w:color w:val="000000" w:themeColor="text1"/>
          <w:szCs w:val="22"/>
          <w:shd w:val="clear" w:color="auto" w:fill="F8F8F8"/>
          <w14:textFill>
            <w14:solidFill>
              <w14:schemeClr w14:val="tx1"/>
            </w14:solidFill>
          </w14:textFill>
        </w:rPr>
        <w:t>DPARSF,</w:t>
      </w:r>
      <w:r>
        <w:rPr>
          <w:rFonts w:eastAsia="Helvetica" w:cs="Times New Roman"/>
          <w:color w:val="000000" w:themeColor="text1"/>
          <w:szCs w:val="22"/>
          <w:shd w:val="clear" w:color="auto" w:fill="F8F8F8"/>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"http://rfmri.org/dpabi" </w:instrText>
      </w:r>
      <w:r>
        <w:rPr>
          <w:color w:val="000000" w:themeColor="text1"/>
          <w14:textFill>
            <w14:solidFill>
              <w14:schemeClr w14:val="tx1"/>
            </w14:solidFill>
          </w14:textFill>
        </w:rPr>
        <w:fldChar w:fldCharType="separate"/>
      </w:r>
      <w:r>
        <w:rPr>
          <w:rFonts w:eastAsia="Helvetica" w:cs="Times New Roman"/>
          <w:color w:val="000000" w:themeColor="text1"/>
          <w:szCs w:val="22"/>
          <w:shd w:val="clear" w:color="auto" w:fill="F8F8F8"/>
          <w14:textFill>
            <w14:solidFill>
              <w14:schemeClr w14:val="tx1"/>
            </w14:solidFill>
          </w14:textFill>
        </w:rPr>
        <w:t>http://rfmri.org/dpabi</w:t>
      </w:r>
      <w:r>
        <w:rPr>
          <w:rFonts w:eastAsia="Helvetica" w:cs="Times New Roman"/>
          <w:color w:val="000000" w:themeColor="text1"/>
          <w:szCs w:val="22"/>
          <w:shd w:val="clear" w:color="auto" w:fill="F8F8F8"/>
          <w14:textFill>
            <w14:solidFill>
              <w14:schemeClr w14:val="tx1"/>
            </w14:solidFill>
          </w14:textFill>
        </w:rPr>
        <w:fldChar w:fldCharType="end"/>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wer</w:t>
      </w:r>
      <w:r>
        <w:rPr>
          <w:rFonts w:eastAsia="Helvetica" w:cs="Times New Roman"/>
          <w:color w:val="000000" w:themeColor="text1"/>
          <w:szCs w:val="22"/>
          <w:shd w:val="clear" w:color="auto" w:fill="F8F8F8"/>
          <w14:textFill>
            <w14:solidFill>
              <w14:schemeClr w14:val="tx1"/>
            </w14:solidFill>
          </w14:textFill>
        </w:rPr>
        <w:t>e used to carry out data preprocessing</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Yan</w:t>
      </w:r>
      <w:r>
        <w:rPr>
          <w:rFonts w:hint="eastAsia" w:eastAsia="Helvetica" w:cs="Times New Roman"/>
          <w:color w:val="000000" w:themeColor="text1"/>
          <w:szCs w:val="22"/>
          <w:shd w:val="clear" w:color="auto" w:fill="F8F8F8"/>
          <w14:textFill>
            <w14:solidFill>
              <w14:schemeClr w14:val="tx1"/>
            </w14:solidFill>
          </w14:textFill>
        </w:rPr>
        <w:t xml:space="preserve"> et al., 2016)</w:t>
      </w:r>
      <w:r>
        <w:rPr>
          <w:rFonts w:eastAsia="Helvetica" w:cs="Times New Roman"/>
          <w:color w:val="000000" w:themeColor="text1"/>
          <w:szCs w:val="22"/>
          <w:shd w:val="clear" w:color="auto" w:fill="F8F8F8"/>
          <w14:textFill>
            <w14:solidFill>
              <w14:schemeClr w14:val="tx1"/>
            </w14:solidFill>
          </w14:textFill>
        </w:rPr>
        <w:t xml:space="preserve">, which include removal of first 10 volumes, slice timing correction, head motion correction, normalized to Montreal Neurological Institute </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MNI</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 xml:space="preserve"> space and further resampled to 3 × 3 × 3 mm3, spatially smoothed by convolution with an isotropic Gaussian kernel (FWHM = 4 mm), linear detrend, nuisance signal regression (including Friston</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 xml:space="preserve">24 head motion parameters, white matter, and </w:t>
      </w:r>
      <w:r>
        <w:rPr>
          <w:rFonts w:hint="eastAsia" w:eastAsia="Helvetica" w:cs="Times New Roman"/>
          <w:color w:val="000000" w:themeColor="text1"/>
          <w:szCs w:val="22"/>
          <w:shd w:val="clear" w:color="auto" w:fill="F8F8F8"/>
          <w14:textFill>
            <w14:solidFill>
              <w14:schemeClr w14:val="tx1"/>
            </w14:solidFill>
          </w14:textFill>
        </w:rPr>
        <w:t>cerebrospinal fluid</w:t>
      </w:r>
      <w:r>
        <w:rPr>
          <w:rFonts w:eastAsia="Helvetica" w:cs="Times New Roman"/>
          <w:color w:val="000000" w:themeColor="text1"/>
          <w:szCs w:val="22"/>
          <w:shd w:val="clear" w:color="auto" w:fill="F8F8F8"/>
          <w14:textFill>
            <w14:solidFill>
              <w14:schemeClr w14:val="tx1"/>
            </w14:solidFill>
          </w14:textFill>
        </w:rPr>
        <w:t xml:space="preserve"> signals), and bandpass filtering. </w:t>
      </w:r>
      <w:r>
        <w:rPr>
          <w:rFonts w:hint="eastAsia" w:eastAsia="Helvetica" w:cs="Times New Roman"/>
          <w:color w:val="000000" w:themeColor="text1"/>
          <w:szCs w:val="22"/>
          <w:shd w:val="clear" w:color="auto" w:fill="F8F8F8"/>
          <w14:textFill>
            <w14:solidFill>
              <w14:schemeClr w14:val="tx1"/>
            </w14:solidFill>
          </w14:textFill>
        </w:rPr>
        <w:t>T</w:t>
      </w:r>
      <w:r>
        <w:rPr>
          <w:rFonts w:eastAsia="Helvetica" w:cs="Times New Roman"/>
          <w:color w:val="000000" w:themeColor="text1"/>
          <w:szCs w:val="22"/>
          <w:shd w:val="clear" w:color="auto" w:fill="F8F8F8"/>
          <w14:textFill>
            <w14:solidFill>
              <w14:schemeClr w14:val="tx1"/>
            </w14:solidFill>
          </w14:textFill>
        </w:rPr>
        <w:t>he band</w:t>
      </w:r>
      <w:r>
        <w:rPr>
          <w:rFonts w:hint="eastAsia" w:eastAsia="Helvetica" w:cs="Times New Roman"/>
          <w:color w:val="000000" w:themeColor="text1"/>
          <w:szCs w:val="22"/>
          <w:shd w:val="clear" w:color="auto" w:fill="F8F8F8"/>
          <w14:textFill>
            <w14:solidFill>
              <w14:schemeClr w14:val="tx1"/>
            </w14:solidFill>
          </w14:textFill>
        </w:rPr>
        <w:t>pass</w:t>
      </w:r>
      <w:r>
        <w:rPr>
          <w:rFonts w:eastAsia="Helvetica" w:cs="Times New Roman"/>
          <w:color w:val="000000" w:themeColor="text1"/>
          <w:szCs w:val="22"/>
          <w:shd w:val="clear" w:color="auto" w:fill="F8F8F8"/>
          <w14:textFill>
            <w14:solidFill>
              <w14:schemeClr w14:val="tx1"/>
            </w14:solidFill>
          </w14:textFill>
        </w:rPr>
        <w:t xml:space="preserve"> range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selected as 0.04 – 0.07Hz, which c</w:t>
      </w:r>
      <w:r>
        <w:rPr>
          <w:rFonts w:hint="eastAsia" w:eastAsia="Helvetica" w:cs="Times New Roman"/>
          <w:color w:val="000000" w:themeColor="text1"/>
          <w:szCs w:val="22"/>
          <w:shd w:val="clear" w:color="auto" w:fill="F8F8F8"/>
          <w14:textFill>
            <w14:solidFill>
              <w14:schemeClr w14:val="tx1"/>
            </w14:solidFill>
          </w14:textFill>
        </w:rPr>
        <w:t>ould</w:t>
      </w:r>
      <w:r>
        <w:rPr>
          <w:rFonts w:eastAsia="Helvetica" w:cs="Times New Roman"/>
          <w:color w:val="000000" w:themeColor="text1"/>
          <w:szCs w:val="22"/>
          <w:shd w:val="clear" w:color="auto" w:fill="F8F8F8"/>
          <w14:textFill>
            <w14:solidFill>
              <w14:schemeClr w14:val="tx1"/>
            </w14:solidFill>
          </w14:textFill>
        </w:rPr>
        <w:t xml:space="preserve"> reduce the influence of low-frequency drift and high-frequency noise and ma</w:t>
      </w:r>
      <w:r>
        <w:rPr>
          <w:rFonts w:hint="eastAsia" w:eastAsia="Helvetica" w:cs="Times New Roman"/>
          <w:color w:val="000000" w:themeColor="text1"/>
          <w:szCs w:val="22"/>
          <w:shd w:val="clear" w:color="auto" w:fill="F8F8F8"/>
          <w14:textFill>
            <w14:solidFill>
              <w14:schemeClr w14:val="tx1"/>
            </w14:solidFill>
          </w14:textFill>
        </w:rPr>
        <w:t>de</w:t>
      </w:r>
      <w:r>
        <w:rPr>
          <w:rFonts w:eastAsia="Helvetica" w:cs="Times New Roman"/>
          <w:color w:val="000000" w:themeColor="text1"/>
          <w:szCs w:val="22"/>
          <w:shd w:val="clear" w:color="auto" w:fill="F8F8F8"/>
          <w14:textFill>
            <w14:solidFill>
              <w14:schemeClr w14:val="tx1"/>
            </w14:solidFill>
          </w14:textFill>
        </w:rPr>
        <w:t xml:space="preserve"> Hilbert transform play a better performance. </w:t>
      </w:r>
      <w:r>
        <w:rPr>
          <w:rFonts w:hint="eastAsia" w:eastAsia="Helvetica" w:cs="Times New Roman"/>
          <w:color w:val="000000" w:themeColor="text1"/>
          <w:szCs w:val="22"/>
          <w:shd w:val="clear" w:color="auto" w:fill="F8F8F8"/>
          <w14:textFill>
            <w14:solidFill>
              <w14:schemeClr w14:val="tx1"/>
            </w14:solidFill>
          </w14:textFill>
        </w:rPr>
        <w:t>Next</w:t>
      </w:r>
      <w:r>
        <w:rPr>
          <w:rFonts w:eastAsia="Helvetica" w:cs="Times New Roman"/>
          <w:color w:val="000000" w:themeColor="text1"/>
          <w:szCs w:val="22"/>
          <w:shd w:val="clear" w:color="auto" w:fill="F8F8F8"/>
          <w14:textFill>
            <w14:solidFill>
              <w14:schemeClr w14:val="tx1"/>
            </w14:solidFill>
          </w14:textFill>
        </w:rPr>
        <w:t xml:space="preserve">, the brain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divided into 90 </w:t>
      </w:r>
      <w:r>
        <w:rPr>
          <w:rFonts w:hint="eastAsia" w:eastAsia="Helvetica" w:cs="Times New Roman"/>
          <w:color w:val="000000" w:themeColor="text1"/>
          <w:szCs w:val="22"/>
          <w:shd w:val="clear" w:color="auto" w:fill="F8F8F8"/>
          <w14:textFill>
            <w14:solidFill>
              <w14:schemeClr w14:val="tx1"/>
            </w14:solidFill>
          </w14:textFill>
        </w:rPr>
        <w:t>ROIs</w:t>
      </w:r>
      <w:r>
        <w:rPr>
          <w:rFonts w:eastAsia="Helvetica" w:cs="Times New Roman"/>
          <w:color w:val="000000" w:themeColor="text1"/>
          <w:szCs w:val="22"/>
          <w:shd w:val="clear" w:color="auto" w:fill="F8F8F8"/>
          <w14:textFill>
            <w14:solidFill>
              <w14:schemeClr w14:val="tx1"/>
            </w14:solidFill>
          </w14:textFill>
        </w:rPr>
        <w:t xml:space="preserve"> by using Automated Anatomical Labeling </w:t>
      </w:r>
      <w:r>
        <w:rPr>
          <w:rFonts w:hint="eastAsia" w:eastAsia="Helvetica" w:cs="Times New Roman"/>
          <w:color w:val="000000" w:themeColor="text1"/>
          <w:szCs w:val="22"/>
          <w:shd w:val="clear" w:color="auto" w:fill="F8F8F8"/>
          <w14:textFill>
            <w14:solidFill>
              <w14:schemeClr w14:val="tx1"/>
            </w14:solidFill>
          </w14:textFill>
        </w:rPr>
        <w:t>atlas (</w:t>
      </w:r>
      <w:r>
        <w:rPr>
          <w:rFonts w:eastAsia="Helvetica" w:cs="Times New Roman"/>
          <w:color w:val="000000" w:themeColor="text1"/>
          <w:szCs w:val="22"/>
          <w:shd w:val="clear" w:color="auto" w:fill="F8F8F8"/>
          <w14:textFill>
            <w14:solidFill>
              <w14:schemeClr w14:val="tx1"/>
            </w14:solidFill>
          </w14:textFill>
        </w:rPr>
        <w:t>Tzourio-Mazoyer</w:t>
      </w:r>
      <w:r>
        <w:rPr>
          <w:rFonts w:hint="eastAsia" w:eastAsia="Helvetica" w:cs="Times New Roman"/>
          <w:color w:val="000000" w:themeColor="text1"/>
          <w:szCs w:val="22"/>
          <w:shd w:val="clear" w:color="auto" w:fill="F8F8F8"/>
          <w14:textFill>
            <w14:solidFill>
              <w14:schemeClr w14:val="tx1"/>
            </w14:solidFill>
          </w14:textFill>
        </w:rPr>
        <w:t xml:space="preserve"> et al., 2002)</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thus</w:t>
      </w:r>
      <w:r>
        <w:rPr>
          <w:rFonts w:eastAsia="Helvetica" w:cs="Times New Roman"/>
          <w:color w:val="000000" w:themeColor="text1"/>
          <w:szCs w:val="22"/>
          <w:shd w:val="clear" w:color="auto" w:fill="F8F8F8"/>
          <w14:textFill>
            <w14:solidFill>
              <w14:schemeClr w14:val="tx1"/>
            </w14:solidFill>
          </w14:textFill>
        </w:rPr>
        <w:t xml:space="preserve"> the average BOLD signal in each brain region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obtained respectively.</w:t>
      </w:r>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hint="eastAsia" w:eastAsia="Helvetica" w:cs="Times New Roman"/>
          <w:color w:val="000000" w:themeColor="text1"/>
          <w:szCs w:val="22"/>
          <w:shd w:val="clear" w:color="auto" w:fill="F8F8F8"/>
          <w14:textFill>
            <w14:solidFill>
              <w14:schemeClr w14:val="tx1"/>
            </w14:solidFill>
          </w14:textFill>
        </w:rPr>
        <w:t>In our study, although strict excluding criteria will lead to inadequacy of representativeness of sample, p</w:t>
      </w:r>
      <w:r>
        <w:rPr>
          <w:rFonts w:eastAsia="Helvetica" w:cs="Times New Roman"/>
          <w:color w:val="000000" w:themeColor="text1"/>
          <w:szCs w:val="22"/>
          <w:shd w:val="clear" w:color="auto" w:fill="F8F8F8"/>
          <w14:textFill>
            <w14:solidFill>
              <w14:schemeClr w14:val="tx1"/>
            </w14:solidFill>
          </w14:textFill>
        </w:rPr>
        <w:t xml:space="preserve">rior studies have consistently proven that </w:t>
      </w:r>
      <w:r>
        <w:rPr>
          <w:rFonts w:hint="eastAsia" w:eastAsia="Helvetica" w:cs="Times New Roman"/>
          <w:color w:val="000000" w:themeColor="text1"/>
          <w:szCs w:val="22"/>
          <w:shd w:val="clear" w:color="auto" w:fill="F8F8F8"/>
          <w14:textFill>
            <w14:solidFill>
              <w14:schemeClr w14:val="tx1"/>
            </w14:solidFill>
          </w14:textFill>
        </w:rPr>
        <w:t>severe head motion could introduce substantial alters in the time courses of resting-state fMRI data and further lead to unpredictable errors during the research (</w:t>
      </w:r>
      <w:r>
        <w:rPr>
          <w:rFonts w:eastAsia="Helvetica" w:cs="Times New Roman"/>
          <w:color w:val="000000" w:themeColor="text1"/>
          <w:szCs w:val="22"/>
          <w:shd w:val="clear" w:color="auto" w:fill="F8F8F8"/>
          <w14:textFill>
            <w14:solidFill>
              <w14:schemeClr w14:val="tx1"/>
            </w14:solidFill>
          </w14:textFill>
        </w:rPr>
        <w:t>Van</w:t>
      </w:r>
      <w:r>
        <w:rPr>
          <w:rFonts w:hint="eastAsia" w:eastAsia="Helvetica" w:cs="Times New Roman"/>
          <w:color w:val="000000" w:themeColor="text1"/>
          <w:szCs w:val="22"/>
          <w:shd w:val="clear" w:color="auto" w:fill="F8F8F8"/>
          <w14:textFill>
            <w14:solidFill>
              <w14:schemeClr w14:val="tx1"/>
            </w14:solidFill>
          </w14:textFill>
        </w:rPr>
        <w:t xml:space="preserve"> et al., 2012; Yan et al., 2013; Zeng et al., 2014), t</w:t>
      </w:r>
      <w:r>
        <w:rPr>
          <w:rFonts w:eastAsia="Helvetica" w:cs="Times New Roman"/>
          <w:color w:val="000000" w:themeColor="text1"/>
          <w:szCs w:val="22"/>
          <w:shd w:val="clear" w:color="auto" w:fill="F8F8F8"/>
          <w14:textFill>
            <w14:solidFill>
              <w14:schemeClr w14:val="tx1"/>
            </w14:solidFill>
          </w14:textFill>
        </w:rPr>
        <w:t xml:space="preserve">hus </w:t>
      </w:r>
      <w:r>
        <w:rPr>
          <w:rFonts w:hint="eastAsia" w:eastAsia="Helvetica" w:cs="Times New Roman"/>
          <w:color w:val="000000" w:themeColor="text1"/>
          <w:szCs w:val="22"/>
          <w:shd w:val="clear" w:color="auto" w:fill="F8F8F8"/>
          <w14:textFill>
            <w14:solidFill>
              <w14:schemeClr w14:val="tx1"/>
            </w14:solidFill>
          </w14:textFill>
        </w:rPr>
        <w:t>we primarily</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selected a strict excluding criteri</w:t>
      </w:r>
      <w:r>
        <w:rPr>
          <w:rFonts w:eastAsia="Helvetica" w:cs="Times New Roman"/>
          <w:color w:val="000000" w:themeColor="text1"/>
          <w:szCs w:val="22"/>
          <w:shd w:val="clear" w:color="auto" w:fill="F8F8F8"/>
          <w14:textFill>
            <w14:solidFill>
              <w14:schemeClr w14:val="tx1"/>
            </w14:solidFill>
          </w14:textFill>
        </w:rPr>
        <w:t>on</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with displacement &gt; 2 mm, rotation &gt; 2 degree, or mean frame</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wise displacement (mFD) &gt; 0.5 mm</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 xml:space="preserve">to exclude </w:t>
      </w:r>
      <w:r>
        <w:rPr>
          <w:rFonts w:hint="eastAsia" w:eastAsia="Helvetica" w:cs="Times New Roman"/>
          <w:color w:val="000000" w:themeColor="text1"/>
          <w:szCs w:val="22"/>
          <w:shd w:val="clear" w:color="auto" w:fill="F8F8F8"/>
          <w14:textFill>
            <w14:solidFill>
              <w14:schemeClr w14:val="tx1"/>
            </w14:solidFill>
          </w14:textFill>
        </w:rPr>
        <w:t xml:space="preserve">participants with significant head motion from two datasets. </w:t>
      </w:r>
      <w:r>
        <w:rPr>
          <w:rFonts w:eastAsia="Helvetica" w:cs="Times New Roman"/>
          <w:color w:val="000000" w:themeColor="text1"/>
          <w:szCs w:val="22"/>
          <w:shd w:val="clear" w:color="auto" w:fill="F8F8F8"/>
          <w14:textFill>
            <w14:solidFill>
              <w14:schemeClr w14:val="tx1"/>
            </w14:solidFill>
          </w14:textFill>
        </w:rPr>
        <w:t xml:space="preserve">Such a criterion has been </w:t>
      </w:r>
      <w:r>
        <w:rPr>
          <w:rFonts w:hint="eastAsia" w:eastAsia="Helvetica" w:cs="Times New Roman"/>
          <w:color w:val="000000" w:themeColor="text1"/>
          <w:szCs w:val="22"/>
          <w:shd w:val="clear" w:color="auto" w:fill="F8F8F8"/>
          <w14:textFill>
            <w14:solidFill>
              <w14:schemeClr w14:val="tx1"/>
            </w14:solidFill>
          </w14:textFill>
        </w:rPr>
        <w:t xml:space="preserve">mentioned and </w:t>
      </w:r>
      <w:r>
        <w:rPr>
          <w:rFonts w:eastAsia="Helvetica" w:cs="Times New Roman"/>
          <w:color w:val="000000" w:themeColor="text1"/>
          <w:szCs w:val="22"/>
          <w:shd w:val="clear" w:color="auto" w:fill="F8F8F8"/>
          <w14:textFill>
            <w14:solidFill>
              <w14:schemeClr w14:val="tx1"/>
            </w14:solidFill>
          </w14:textFill>
        </w:rPr>
        <w:t>recommended in many stu</w:t>
      </w:r>
      <w:r>
        <w:rPr>
          <w:rFonts w:hint="eastAsia" w:eastAsia="Helvetica" w:cs="Times New Roman"/>
          <w:color w:val="000000" w:themeColor="text1"/>
          <w:szCs w:val="22"/>
          <w:shd w:val="clear" w:color="auto" w:fill="F8F8F8"/>
          <w14:textFill>
            <w14:solidFill>
              <w14:schemeClr w14:val="tx1"/>
            </w14:solidFill>
          </w14:textFill>
        </w:rPr>
        <w:t>dies (</w:t>
      </w:r>
      <w:r>
        <w:rPr>
          <w:rFonts w:eastAsia="Helvetica" w:cs="Times New Roman"/>
          <w:color w:val="000000" w:themeColor="text1"/>
          <w:szCs w:val="22"/>
          <w:shd w:val="clear" w:color="auto" w:fill="F8F8F8"/>
          <w14:textFill>
            <w14:solidFill>
              <w14:schemeClr w14:val="tx1"/>
            </w14:solidFill>
          </w14:textFill>
        </w:rPr>
        <w:t>Sun</w:t>
      </w:r>
      <w:r>
        <w:rPr>
          <w:rFonts w:hint="eastAsia" w:eastAsia="Helvetica" w:cs="Times New Roman"/>
          <w:color w:val="000000" w:themeColor="text1"/>
          <w:szCs w:val="22"/>
          <w:shd w:val="clear" w:color="auto" w:fill="F8F8F8"/>
          <w14:textFill>
            <w14:solidFill>
              <w14:schemeClr w14:val="tx1"/>
            </w14:solidFill>
          </w14:textFill>
        </w:rPr>
        <w:t xml:space="preserve"> et al., 2019; </w:t>
      </w:r>
      <w:r>
        <w:rPr>
          <w:rFonts w:eastAsia="Helvetica" w:cs="Times New Roman"/>
          <w:color w:val="000000" w:themeColor="text1"/>
          <w:szCs w:val="22"/>
          <w:shd w:val="clear" w:color="auto" w:fill="F8F8F8"/>
          <w14:textFill>
            <w14:solidFill>
              <w14:schemeClr w14:val="tx1"/>
            </w14:solidFill>
          </w14:textFill>
        </w:rPr>
        <w:t>Power</w:t>
      </w:r>
      <w:r>
        <w:rPr>
          <w:rFonts w:hint="eastAsia" w:eastAsia="Helvetica" w:cs="Times New Roman"/>
          <w:color w:val="000000" w:themeColor="text1"/>
          <w:szCs w:val="22"/>
          <w:shd w:val="clear" w:color="auto" w:fill="F8F8F8"/>
          <w14:textFill>
            <w14:solidFill>
              <w14:schemeClr w14:val="tx1"/>
            </w14:solidFill>
          </w14:textFill>
        </w:rPr>
        <w:t xml:space="preserve"> et al., 2012). Af</w:t>
      </w:r>
      <w:r>
        <w:rPr>
          <w:rFonts w:eastAsia="Helvetica" w:cs="Times New Roman"/>
          <w:color w:val="000000" w:themeColor="text1"/>
          <w:szCs w:val="22"/>
          <w:shd w:val="clear" w:color="auto" w:fill="F8F8F8"/>
          <w14:textFill>
            <w14:solidFill>
              <w14:schemeClr w14:val="tx1"/>
            </w14:solidFill>
          </w14:textFill>
        </w:rPr>
        <w:t>ter that, we p</w:t>
      </w:r>
      <w:r>
        <w:rPr>
          <w:rFonts w:hint="eastAsia" w:eastAsia="Helvetica" w:cs="Times New Roman"/>
          <w:color w:val="000000" w:themeColor="text1"/>
          <w:szCs w:val="22"/>
          <w:shd w:val="clear" w:color="auto" w:fill="F8F8F8"/>
          <w14:textFill>
            <w14:solidFill>
              <w14:schemeClr w14:val="tx1"/>
            </w14:solidFill>
          </w14:textFill>
        </w:rPr>
        <w:t>er</w:t>
      </w:r>
      <w:r>
        <w:rPr>
          <w:rFonts w:eastAsia="Helvetica" w:cs="Times New Roman"/>
          <w:color w:val="000000" w:themeColor="text1"/>
          <w:szCs w:val="22"/>
          <w:shd w:val="clear" w:color="auto" w:fill="F8F8F8"/>
          <w14:textFill>
            <w14:solidFill>
              <w14:schemeClr w14:val="tx1"/>
            </w14:solidFill>
          </w14:textFill>
        </w:rPr>
        <w:t>formed head motion correction via Friston 24-parameter model</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Friston</w:t>
      </w:r>
      <w:r>
        <w:rPr>
          <w:rFonts w:hint="eastAsia" w:eastAsia="Helvetica" w:cs="Times New Roman"/>
          <w:color w:val="000000" w:themeColor="text1"/>
          <w:szCs w:val="22"/>
          <w:shd w:val="clear" w:color="auto" w:fill="F8F8F8"/>
          <w14:textFill>
            <w14:solidFill>
              <w14:schemeClr w14:val="tx1"/>
            </w14:solidFill>
          </w14:textFill>
        </w:rPr>
        <w:t xml:space="preserve"> et al., 1996)</w:t>
      </w:r>
      <w:r>
        <w:rPr>
          <w:rFonts w:eastAsia="Helvetica" w:cs="Times New Roman"/>
          <w:color w:val="000000" w:themeColor="text1"/>
          <w:szCs w:val="22"/>
          <w:shd w:val="clear" w:color="auto" w:fill="F8F8F8"/>
          <w14:textFill>
            <w14:solidFill>
              <w14:schemeClr w14:val="tx1"/>
            </w14:solidFill>
          </w14:textFill>
        </w:rPr>
        <w:t>, which has been strongly recommended by Yan et</w:t>
      </w:r>
      <w:r>
        <w:rPr>
          <w:rFonts w:hint="eastAsia" w:eastAsia="Helvetica" w:cs="Times New Roman"/>
          <w:color w:val="000000" w:themeColor="text1"/>
          <w:szCs w:val="22"/>
          <w:shd w:val="clear" w:color="auto" w:fill="F8F8F8"/>
          <w14:textFill>
            <w14:solidFill>
              <w14:schemeClr w14:val="tx1"/>
            </w14:solidFill>
          </w14:textFill>
        </w:rPr>
        <w:t xml:space="preserve"> al (Yan et al., 2013) w</w:t>
      </w:r>
      <w:r>
        <w:rPr>
          <w:rFonts w:eastAsia="Helvetica" w:cs="Times New Roman"/>
          <w:color w:val="000000" w:themeColor="text1"/>
          <w:szCs w:val="22"/>
          <w:shd w:val="clear" w:color="auto" w:fill="F8F8F8"/>
          <w14:textFill>
            <w14:solidFill>
              <w14:schemeClr w14:val="tx1"/>
            </w14:solidFill>
          </w14:textFill>
        </w:rPr>
        <w:t>ho compare 6 models in head motion correction in their study.</w:t>
      </w:r>
      <w:r>
        <w:rPr>
          <w:rFonts w:hint="eastAsia" w:eastAsia="Helvetica" w:cs="Times New Roman"/>
          <w:color w:val="000000" w:themeColor="text1"/>
          <w:szCs w:val="22"/>
          <w:shd w:val="clear" w:color="auto" w:fill="F8F8F8"/>
          <w14:textFill>
            <w14:solidFill>
              <w14:schemeClr w14:val="tx1"/>
            </w14:solidFill>
          </w14:textFill>
        </w:rPr>
        <w:t xml:space="preserve"> According to the above studies, we believe that the strict exclusion criteria are necessary for our study. Finally, 32 subjects (20 SZ and 12 HCs) were excluded from the COBRE (no significant difference, chi-square test, P = 0.1149), and 29 subjects (14 SZ and 15 HCs) were excluded from the OpenfMRI (P = 0.4112).</w:t>
      </w:r>
    </w:p>
    <w:p>
      <w:pPr>
        <w:spacing w:line="480" w:lineRule="auto"/>
        <w:rPr>
          <w:rFonts w:eastAsia="Helvetica" w:cs="Times New Roman"/>
          <w:color w:val="000000" w:themeColor="text1"/>
          <w:szCs w:val="22"/>
          <w:shd w:val="clear" w:color="auto" w:fill="F8F8F8"/>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Index of Global Synchrony</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After the construction of the dynamic functional connectivity in our study, i</w:t>
      </w:r>
      <w:r>
        <w:rPr>
          <w:color w:val="000000" w:themeColor="text1"/>
          <w:szCs w:val="22"/>
          <w14:textFill>
            <w14:solidFill>
              <w14:schemeClr w14:val="tx1"/>
            </w14:solidFill>
          </w14:textFill>
        </w:rPr>
        <w:t>nstantaneous coupling matrices</w:t>
      </w:r>
      <w:r>
        <w:rPr>
          <w:rFonts w:hint="eastAsia"/>
          <w:color w:val="000000" w:themeColor="text1"/>
          <w:szCs w:val="22"/>
          <w14:textFill>
            <w14:solidFill>
              <w14:schemeClr w14:val="tx1"/>
            </w14:solidFill>
          </w14:textFill>
        </w:rPr>
        <w:t xml:space="preserve"> (ICMs)</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were</w:t>
      </w:r>
      <w:r>
        <w:rPr>
          <w:color w:val="000000" w:themeColor="text1"/>
          <w:szCs w:val="22"/>
          <w14:textFill>
            <w14:solidFill>
              <w14:schemeClr w14:val="tx1"/>
            </w14:solidFill>
          </w14:textFill>
        </w:rPr>
        <w:t xml:space="preserve"> binarized </w:t>
      </w:r>
      <w:r>
        <w:rPr>
          <w:rFonts w:hint="eastAsia"/>
          <w:color w:val="000000" w:themeColor="text1"/>
          <w:szCs w:val="22"/>
          <w14:textFill>
            <w14:solidFill>
              <w14:schemeClr w14:val="tx1"/>
            </w14:solidFill>
          </w14:textFill>
        </w:rPr>
        <w:t xml:space="preserve">subsequently </w:t>
      </w:r>
      <w:r>
        <w:rPr>
          <w:color w:val="000000" w:themeColor="text1"/>
          <w:szCs w:val="22"/>
          <w14:textFill>
            <w14:solidFill>
              <w14:schemeClr w14:val="tx1"/>
            </w14:solidFill>
          </w14:textFill>
        </w:rPr>
        <w:t xml:space="preserve">for each subject. </w:t>
      </w:r>
      <w:r>
        <w:rPr>
          <w:rFonts w:hint="eastAsia"/>
          <w:color w:val="000000" w:themeColor="text1"/>
          <w:szCs w:val="22"/>
          <w14:textFill>
            <w14:solidFill>
              <w14:schemeClr w14:val="tx1"/>
            </w14:solidFill>
          </w14:textFill>
        </w:rPr>
        <w:t>W</w:t>
      </w:r>
      <w:r>
        <w:rPr>
          <w:color w:val="000000" w:themeColor="text1"/>
          <w:szCs w:val="22"/>
          <w14:textFill>
            <w14:solidFill>
              <w14:schemeClr w14:val="tx1"/>
            </w14:solidFill>
          </w14:textFill>
        </w:rPr>
        <w:t>hen the difference between instantaneous phases</w:t>
      </w:r>
      <w:r>
        <w:rPr>
          <w:rFonts w:hint="eastAsia"/>
          <w:color w:val="000000" w:themeColor="text1"/>
          <w:szCs w:val="22"/>
          <w14:textFill>
            <w14:solidFill>
              <w14:schemeClr w14:val="tx1"/>
            </w14:solidFill>
          </w14:textFill>
        </w:rPr>
        <w:t xml:space="preserve"> of BOLD signals</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is small</w:t>
      </w:r>
      <w:r>
        <w:rPr>
          <w:color w:val="000000" w:themeColor="text1"/>
          <w:szCs w:val="22"/>
          <w14:textFill>
            <w14:solidFill>
              <w14:schemeClr w14:val="tx1"/>
            </w14:solidFill>
          </w14:textFill>
        </w:rPr>
        <w:t xml:space="preserve">, signals can </w:t>
      </w:r>
      <w:r>
        <w:rPr>
          <w:rFonts w:hint="eastAsia"/>
          <w:color w:val="000000" w:themeColor="text1"/>
          <w:szCs w:val="22"/>
          <w14:textFill>
            <w14:solidFill>
              <w14:schemeClr w14:val="tx1"/>
            </w14:solidFill>
          </w14:textFill>
        </w:rPr>
        <w:t xml:space="preserve">be </w:t>
      </w:r>
      <w:r>
        <w:rPr>
          <w:color w:val="000000" w:themeColor="text1"/>
          <w:szCs w:val="22"/>
          <w14:textFill>
            <w14:solidFill>
              <w14:schemeClr w14:val="tx1"/>
            </w14:solidFill>
          </w14:textFill>
        </w:rPr>
        <w:t>consider</w:t>
      </w:r>
      <w:r>
        <w:rPr>
          <w:rFonts w:hint="eastAsia"/>
          <w:color w:val="000000" w:themeColor="text1"/>
          <w:szCs w:val="22"/>
          <w14:textFill>
            <w14:solidFill>
              <w14:schemeClr w14:val="tx1"/>
            </w14:solidFill>
          </w14:textFill>
        </w:rPr>
        <w:t>ed</w:t>
      </w:r>
      <w:r>
        <w:rPr>
          <w:color w:val="000000" w:themeColor="text1"/>
          <w:szCs w:val="22"/>
          <w14:textFill>
            <w14:solidFill>
              <w14:schemeClr w14:val="tx1"/>
            </w14:solidFill>
          </w14:textFill>
        </w:rPr>
        <w:t xml:space="preserve"> highly synchronized at that time point</w:t>
      </w:r>
      <w:r>
        <w:rPr>
          <w:rFonts w:hint="eastAsia"/>
          <w:color w:val="000000" w:themeColor="text1"/>
          <w:szCs w:val="22"/>
          <w14:textFill>
            <w14:solidFill>
              <w14:schemeClr w14:val="tx1"/>
            </w14:solidFill>
          </w14:textFill>
        </w:rPr>
        <w:t>. Therefore,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 series of</w:t>
      </w:r>
      <w:r>
        <w:rPr>
          <w:color w:val="000000" w:themeColor="text1"/>
          <w:szCs w:val="22"/>
          <w14:textFill>
            <w14:solidFill>
              <w14:schemeClr w14:val="tx1"/>
            </w14:solidFill>
          </w14:textFill>
        </w:rPr>
        <w:t xml:space="preserve"> differen</w:t>
      </w:r>
      <w:r>
        <w:rPr>
          <w:rFonts w:hint="eastAsia"/>
          <w:color w:val="000000" w:themeColor="text1"/>
          <w:szCs w:val="22"/>
          <w14:textFill>
            <w14:solidFill>
              <w14:schemeClr w14:val="tx1"/>
            </w14:solidFill>
          </w14:textFill>
        </w:rPr>
        <w:t xml:space="preserve">t thresholds </w:t>
      </w:r>
      <w:r>
        <w:rPr>
          <w:rFonts w:hint="eastAsia" w:cs="Times New Roman"/>
          <w:color w:val="000000" w:themeColor="text1"/>
          <w:szCs w:val="22"/>
          <w14:textFill>
            <w14:solidFill>
              <w14:schemeClr w14:val="tx1"/>
            </w14:solidFill>
          </w14:textFill>
        </w:rPr>
        <w:t>(</w:t>
      </w:r>
      <w:r>
        <w:rPr>
          <w:rFonts w:eastAsia="宋体" w:cs="Verdana"/>
          <w:color w:val="000000" w:themeColor="text1"/>
          <w:szCs w:val="22"/>
          <w:shd w:val="clear" w:color="auto" w:fill="FFFFFF"/>
          <w14:textFill>
            <w14:solidFill>
              <w14:schemeClr w14:val="tx1"/>
            </w14:solidFill>
          </w14:textFill>
        </w:rPr>
        <w:t>π/6, π/7, π/8, π/9, and π/10</w:t>
      </w:r>
      <w:r>
        <w:rPr>
          <w:rFonts w:hint="eastAsia" w:cs="Times New Roman"/>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were compared for the criterion of high phase synchronization.</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Finally, </w:t>
      </w:r>
      <w:r>
        <w:rPr>
          <w:color w:val="000000" w:themeColor="text1"/>
          <w:szCs w:val="22"/>
          <w14:textFill>
            <w14:solidFill>
              <w14:schemeClr w14:val="tx1"/>
            </w14:solidFill>
          </w14:textFill>
        </w:rPr>
        <w:t>π</w:t>
      </w:r>
      <w:r>
        <w:rPr>
          <w:rFonts w:hint="eastAsia"/>
          <w:b/>
          <w:bCs/>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8 was chosen </w:t>
      </w:r>
      <w:r>
        <w:rPr>
          <w:color w:val="000000" w:themeColor="text1"/>
          <w:szCs w:val="22"/>
          <w14:textFill>
            <w14:solidFill>
              <w14:schemeClr w14:val="tx1"/>
            </w14:solidFill>
          </w14:textFill>
        </w:rPr>
        <w:t xml:space="preserve">as the threshold </w:t>
      </w:r>
      <w:r>
        <w:rPr>
          <w:rFonts w:hint="eastAsia"/>
          <w:color w:val="000000" w:themeColor="text1"/>
          <w:szCs w:val="22"/>
          <w14:textFill>
            <w14:solidFill>
              <w14:schemeClr w14:val="tx1"/>
            </w14:solidFill>
          </w14:textFill>
        </w:rPr>
        <w:t xml:space="preserve">(see next section) </w:t>
      </w:r>
      <w:r>
        <w:rPr>
          <w:color w:val="000000" w:themeColor="text1"/>
          <w:szCs w:val="22"/>
          <w14:textFill>
            <w14:solidFill>
              <w14:schemeClr w14:val="tx1"/>
            </w14:solidFill>
          </w14:textFill>
        </w:rPr>
        <w:t xml:space="preserve">to obtain the binarized </w:t>
      </w:r>
      <w:r>
        <w:rPr>
          <w:rFonts w:hint="eastAsia"/>
          <w:color w:val="000000" w:themeColor="text1"/>
          <w:szCs w:val="22"/>
          <w14:textFill>
            <w14:solidFill>
              <w14:schemeClr w14:val="tx1"/>
            </w14:solidFill>
          </w14:textFill>
        </w:rPr>
        <w:t>matrix</w:t>
      </w:r>
      <w:r>
        <w:rPr>
          <w:color w:val="000000" w:themeColor="text1"/>
          <w:szCs w:val="22"/>
          <w14:textFill>
            <w14:solidFill>
              <w14:schemeClr w14:val="tx1"/>
            </w14:solidFill>
          </w14:textFill>
        </w:rPr>
        <w:t xml:space="preserve">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color w:val="000000" w:themeColor="text1"/>
          <w:szCs w:val="22"/>
          <w14:textFill>
            <w14:solidFill>
              <w14:schemeClr w14:val="tx1"/>
            </w14:solidFill>
          </w14:textFill>
        </w:rPr>
        <w:t>:</w:t>
      </w:r>
    </w:p>
    <w:p>
      <w:pPr>
        <w:autoSpaceDE w:val="0"/>
        <w:spacing w:before="156" w:beforeLines="50" w:line="480" w:lineRule="auto"/>
        <w:rPr>
          <w:rFonts w:cs="Times New Roman"/>
          <w:i/>
          <w:color w:val="000000" w:themeColor="text1"/>
          <w:szCs w:val="22"/>
          <w14:textFill>
            <w14:solidFill>
              <w14:schemeClr w14:val="tx1"/>
            </w14:solidFill>
          </w14:textFill>
        </w:rPr>
      </w:pPr>
      <m:oMathPara>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b w:val="0"/>
              <w:i w:val="0"/>
              <w:color w:val="000000" w:themeColor="text1"/>
              <w:szCs w:val="22"/>
              <w14:textFill>
                <w14:solidFill>
                  <w14:schemeClr w14:val="tx1"/>
                </w14:solidFill>
              </w14:textFill>
            </w:rPr>
            <m:t xml:space="preserve"> </m:t>
          </m:r>
          <m:r>
            <m:rPr>
              <m:nor/>
              <m:sty m:val="p"/>
            </m:rPr>
            <w:rPr>
              <w:rFonts w:cs="Times New Roman"/>
              <w:b w:val="0"/>
              <w:i w:val="0"/>
              <w:color w:val="000000" w:themeColor="text1"/>
              <w:szCs w:val="22"/>
              <w14:textFill>
                <w14:solidFill>
                  <w14:schemeClr w14:val="tx1"/>
                </w14:solidFill>
              </w14:textFill>
            </w:rPr>
            <m:t>=</m:t>
          </m:r>
          <m:d>
            <m:dPr>
              <m:ctrlPr>
                <w:rPr>
                  <w:rFonts w:ascii="Cambria Math" w:hAnsi="Cambria Math" w:cs="Times New Roman"/>
                  <w:i/>
                  <w:color w:val="000000" w:themeColor="text1"/>
                  <w:szCs w:val="22"/>
                  <w14:textFill>
                    <w14:solidFill>
                      <w14:schemeClr w14:val="tx1"/>
                    </w14:solidFill>
                  </w14:textFill>
                </w:rPr>
              </m:ctrlPr>
            </m:dPr>
            <m:e>
              <m:m>
                <m:mPr>
                  <m:mcs>
                    <m:mc>
                      <m:mcPr>
                        <m:count m:val="2"/>
                        <m:mcJc m:val="center"/>
                      </m:mcPr>
                    </m:mc>
                  </m:mcs>
                  <m:ctrlPr>
                    <w:rPr>
                      <w:rFonts w:ascii="Cambria Math" w:hAnsi="Cambria Math" w:cs="Times New Roman"/>
                      <w:iCs/>
                      <w:color w:val="000000" w:themeColor="text1"/>
                      <w:szCs w:val="22"/>
                      <w14:textFill>
                        <w14:solidFill>
                          <w14:schemeClr w14:val="tx1"/>
                        </w14:solidFill>
                      </w14:textFill>
                    </w:rPr>
                  </m:ctrlPr>
                </m:mPr>
                <m:mr>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m:t>
                    </m:r>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1,</m:t>
                    </m:r>
                    <m:ctrlPr>
                      <w:rPr>
                        <w:rFonts w:ascii="Cambria Math" w:hAnsi="Cambria Math" w:cs="Times New Roman"/>
                        <w:iCs/>
                        <w:color w:val="000000" w:themeColor="text1"/>
                        <w:szCs w:val="22"/>
                        <w14:textFill>
                          <w14:solidFill>
                            <w14:schemeClr w14:val="tx1"/>
                          </w14:solidFill>
                        </w14:textFill>
                      </w:rPr>
                    </m:ctrlPr>
                  </m:e>
                  <m:e>
                    <m:r>
                      <m:rPr>
                        <m:nor/>
                      </m:rPr>
                      <w:rPr>
                        <w:rFonts w:cs="Times New Roman"/>
                        <w:i/>
                        <w:color w:val="000000" w:themeColor="text1"/>
                        <w:szCs w:val="22"/>
                        <w14:textFill>
                          <w14:solidFill>
                            <w14:schemeClr w14:val="tx1"/>
                          </w14:solidFill>
                        </w14:textFill>
                      </w:rPr>
                      <m:t>if</m:t>
                    </m:r>
                    <m:r>
                      <m:rPr>
                        <m:nor/>
                        <m:sty m:val="p"/>
                      </m:rPr>
                      <w:rPr>
                        <w:rFonts w:cs="Times New Roman"/>
                        <w:b w:val="0"/>
                        <w:i w:val="0"/>
                        <w:iCs/>
                        <w:color w:val="000000" w:themeColor="text1"/>
                        <w:szCs w:val="22"/>
                        <w14:textFill>
                          <w14:solidFill>
                            <w14:schemeClr w14:val="tx1"/>
                          </w14:solidFill>
                        </w14:textFill>
                      </w:rPr>
                      <m:t> </m:t>
                    </m:r>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∆φ</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m:t>
                    </m:r>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π/8</m:t>
                    </m:r>
                    <m:ctrlPr>
                      <w:rPr>
                        <w:rFonts w:ascii="Cambria Math" w:hAnsi="Cambria Math" w:cs="Times New Roman"/>
                        <w:iCs/>
                        <w:color w:val="000000" w:themeColor="text1"/>
                        <w:szCs w:val="22"/>
                        <w14:textFill>
                          <w14:solidFill>
                            <w14:schemeClr w14:val="tx1"/>
                          </w14:solidFill>
                        </w14:textFill>
                      </w:rPr>
                    </m:ctrlPr>
                  </m:e>
                </m:mr>
                <m:mr>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m:t>
                    </m:r>
                    <m:r>
                      <m:rPr>
                        <m:nor/>
                        <m:sty m:val="p"/>
                      </m:rPr>
                      <w:rPr>
                        <w:rFonts w:ascii="Cambria Math" w:cs="Times New Roman"/>
                        <w:b w:val="0"/>
                        <w:i w:val="0"/>
                        <w:iCs/>
                        <w:color w:val="000000" w:themeColor="text1"/>
                        <w:szCs w:val="22"/>
                        <w14:textFill>
                          <w14:solidFill>
                            <w14:schemeClr w14:val="tx1"/>
                          </w14:solidFill>
                        </w14:textFill>
                      </w:rPr>
                      <m:t xml:space="preserve"> </m:t>
                    </m:r>
                    <m:r>
                      <m:rPr>
                        <m:nor/>
                        <m:sty m:val="p"/>
                      </m:rPr>
                      <w:rPr>
                        <w:rFonts w:cs="Times New Roman"/>
                        <w:b w:val="0"/>
                        <w:i w:val="0"/>
                        <w:iCs/>
                        <w:color w:val="000000" w:themeColor="text1"/>
                        <w:szCs w:val="22"/>
                        <w14:textFill>
                          <w14:solidFill>
                            <w14:schemeClr w14:val="tx1"/>
                          </w14:solidFill>
                        </w14:textFill>
                      </w:rPr>
                      <m:t>0,</m:t>
                    </m:r>
                    <m:ctrlPr>
                      <w:rPr>
                        <w:rFonts w:ascii="Cambria Math" w:hAnsi="Cambria Math" w:cs="Times New Roman"/>
                        <w:iCs/>
                        <w:color w:val="000000" w:themeColor="text1"/>
                        <w:szCs w:val="22"/>
                        <w14:textFill>
                          <w14:solidFill>
                            <w14:schemeClr w14:val="tx1"/>
                          </w14:solidFill>
                        </w14:textFill>
                      </w:rPr>
                    </m:ctrlPr>
                  </m:e>
                  <m:e>
                    <m:r>
                      <m:rPr>
                        <m:nor/>
                      </m:rPr>
                      <w:rPr>
                        <w:rFonts w:cs="Times New Roman"/>
                        <w:i/>
                        <w:color w:val="000000" w:themeColor="text1"/>
                        <w:szCs w:val="22"/>
                        <w14:textFill>
                          <w14:solidFill>
                            <w14:schemeClr w14:val="tx1"/>
                          </w14:solidFill>
                        </w14:textFill>
                      </w:rPr>
                      <m:t>otherwise</m:t>
                    </m:r>
                    <m:ctrlPr>
                      <w:rPr>
                        <w:rFonts w:ascii="Cambria Math" w:hAnsi="Cambria Math" w:cs="Times New Roman"/>
                        <w:iCs/>
                        <w:color w:val="000000" w:themeColor="text1"/>
                        <w:szCs w:val="22"/>
                        <w14:textFill>
                          <w14:solidFill>
                            <w14:schemeClr w14:val="tx1"/>
                          </w14:solidFill>
                        </w14:textFill>
                      </w:rPr>
                    </m:ctrlPr>
                  </m:e>
                </m:mr>
              </m:m>
              <m:ctrlPr>
                <w:rPr>
                  <w:rFonts w:ascii="Cambria Math" w:hAnsi="Cambria Math" w:cs="Times New Roman"/>
                  <w:i/>
                  <w:color w:val="000000" w:themeColor="text1"/>
                  <w:szCs w:val="22"/>
                  <w14:textFill>
                    <w14:solidFill>
                      <w14:schemeClr w14:val="tx1"/>
                    </w14:solidFill>
                  </w14:textFill>
                </w:rPr>
              </m:ctrlPr>
            </m:e>
          </m:d>
        </m:oMath>
      </m:oMathPara>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w:t>
      </w:r>
      <w:r>
        <w:rPr>
          <w:color w:val="000000" w:themeColor="text1"/>
          <w:szCs w:val="22"/>
          <w14:textFill>
            <w14:solidFill>
              <w14:schemeClr w14:val="tx1"/>
            </w14:solidFill>
          </w14:textFill>
        </w:rPr>
        <w:t>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and</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are indexes of each ROI (1 ≤ </w:t>
      </w:r>
      <w:r>
        <w:rPr>
          <w:i/>
          <w:iCs/>
          <w:color w:val="000000" w:themeColor="text1"/>
          <w:szCs w:val="22"/>
          <w14:textFill>
            <w14:solidFill>
              <w14:schemeClr w14:val="tx1"/>
            </w14:solidFill>
          </w14:textFill>
        </w:rPr>
        <w:t>i</w:t>
      </w:r>
      <w:r>
        <w:rPr>
          <w:color w:val="000000" w:themeColor="text1"/>
          <w:szCs w:val="22"/>
          <w14:textFill>
            <w14:solidFill>
              <w14:schemeClr w14:val="tx1"/>
            </w14:solidFill>
          </w14:textFill>
        </w:rPr>
        <w:t xml:space="preserve">, </w:t>
      </w:r>
      <w:r>
        <w:rPr>
          <w:i/>
          <w:iCs/>
          <w:color w:val="000000" w:themeColor="text1"/>
          <w:szCs w:val="22"/>
          <w14:textFill>
            <w14:solidFill>
              <w14:schemeClr w14:val="tx1"/>
            </w14:solidFill>
          </w14:textFill>
        </w:rPr>
        <w:t>j</w:t>
      </w:r>
      <w:r>
        <w:rPr>
          <w:color w:val="000000" w:themeColor="text1"/>
          <w:szCs w:val="22"/>
          <w14:textFill>
            <w14:solidFill>
              <w14:schemeClr w14:val="tx1"/>
            </w14:solidFill>
          </w14:textFill>
        </w:rPr>
        <w:t xml:space="preserve"> ≤ 90), and</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indicates time points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1</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t>
      </w:r>
      <w:r>
        <w:rPr>
          <w:rFonts w:hint="eastAsia" w:cs="Arial"/>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t>
      </w:r>
      <w:r>
        <w:rPr>
          <w:rFonts w:hint="eastAsia" w:cs="Arial"/>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40</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 xml:space="preserve">he percentage of </w:t>
      </w:r>
      <w:r>
        <w:rPr>
          <w:rFonts w:hint="eastAsia"/>
          <w:color w:val="000000" w:themeColor="text1"/>
          <w:szCs w:val="22"/>
          <w14:textFill>
            <w14:solidFill>
              <w14:schemeClr w14:val="tx1"/>
            </w14:solidFill>
          </w14:textFill>
        </w:rPr>
        <w:t>n</w:t>
      </w:r>
      <w:r>
        <w:rPr>
          <w:color w:val="000000" w:themeColor="text1"/>
          <w:szCs w:val="22"/>
          <w14:textFill>
            <w14:solidFill>
              <w14:schemeClr w14:val="tx1"/>
            </w14:solidFill>
          </w14:textFill>
        </w:rPr>
        <w:t xml:space="preserve">on-zero connections at each binary matrix ICM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color w:val="000000" w:themeColor="text1"/>
          <w:szCs w:val="22"/>
          <w14:textFill>
            <w14:solidFill>
              <w14:schemeClr w14:val="tx1"/>
            </w14:solidFill>
          </w14:textFill>
        </w:rPr>
        <w:t xml:space="preserve"> we</w:t>
      </w:r>
      <w:r>
        <w:rPr>
          <w:rFonts w:hint="eastAsia"/>
          <w:color w:val="000000" w:themeColor="text1"/>
          <w:szCs w:val="22"/>
          <w14:textFill>
            <w14:solidFill>
              <w14:schemeClr w14:val="tx1"/>
            </w14:solidFill>
          </w14:textFill>
        </w:rPr>
        <w:t>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then </w:t>
      </w:r>
      <w:r>
        <w:rPr>
          <w:color w:val="000000" w:themeColor="text1"/>
          <w:szCs w:val="22"/>
          <w14:textFill>
            <w14:solidFill>
              <w14:schemeClr w14:val="tx1"/>
            </w14:solidFill>
          </w14:textFill>
        </w:rPr>
        <w:t>defined as global synchrony:</w:t>
      </w:r>
    </w:p>
    <w:p>
      <w:pPr>
        <w:autoSpaceDE w:val="0"/>
        <w:spacing w:before="156" w:beforeLines="50" w:line="480" w:lineRule="auto"/>
        <w:jc w:val="center"/>
        <w:rPr>
          <w:rFonts w:cs="Times New Roman"/>
          <w:i/>
          <w:color w:val="000000" w:themeColor="text1"/>
          <w:szCs w:val="22"/>
          <w14:textFill>
            <w14:solidFill>
              <w14:schemeClr w14:val="tx1"/>
            </w14:solidFill>
          </w14:textFill>
        </w:rPr>
      </w:pPr>
      <m:oMathPara>
        <m:oMath>
          <m:r>
            <m:rPr>
              <m:nor/>
              <m:sty m:val="p"/>
            </m:rPr>
            <w:rPr>
              <w:rFonts w:cs="Times New Roman"/>
              <w:b w:val="0"/>
              <w:i w:val="0"/>
              <w:color w:val="000000" w:themeColor="text1"/>
              <w:szCs w:val="22"/>
              <w14:textFill>
                <w14:solidFill>
                  <w14:schemeClr w14:val="tx1"/>
                </w14:solidFill>
              </w14:textFill>
            </w:rPr>
            <m:t xml:space="preserve"> </m:t>
          </m:r>
          <m:r>
            <m:rPr>
              <m:nor/>
            </m:rPr>
            <w:rPr>
              <w:rFonts w:cs="Times New Roman"/>
              <w:i/>
              <w:iCs/>
              <w:color w:val="000000" w:themeColor="text1"/>
              <w:szCs w:val="22"/>
              <w14:textFill>
                <w14:solidFill>
                  <w14:schemeClr w14:val="tx1"/>
                </w14:solidFill>
              </w14:textFill>
            </w:rPr>
            <m:t>G</m:t>
          </m:r>
          <m:r>
            <m:rPr>
              <m:nor/>
              <m:sty m:val="p"/>
            </m:rPr>
            <w:rPr>
              <w:rFonts w:ascii="Cambria Math"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ascii="Cambria Math" w:cs="Times New Roman"/>
              <w:b w:val="0"/>
              <w:i w:val="0"/>
              <w:color w:val="000000" w:themeColor="text1"/>
              <w:szCs w:val="22"/>
              <w14:textFill>
                <w14:solidFill>
                  <w14:schemeClr w14:val="tx1"/>
                </w14:solidFill>
              </w14:textFill>
            </w:rPr>
            <m:t>)</m:t>
          </m:r>
          <m:r>
            <m:rPr>
              <m:nor/>
              <m:sty m:val="p"/>
            </m:rPr>
            <w:rPr>
              <w:rFonts w:cs="Times New Roman"/>
              <w:b w:val="0"/>
              <w:i w:val="0"/>
              <w:color w:val="000000" w:themeColor="text1"/>
              <w:szCs w:val="22"/>
              <w14:textFill>
                <w14:solidFill>
                  <w14:schemeClr w14:val="tx1"/>
                </w14:solidFill>
              </w14:textFill>
            </w:rPr>
            <m:t xml:space="preserve"> = </m:t>
          </m:r>
          <m:d>
            <m:dPr>
              <m:ctrlPr>
                <w:rPr>
                  <w:rFonts w:ascii="Cambria Math" w:hAnsi="Cambria Math" w:cs="Times New Roman"/>
                  <w:i/>
                  <w:color w:val="000000" w:themeColor="text1"/>
                  <w:szCs w:val="22"/>
                  <w14:textFill>
                    <w14:solidFill>
                      <w14:schemeClr w14:val="tx1"/>
                    </w14:solidFill>
                  </w14:textFill>
                </w:rPr>
              </m:ctrlPr>
            </m:dPr>
            <m:e>
              <m:f>
                <m:fPr>
                  <m:ctrlPr>
                    <w:rPr>
                      <w:rFonts w:ascii="Cambria Math" w:hAnsi="Cambria Math" w:cs="Times New Roman"/>
                      <w:i/>
                      <w:color w:val="000000" w:themeColor="text1"/>
                      <w:szCs w:val="22"/>
                      <w14:textFill>
                        <w14:solidFill>
                          <w14:schemeClr w14:val="tx1"/>
                        </w14:solidFill>
                      </w14:textFill>
                    </w:rPr>
                  </m:ctrlPr>
                </m:fPr>
                <m:num>
                  <m:nary>
                    <m:naryPr>
                      <m:chr m:val="∑"/>
                      <m:limLoc m:val="undOvr"/>
                      <m:supHide m:val="1"/>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iCs/>
                          <w:color w:val="000000" w:themeColor="text1"/>
                          <w:szCs w:val="22"/>
                          <w14:textFill>
                            <w14:solidFill>
                              <w14:schemeClr w14:val="tx1"/>
                            </w14:solidFill>
                          </w14:textFill>
                        </w:rPr>
                        <m:t>i,j</m:t>
                      </m:r>
                      <m:r>
                        <m:rPr>
                          <m:nor/>
                        </m:rPr>
                        <w:rPr>
                          <w:rFonts w:hint="eastAsia" w:ascii="宋体" w:hAnsi="宋体" w:eastAsia="宋体" w:cs="宋体"/>
                          <w:i/>
                          <w:iCs/>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N</m:t>
                      </m:r>
                      <m:ctrlPr>
                        <w:rPr>
                          <w:rFonts w:ascii="Cambria Math" w:hAnsi="Cambria Math" w:cs="Times New Roman"/>
                          <w:i/>
                          <w:color w:val="000000" w:themeColor="text1"/>
                          <w:szCs w:val="22"/>
                          <w14:textFill>
                            <w14:solidFill>
                              <w14:schemeClr w14:val="tx1"/>
                            </w14:solidFill>
                          </w14:textFill>
                        </w:rPr>
                      </m:ctrlPr>
                    </m:sub>
                    <m:sup>
                      <m:ctrlPr>
                        <w:rPr>
                          <w:rFonts w:ascii="Cambria Math" w:hAnsi="Cambria Math" w:cs="Times New Roman"/>
                          <w:i/>
                          <w:color w:val="000000" w:themeColor="text1"/>
                          <w:szCs w:val="22"/>
                          <w14:textFill>
                            <w14:solidFill>
                              <w14:schemeClr w14:val="tx1"/>
                            </w14:solidFill>
                          </w14:textFill>
                        </w:rPr>
                      </m:ctrlPr>
                    </m:sup>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hAnsi="Cambria Math" w:cs="Times New Roman"/>
                      <w:i/>
                      <w:color w:val="000000" w:themeColor="text1"/>
                      <w:szCs w:val="22"/>
                      <w14:textFill>
                        <w14:solidFill>
                          <w14:schemeClr w14:val="tx1"/>
                        </w14:solidFill>
                      </w14:textFill>
                    </w:rPr>
                  </m:ctrlPr>
                </m:num>
                <m:den>
                  <m:f>
                    <m:fPr>
                      <m:ctrlPr>
                        <w:rPr>
                          <w:rFonts w:ascii="Cambria Math" w:hAnsi="Cambria Math" w:cs="Times New Roman"/>
                          <w:i/>
                          <w:color w:val="000000" w:themeColor="text1"/>
                          <w:szCs w:val="22"/>
                          <w14:textFill>
                            <w14:solidFill>
                              <w14:schemeClr w14:val="tx1"/>
                            </w14:solidFill>
                          </w14:textFill>
                        </w:rPr>
                      </m:ctrlPr>
                    </m:fPr>
                    <m:num>
                      <m:r>
                        <m:rPr>
                          <m:nor/>
                        </m:rPr>
                        <w:rPr>
                          <w:rFonts w:cs="Times New Roman"/>
                          <w:i/>
                          <w:iCs/>
                          <w:color w:val="000000" w:themeColor="text1"/>
                          <w:szCs w:val="22"/>
                          <w14:textFill>
                            <w14:solidFill>
                              <w14:schemeClr w14:val="tx1"/>
                            </w14:solidFill>
                          </w14:textFill>
                        </w:rPr>
                        <m:t>N</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num>
                    <m:den>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N</m:t>
                      </m:r>
                      <m:r>
                        <m:rPr>
                          <m:sty m:val="p"/>
                        </m:rPr>
                        <w:rPr>
                          <w:rFonts w:ascii="Cambria Math" w:hAnsi="Cambria Math" w:cs="Times New Roman"/>
                          <w:color w:val="000000" w:themeColor="text1"/>
                          <w:szCs w:val="22"/>
                          <w14:textFill>
                            <w14:solidFill>
                              <w14:schemeClr w14:val="tx1"/>
                            </w14:solidFill>
                          </w14:textFill>
                        </w:rPr>
                        <m:t>−</m:t>
                      </m:r>
                      <m:r>
                        <m:rPr>
                          <m:nor/>
                          <m:sty m:val="p"/>
                        </m:rPr>
                        <w:rPr>
                          <w:rFonts w:cs="Times New Roman"/>
                          <w:b w:val="0"/>
                          <w:i w:val="0"/>
                          <w:color w:val="000000" w:themeColor="text1"/>
                          <w:szCs w:val="22"/>
                          <w14:textFill>
                            <w14:solidFill>
                              <w14:schemeClr w14:val="tx1"/>
                            </w14:solidFill>
                          </w14:textFill>
                        </w:rPr>
                        <m:t>2)!∙2!</m:t>
                      </m:r>
                      <m:ctrlPr>
                        <w:rPr>
                          <w:rFonts w:ascii="Cambria Math" w:hAnsi="Cambria Math" w:cs="Times New Roman"/>
                          <w:i/>
                          <w:color w:val="000000" w:themeColor="text1"/>
                          <w:szCs w:val="22"/>
                          <w14:textFill>
                            <w14:solidFill>
                              <w14:schemeClr w14:val="tx1"/>
                            </w14:solidFill>
                          </w14:textFill>
                        </w:rPr>
                      </m:ctrlPr>
                    </m:den>
                  </m:f>
                  <m:ctrlPr>
                    <w:rPr>
                      <w:rFonts w:ascii="Cambria Math" w:hAnsi="Cambria Math" w:cs="Times New Roman"/>
                      <w:i/>
                      <w:color w:val="000000" w:themeColor="text1"/>
                      <w:szCs w:val="22"/>
                      <w14:textFill>
                        <w14:solidFill>
                          <w14:schemeClr w14:val="tx1"/>
                        </w14:solidFill>
                      </w14:textFill>
                    </w:rPr>
                  </m:ctrlPr>
                </m:den>
              </m:f>
              <m:ctrlPr>
                <w:rPr>
                  <w:rFonts w:ascii="Cambria Math" w:hAnsi="Cambria Math" w:cs="Times New Roman"/>
                  <w:i/>
                  <w:color w:val="000000" w:themeColor="text1"/>
                  <w:szCs w:val="22"/>
                  <w14:textFill>
                    <w14:solidFill>
                      <w14:schemeClr w14:val="tx1"/>
                    </w14:solidFill>
                  </w14:textFill>
                </w:rPr>
              </m:ctrlPr>
            </m:e>
          </m:d>
          <m:r>
            <m:rPr>
              <m:nor/>
              <m:sty m:val="p"/>
            </m:rPr>
            <w:rPr>
              <w:rFonts w:cs="Times New Roman"/>
              <w:b w:val="0"/>
              <w:i w:val="0"/>
              <w:color w:val="000000" w:themeColor="text1"/>
              <w:szCs w:val="22"/>
              <w14:textFill>
                <w14:solidFill>
                  <w14:schemeClr w14:val="tx1"/>
                </w14:solidFill>
              </w14:textFill>
            </w:rPr>
            <m:t>×100%</m:t>
          </m:r>
        </m:oMath>
      </m:oMathPara>
    </w:p>
    <w:p>
      <w:pPr>
        <w:spacing w:line="480" w:lineRule="auto"/>
        <w:rPr>
          <w:rFonts w:cs="Times New Roman"/>
          <w:color w:val="000000" w:themeColor="text1"/>
          <w:szCs w:val="22"/>
          <w:shd w:val="clear" w:color="auto" w:fill="F8F8F8"/>
          <w14:textFill>
            <w14:solidFill>
              <w14:schemeClr w14:val="tx1"/>
            </w14:solidFill>
          </w14:textFill>
        </w:rPr>
      </w:pPr>
      <w:r>
        <w:rPr>
          <w:color w:val="000000" w:themeColor="text1"/>
          <w:szCs w:val="22"/>
          <w14:textFill>
            <w14:solidFill>
              <w14:schemeClr w14:val="tx1"/>
            </w14:solidFill>
          </w14:textFill>
        </w:rPr>
        <w:t>Finally, average global synchrony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was computed for</w:t>
      </w:r>
      <w:r>
        <w:rPr>
          <w:color w:val="000000" w:themeColor="text1"/>
          <w:szCs w:val="22"/>
          <w14:textFill>
            <w14:solidFill>
              <w14:schemeClr w14:val="tx1"/>
            </w14:solidFill>
          </w14:textFill>
        </w:rPr>
        <w:t xml:space="preserve"> each subject.</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The purpose of using binarization is to simply and conveniently locate which brain regions at this time point have higher phase similarity between the BOLD signal time series.</w:t>
      </w:r>
      <w:r>
        <w:rPr>
          <w:rFonts w:hint="eastAsia"/>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This global dynamic feature was used to quantify the overall spatiotemporal stability of the dFC.</w:t>
      </w:r>
      <w:r>
        <w:rPr>
          <w:rFonts w:hint="eastAsia"/>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A higher value of </w:t>
      </w:r>
      <w:r>
        <w:rPr>
          <w:color w:val="000000" w:themeColor="text1"/>
          <w:szCs w:val="22"/>
          <w14:textFill>
            <w14:solidFill>
              <w14:schemeClr w14:val="tx1"/>
            </w14:solidFill>
          </w14:textFill>
        </w:rPr>
        <w:t>average global synchron</w:t>
      </w:r>
      <w:r>
        <w:rPr>
          <w:rFonts w:hint="eastAsia"/>
          <w:color w:val="000000" w:themeColor="text1"/>
          <w:szCs w:val="22"/>
          <w14:textFill>
            <w14:solidFill>
              <w14:schemeClr w14:val="tx1"/>
            </w14:solidFill>
          </w14:textFill>
        </w:rPr>
        <w:t xml:space="preserve">y </w:t>
      </w:r>
      <w:r>
        <w:rPr>
          <w:color w:val="000000" w:themeColor="text1"/>
          <w:szCs w:val="22"/>
          <w14:textFill>
            <w14:solidFill>
              <w14:schemeClr w14:val="tx1"/>
            </w14:solidFill>
          </w14:textFill>
        </w:rPr>
        <w:t>indicates the overall phase coupling</w:t>
      </w:r>
      <w:r>
        <w:rPr>
          <w:rFonts w:hint="eastAsia"/>
          <w:color w:val="000000" w:themeColor="text1"/>
          <w:szCs w:val="22"/>
          <w14:textFill>
            <w14:solidFill>
              <w14:schemeClr w14:val="tx1"/>
            </w14:solidFill>
          </w14:textFill>
        </w:rPr>
        <w:t xml:space="preserve"> or synchronization</w:t>
      </w:r>
      <w:r>
        <w:rPr>
          <w:color w:val="000000" w:themeColor="text1"/>
          <w:szCs w:val="22"/>
          <w14:textFill>
            <w14:solidFill>
              <w14:schemeClr w14:val="tx1"/>
            </w14:solidFill>
          </w14:textFill>
        </w:rPr>
        <w:t xml:space="preserve"> of signal</w:t>
      </w:r>
      <w:r>
        <w:rPr>
          <w:rFonts w:hint="eastAsia"/>
          <w:color w:val="000000" w:themeColor="text1"/>
          <w:szCs w:val="22"/>
          <w14:textFill>
            <w14:solidFill>
              <w14:schemeClr w14:val="tx1"/>
            </w14:solidFill>
          </w14:textFill>
        </w:rPr>
        <w:t>s</w:t>
      </w:r>
      <w:r>
        <w:rPr>
          <w:color w:val="000000" w:themeColor="text1"/>
          <w:szCs w:val="22"/>
          <w14:textFill>
            <w14:solidFill>
              <w14:schemeClr w14:val="tx1"/>
            </w14:solidFill>
          </w14:textFill>
        </w:rPr>
        <w:t xml:space="preserve"> between all </w:t>
      </w:r>
      <w:r>
        <w:rPr>
          <w:rFonts w:hint="eastAsia"/>
          <w:color w:val="000000" w:themeColor="text1"/>
          <w:szCs w:val="22"/>
          <w14:textFill>
            <w14:solidFill>
              <w14:schemeClr w14:val="tx1"/>
            </w14:solidFill>
          </w14:textFill>
        </w:rPr>
        <w:t xml:space="preserve">brain regions (i.e., </w:t>
      </w:r>
      <w:r>
        <w:rPr>
          <w:color w:val="000000" w:themeColor="text1"/>
          <w:szCs w:val="22"/>
          <w14:textFill>
            <w14:solidFill>
              <w14:schemeClr w14:val="tx1"/>
            </w14:solidFill>
          </w14:textFill>
        </w:rPr>
        <w:t>ROI</w:t>
      </w:r>
      <w:r>
        <w:rPr>
          <w:rFonts w:hint="eastAsia"/>
          <w:color w:val="000000" w:themeColor="text1"/>
          <w:szCs w:val="22"/>
          <w14:textFill>
            <w14:solidFill>
              <w14:schemeClr w14:val="tx1"/>
            </w14:solidFill>
          </w14:textFill>
        </w:rPr>
        <w:t>s)</w:t>
      </w:r>
      <w:r>
        <w:rPr>
          <w:color w:val="000000" w:themeColor="text1"/>
          <w:szCs w:val="22"/>
          <w14:textFill>
            <w14:solidFill>
              <w14:schemeClr w14:val="tx1"/>
            </w14:solidFill>
          </w14:textFill>
        </w:rPr>
        <w:t xml:space="preserve"> is persistently high</w:t>
      </w:r>
      <w:r>
        <w:rPr>
          <w:rFonts w:hint="eastAsia"/>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(Attention: The definition of global synchrony was attempted to quantify the overall spatiotemporal stability of dFC, and the element with a value of 0 in the binarized matrix indicated that the instantaneous phase difference between two signals at that certain time point exceeded the defined threshold in the process of binarization. 0 indicated that the phase synchronization or similarity between two signals at that time point is not high enough instead of zero synchronization or totally no synchronization). </w:t>
      </w:r>
      <w:r>
        <w:rPr>
          <w:rFonts w:hint="eastAsia"/>
          <w:color w:val="000000" w:themeColor="text1"/>
          <w14:textFill>
            <w14:solidFill>
              <w14:schemeClr w14:val="tx1"/>
            </w14:solidFill>
          </w14:textFill>
        </w:rPr>
        <w:t xml:space="preserve">In our study, the method of instantaneous phase synchrony between regions measured the phase similarity or </w:t>
      </w:r>
      <w:r>
        <w:rPr>
          <w:rFonts w:hint="eastAsia"/>
          <w:color w:val="000000" w:themeColor="text1"/>
          <w:szCs w:val="22"/>
          <w14:textFill>
            <w14:solidFill>
              <w14:schemeClr w14:val="tx1"/>
            </w14:solidFill>
          </w14:textFill>
        </w:rPr>
        <w:t>synchronization</w:t>
      </w:r>
      <w:r>
        <w:rPr>
          <w:rFonts w:hint="eastAsia"/>
          <w:color w:val="000000" w:themeColor="text1"/>
          <w14:textFill>
            <w14:solidFill>
              <w14:schemeClr w14:val="tx1"/>
            </w14:solidFill>
          </w14:textFill>
        </w:rPr>
        <w:t xml:space="preserve"> between the BOLD time series signals of two brain regions.</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Kolmogorov-Smirnov Test</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 xml:space="preserve">The Kolmogorov-Smirnov </w:t>
      </w:r>
      <w:r>
        <w:rPr>
          <w:rFonts w:hint="eastAsia" w:cs="Times New Roman"/>
          <w:color w:val="000000" w:themeColor="text1"/>
          <w:szCs w:val="22"/>
          <w14:textFill>
            <w14:solidFill>
              <w14:schemeClr w14:val="tx1"/>
            </w14:solidFill>
          </w14:textFill>
        </w:rPr>
        <w:t xml:space="preserve">(K-S) </w:t>
      </w:r>
      <w:r>
        <w:rPr>
          <w:rFonts w:cs="Times New Roman"/>
          <w:color w:val="000000" w:themeColor="text1"/>
          <w:szCs w:val="22"/>
          <w14:textFill>
            <w14:solidFill>
              <w14:schemeClr w14:val="tx1"/>
            </w14:solidFill>
          </w14:textFill>
        </w:rPr>
        <w:t xml:space="preserve">test is based on </w:t>
      </w:r>
      <w:r>
        <w:rPr>
          <w:rFonts w:hint="eastAsia" w:cs="Times New Roman"/>
          <w:color w:val="000000" w:themeColor="text1"/>
          <w:szCs w:val="22"/>
          <w14:textFill>
            <w14:solidFill>
              <w14:schemeClr w14:val="tx1"/>
            </w14:solidFill>
          </w14:textFill>
        </w:rPr>
        <w:t>the</w:t>
      </w:r>
      <w:r>
        <w:rPr>
          <w:rFonts w:cs="Times New Roman"/>
          <w:color w:val="000000" w:themeColor="text1"/>
          <w:szCs w:val="22"/>
          <w14:textFill>
            <w14:solidFill>
              <w14:schemeClr w14:val="tx1"/>
            </w14:solidFill>
          </w14:textFill>
        </w:rPr>
        <w:t xml:space="preserve"> cumulative distribution function</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and </w:t>
      </w:r>
      <w:r>
        <w:rPr>
          <w:rFonts w:hint="eastAsia" w:cs="Times New Roman"/>
          <w:color w:val="000000" w:themeColor="text1"/>
          <w:szCs w:val="22"/>
          <w14:textFill>
            <w14:solidFill>
              <w14:schemeClr w14:val="tx1"/>
            </w14:solidFill>
          </w14:textFill>
        </w:rPr>
        <w:t xml:space="preserve">it </w:t>
      </w:r>
      <w:r>
        <w:rPr>
          <w:rFonts w:cs="Times New Roman"/>
          <w:color w:val="000000" w:themeColor="text1"/>
          <w:szCs w:val="22"/>
          <w14:textFill>
            <w14:solidFill>
              <w14:schemeClr w14:val="tx1"/>
            </w14:solidFill>
          </w14:textFill>
        </w:rPr>
        <w:t xml:space="preserve">is a test method used to compare a frequency distribution </w:t>
      </w:r>
      <w:r>
        <w:rPr>
          <w:rFonts w:cs="Times New Roman"/>
          <w:i/>
          <w:iCs/>
          <w:color w:val="000000" w:themeColor="text1"/>
          <w:szCs w:val="22"/>
          <w14:textFill>
            <w14:solidFill>
              <w14:schemeClr w14:val="tx1"/>
            </w14:solidFill>
          </w14:textFill>
        </w:rPr>
        <w:t>ƒ</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with a theoretical distribution </w:t>
      </w:r>
      <w:r>
        <w:rPr>
          <w:rFonts w:hint="eastAsia" w:cs="Times New Roman"/>
          <w:i/>
          <w:iCs/>
          <w:color w:val="000000" w:themeColor="text1"/>
          <w:szCs w:val="22"/>
          <w14:textFill>
            <w14:solidFill>
              <w14:schemeClr w14:val="tx1"/>
            </w14:solidFill>
          </w14:textFill>
        </w:rPr>
        <w:t>g</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or two sets of observations.</w:t>
      </w:r>
      <w:r>
        <w:rPr>
          <w:rFonts w:hint="eastAsia" w:cs="Times New Roman"/>
          <w:color w:val="000000" w:themeColor="text1"/>
          <w:szCs w:val="22"/>
          <w14:textFill>
            <w14:solidFill>
              <w14:schemeClr w14:val="tx1"/>
            </w14:solidFill>
          </w14:textFill>
        </w:rPr>
        <w:t xml:space="preserve"> The null hypothesis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of the test is: the distribution of the two groups of data is consistent or the single group of data conforms to the theoretical distribution; and the alternative hypothesis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1</w:t>
      </w:r>
      <w:r>
        <w:rPr>
          <w:rFonts w:hint="eastAsia" w:cs="Times New Roman"/>
          <w:color w:val="000000" w:themeColor="text1"/>
          <w:szCs w:val="22"/>
          <w14:textFill>
            <w14:solidFill>
              <w14:schemeClr w14:val="tx1"/>
            </w14:solidFill>
          </w14:textFill>
        </w:rPr>
        <w:t xml:space="preserve"> is: the distribution of the two groups of data is inconsistent or the single group of data does not conform to the theoretical distribution. The statistics of K-S test are defined as: </w:t>
      </w:r>
      <w:r>
        <w:rPr>
          <w:rFonts w:hint="eastAsia" w:cs="Times New Roman"/>
          <w:i/>
          <w:iCs/>
          <w:color w:val="000000" w:themeColor="text1"/>
          <w:szCs w:val="22"/>
          <w14:textFill>
            <w14:solidFill>
              <w14:schemeClr w14:val="tx1"/>
            </w14:solidFill>
          </w14:textFill>
        </w:rPr>
        <w:t xml:space="preserve">D </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max </w:t>
      </w:r>
      <w:r>
        <w:rPr>
          <w:rFonts w:cs="Times New Roman"/>
          <w:i/>
          <w:iCs/>
          <w:color w:val="000000" w:themeColor="text1"/>
          <w:szCs w:val="22"/>
          <w14:textFill>
            <w14:solidFill>
              <w14:schemeClr w14:val="tx1"/>
            </w14:solidFill>
          </w14:textFill>
        </w:rPr>
        <w:t>|ƒ</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g</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i/>
          <w:i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and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is rejected when the actual observed value </w:t>
      </w:r>
      <w:r>
        <w:rPr>
          <w:rFonts w:hint="eastAsia" w:cs="Times New Roman"/>
          <w:i/>
          <w:iCs/>
          <w:color w:val="000000" w:themeColor="text1"/>
          <w:szCs w:val="22"/>
          <w14:textFill>
            <w14:solidFill>
              <w14:schemeClr w14:val="tx1"/>
            </w14:solidFill>
          </w14:textFill>
        </w:rPr>
        <w:t>D &gt; D</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n</w:t>
      </w:r>
      <w:r>
        <w:rPr>
          <w:rFonts w:hint="eastAsia"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α</w:t>
      </w:r>
      <w:r>
        <w:rPr>
          <w:rFonts w:hint="eastAsia" w:cs="Times New Roman"/>
          <w:color w:val="000000" w:themeColor="text1"/>
          <w:szCs w:val="22"/>
          <w14:textFill>
            <w14:solidFill>
              <w14:schemeClr w14:val="tx1"/>
            </w14:solidFill>
          </w14:textFill>
        </w:rPr>
        <w:t xml:space="preserve">), otherwise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is accepted (where </w:t>
      </w:r>
      <w:r>
        <w:rPr>
          <w:rFonts w:cs="Times New Roman"/>
          <w:i/>
          <w:iCs/>
          <w:color w:val="000000" w:themeColor="text1"/>
          <w:szCs w:val="22"/>
          <w14:textFill>
            <w14:solidFill>
              <w14:schemeClr w14:val="tx1"/>
            </w14:solidFill>
          </w14:textFill>
        </w:rPr>
        <w:t>α</w:t>
      </w:r>
      <w:r>
        <w:rPr>
          <w:rFonts w:hint="eastAsia" w:cs="Times New Roman"/>
          <w:color w:val="000000" w:themeColor="text1"/>
          <w:szCs w:val="22"/>
          <w14:textFill>
            <w14:solidFill>
              <w14:schemeClr w14:val="tx1"/>
            </w14:solidFill>
          </w14:textFill>
        </w:rPr>
        <w:t xml:space="preserve"> is the significance level, generally selected as 0.05). The difference between the K-S test and the t-test or other parametric tests is that the K-S test does not require the distribution of data and can be considered as a kind of non-parametric test. If the data distribution of the test conforms to a particular distribution, the sensitivity of the K-S test is inferior to that of the corresponding parameter test. When the sample size is small, K-S test is often used to test and analyze whether there are significant differences between the two groups of data. </w:t>
      </w:r>
    </w:p>
    <w:p>
      <w:pPr>
        <w:spacing w:line="480" w:lineRule="auto"/>
        <w:rPr>
          <w:rFonts w:cs="Times New Roman"/>
          <w:b/>
          <w:bCs/>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 xml:space="preserve">In our study, average global synchrony </w:t>
      </w:r>
      <w:r>
        <w:rPr>
          <w:color w:val="000000" w:themeColor="text1"/>
          <w:szCs w:val="22"/>
          <w14:textFill>
            <w14:solidFill>
              <w14:schemeClr w14:val="tx1"/>
            </w14:solidFill>
          </w14:textFill>
        </w:rPr>
        <w:t>(</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was firstly computed by averaging global synchrony at all scanning time points for each subject (i.e., one subject corresponds to one specific value of average global synchrony, and this averaged indicator is no longer a variable that changes over time). A subject with high average global synchrony indicates that signals between all brain regions can be considered highly synchronized during the whole scanning process, and this indicator was used to quantify the overall spatiotemporal stability for each subject in our study. The K-S test was then performed to explore the difference of the cumulative distribution function of the average global synchrony between two groups of subjects (SZ vs HCs).</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T</w:t>
      </w:r>
      <w:r>
        <w:rPr>
          <w:rFonts w:hint="eastAsia" w:cs="Times New Roman"/>
          <w:b/>
          <w:bCs/>
          <w:color w:val="000000" w:themeColor="text1"/>
          <w:szCs w:val="22"/>
          <w14:textFill>
            <w14:solidFill>
              <w14:schemeClr w14:val="tx1"/>
            </w14:solidFill>
          </w14:textFill>
        </w:rPr>
        <w:t xml:space="preserve">he Validation of Threshold in Global Synchrony </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o obtain the binarized </w:t>
      </w:r>
      <w:r>
        <w:rPr>
          <w:rFonts w:hint="eastAsia" w:cs="Times New Roman"/>
          <w:color w:val="000000" w:themeColor="text1"/>
          <w:szCs w:val="22"/>
          <w14:textFill>
            <w14:solidFill>
              <w14:schemeClr w14:val="tx1"/>
            </w14:solidFill>
          </w14:textFill>
        </w:rPr>
        <w:t>matrix</w:t>
      </w:r>
      <w:r>
        <w:rPr>
          <w:color w:val="000000" w:themeColor="text1"/>
          <w:szCs w:val="22"/>
          <w14:textFill>
            <w14:solidFill>
              <w14:schemeClr w14:val="tx1"/>
            </w14:solidFill>
          </w14:textFill>
        </w:rPr>
        <w:t xml:space="preserve">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rFonts w:hint="eastAsia" w:cs="Times New Roman"/>
          <w:color w:val="000000" w:themeColor="text1"/>
          <w:szCs w:val="22"/>
          <w14:textFill>
            <w14:solidFill>
              <w14:schemeClr w14:val="tx1"/>
            </w14:solidFill>
          </w14:textFill>
        </w:rPr>
        <w:t>, a series of thresholds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6,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7,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8,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9 and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10) were selected to validate the group differences of </w:t>
      </w:r>
      <w:r>
        <w:rPr>
          <w:rFonts w:cs="Times New Roman"/>
          <w:color w:val="000000" w:themeColor="text1"/>
          <w:szCs w:val="22"/>
          <w14:textFill>
            <w14:solidFill>
              <w14:schemeClr w14:val="tx1"/>
            </w14:solidFill>
          </w14:textFill>
        </w:rPr>
        <w:t>average global synchrony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In the results, </w:t>
      </w:r>
      <w:r>
        <w:rPr>
          <w:rFonts w:cs="Times New Roman"/>
          <w:color w:val="000000" w:themeColor="text1"/>
          <w:szCs w:val="22"/>
          <w14:textFill>
            <w14:solidFill>
              <w14:schemeClr w14:val="tx1"/>
            </w14:solidFill>
          </w14:textFill>
        </w:rPr>
        <w:t>no significant difference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found in the cumulative distribution function of</w:t>
      </w:r>
      <w:r>
        <w:rPr>
          <w:rFonts w:hint="eastAsia" w:cs="Times New Roman"/>
          <w:color w:val="000000" w:themeColor="text1"/>
          <w:szCs w:val="22"/>
          <w14:textFill>
            <w14:solidFill>
              <w14:schemeClr w14:val="tx1"/>
            </w14:solidFill>
          </w14:textFill>
        </w:rPr>
        <w:t xml:space="preserve">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between </w:t>
      </w:r>
      <w:r>
        <w:rPr>
          <w:rFonts w:hint="eastAsia" w:cs="Times New Roman"/>
          <w:color w:val="000000" w:themeColor="text1"/>
          <w:szCs w:val="22"/>
          <w14:textFill>
            <w14:solidFill>
              <w14:schemeClr w14:val="tx1"/>
            </w14:solidFill>
          </w14:textFill>
        </w:rPr>
        <w:t>two</w:t>
      </w:r>
      <w:r>
        <w:rPr>
          <w:rFonts w:cs="Times New Roman"/>
          <w:color w:val="000000" w:themeColor="text1"/>
          <w:szCs w:val="22"/>
          <w14:textFill>
            <w14:solidFill>
              <w14:schemeClr w14:val="tx1"/>
            </w14:solidFill>
          </w14:textFill>
        </w:rPr>
        <w:t xml:space="preserve"> group</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under all thresholds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K</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test, D </w:t>
      </w:r>
      <w:r>
        <w:rPr>
          <w:rFonts w:hint="eastAsia" w:cs="Times New Roman"/>
          <w:color w:val="000000" w:themeColor="text1"/>
          <w:szCs w:val="22"/>
          <w14:textFill>
            <w14:solidFill>
              <w14:schemeClr w14:val="tx1"/>
            </w14:solidFill>
          </w14:textFill>
        </w:rPr>
        <w:t>&lt; 0.21</w:t>
      </w:r>
      <w:r>
        <w:rPr>
          <w:rFonts w:cs="Times New Roman"/>
          <w:color w:val="000000" w:themeColor="text1"/>
          <w:szCs w:val="22"/>
          <w14:textFill>
            <w14:solidFill>
              <w14:schemeClr w14:val="tx1"/>
            </w14:solidFill>
          </w14:textFill>
        </w:rPr>
        <w:t xml:space="preserve">, P </w:t>
      </w:r>
      <w:r>
        <w:rPr>
          <w:rFonts w:hint="eastAsia" w:cs="Times New Roman"/>
          <w:color w:val="000000" w:themeColor="text1"/>
          <w:szCs w:val="22"/>
          <w14:textFill>
            <w14:solidFill>
              <w14:schemeClr w14:val="tx1"/>
            </w14:solidFill>
          </w14:textFill>
        </w:rPr>
        <w:t>&gt;</w:t>
      </w:r>
      <w:r>
        <w:rPr>
          <w:rFonts w:cs="Times New Roman"/>
          <w:color w:val="000000" w:themeColor="text1"/>
          <w:szCs w:val="22"/>
          <w14:textFill>
            <w14:solidFill>
              <w14:schemeClr w14:val="tx1"/>
            </w14:solidFill>
          </w14:textFill>
        </w:rPr>
        <w:t xml:space="preserve"> 0.15)</w:t>
      </w:r>
      <w:r>
        <w:rPr>
          <w:rFonts w:hint="eastAsia" w:cs="Times New Roman"/>
          <w:color w:val="000000" w:themeColor="text1"/>
          <w:szCs w:val="22"/>
          <w14:textFill>
            <w14:solidFill>
              <w14:schemeClr w14:val="tx1"/>
            </w14:solidFill>
          </w14:textFill>
        </w:rPr>
        <w:t xml:space="preserve">. In contrast, </w:t>
      </w:r>
      <w:r>
        <w:rPr>
          <w:rFonts w:cs="Times New Roman"/>
          <w:color w:val="000000" w:themeColor="text1"/>
          <w:szCs w:val="22"/>
          <w14:textFill>
            <w14:solidFill>
              <w14:schemeClr w14:val="tx1"/>
            </w14:solidFill>
          </w14:textFill>
        </w:rPr>
        <w:t>significant difference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found between the mean of</w:t>
      </w:r>
      <w:r>
        <w:rPr>
          <w:rFonts w:hint="eastAsia" w:cs="Times New Roman"/>
          <w:color w:val="000000" w:themeColor="text1"/>
          <w:szCs w:val="22"/>
          <w14:textFill>
            <w14:solidFill>
              <w14:schemeClr w14:val="tx1"/>
            </w14:solidFill>
          </w14:textFill>
        </w:rPr>
        <w:t xml:space="preserve">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of the respective groups</w:t>
      </w:r>
      <w:r>
        <w:rPr>
          <w:rFonts w:hint="eastAsia" w:cs="Times New Roman"/>
          <w:color w:val="000000" w:themeColor="text1"/>
          <w:szCs w:val="22"/>
          <w14:textFill>
            <w14:solidFill>
              <w14:schemeClr w14:val="tx1"/>
            </w14:solidFill>
          </w14:textFill>
        </w:rPr>
        <w:t xml:space="preserve"> under all thresholds (10,000</w:t>
      </w:r>
      <w:r>
        <w:rPr>
          <w:rFonts w:cs="Times New Roman"/>
          <w:color w:val="000000" w:themeColor="text1"/>
          <w:szCs w:val="22"/>
          <w14:textFill>
            <w14:solidFill>
              <w14:schemeClr w14:val="tx1"/>
            </w14:solidFill>
          </w14:textFill>
        </w:rPr>
        <w:t xml:space="preserve"> permutation</w:t>
      </w:r>
      <w:r>
        <w:rPr>
          <w:rFonts w:hint="eastAsia" w:cs="Times New Roman"/>
          <w:color w:val="000000" w:themeColor="text1"/>
          <w:szCs w:val="22"/>
          <w14:textFill>
            <w14:solidFill>
              <w14:schemeClr w14:val="tx1"/>
            </w14:solidFill>
          </w14:textFill>
        </w:rPr>
        <w:t>s, P = 0.0111, 0.0122, 0.0107, 0.0119, 0.0126 respectively). The group differences were invariant to the choice of the threshold. Thus, the middle one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8) was chosen as the threshold in the analysis of </w:t>
      </w:r>
      <w:r>
        <w:rPr>
          <w:rFonts w:cs="Times New Roman"/>
          <w:color w:val="000000" w:themeColor="text1"/>
          <w:szCs w:val="22"/>
          <w14:textFill>
            <w14:solidFill>
              <w14:schemeClr w14:val="tx1"/>
            </w14:solidFill>
          </w14:textFill>
        </w:rPr>
        <w:t>global synchrony</w:t>
      </w:r>
      <w:r>
        <w:rPr>
          <w:rFonts w:hint="eastAsia" w:cs="Times New Roman"/>
          <w:color w:val="000000" w:themeColor="text1"/>
          <w:szCs w:val="22"/>
          <w14:textFill>
            <w14:solidFill>
              <w14:schemeClr w14:val="tx1"/>
            </w14:solidFill>
          </w14:textFill>
        </w:rPr>
        <w:t xml:space="preserve"> (F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 S5).</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Index of Intertemporal Closeness</w:t>
      </w:r>
    </w:p>
    <w:p>
      <w:pPr>
        <w:spacing w:before="156" w:beforeLines="50"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o quantify the temporal state stability of the whole-brain dFC, the measure of </w:t>
      </w:r>
      <w:r>
        <w:rPr>
          <w:rFonts w:hint="eastAsia" w:cs="Times New Roman"/>
          <w:color w:val="000000" w:themeColor="text1"/>
          <w:szCs w:val="22"/>
          <w14:textFill>
            <w14:solidFill>
              <w14:schemeClr w14:val="tx1"/>
            </w14:solidFill>
          </w14:textFill>
        </w:rPr>
        <w:t>i</w:t>
      </w:r>
      <w:r>
        <w:rPr>
          <w:rFonts w:cs="Times New Roman"/>
          <w:color w:val="000000" w:themeColor="text1"/>
          <w:szCs w:val="22"/>
          <w14:textFill>
            <w14:solidFill>
              <w14:schemeClr w14:val="tx1"/>
            </w14:solidFill>
          </w14:textFill>
        </w:rPr>
        <w:t>ntertemporal closeness (ITC)</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defined</w:t>
      </w:r>
      <w:r>
        <w:rPr>
          <w:rFonts w:hint="eastAsia" w:cs="Times New Roman"/>
          <w:color w:val="000000" w:themeColor="text1"/>
          <w:szCs w:val="22"/>
          <w14:textFill>
            <w14:solidFill>
              <w14:schemeClr w14:val="tx1"/>
            </w14:solidFill>
          </w14:textFill>
        </w:rPr>
        <w:t xml:space="preserve"> in this study</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E</w:t>
      </w:r>
      <w:r>
        <w:rPr>
          <w:rFonts w:cs="Times New Roman"/>
          <w:color w:val="000000" w:themeColor="text1"/>
          <w:szCs w:val="22"/>
          <w14:textFill>
            <w14:solidFill>
              <w14:schemeClr w14:val="tx1"/>
            </w14:solidFill>
          </w14:textFill>
        </w:rPr>
        <w:t>ach instantaneous coupling matri</w:t>
      </w:r>
      <w:r>
        <w:rPr>
          <w:rFonts w:hint="eastAsia" w:cs="Times New Roman"/>
          <w:color w:val="000000" w:themeColor="text1"/>
          <w:szCs w:val="22"/>
          <w14:textFill>
            <w14:solidFill>
              <w14:schemeClr w14:val="tx1"/>
            </w14:solidFill>
          </w14:textFill>
        </w:rPr>
        <w:t>x (</w:t>
      </w:r>
      <w:r>
        <w:rPr>
          <w:rFonts w:cs="Times New Roman"/>
          <w:color w:val="000000" w:themeColor="text1"/>
          <w:szCs w:val="22"/>
          <w14:textFill>
            <w14:solidFill>
              <w14:schemeClr w14:val="tx1"/>
            </w14:solidFill>
          </w14:textFill>
        </w:rPr>
        <w:t>ICM</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in the dFC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considered</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as an independent state, and then the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 </w:t>
      </w:r>
      <w:r>
        <w:rPr>
          <w:rFonts w:hint="eastAsia" w:cs="Times New Roman"/>
          <w:color w:val="000000" w:themeColor="text1"/>
          <w:szCs w:val="22"/>
          <w14:textFill>
            <w14:solidFill>
              <w14:schemeClr w14:val="tx1"/>
            </w14:solidFill>
          </w14:textFill>
        </w:rPr>
        <w:t xml:space="preserve">was </w:t>
      </w:r>
      <w:r>
        <w:rPr>
          <w:rFonts w:cs="Times New Roman"/>
          <w:color w:val="000000" w:themeColor="text1"/>
          <w:szCs w:val="22"/>
          <w14:textFill>
            <w14:solidFill>
              <w14:schemeClr w14:val="tx1"/>
            </w14:solidFill>
          </w14:textFill>
        </w:rPr>
        <w:t>use</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 to measure the similarity between ICMs at any two time points. For each subject, a mean matrix of ICMs at all time points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first</w:t>
      </w:r>
      <w:r>
        <w:rPr>
          <w:rFonts w:hint="eastAsia" w:cs="Times New Roman"/>
          <w:color w:val="000000" w:themeColor="text1"/>
          <w:szCs w:val="22"/>
          <w14:textFill>
            <w14:solidFill>
              <w14:schemeClr w14:val="tx1"/>
            </w14:solidFill>
          </w14:textFill>
        </w:rPr>
        <w:t>ly</w:t>
      </w:r>
      <w:r>
        <w:rPr>
          <w:rFonts w:cs="Times New Roman"/>
          <w:color w:val="000000" w:themeColor="text1"/>
          <w:szCs w:val="22"/>
          <w14:textFill>
            <w14:solidFill>
              <w14:schemeClr w14:val="tx1"/>
            </w14:solidFill>
          </w14:textFill>
        </w:rPr>
        <w:t xml:space="preserve"> obtained (i.e., the mean matrix of 140 ICMs, denoted as av-FC). Then, we got the similarity between ICM and av-FC at all time points respectively, that is, 140 correlation coefficient values were obtained. Finally, we averaged the values of the 140 correlation coefficients to obtain a reference value corresponding to each subject. Finally, the intertemporal closeness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defined as the proportion of observing greater similarity between ICMs than the reference value of each subject in the respective groups (</w:t>
      </w:r>
      <m:oMath>
        <m:d>
          <m:dPr>
            <m:begChr m:val="‖"/>
            <m:endChr m:val="‖"/>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m:t>
                </m:r>
                <m:ctrlPr>
                  <w:rPr>
                    <w:rFonts w:ascii="Cambria Math" w:hAnsi="Cambria Math" w:cs="Times New Roman"/>
                    <w:i/>
                    <w:color w:val="000000" w:themeColor="text1"/>
                    <w:szCs w:val="22"/>
                    <w14:textFill>
                      <w14:solidFill>
                        <w14:schemeClr w14:val="tx1"/>
                      </w14:solidFill>
                    </w14:textFill>
                  </w:rPr>
                </m:ctrlPr>
              </m:sub>
            </m:sSub>
            <m:r>
              <m:rPr>
                <m:sty m:val="p"/>
              </m:rPr>
              <w:rPr>
                <w:rFonts w:ascii="Cambria Math" w:hAnsi="Cambria Math" w:cs="Times New Roman"/>
                <w:color w:val="000000" w:themeColor="text1"/>
                <w:szCs w:val="22"/>
                <w14:textFill>
                  <w14:solidFill>
                    <w14:schemeClr w14:val="tx1"/>
                  </w14:solidFill>
                </w14:textFill>
              </w:rPr>
              <m:t>−</m:t>
            </m:r>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j</m:t>
                </m:r>
                <m:ctrlPr>
                  <w:rPr>
                    <w:rFonts w:ascii="Cambria Math" w:hAnsi="Cambria Math" w:cs="Times New Roman"/>
                    <w:i/>
                    <w:color w:val="000000" w:themeColor="text1"/>
                    <w:szCs w:val="22"/>
                    <w14:textFill>
                      <w14:solidFill>
                        <w14:schemeClr w14:val="tx1"/>
                      </w14:solidFill>
                    </w14:textFill>
                  </w:rPr>
                </m:ctrlPr>
              </m:sub>
            </m:sSub>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b w:val="0"/>
            <w:i w:val="0"/>
            <w:color w:val="000000" w:themeColor="text1"/>
            <w:szCs w:val="22"/>
            <w14:textFill>
              <w14:solidFill>
                <w14:schemeClr w14:val="tx1"/>
              </w14:solidFill>
            </w14:textFill>
          </w:rPr>
          <m:t xml:space="preserve"> </m:t>
        </m:r>
        <m:r>
          <m:rPr>
            <m:nor/>
            <m:sty m:val="p"/>
          </m:rPr>
          <w:rPr>
            <w:rFonts w:cs="Times New Roman"/>
            <w:b w:val="0"/>
            <w:i w:val="0"/>
            <w:color w:val="000000" w:themeColor="text1"/>
            <w:szCs w:val="22"/>
            <w14:textFill>
              <w14:solidFill>
                <w14:schemeClr w14:val="tx1"/>
              </w14:solidFill>
            </w14:textFill>
          </w:rPr>
          <m:t>&gt;</m:t>
        </m:r>
        <m:r>
          <m:rPr>
            <m:nor/>
            <m:sty m:val="p"/>
          </m:rPr>
          <w:rPr>
            <w:rFonts w:ascii="Cambria Math" w:cs="Times New Roman"/>
            <w:b w:val="0"/>
            <w:i w:val="0"/>
            <w:color w:val="000000" w:themeColor="text1"/>
            <w:szCs w:val="22"/>
            <w14:textFill>
              <w14:solidFill>
                <w14:schemeClr w14:val="tx1"/>
              </w14:solidFill>
            </w14:textFill>
          </w:rPr>
          <m:t xml:space="preserve"> </m:t>
        </m:r>
        <m:acc>
          <m:accPr>
            <m:chr m:val="̅"/>
            <m:ctrlPr>
              <w:rPr>
                <w:rFonts w:ascii="Cambria Math" w:hAnsi="Cambria Math" w:cs="Times New Roman"/>
                <w:i/>
                <w:color w:val="000000" w:themeColor="text1"/>
                <w:szCs w:val="22"/>
                <w14:textFill>
                  <w14:solidFill>
                    <w14:schemeClr w14:val="tx1"/>
                  </w14:solidFill>
                </w14:textFill>
              </w:rPr>
            </m:ctrlPr>
          </m:accPr>
          <m:e>
            <m:d>
              <m:dPr>
                <m:begChr m:val="‖"/>
                <m:endChr m:val="‖"/>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m:t>
                    </m:r>
                    <m:ctrlPr>
                      <w:rPr>
                        <w:rFonts w:ascii="Cambria Math" w:hAnsi="Cambria Math" w:cs="Times New Roman"/>
                        <w:i/>
                        <w:color w:val="000000" w:themeColor="text1"/>
                        <w:szCs w:val="22"/>
                        <w14:textFill>
                          <w14:solidFill>
                            <w14:schemeClr w14:val="tx1"/>
                          </w14:solidFill>
                        </w14:textFill>
                      </w:rPr>
                    </m:ctrlPr>
                  </m:sub>
                </m:sSub>
                <m:r>
                  <m:rPr>
                    <m:sty m:val="p"/>
                  </m:rPr>
                  <w:rPr>
                    <w:rFonts w:ascii="Cambria Math" w:hAnsi="Cambria Math" w:cs="Times New Roman"/>
                    <w:color w:val="000000" w:themeColor="text1"/>
                    <w:szCs w:val="22"/>
                    <w14:textFill>
                      <w14:solidFill>
                        <w14:schemeClr w14:val="tx1"/>
                      </w14:solidFill>
                    </w14:textFill>
                  </w:rPr>
                  <m:t>−</m:t>
                </m:r>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acc>
                <m:ctrlPr>
                  <w:rPr>
                    <w:rFonts w:ascii="Cambria Math" w:hAnsi="Cambria Math" w:cs="Times New Roman"/>
                    <w:i/>
                    <w:color w:val="000000" w:themeColor="text1"/>
                    <w:szCs w:val="22"/>
                    <w14:textFill>
                      <w14:solidFill>
                        <w14:schemeClr w14:val="tx1"/>
                      </w14:solidFill>
                    </w14:textFill>
                  </w:rPr>
                </m:ctrlPr>
              </m:e>
            </m:d>
            <m:ctrlPr>
              <w:rPr>
                <w:rFonts w:ascii="Cambria Math" w:hAnsi="Cambria Math" w:cs="Times New Roman"/>
                <w:i/>
                <w:color w:val="000000" w:themeColor="text1"/>
                <w:szCs w:val="22"/>
                <w14:textFill>
                  <w14:solidFill>
                    <w14:schemeClr w14:val="tx1"/>
                  </w14:solidFill>
                </w14:textFill>
              </w:rPr>
            </m:ctrlPr>
          </m:e>
        </m:acc>
      </m:oMath>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1 </w:t>
      </w:r>
      <w:r>
        <w:rPr>
          <w:rFonts w:cs="Times New Roman"/>
          <w:b/>
          <w:bCs/>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i</w:t>
      </w:r>
      <w:r>
        <w:rPr>
          <w:rFonts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j</w:t>
      </w:r>
      <w:r>
        <w:rPr>
          <w:rFonts w:cs="Times New Roman"/>
          <w:color w:val="000000" w:themeColor="text1"/>
          <w:szCs w:val="22"/>
          <w14:textFill>
            <w14:solidFill>
              <w14:schemeClr w14:val="tx1"/>
            </w14:solidFill>
          </w14:textFill>
        </w:rPr>
        <w:t xml:space="preserve"> </w:t>
      </w:r>
      <w:r>
        <w:rPr>
          <w:rFonts w:cs="Times New Roman"/>
          <w:b/>
          <w:bCs/>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 The larger the value of this proportion, the higher the overall similarity between ICMs at different time points. Furthermore, ITC with </w:t>
      </w:r>
      <w:r>
        <w:rPr>
          <w:rFonts w:hint="eastAsia" w:cs="Times New Roman"/>
          <w:color w:val="000000" w:themeColor="text1"/>
          <w:szCs w:val="22"/>
          <w14:textFill>
            <w14:solidFill>
              <w14:schemeClr w14:val="tx1"/>
            </w14:solidFill>
          </w14:textFill>
        </w:rPr>
        <w:t xml:space="preserve">different </w:t>
      </w:r>
      <w:r>
        <w:rPr>
          <w:rFonts w:cs="Times New Roman"/>
          <w:color w:val="000000" w:themeColor="text1"/>
          <w:szCs w:val="22"/>
          <w14:textFill>
            <w14:solidFill>
              <w14:schemeClr w14:val="tx1"/>
            </w14:solidFill>
          </w14:textFill>
        </w:rPr>
        <w:t>time-lags was also considered</w:t>
      </w:r>
      <w:r>
        <w:rPr>
          <w:rFonts w:hint="eastAsia" w:cs="Times New Roman"/>
          <w:color w:val="000000" w:themeColor="text1"/>
          <w:szCs w:val="22"/>
          <w14:textFill>
            <w14:solidFill>
              <w14:schemeClr w14:val="tx1"/>
            </w14:solidFill>
          </w14:textFill>
        </w:rPr>
        <w:t xml:space="preserve"> in this study</w:t>
      </w:r>
      <w:r>
        <w:rPr>
          <w:rFonts w:cs="Times New Roman"/>
          <w:color w:val="000000" w:themeColor="text1"/>
          <w:szCs w:val="22"/>
          <w14:textFill>
            <w14:solidFill>
              <w14:schemeClr w14:val="tx1"/>
            </w14:solidFill>
          </w14:textFill>
        </w:rPr>
        <w:t>: The similarities between ICMs (</w:t>
      </w:r>
      <m:oMath>
        <m:sSubSup>
          <m:sSubSupPr>
            <m:ctrlPr>
              <w:rPr>
                <w:rFonts w:ascii="Cambria Math" w:hAnsi="Cambria Math"/>
                <w:i/>
                <w:color w:val="000000" w:themeColor="text1"/>
                <w:szCs w:val="22"/>
                <w14:textFill>
                  <w14:solidFill>
                    <w14:schemeClr w14:val="tx1"/>
                  </w14:solidFill>
                </w14:textFill>
              </w:rPr>
            </m:ctrlPr>
          </m:sSubSupPr>
          <m:e>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e>
          <m:sub>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sup>
        </m:sSubSup>
      </m:oMath>
      <w:r>
        <w:rPr>
          <w:rFonts w:cs="Times New Roman"/>
          <w:color w:val="000000" w:themeColor="text1"/>
          <w:szCs w:val="22"/>
          <w14:textFill>
            <w14:solidFill>
              <w14:schemeClr w14:val="tx1"/>
            </w14:solidFill>
          </w14:textFill>
        </w:rPr>
        <w:t xml:space="preserve">), where time point </w:t>
      </w:r>
      <w:r>
        <w:rPr>
          <w:rFonts w:hint="eastAsia" w:cs="Times New Roman"/>
          <w:i/>
          <w:iCs/>
          <w:color w:val="000000" w:themeColor="text1"/>
          <w:szCs w:val="22"/>
          <w14:textFill>
            <w14:solidFill>
              <w14:schemeClr w14:val="tx1"/>
            </w14:solidFill>
          </w14:textFill>
        </w:rPr>
        <w:t xml:space="preserve">t </w:t>
      </w:r>
      <w:r>
        <w:rPr>
          <w:rFonts w:eastAsia="宋体" w:cs="Times New Roman"/>
          <w:i/>
          <w:iCs/>
          <w:color w:val="000000" w:themeColor="text1"/>
          <w:szCs w:val="22"/>
          <w14:textFill>
            <w14:solidFill>
              <w14:schemeClr w14:val="tx1"/>
            </w14:solidFill>
          </w14:textFill>
        </w:rPr>
        <w:t>∈</w:t>
      </w:r>
      <w:r>
        <w:rPr>
          <w:rFonts w:hint="eastAsia" w:eastAsia="宋体" w:cs="Times New Roman"/>
          <w:i/>
          <w:iCs/>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fldChar w:fldCharType="begin"/>
      </w:r>
      <w:r>
        <w:rPr>
          <w:rFonts w:cs="Times New Roman"/>
          <w:color w:val="000000" w:themeColor="text1"/>
          <w:szCs w:val="22"/>
          <w14:textFill>
            <w14:solidFill>
              <w14:schemeClr w14:val="tx1"/>
            </w14:solidFill>
          </w14:textFill>
        </w:rPr>
        <w:instrText xml:space="preserve"> QUOTE </w:instrText>
      </w:r>
      <w:r>
        <w:rPr>
          <w:rFonts w:cs="Times New Roman"/>
          <w:color w:val="000000" w:themeColor="text1"/>
          <w:szCs w:val="22"/>
          <w14:textFill>
            <w14:solidFill>
              <w14:schemeClr w14:val="tx1"/>
            </w14:solidFill>
          </w14:textFill>
        </w:rPr>
        <w:fldChar w:fldCharType="begin"/>
      </w:r>
      <w:r>
        <w:rPr>
          <w:rFonts w:cs="Times New Roman"/>
          <w:color w:val="000000" w:themeColor="text1"/>
          <w:szCs w:val="22"/>
          <w14:textFill>
            <w14:solidFill>
              <w14:schemeClr w14:val="tx1"/>
            </w14:solidFill>
          </w14:textFill>
        </w:rPr>
        <w:instrText xml:space="preserve"> QUOTE </w:instrText>
      </w:r>
      <w:r>
        <w:rPr>
          <w:rFonts w:cs="Times New Roman"/>
          <w:color w:val="000000" w:themeColor="text1"/>
          <w:szCs w:val="22"/>
          <w14:textFill>
            <w14:solidFill>
              <w14:schemeClr w14:val="tx1"/>
            </w14:solidFill>
          </w14:textFill>
        </w:rPr>
        <w:drawing>
          <wp:inline distT="0" distB="0" distL="114300" distR="114300">
            <wp:extent cx="279400" cy="177800"/>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79400" cy="177800"/>
                    </a:xfrm>
                    <a:prstGeom prst="rect">
                      <a:avLst/>
                    </a:prstGeom>
                    <a:noFill/>
                    <a:ln>
                      <a:noFill/>
                    </a:ln>
                  </pic:spPr>
                </pic:pic>
              </a:graphicData>
            </a:graphic>
          </wp:inline>
        </w:drawing>
      </w:r>
      <w:r>
        <w:rPr>
          <w:rFonts w:cs="Times New Roman"/>
          <w:color w:val="000000" w:themeColor="text1"/>
          <w:szCs w:val="22"/>
          <w14:textFill>
            <w14:solidFill>
              <w14:schemeClr w14:val="tx1"/>
            </w14:solidFill>
          </w14:textFill>
        </w:rPr>
        <w:instrText xml:space="preserve"> </w:instrText>
      </w:r>
      <w:r>
        <w:rPr>
          <w:rFonts w:cs="Times New Roman"/>
          <w:color w:val="000000" w:themeColor="text1"/>
          <w:szCs w:val="22"/>
          <w14:textFill>
            <w14:solidFill>
              <w14:schemeClr w14:val="tx1"/>
            </w14:solidFill>
          </w14:textFill>
        </w:rPr>
        <w:fldChar w:fldCharType="separate"/>
      </w:r>
      <w:r>
        <w:rPr>
          <w:rFonts w:cs="Times New Roman"/>
          <w:color w:val="000000" w:themeColor="text1"/>
          <w:szCs w:val="22"/>
          <w14:textFill>
            <w14:solidFill>
              <w14:schemeClr w14:val="tx1"/>
            </w14:solidFill>
          </w14:textFill>
        </w:rPr>
        <w:drawing>
          <wp:inline distT="0" distB="0" distL="114300" distR="114300">
            <wp:extent cx="279400" cy="177800"/>
            <wp:effectExtent l="0" t="0" r="0" b="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79400" cy="177800"/>
                    </a:xfrm>
                    <a:prstGeom prst="rect">
                      <a:avLst/>
                    </a:prstGeom>
                    <a:noFill/>
                    <a:ln>
                      <a:noFill/>
                    </a:ln>
                  </pic:spPr>
                </pic:pic>
              </a:graphicData>
            </a:graphic>
          </wp:inline>
        </w:drawing>
      </w:r>
      <w:r>
        <w:rPr>
          <w:rFonts w:cs="Times New Roman"/>
          <w:color w:val="000000" w:themeColor="text1"/>
          <w:szCs w:val="22"/>
          <w14:textFill>
            <w14:solidFill>
              <w14:schemeClr w14:val="tx1"/>
            </w14:solidFill>
          </w14:textFill>
        </w:rPr>
        <w:fldChar w:fldCharType="end"/>
      </w:r>
      <w:r>
        <w:rPr>
          <w:rFonts w:cs="Times New Roman"/>
          <w:color w:val="000000" w:themeColor="text1"/>
          <w:szCs w:val="22"/>
          <w14:textFill>
            <w14:solidFill>
              <w14:schemeClr w14:val="tx1"/>
            </w14:solidFill>
          </w14:textFill>
        </w:rPr>
        <w:instrText xml:space="preserve"> </w:instrText>
      </w:r>
      <w:r>
        <w:rPr>
          <w:rFonts w:cs="Times New Roman"/>
          <w:color w:val="000000" w:themeColor="text1"/>
          <w:szCs w:val="22"/>
          <w14:textFill>
            <w14:solidFill>
              <w14:schemeClr w14:val="tx1"/>
            </w14:solidFill>
          </w14:textFill>
        </w:rPr>
        <w:fldChar w:fldCharType="end"/>
      </w:r>
      <w:r>
        <w:rPr>
          <w:rFonts w:cs="Times New Roman"/>
          <w:color w:val="000000" w:themeColor="text1"/>
          <w:szCs w:val="22"/>
          <w14:textFill>
            <w14:solidFill>
              <w14:schemeClr w14:val="tx1"/>
            </w14:solidFill>
          </w14:textFill>
        </w:rPr>
        <w:t xml:space="preserve">and adjacent time point </w:t>
      </w:r>
      <m:oMath>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δ</m:t>
        </m:r>
        <m:r>
          <m:rPr>
            <m:nor/>
            <m:sty m:val="p"/>
          </m:rPr>
          <w:rPr>
            <w:rFonts w:cs="Times New Roman"/>
            <w:b w:val="0"/>
            <w:i w:val="0"/>
            <w:color w:val="000000" w:themeColor="text1"/>
            <w:szCs w:val="22"/>
            <w14:textFill>
              <w14:solidFill>
                <w14:schemeClr w14:val="tx1"/>
              </w14:solidFill>
            </w14:textFill>
          </w:rPr>
          <m:t xml:space="preserve">) </m:t>
        </m:r>
        <m:r>
          <m:rPr>
            <m:nor/>
          </m:rPr>
          <w:rPr>
            <w:rFonts w:hint="eastAsia" w:ascii="宋体" w:hAnsi="宋体" w:eastAsia="宋体" w:cs="宋体"/>
            <w:i/>
            <w:iCs/>
            <w:color w:val="000000" w:themeColor="text1"/>
            <w:szCs w:val="22"/>
            <w14:textFill>
              <w14:solidFill>
                <w14:schemeClr w14:val="tx1"/>
              </w14:solidFill>
            </w14:textFill>
          </w:rPr>
          <m:t>∈</m:t>
        </m:r>
        <m:r>
          <m:rPr>
            <m:nor/>
          </m:rPr>
          <w:rPr>
            <w:rFonts w:eastAsia="宋体" w:cs="Times New Roman"/>
            <w:i/>
            <w:iCs/>
            <w:color w:val="000000" w:themeColor="text1"/>
            <w:szCs w:val="22"/>
            <w14:textFill>
              <w14:solidFill>
                <w14:schemeClr w14:val="tx1"/>
              </w14:solidFill>
            </w14:textFill>
          </w:rPr>
          <m:t xml:space="preserve"> </m:t>
        </m:r>
        <m:d>
          <m:dPr>
            <m:begChr m:val="{"/>
            <m:endChr m:val="}"/>
            <m:ctrlPr>
              <w:rPr>
                <w:rFonts w:ascii="Cambria Math" w:hAnsi="Cambria Math" w:cs="Times New Roman"/>
                <w:i/>
                <w:color w:val="000000" w:themeColor="text1"/>
                <w:szCs w:val="22"/>
                <w14:textFill>
                  <w14:solidFill>
                    <w14:schemeClr w14:val="tx1"/>
                  </w14:solidFill>
                </w14:textFill>
              </w:rPr>
            </m:ctrlPr>
          </m:dPr>
          <m:e>
            <m:r>
              <m:rPr>
                <m:nor/>
                <m:sty m:val="p"/>
              </m:rPr>
              <w:rPr>
                <w:rFonts w:cs="Times New Roman"/>
                <w:b w:val="0"/>
                <w:i w:val="0"/>
                <w:color w:val="000000" w:themeColor="text1"/>
                <w:szCs w:val="22"/>
                <w14:textFill>
                  <w14:solidFill>
                    <w14:schemeClr w14:val="tx1"/>
                  </w14:solidFill>
                </w14:textFill>
              </w:rPr>
              <m:t>[1, max(1, </m:t>
            </m:r>
            <m:r>
              <m:rPr>
                <m:nor/>
              </m:rPr>
              <w:rPr>
                <w:rFonts w:cs="Times New Roman"/>
                <w:i/>
                <w:iCs/>
                <w:color w:val="000000" w:themeColor="text1"/>
                <w:szCs w:val="22"/>
                <w14:textFill>
                  <w14:solidFill>
                    <w14:schemeClr w14:val="tx1"/>
                  </w14:solidFill>
                </w14:textFill>
              </w:rPr>
              <m:t>t</m:t>
            </m:r>
            <m:r>
              <m:rPr>
                <m:sty m:val="p"/>
              </m:rPr>
              <w:rPr>
                <w:rFonts w:ascii="Cambria Math" w:hAnsi="Cambria Math"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τ</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d>
        <m:r>
          <m:rPr>
            <m:nor/>
            <m:sty m:val="p"/>
          </m:rPr>
          <w:rPr>
            <w:rFonts w:hint="eastAsia" w:ascii="宋体" w:hAnsi="宋体" w:eastAsia="宋体" w:cs="宋体"/>
            <w:b w:val="0"/>
            <w:i w:val="0"/>
            <w:color w:val="000000" w:themeColor="text1"/>
            <w:szCs w:val="22"/>
            <w14:textFill>
              <w14:solidFill>
                <w14:schemeClr w14:val="tx1"/>
              </w14:solidFill>
            </w14:textFill>
          </w:rPr>
          <m:t>∪</m:t>
        </m:r>
        <m:d>
          <m:dPr>
            <m:begChr m:val="{"/>
            <m:endChr m:val="}"/>
            <m:ctrlPr>
              <w:rPr>
                <w:rFonts w:ascii="Cambria Math" w:hAnsi="Cambria Math" w:cs="Times New Roman"/>
                <w:i/>
                <w:color w:val="000000" w:themeColor="text1"/>
                <w:szCs w:val="22"/>
                <w14:textFill>
                  <w14:solidFill>
                    <w14:schemeClr w14:val="tx1"/>
                  </w14:solidFill>
                </w14:textFill>
              </w:rPr>
            </m:ctrlPr>
          </m:dPr>
          <m:e>
            <m:r>
              <m:rPr>
                <m:nor/>
                <m:sty m:val="p"/>
              </m:rPr>
              <w:rPr>
                <w:rFonts w:cs="Times New Roman"/>
                <w:b w:val="0"/>
                <w:i w:val="0"/>
                <w:color w:val="000000" w:themeColor="text1"/>
                <w:szCs w:val="22"/>
                <w14:textFill>
                  <w14:solidFill>
                    <w14:schemeClr w14:val="tx1"/>
                  </w14:solidFill>
                </w14:textFill>
              </w:rPr>
              <m:t>[min(</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 </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τ</m:t>
            </m:r>
            <m:r>
              <m:rPr>
                <m:nor/>
                <m:sty m:val="p"/>
              </m:rPr>
              <w:rPr>
                <w:rFonts w:cs="Times New Roman"/>
                <w:b w:val="0"/>
                <w:i w:val="0"/>
                <w:color w:val="000000" w:themeColor="text1"/>
                <w:szCs w:val="22"/>
                <w14:textFill>
                  <w14:solidFill>
                    <w14:schemeClr w14:val="tx1"/>
                  </w14:solidFill>
                </w14:textFill>
              </w:rPr>
              <m:t>), </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d>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with the given time-lags τ (range: 1</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20 sec</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τ = 0 denotes no time-lags) were quantified for each subject as the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 between two ICMs at different time points:</w:t>
      </w:r>
    </w:p>
    <w:p>
      <w:pPr>
        <w:spacing w:before="156" w:beforeLines="50" w:line="480" w:lineRule="auto"/>
        <w:jc w:val="center"/>
        <w:rPr>
          <w:rFonts w:cs="Times New Roman"/>
          <w:color w:val="000000" w:themeColor="text1"/>
          <w:position w:val="-48"/>
          <w:szCs w:val="22"/>
          <w14:textFill>
            <w14:solidFill>
              <w14:schemeClr w14:val="tx1"/>
            </w14:solidFill>
          </w14:textFill>
        </w:rPr>
      </w:pPr>
      <m:oMathPara>
        <m:oMath>
          <m:sSubSup>
            <m:sSubSupPr>
              <m:ctrlPr>
                <w:rPr>
                  <w:rFonts w:ascii="Cambria Math" w:hAnsi="Cambria Math"/>
                  <w:i/>
                  <w:color w:val="000000" w:themeColor="text1"/>
                  <w:szCs w:val="22"/>
                  <w14:textFill>
                    <w14:solidFill>
                      <w14:schemeClr w14:val="tx1"/>
                    </w14:solidFill>
                  </w14:textFill>
                </w:rPr>
              </m:ctrlPr>
            </m:sSubSupPr>
            <m:e>
              <m:r>
                <m:rPr>
                  <m:nor/>
                </m:rPr>
                <w:rPr>
                  <w:i/>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t</m:t>
              </m:r>
              <m:r>
                <m:rPr>
                  <m:nor/>
                  <m:sty m:val="p"/>
                </m:rPr>
                <w:rPr>
                  <w:b w:val="0"/>
                  <w:i w:val="0"/>
                  <w:iCs/>
                  <w:color w:val="000000" w:themeColor="text1"/>
                  <w:szCs w:val="22"/>
                  <w14:textFill>
                    <w14:solidFill>
                      <w14:schemeClr w14:val="tx1"/>
                    </w14:solidFill>
                  </w14:textFill>
                </w:rPr>
                <m:t>,</m:t>
              </m:r>
              <m:r>
                <m:rPr>
                  <m:nor/>
                </m:rPr>
                <w:rPr>
                  <w:i/>
                  <w:color w:val="000000" w:themeColor="text1"/>
                  <w:szCs w:val="22"/>
                  <w14:textFill>
                    <w14:solidFill>
                      <w14:schemeClr w14:val="tx1"/>
                    </w14:solidFill>
                  </w14:textFill>
                </w:rPr>
                <m:t> t</m:t>
              </m:r>
              <m:r>
                <m:rPr>
                  <m:nor/>
                  <m:sty m:val="p"/>
                </m:rPr>
                <w:rPr>
                  <w:b w:val="0"/>
                  <w:i w:val="0"/>
                  <w:iCs/>
                  <w:color w:val="000000" w:themeColor="text1"/>
                  <w:szCs w:val="22"/>
                  <w14:textFill>
                    <w14:solidFill>
                      <w14:schemeClr w14:val="tx1"/>
                    </w14:solidFill>
                  </w14:textFill>
                </w:rPr>
                <m:t>+</m:t>
              </m:r>
              <m:r>
                <m:rPr>
                  <m:nor/>
                </m:rPr>
                <w:rPr>
                  <w:i/>
                  <w:color w:val="000000" w:themeColor="text1"/>
                  <w:szCs w:val="22"/>
                  <w14:textFill>
                    <w14:solidFill>
                      <w14:schemeClr w14:val="tx1"/>
                    </w14:solidFill>
                  </w14:textFill>
                </w:rPr>
                <m:t>δ</m:t>
              </m:r>
              <m:ctrlPr>
                <w:rPr>
                  <w:rFonts w:ascii="Cambria Math" w:hAnsi="Cambria Math"/>
                  <w:i/>
                  <w:color w:val="000000" w:themeColor="text1"/>
                  <w:szCs w:val="22"/>
                  <w14:textFill>
                    <w14:solidFill>
                      <w14:schemeClr w14:val="tx1"/>
                    </w14:solidFill>
                  </w14:textFill>
                </w:rPr>
              </m:ctrlPr>
            </m:sub>
            <m:sup>
              <m:r>
                <m:rPr>
                  <m:nor/>
                </m:rPr>
                <w:rPr>
                  <w:i/>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sup>
          </m:sSubSup>
          <m:r>
            <m:rPr>
              <m:nor/>
              <m:sty m:val="p"/>
            </m:rPr>
            <w:rPr>
              <w:b w:val="0"/>
              <w:i w:val="0"/>
              <w:color w:val="000000" w:themeColor="text1"/>
              <w:szCs w:val="22"/>
              <w14:textFill>
                <w14:solidFill>
                  <w14:schemeClr w14:val="tx1"/>
                </w14:solidFill>
              </w14:textFill>
            </w:rPr>
            <m:t>=</m:t>
          </m:r>
          <m:f>
            <m:fPr>
              <m:ctrlPr>
                <w:rPr>
                  <w:rFonts w:ascii="Cambria Math" w:hAnsi="Cambria Math"/>
                  <w:i/>
                  <w:color w:val="000000" w:themeColor="text1"/>
                  <w:szCs w:val="22"/>
                  <w14:textFill>
                    <w14:solidFill>
                      <w14:schemeClr w14:val="tx1"/>
                    </w14:solidFill>
                  </w14:textFill>
                </w:rPr>
              </m:ctrlPr>
            </m:fPr>
            <m:num>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b w:val="0"/>
                      <w:i w:val="0"/>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b w:val="0"/>
                      <w:i w:val="0"/>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b w:val="0"/>
                          <w:i w:val="0"/>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b w:val="0"/>
                              <w:i w:val="0"/>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num>
            <m:den>
              <m:rad>
                <m:radPr>
                  <m:degHide m:val="1"/>
                  <m:ctrlPr>
                    <w:rPr>
                      <w:rFonts w:ascii="Cambria Math" w:hAnsi="Cambria Math"/>
                      <w:i/>
                      <w:color w:val="000000" w:themeColor="text1"/>
                      <w:szCs w:val="22"/>
                      <w14:textFill>
                        <w14:solidFill>
                          <w14:schemeClr w14:val="tx1"/>
                        </w14:solidFill>
                      </w14:textFill>
                    </w:rPr>
                  </m:ctrlPr>
                </m:radPr>
                <m:deg>
                  <m:ctrlPr>
                    <w:rPr>
                      <w:rFonts w:ascii="Cambria Math" w:hAnsi="Cambria Math"/>
                      <w:i/>
                      <w:color w:val="000000" w:themeColor="text1"/>
                      <w:szCs w:val="22"/>
                      <w14:textFill>
                        <w14:solidFill>
                          <w14:schemeClr w14:val="tx1"/>
                        </w14:solidFill>
                      </w14:textFill>
                    </w:rPr>
                  </m:ctrlPr>
                </m:deg>
                <m:e>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b w:val="0"/>
                          <w:i w:val="0"/>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b w:val="0"/>
                          <w:i w:val="0"/>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sSup>
                        <m:sSupPr>
                          <m:ctrlPr>
                            <w:rPr>
                              <w:rFonts w:ascii="Cambria Math" w:hAnsi="Cambria Math"/>
                              <w:i/>
                              <w:color w:val="000000" w:themeColor="text1"/>
                              <w:szCs w:val="22"/>
                              <w14:textFill>
                                <w14:solidFill>
                                  <w14:schemeClr w14:val="tx1"/>
                                </w14:solidFill>
                              </w14:textFill>
                            </w:rPr>
                          </m:ctrlPr>
                        </m:sSupPr>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sup>
                          <m:r>
                            <m:rPr>
                              <m:nor/>
                              <m:sty m:val="p"/>
                            </m:rPr>
                            <w:rPr>
                              <w:b w:val="0"/>
                              <w:i w:val="0"/>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sup>
                      </m:sSup>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b w:val="0"/>
                              <w:i w:val="0"/>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b w:val="0"/>
                              <w:i w:val="0"/>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sSup>
                            <m:sSupPr>
                              <m:ctrlPr>
                                <w:rPr>
                                  <w:rFonts w:ascii="Cambria Math" w:hAnsi="Cambria Math"/>
                                  <w:i/>
                                  <w:color w:val="000000" w:themeColor="text1"/>
                                  <w:szCs w:val="22"/>
                                  <w14:textFill>
                                    <w14:solidFill>
                                      <w14:schemeClr w14:val="tx1"/>
                                    </w14:solidFill>
                                  </w14:textFill>
                                </w:rPr>
                              </m:ctrlPr>
                            </m:sSupPr>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b w:val="0"/>
                                      <w:i w:val="0"/>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b w:val="0"/>
                                          <w:i w:val="0"/>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sup>
                              <m:r>
                                <m:rPr>
                                  <m:nor/>
                                  <m:sty m:val="p"/>
                                </m:rPr>
                                <w:rPr>
                                  <w:b w:val="0"/>
                                  <w:i w:val="0"/>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sup>
                          </m:sSup>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e>
              </m:rad>
              <m:ctrlPr>
                <w:rPr>
                  <w:rFonts w:ascii="Cambria Math" w:hAnsi="Cambria Math"/>
                  <w:i/>
                  <w:color w:val="000000" w:themeColor="text1"/>
                  <w:szCs w:val="22"/>
                  <w14:textFill>
                    <w14:solidFill>
                      <w14:schemeClr w14:val="tx1"/>
                    </w14:solidFill>
                  </w14:textFill>
                </w:rPr>
              </m:ctrlPr>
            </m:den>
          </m:f>
        </m:oMath>
      </m:oMathPara>
    </w:p>
    <w:p>
      <w:pPr>
        <w:spacing w:before="156" w:beforeLines="50"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Where the time point</w:t>
      </w:r>
      <w:r>
        <w:rPr>
          <w:rFonts w:hint="eastAsia"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 xml:space="preserve">t </w:t>
      </w:r>
      <w:r>
        <w:rPr>
          <w:rFonts w:eastAsia="宋体" w:cs="Times New Roman"/>
          <w:i/>
          <w:iCs/>
          <w:color w:val="000000" w:themeColor="text1"/>
          <w:szCs w:val="22"/>
          <w14:textFill>
            <w14:solidFill>
              <w14:schemeClr w14:val="tx1"/>
            </w14:solidFill>
          </w14:textFill>
        </w:rPr>
        <w:t>∈</w:t>
      </w:r>
      <w:r>
        <w:rPr>
          <w:rFonts w:hint="eastAsia" w:eastAsia="宋体" w:cs="Times New Roman"/>
          <w:i/>
          <w:iCs/>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 = 140. We expressed all cases of adjacent time points respectively, and the formula is as follows:</w:t>
      </w:r>
    </w:p>
    <w:p>
      <w:pPr>
        <w:spacing w:before="156" w:beforeLines="50" w:line="480" w:lineRule="auto"/>
        <w:jc w:val="center"/>
        <w:rPr>
          <w:rFonts w:cs="Times New Roman"/>
          <w:color w:val="000000" w:themeColor="text1"/>
          <w:position w:val="-50"/>
          <w:szCs w:val="22"/>
          <w14:textFill>
            <w14:solidFill>
              <w14:schemeClr w14:val="tx1"/>
            </w14:solidFill>
          </w14:textFill>
        </w:rPr>
      </w:pPr>
      <m:oMathPara>
        <m:oMathParaPr>
          <m:jc m:val="center"/>
        </m:oMathParaPr>
        <m:oMath>
          <m:r>
            <m:rPr/>
            <w:rPr>
              <w:rFonts w:ascii="Cambria Math" w:hAnsi="Cambria Math"/>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sty m:val="p"/>
            </m:rPr>
            <w:rPr>
              <w:rFonts w:ascii="Cambria Math"/>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rPr>
            <w:rPr>
              <w:rFonts w:hint="eastAsia" w:ascii="宋体" w:hAnsi="宋体" w:cs="宋体"/>
              <w:i/>
              <w:iCs/>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eqArr>
                <m:eqArrPr>
                  <m:ctrlPr>
                    <w:rPr>
                      <w:rFonts w:ascii="Cambria Math" w:hAnsi="Cambria Math"/>
                      <w:i/>
                      <w:color w:val="000000" w:themeColor="text1"/>
                      <w:szCs w:val="22"/>
                      <w14:textFill>
                        <w14:solidFill>
                          <w14:schemeClr w14:val="tx1"/>
                        </w14:solidFill>
                      </w14:textFill>
                    </w:rPr>
                  </m:ctrlPr>
                </m:eqArrPr>
                <m:e>
                  <m:d>
                    <m:dPr>
                      <m:begChr m:val="{"/>
                      <m:endChr m:val="}"/>
                      <m:ctrlPr>
                        <w:rPr>
                          <w:rFonts w:ascii="Cambria Math" w:hAnsi="Cambria Math"/>
                          <w:i/>
                          <w:color w:val="000000" w:themeColor="text1"/>
                          <w:szCs w:val="22"/>
                          <w14:textFill>
                            <w14:solidFill>
                              <w14:schemeClr w14:val="tx1"/>
                            </w14:solidFill>
                          </w14:textFill>
                        </w:rPr>
                      </m:ctrlPr>
                    </m:dPr>
                    <m:e>
                      <m:r>
                        <m:rPr>
                          <m:nor/>
                          <m:sty m:val="p"/>
                        </m:rPr>
                        <w:rPr>
                          <w:b w:val="0"/>
                          <w:i w:val="0"/>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b w:val="0"/>
                      <w:i w:val="0"/>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sty m:val="p"/>
                        </m:rPr>
                        <w:rPr>
                          <w:rFonts w:ascii="Cambria Math" w:hAnsi="Cambria Math"/>
                          <w:b w:val="0"/>
                          <w:i w:val="0"/>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b w:val="0"/>
                      <w:i w:val="0"/>
                      <w:color w:val="000000" w:themeColor="text1"/>
                      <w:szCs w:val="22"/>
                      <w14:textFill>
                        <w14:solidFill>
                          <w14:schemeClr w14:val="tx1"/>
                        </w14:solidFill>
                      </w14:textFill>
                    </w:rPr>
                    <m:t> , </m:t>
                  </m:r>
                  <m:r>
                    <m:rPr>
                      <m:nor/>
                      <m:sty m:val="p"/>
                    </m:rPr>
                    <w:rPr>
                      <w:rFonts w:ascii="Cambria Math"/>
                      <w:b w:val="0"/>
                      <w:i w:val="0"/>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τ</m:t>
                  </m:r>
                  <m:r>
                    <m:rPr>
                      <m:nor/>
                    </m:rPr>
                    <w:rPr>
                      <w:rFonts w:ascii="Cambria Math"/>
                      <w:i/>
                      <w:iCs/>
                      <w:color w:val="000000" w:themeColor="text1"/>
                      <w:szCs w:val="22"/>
                      <w14:textFill>
                        <w14:solidFill>
                          <w14:schemeClr w14:val="tx1"/>
                        </w14:solidFill>
                      </w14:textFill>
                    </w:rPr>
                    <m:t> </m:t>
                  </m:r>
                  <m:r>
                    <m:rPr>
                      <m:nor/>
                      <m:sty m:val="p"/>
                    </m:rPr>
                    <w:rPr>
                      <w:rFonts w:ascii="Cambria Math"/>
                      <w:b w:val="0"/>
                      <w:i w:val="0"/>
                      <w:color w:val="000000" w:themeColor="text1"/>
                      <w:szCs w:val="22"/>
                      <w14:textFill>
                        <w14:solidFill>
                          <w14:schemeClr w14:val="tx1"/>
                        </w14:solidFill>
                      </w14:textFill>
                    </w:rPr>
                    <m:t>           </m:t>
                  </m:r>
                  <m:ctrlPr>
                    <w:rPr>
                      <w:rFonts w:ascii="Cambria Math" w:hAnsi="Cambria Math"/>
                      <w:i/>
                      <w:color w:val="000000" w:themeColor="text1"/>
                      <w:szCs w:val="22"/>
                      <w14:textFill>
                        <w14:solidFill>
                          <w14:schemeClr w14:val="tx1"/>
                        </w14:solidFill>
                      </w14:textFill>
                    </w:rPr>
                  </m:ctrlPr>
                </m:e>
                <m:e>
                  <m:d>
                    <m:dPr>
                      <m:begChr m:val="["/>
                      <m:endChr m:val="]"/>
                      <m:ctrlPr>
                        <w:rPr>
                          <w:rFonts w:ascii="Cambria Math" w:hAnsi="Cambria Math"/>
                          <w:i/>
                          <w:color w:val="000000" w:themeColor="text1"/>
                          <w:szCs w:val="22"/>
                          <w14:textFill>
                            <w14:solidFill>
                              <w14:schemeClr w14:val="tx1"/>
                            </w14:solidFill>
                          </w14:textFill>
                        </w:rPr>
                      </m:ctrlPr>
                    </m:dPr>
                    <m:e>
                      <m:r>
                        <m:rPr>
                          <m:nor/>
                          <m:sty m:val="p"/>
                        </m:rPr>
                        <w:rPr>
                          <w:b w:val="0"/>
                          <w:i w:val="0"/>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b w:val="0"/>
                      <w:i w:val="0"/>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sty m:val="p"/>
                        </m:rPr>
                        <w:rPr>
                          <w:rFonts w:ascii="Cambria Math" w:hAnsi="Cambria Math"/>
                          <w:b w:val="0"/>
                          <w:i w:val="0"/>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b w:val="0"/>
                      <w:i w:val="0"/>
                      <w:color w:val="000000" w:themeColor="text1"/>
                      <w:szCs w:val="22"/>
                      <w14:textFill>
                        <w14:solidFill>
                          <w14:schemeClr w14:val="tx1"/>
                        </w14:solidFill>
                      </w14:textFill>
                    </w:rPr>
                    <m:t> , </m:t>
                  </m:r>
                  <m:r>
                    <m:rPr>
                      <m:nor/>
                      <m:sty m:val="p"/>
                    </m:rPr>
                    <w:rPr>
                      <w:rFonts w:ascii="Cambria Math"/>
                      <w:b w:val="0"/>
                      <w:i w:val="0"/>
                      <w:color w:val="000000" w:themeColor="text1"/>
                      <w:szCs w:val="22"/>
                      <w14:textFill>
                        <w14:solidFill>
                          <w14:schemeClr w14:val="tx1"/>
                        </w14:solidFill>
                      </w14:textFill>
                    </w:rPr>
                    <m:t>  </m:t>
                  </m:r>
                  <m:r>
                    <m:rPr>
                      <m:nor/>
                      <m:sty m:val="p"/>
                    </m:rPr>
                    <w:rPr>
                      <w:b w:val="0"/>
                      <w:i w:val="0"/>
                      <w:color w:val="000000" w:themeColor="text1"/>
                      <w:szCs w:val="22"/>
                      <w14:textFill>
                        <w14:solidFill>
                          <w14:schemeClr w14:val="tx1"/>
                        </w14:solidFill>
                      </w14:textFill>
                    </w:rPr>
                    <m:t>τ</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&lt;</m:t>
                  </m:r>
                  <m:r>
                    <m:rPr>
                      <m:nor/>
                      <m:sty m:val="p"/>
                    </m:rPr>
                    <w:rPr>
                      <w:rFonts w:ascii="Cambria Math"/>
                      <w:b w:val="0"/>
                      <w:i w:val="0"/>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&lt;</m:t>
                  </m:r>
                  <m:r>
                    <m:rPr>
                      <m:nor/>
                      <m:sty m:val="p"/>
                    </m:rPr>
                    <w:rPr>
                      <w:rFonts w:ascii="Cambria Math"/>
                      <w:b w:val="0"/>
                      <w:i w:val="0"/>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e>
                  <m:d>
                    <m:dPr>
                      <m:begChr m:val="["/>
                      <m:endChr m:val="]"/>
                      <m:ctrlPr>
                        <w:rPr>
                          <w:rFonts w:ascii="Cambria Math" w:hAnsi="Cambria Math"/>
                          <w:i/>
                          <w:color w:val="000000" w:themeColor="text1"/>
                          <w:szCs w:val="22"/>
                          <w14:textFill>
                            <w14:solidFill>
                              <w14:schemeClr w14:val="tx1"/>
                            </w14:solidFill>
                          </w14:textFill>
                        </w:rPr>
                      </m:ctrlPr>
                    </m:dPr>
                    <m:e>
                      <m:r>
                        <m:rPr>
                          <m:nor/>
                          <m:sty m:val="p"/>
                        </m:rPr>
                        <w:rPr>
                          <w:b w:val="0"/>
                          <w:i w:val="0"/>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b w:val="0"/>
                      <w:i w:val="0"/>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b w:val="0"/>
                      <w:i w:val="0"/>
                      <w:color w:val="000000" w:themeColor="text1"/>
                      <w:szCs w:val="22"/>
                      <w14:textFill>
                        <w14:solidFill>
                          <w14:schemeClr w14:val="tx1"/>
                        </w14:solidFill>
                      </w14:textFill>
                    </w:rPr>
                    <m:t> , </m:t>
                  </m:r>
                  <m:r>
                    <m:rPr>
                      <m:nor/>
                      <m:sty m:val="p"/>
                    </m:rPr>
                    <w:rPr>
                      <w:rFonts w:ascii="Cambria Math"/>
                      <w:b w:val="0"/>
                      <w:i w:val="0"/>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b w:val="0"/>
                      <w:i w:val="0"/>
                      <w:color w:val="000000" w:themeColor="text1"/>
                      <w:szCs w:val="22"/>
                      <w14:textFill>
                        <w14:solidFill>
                          <w14:schemeClr w14:val="tx1"/>
                        </w14:solidFill>
                      </w14:textFill>
                    </w:rPr>
                    <m:t>τ</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m:t>
                  </m:r>
                  <m:r>
                    <m:rPr>
                      <m:nor/>
                      <m:sty m:val="p"/>
                    </m:rPr>
                    <w:rPr>
                      <w:rFonts w:ascii="Cambria Math"/>
                      <w:b w:val="0"/>
                      <w:i w:val="0"/>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m:t>
                  </m:r>
                  <m:r>
                    <m:rPr>
                      <m:nor/>
                      <m:sty m:val="p"/>
                    </m:rPr>
                    <w:rPr>
                      <w:rFonts w:ascii="Cambria Math"/>
                      <w:b w:val="0"/>
                      <w:i w:val="0"/>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ctrlPr>
                    <w:rPr>
                      <w:rFonts w:ascii="Cambria Math" w:hAnsi="Cambria Math"/>
                      <w:i/>
                      <w:color w:val="000000" w:themeColor="text1"/>
                      <w:szCs w:val="22"/>
                      <w14:textFill>
                        <w14:solidFill>
                          <w14:schemeClr w14:val="tx1"/>
                        </w14:solidFill>
                      </w14:textFill>
                    </w:rPr>
                  </m:ctrlPr>
                </m:e>
              </m:eqArr>
              <m:ctrlPr>
                <w:rPr>
                  <w:rFonts w:ascii="Cambria Math" w:hAnsi="Cambria Math"/>
                  <w:i/>
                  <w:color w:val="000000" w:themeColor="text1"/>
                  <w:szCs w:val="22"/>
                  <w14:textFill>
                    <w14:solidFill>
                      <w14:schemeClr w14:val="tx1"/>
                    </w14:solidFill>
                  </w14:textFill>
                </w:rPr>
              </m:ctrlPr>
            </m:e>
          </m:d>
        </m:oMath>
      </m:oMathPara>
    </w:p>
    <w:p>
      <w:pPr>
        <w:spacing w:before="156" w:beforeLines="50" w:line="480" w:lineRule="auto"/>
        <w:rPr>
          <w:rFonts w:cs="Times New Roman"/>
          <w:b/>
          <w:bCs/>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For all subjects in</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two groups, ITC without time-lag (τ = 0) and ITC with the given time-lags (τ = 1</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20 s) were extracted respectively.</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Validity of Intertemporal Closeness</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In the COBRE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dataset, the correlation coefficient between each ICM pair and the correlation coefficient between each ICM and av-FC were calculated for each subject. W</w:t>
      </w:r>
      <w:r>
        <w:rPr>
          <w:rFonts w:cs="Times New Roman"/>
          <w:color w:val="000000" w:themeColor="text1"/>
          <w:szCs w:val="22"/>
          <w14:textFill>
            <w14:solidFill>
              <w14:schemeClr w14:val="tx1"/>
            </w14:solidFill>
          </w14:textFill>
        </w:rPr>
        <w:t xml:space="preserve">e </w:t>
      </w:r>
      <w:r>
        <w:rPr>
          <w:rFonts w:hint="eastAsia" w:cs="Times New Roman"/>
          <w:color w:val="000000" w:themeColor="text1"/>
          <w:szCs w:val="22"/>
          <w14:textFill>
            <w14:solidFill>
              <w14:schemeClr w14:val="tx1"/>
            </w14:solidFill>
          </w14:textFill>
        </w:rPr>
        <w:t xml:space="preserve">then </w:t>
      </w:r>
      <w:r>
        <w:rPr>
          <w:rFonts w:cs="Times New Roman"/>
          <w:color w:val="000000" w:themeColor="text1"/>
          <w:szCs w:val="22"/>
          <w14:textFill>
            <w14:solidFill>
              <w14:schemeClr w14:val="tx1"/>
            </w14:solidFill>
          </w14:textFill>
        </w:rPr>
        <w:t>found that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the distribution of correlation coefficient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among</w:t>
      </w:r>
      <w:r>
        <w:rPr>
          <w:rFonts w:cs="Times New Roman"/>
          <w:color w:val="000000" w:themeColor="text1"/>
          <w:szCs w:val="22"/>
          <w14:textFill>
            <w14:solidFill>
              <w14:schemeClr w14:val="tx1"/>
            </w14:solidFill>
          </w14:textFill>
        </w:rPr>
        <w:t xml:space="preserve"> ICM pairs showed an extreme right</w:t>
      </w:r>
      <w:r>
        <w:rPr>
          <w:rFonts w:hint="eastAsia" w:cs="Times New Roman"/>
          <w:color w:val="000000" w:themeColor="text1"/>
          <w:szCs w:val="22"/>
          <w14:textFill>
            <w14:solidFill>
              <w14:schemeClr w14:val="tx1"/>
            </w14:solidFill>
          </w14:textFill>
        </w:rPr>
        <w:t>-skewed distribution</w:t>
      </w:r>
      <w:r>
        <w:rPr>
          <w:rFonts w:cs="Times New Roman"/>
          <w:color w:val="000000" w:themeColor="text1"/>
          <w:szCs w:val="22"/>
          <w14:textFill>
            <w14:solidFill>
              <w14:schemeClr w14:val="tx1"/>
            </w14:solidFill>
          </w14:textFill>
        </w:rPr>
        <w:t>, mainly distributed between 0</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0.2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here </w:t>
      </w:r>
      <w:r>
        <w:rPr>
          <w:rFonts w:hint="eastAsia" w:cs="Times New Roman"/>
          <w:color w:val="000000" w:themeColor="text1"/>
          <w:szCs w:val="22"/>
          <w14:textFill>
            <w14:solidFill>
              <w14:schemeClr w14:val="tx1"/>
            </w14:solidFill>
          </w14:textFill>
        </w:rPr>
        <w:t>were</w:t>
      </w:r>
      <w:r>
        <w:rPr>
          <w:rFonts w:cs="Times New Roman"/>
          <w:color w:val="000000" w:themeColor="text1"/>
          <w:szCs w:val="22"/>
          <w14:textFill>
            <w14:solidFill>
              <w14:schemeClr w14:val="tx1"/>
            </w14:solidFill>
          </w14:textFill>
        </w:rPr>
        <w:t xml:space="preserve"> very few ICM pairs with high correlation coefficients, and the median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very low (</w:t>
      </w:r>
      <w:r>
        <w:rPr>
          <w:rFonts w:hint="eastAsia" w:cs="Times New Roman"/>
          <w:color w:val="000000" w:themeColor="text1"/>
          <w:szCs w:val="22"/>
          <w14:textFill>
            <w14:solidFill>
              <w14:schemeClr w14:val="tx1"/>
            </w14:solidFill>
          </w14:textFill>
        </w:rPr>
        <w:t xml:space="preserve">SZ: </w:t>
      </w:r>
      <w:r>
        <w:rPr>
          <w:rFonts w:cs="Times New Roman"/>
          <w:color w:val="000000" w:themeColor="text1"/>
          <w:szCs w:val="22"/>
          <w14:textFill>
            <w14:solidFill>
              <w14:schemeClr w14:val="tx1"/>
            </w14:solidFill>
          </w14:textFill>
        </w:rPr>
        <w:t>0.1057</w:t>
      </w:r>
      <w:r>
        <w:rPr>
          <w:rFonts w:hint="eastAsia" w:cs="Times New Roman"/>
          <w:color w:val="000000" w:themeColor="text1"/>
          <w:szCs w:val="22"/>
          <w14:textFill>
            <w14:solidFill>
              <w14:schemeClr w14:val="tx1"/>
            </w14:solidFill>
          </w14:textFill>
        </w:rPr>
        <w:t xml:space="preserve">, HC: </w:t>
      </w:r>
      <w:r>
        <w:rPr>
          <w:rFonts w:cs="Times New Roman"/>
          <w:color w:val="000000" w:themeColor="text1"/>
          <w:szCs w:val="22"/>
          <w14:textFill>
            <w14:solidFill>
              <w14:schemeClr w14:val="tx1"/>
            </w14:solidFill>
          </w14:textFill>
        </w:rPr>
        <w:t xml:space="preserve">0.1133 respectively, both around 0.1, </w:t>
      </w:r>
      <w:r>
        <w:rPr>
          <w:rFonts w:hint="eastAsia" w:cs="Times New Roman"/>
          <w:color w:val="000000" w:themeColor="text1"/>
          <w:szCs w:val="22"/>
          <w14:textFill>
            <w14:solidFill>
              <w14:schemeClr w14:val="tx1"/>
            </w14:solidFill>
          </w14:textFill>
        </w:rPr>
        <w:t>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1</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a</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and </w:t>
      </w:r>
      <w:r>
        <w:rPr>
          <w:rFonts w:hint="eastAsia" w:cs="Times New Roman"/>
          <w:color w:val="000000" w:themeColor="text1"/>
          <w:szCs w:val="22"/>
          <w14:textFill>
            <w14:solidFill>
              <w14:schemeClr w14:val="tx1"/>
            </w14:solidFill>
          </w14:textFill>
        </w:rPr>
        <w:t>S1(</w:t>
      </w:r>
      <w:r>
        <w:rPr>
          <w:rFonts w:cs="Times New Roman"/>
          <w:color w:val="000000" w:themeColor="text1"/>
          <w:szCs w:val="22"/>
          <w14:textFill>
            <w14:solidFill>
              <w14:schemeClr w14:val="tx1"/>
            </w14:solidFill>
          </w14:textFill>
        </w:rPr>
        <w:t>b</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Furthermore, there was a very high correlation (r &gt; 0.5) between each ICM and its neighbors (Figure S1(e) and S1(f)). On the other hand, correlation coefficients between each ICM and av-FC were approximatively normally distributed with an average value around 0.4222 and 0.4282 (Figure S1(c) and S1(d)). In the </w:t>
      </w:r>
      <w:r>
        <w:rPr>
          <w:rFonts w:cs="Times New Roman"/>
          <w:color w:val="000000" w:themeColor="text1"/>
          <w:szCs w:val="22"/>
          <w14:textFill>
            <w14:solidFill>
              <w14:schemeClr w14:val="tx1"/>
            </w14:solidFill>
          </w14:textFill>
        </w:rPr>
        <w:t xml:space="preserve">OpenfMRI </w:t>
      </w:r>
      <w:r>
        <w:rPr>
          <w:rFonts w:hint="eastAsia" w:cs="Times New Roman"/>
          <w:color w:val="000000" w:themeColor="text1"/>
          <w:szCs w:val="22"/>
          <w14:textFill>
            <w14:solidFill>
              <w14:schemeClr w14:val="tx1"/>
            </w14:solidFill>
          </w14:textFill>
        </w:rPr>
        <w:t xml:space="preserve">dataset, the distribution of correlation coefficients among ICM pairs was monotonously decreasing with a very low median ( SZ: 0.0936, HC: 0.1002 </w:t>
      </w:r>
      <w:r>
        <w:rPr>
          <w:rFonts w:cs="Times New Roman"/>
          <w:color w:val="000000" w:themeColor="text1"/>
          <w:szCs w:val="22"/>
          <w14:textFill>
            <w14:solidFill>
              <w14:schemeClr w14:val="tx1"/>
            </w14:solidFill>
          </w14:textFill>
        </w:rPr>
        <w:t>respectively,</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both</w:t>
      </w:r>
      <w:r>
        <w:rPr>
          <w:rFonts w:hint="eastAsia" w:cs="Times New Roman"/>
          <w:color w:val="000000" w:themeColor="text1"/>
          <w:szCs w:val="22"/>
          <w14:textFill>
            <w14:solidFill>
              <w14:schemeClr w14:val="tx1"/>
            </w14:solidFill>
          </w14:textFill>
        </w:rPr>
        <w:t xml:space="preserve"> around 0.1), mainly distributed between 0 and 0.2. And the correlation coefficients were also very high between each ICM and its neighbors (r &gt; 0.5). Correlation coefficients between each ICM and av-FC were approximatively normally distributed with an average value around 0.41 (SZ: 0.4092, HC: 0.4148). The overall analysis of ICM and av-FC was roughly the same as the COBRE dataset (Figure S2). In other words, the ITC in this study built on both static and dynamic components (the static component meant that the similarity between ICMs was measured by Pearson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 correlation coefficient, and the dynamic component meant that ICMs was used to characterize the dynamic FC (dFC) between all brain regions at each time point). From Figure S1 and Figure S2, the average correlation coefficient between ICM pairs was much lower than the average correlation coefficient between each ICM and av-FC, and the correlation between each ICM and its neighbors was much higher. Therefore, it was reasonable to explore ITC with different time-lags and use it to measure the fluctuation or stability of dFC over time. The lower ITC value indicated that the temporal state of the whole-brain fluctuates greatly during the scanning, while the higher ITC value indicated that the temporal state between brain regions was more stable.</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Definition of the Dynamic Local Features</w:t>
      </w:r>
    </w:p>
    <w:p>
      <w:pPr>
        <w:autoSpaceDE w:val="0"/>
        <w:spacing w:before="156" w:beforeLines="50"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Strength of Functional Connectivity</w:t>
      </w:r>
      <w:r>
        <w:rPr>
          <w:rFonts w:hint="eastAsia"/>
          <w:b/>
          <w:bCs/>
          <w:color w:val="000000" w:themeColor="text1"/>
          <w:szCs w:val="22"/>
          <w14:textFill>
            <w14:solidFill>
              <w14:schemeClr w14:val="tx1"/>
            </w14:solidFill>
          </w14:textFill>
        </w:rPr>
        <w:t xml:space="preserve"> (sFC)</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The strength of FC (sFC) between any pair of brain regions was defined by averaging the ICM at all time points, in other words, sFC was defined as the mean matrix of ICMs at all time points:</w:t>
      </w:r>
    </w:p>
    <w:p>
      <w:pPr>
        <w:autoSpaceDE w:val="0"/>
        <w:spacing w:before="156" w:beforeLines="50" w:line="480" w:lineRule="auto"/>
        <w:jc w:val="center"/>
        <w:rPr>
          <w:rFonts w:cs="Times New Roman"/>
          <w:color w:val="000000" w:themeColor="text1"/>
          <w:szCs w:val="22"/>
          <w14:textFill>
            <w14:solidFill>
              <w14:schemeClr w14:val="tx1"/>
            </w14:solidFill>
          </w14:textFill>
        </w:rPr>
      </w:pPr>
      <m:oMathPara>
        <m:oMath>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sFC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b w:val="0"/>
              <w:i w:val="0"/>
              <w:color w:val="000000" w:themeColor="text1"/>
              <w:szCs w:val="22"/>
              <w14:textFill>
                <w14:solidFill>
                  <w14:schemeClr w14:val="tx1"/>
                </w14:solidFill>
              </w14:textFill>
            </w:rPr>
            <m:t xml:space="preserve"> </m:t>
          </m:r>
          <m:r>
            <m:rPr>
              <m:nor/>
              <m:sty m:val="p"/>
            </m:rPr>
            <w:rPr>
              <w:rFonts w:cs="Times New Roman"/>
              <w:b w:val="0"/>
              <w:i w:val="0"/>
              <w:color w:val="000000" w:themeColor="text1"/>
              <w:szCs w:val="22"/>
              <w14:textFill>
                <w14:solidFill>
                  <w14:schemeClr w14:val="tx1"/>
                </w14:solidFill>
              </w14:textFill>
            </w:rPr>
            <m:t>=</m:t>
          </m:r>
          <m:r>
            <m:rPr>
              <m:nor/>
              <m:sty m:val="p"/>
            </m:rPr>
            <w:rPr>
              <w:rFonts w:ascii="Cambria Math" w:cs="Times New Roman"/>
              <w:b w:val="0"/>
              <w:i w:val="0"/>
              <w:color w:val="000000" w:themeColor="text1"/>
              <w:szCs w:val="22"/>
              <w14:textFill>
                <w14:solidFill>
                  <w14:schemeClr w14:val="tx1"/>
                </w14:solidFill>
              </w14:textFill>
            </w:rPr>
            <m:t xml:space="preserve"> </m:t>
          </m:r>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iCs/>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iCs/>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oMath>
      </m:oMathPara>
    </w:p>
    <w:p>
      <w:pPr>
        <w:autoSpaceDE w:val="0"/>
        <w:spacing w:before="156" w:beforeLines="50" w:line="480" w:lineRule="auto"/>
        <w:rPr>
          <w:b/>
          <w:bCs/>
          <w:color w:val="000000" w:themeColor="text1"/>
          <w:szCs w:val="22"/>
          <w14:textFill>
            <w14:solidFill>
              <w14:schemeClr w14:val="tx1"/>
            </w14:solidFill>
          </w14:textFill>
        </w:rPr>
      </w:pPr>
      <w:r>
        <w:rPr>
          <w:color w:val="000000" w:themeColor="text1"/>
          <w:szCs w:val="22"/>
          <w14:textFill>
            <w14:solidFill>
              <w14:schemeClr w14:val="tx1"/>
            </w14:solidFill>
          </w14:textFill>
        </w:rPr>
        <w:t>Where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and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are ind</w:t>
      </w:r>
      <w:r>
        <w:rPr>
          <w:color w:val="000000" w:themeColor="text1"/>
          <w:szCs w:val="22"/>
          <w14:textFill>
            <w14:solidFill>
              <w14:schemeClr w14:val="tx1"/>
            </w14:solidFill>
          </w14:textFill>
        </w:rPr>
        <w:t>ices</w:t>
      </w:r>
      <w:r>
        <w:rPr>
          <w:rFonts w:hint="eastAsia"/>
          <w:color w:val="000000" w:themeColor="text1"/>
          <w:szCs w:val="22"/>
          <w14:textFill>
            <w14:solidFill>
              <w14:schemeClr w14:val="tx1"/>
            </w14:solidFill>
          </w14:textFill>
        </w:rPr>
        <w:t xml:space="preserve"> of </w:t>
      </w:r>
      <w:r>
        <w:rPr>
          <w:color w:val="000000" w:themeColor="text1"/>
          <w:szCs w:val="22"/>
          <w14:textFill>
            <w14:solidFill>
              <w14:schemeClr w14:val="tx1"/>
            </w14:solidFill>
          </w14:textFill>
        </w:rPr>
        <w:t xml:space="preserve">each </w:t>
      </w:r>
      <w:r>
        <w:rPr>
          <w:rFonts w:hint="eastAsia"/>
          <w:color w:val="000000" w:themeColor="text1"/>
          <w:szCs w:val="22"/>
          <w14:textFill>
            <w14:solidFill>
              <w14:schemeClr w14:val="tx1"/>
            </w14:solidFill>
          </w14:textFill>
        </w:rPr>
        <w:t>ROI (</w:t>
      </w:r>
      <w:r>
        <w:rPr>
          <w:color w:val="000000" w:themeColor="text1"/>
          <w:szCs w:val="22"/>
          <w14:textFill>
            <w14:solidFill>
              <w14:schemeClr w14:val="tx1"/>
            </w14:solidFill>
          </w14:textFill>
        </w:rPr>
        <w:t xml:space="preserve">1 ≤ </w:t>
      </w:r>
      <w:r>
        <w:rPr>
          <w:i/>
          <w:iCs/>
          <w:color w:val="000000" w:themeColor="text1"/>
          <w:szCs w:val="22"/>
          <w14:textFill>
            <w14:solidFill>
              <w14:schemeClr w14:val="tx1"/>
            </w14:solidFill>
          </w14:textFill>
        </w:rPr>
        <w:t>i</w:t>
      </w:r>
      <w:r>
        <w:rPr>
          <w:color w:val="000000" w:themeColor="text1"/>
          <w:szCs w:val="22"/>
          <w14:textFill>
            <w14:solidFill>
              <w14:schemeClr w14:val="tx1"/>
            </w14:solidFill>
          </w14:textFill>
        </w:rPr>
        <w:t xml:space="preserve">, </w:t>
      </w:r>
      <w:r>
        <w:rPr>
          <w:i/>
          <w:iCs/>
          <w:color w:val="000000" w:themeColor="text1"/>
          <w:szCs w:val="22"/>
          <w14:textFill>
            <w14:solidFill>
              <w14:schemeClr w14:val="tx1"/>
            </w14:solidFill>
          </w14:textFill>
        </w:rPr>
        <w:t>j</w:t>
      </w:r>
      <w:r>
        <w:rPr>
          <w:color w:val="000000" w:themeColor="text1"/>
          <w:szCs w:val="22"/>
          <w14:textFill>
            <w14:solidFill>
              <w14:schemeClr w14:val="tx1"/>
            </w14:solidFill>
          </w14:textFill>
        </w:rPr>
        <w:t xml:space="preserve"> ≤ 90</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 xml:space="preserve">T </w:t>
      </w:r>
      <w:r>
        <w:rPr>
          <w:rFonts w:hint="eastAsia"/>
          <w:color w:val="000000" w:themeColor="text1"/>
          <w:szCs w:val="22"/>
          <w14:textFill>
            <w14:solidFill>
              <w14:schemeClr w14:val="tx1"/>
            </w14:solidFill>
          </w14:textFill>
        </w:rPr>
        <w:t>denotes</w:t>
      </w:r>
      <w:r>
        <w:rPr>
          <w:rFonts w:hint="eastAsia"/>
          <w:i/>
          <w:iCs/>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total time points</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 140 and 142 respectively in two datasets)</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T</w:t>
      </w:r>
      <w:r>
        <w:rPr>
          <w:color w:val="000000" w:themeColor="text1"/>
          <w:szCs w:val="22"/>
          <w14:textFill>
            <w14:solidFill>
              <w14:schemeClr w14:val="tx1"/>
            </w14:solidFill>
          </w14:textFill>
        </w:rPr>
        <w:t>hus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the 90 × 90 matrix of </w:t>
      </w:r>
      <w:r>
        <w:rPr>
          <w:rFonts w:hint="eastAsia"/>
          <w:color w:val="000000" w:themeColor="text1"/>
          <w:szCs w:val="22"/>
          <w14:textFill>
            <w14:solidFill>
              <w14:schemeClr w14:val="tx1"/>
            </w14:solidFill>
          </w14:textFill>
        </w:rPr>
        <w:t xml:space="preserve">sFC </w:t>
      </w:r>
      <w:r>
        <w:rPr>
          <w:color w:val="000000" w:themeColor="text1"/>
          <w:szCs w:val="22"/>
          <w14:textFill>
            <w14:solidFill>
              <w14:schemeClr w14:val="tx1"/>
            </w14:solidFill>
          </w14:textFill>
        </w:rPr>
        <w:t>could be obtain</w:t>
      </w:r>
      <w:r>
        <w:rPr>
          <w:rFonts w:hint="eastAsia"/>
          <w:color w:val="000000" w:themeColor="text1"/>
          <w:szCs w:val="22"/>
          <w14:textFill>
            <w14:solidFill>
              <w14:schemeClr w14:val="tx1"/>
            </w14:solidFill>
          </w14:textFill>
        </w:rPr>
        <w:t xml:space="preserve">ed </w:t>
      </w:r>
      <w:r>
        <w:rPr>
          <w:color w:val="000000" w:themeColor="text1"/>
          <w:szCs w:val="22"/>
          <w14:textFill>
            <w14:solidFill>
              <w14:schemeClr w14:val="tx1"/>
            </w14:solidFill>
          </w14:textFill>
        </w:rPr>
        <w:t>for each subject.</w:t>
      </w:r>
    </w:p>
    <w:p>
      <w:pPr>
        <w:autoSpaceDE w:val="0"/>
        <w:spacing w:before="156" w:beforeLines="50"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Variability of Functional Connectivity</w:t>
      </w:r>
      <w:r>
        <w:rPr>
          <w:rFonts w:hint="eastAsia"/>
          <w:b/>
          <w:bCs/>
          <w:color w:val="000000" w:themeColor="text1"/>
          <w:szCs w:val="22"/>
          <w14:textFill>
            <w14:solidFill>
              <w14:schemeClr w14:val="tx1"/>
            </w14:solidFill>
          </w14:textFill>
        </w:rPr>
        <w:t xml:space="preserve"> (vFC)</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 xml:space="preserve">he variability of </w:t>
      </w:r>
      <w:r>
        <w:rPr>
          <w:rFonts w:hint="eastAsia"/>
          <w:color w:val="000000" w:themeColor="text1"/>
          <w:szCs w:val="22"/>
          <w14:textFill>
            <w14:solidFill>
              <w14:schemeClr w14:val="tx1"/>
            </w14:solidFill>
          </w14:textFill>
        </w:rPr>
        <w:t>FC</w:t>
      </w:r>
      <w:r>
        <w:rPr>
          <w:color w:val="000000" w:themeColor="text1"/>
          <w:szCs w:val="22"/>
          <w14:textFill>
            <w14:solidFill>
              <w14:schemeClr w14:val="tx1"/>
            </w14:solidFill>
          </w14:textFill>
        </w:rPr>
        <w:t xml:space="preserve"> (vFC) </w:t>
      </w:r>
      <w:r>
        <w:rPr>
          <w:rFonts w:hint="eastAsia"/>
          <w:color w:val="000000" w:themeColor="text1"/>
          <w:szCs w:val="22"/>
          <w14:textFill>
            <w14:solidFill>
              <w14:schemeClr w14:val="tx1"/>
            </w14:solidFill>
          </w14:textFill>
        </w:rPr>
        <w:t>was</w:t>
      </w:r>
      <w:r>
        <w:rPr>
          <w:color w:val="000000" w:themeColor="text1"/>
          <w:szCs w:val="22"/>
          <w14:textFill>
            <w14:solidFill>
              <w14:schemeClr w14:val="tx1"/>
            </w14:solidFill>
          </w14:textFill>
        </w:rPr>
        <w:t xml:space="preserve"> defined </w:t>
      </w:r>
      <w:r>
        <w:rPr>
          <w:rFonts w:hint="eastAsia"/>
          <w:color w:val="000000" w:themeColor="text1"/>
          <w:szCs w:val="22"/>
          <w14:textFill>
            <w14:solidFill>
              <w14:schemeClr w14:val="tx1"/>
            </w14:solidFill>
          </w14:textFill>
        </w:rPr>
        <w:t>to describe</w:t>
      </w:r>
      <w:r>
        <w:rPr>
          <w:color w:val="000000" w:themeColor="text1"/>
          <w:szCs w:val="22"/>
          <w14:textFill>
            <w14:solidFill>
              <w14:schemeClr w14:val="tx1"/>
            </w14:solidFill>
          </w14:textFill>
        </w:rPr>
        <w:t xml:space="preserve"> the dispersion </w:t>
      </w:r>
      <w:r>
        <w:rPr>
          <w:rFonts w:hint="eastAsia"/>
          <w:color w:val="000000" w:themeColor="text1"/>
          <w:szCs w:val="22"/>
          <w14:textFill>
            <w14:solidFill>
              <w14:schemeClr w14:val="tx1"/>
            </w14:solidFill>
          </w14:textFill>
        </w:rPr>
        <w:t xml:space="preserve">degree or fluctuation </w:t>
      </w:r>
      <w:r>
        <w:rPr>
          <w:color w:val="000000" w:themeColor="text1"/>
          <w:szCs w:val="22"/>
          <w14:textFill>
            <w14:solidFill>
              <w14:schemeClr w14:val="tx1"/>
            </w14:solidFill>
          </w14:textFill>
        </w:rPr>
        <w:t xml:space="preserve">of the dFC </w:t>
      </w:r>
      <w:r>
        <w:rPr>
          <w:rFonts w:hint="eastAsia"/>
          <w:color w:val="000000" w:themeColor="text1"/>
          <w:szCs w:val="22"/>
          <w14:textFill>
            <w14:solidFill>
              <w14:schemeClr w14:val="tx1"/>
            </w14:solidFill>
          </w14:textFill>
        </w:rPr>
        <w:t xml:space="preserve">(i.e., sample variance / sample mean) </w:t>
      </w:r>
      <w:r>
        <w:rPr>
          <w:color w:val="000000" w:themeColor="text1"/>
          <w:szCs w:val="22"/>
          <w14:textFill>
            <w14:solidFill>
              <w14:schemeClr w14:val="tx1"/>
            </w14:solidFill>
          </w14:textFill>
        </w:rPr>
        <w:t>at all time points between any pair</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of brain regions</w:t>
      </w:r>
      <w:r>
        <w:rPr>
          <w:rFonts w:hint="eastAsia"/>
          <w:color w:val="000000" w:themeColor="text1"/>
          <w:szCs w:val="22"/>
          <w14:textFill>
            <w14:solidFill>
              <w14:schemeClr w14:val="tx1"/>
            </w14:solidFill>
          </w14:textFill>
        </w:rPr>
        <w:t>:</w:t>
      </w:r>
    </w:p>
    <w:p>
      <w:pPr>
        <w:autoSpaceDE w:val="0"/>
        <w:spacing w:before="156" w:beforeLines="50" w:line="480" w:lineRule="auto"/>
        <w:jc w:val="center"/>
        <w:rPr>
          <w:color w:val="000000" w:themeColor="text1"/>
          <w:szCs w:val="22"/>
          <w14:textFill>
            <w14:solidFill>
              <w14:schemeClr w14:val="tx1"/>
            </w14:solidFill>
          </w14:textFill>
        </w:rPr>
      </w:pPr>
      <m:oMathPara>
        <m:oMath>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vFC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b w:val="0"/>
              <w:i w:val="0"/>
              <w:color w:val="000000" w:themeColor="text1"/>
              <w:szCs w:val="22"/>
              <w14:textFill>
                <w14:solidFill>
                  <w14:schemeClr w14:val="tx1"/>
                </w14:solidFill>
              </w14:textFill>
            </w:rPr>
            <m:t xml:space="preserve"> </m:t>
          </m:r>
          <m:r>
            <m:rPr>
              <m:nor/>
              <m:sty m:val="p"/>
            </m:rPr>
            <w:rPr>
              <w:rFonts w:cs="Times New Roman"/>
              <w:b w:val="0"/>
              <w:i w:val="0"/>
              <w:color w:val="000000" w:themeColor="text1"/>
              <w:szCs w:val="22"/>
              <w14:textFill>
                <w14:solidFill>
                  <w14:schemeClr w14:val="tx1"/>
                </w14:solidFill>
              </w14:textFill>
            </w:rPr>
            <m:t>=</m:t>
          </m:r>
          <m:r>
            <m:rPr>
              <m:nor/>
              <m:sty m:val="p"/>
            </m:rPr>
            <w:rPr>
              <w:rFonts w:ascii="Cambria Math" w:cs="Times New Roman"/>
              <w:b w:val="0"/>
              <w:i w:val="0"/>
              <w:color w:val="000000" w:themeColor="text1"/>
              <w:szCs w:val="22"/>
              <w14:textFill>
                <w14:solidFill>
                  <w14:schemeClr w14:val="tx1"/>
                </w14:solidFill>
              </w14:textFill>
            </w:rPr>
            <m:t xml:space="preserve"> </m:t>
          </m:r>
          <m:f>
            <m:fPr>
              <m:type m:val="lin"/>
              <m:ctrlPr>
                <w:rPr>
                  <w:rFonts w:ascii="Cambria Math" w:cs="Times New Roman"/>
                  <w:i/>
                  <w:color w:val="000000" w:themeColor="text1"/>
                  <w:szCs w:val="22"/>
                  <w14:textFill>
                    <w14:solidFill>
                      <w14:schemeClr w14:val="tx1"/>
                    </w14:solidFill>
                  </w14:textFill>
                </w:rPr>
              </m:ctrlPr>
            </m:fPr>
            <m:num>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r>
                    <m:rPr>
                      <m:sty m:val="p"/>
                    </m:rPr>
                    <w:rPr>
                      <w:rFonts w:ascii="Cambria Math" w:hAnsi="Cambria Math" w:cs="Times New Roman"/>
                      <w:color w:val="000000" w:themeColor="text1"/>
                      <w:szCs w:val="22"/>
                      <w14:textFill>
                        <w14:solidFill>
                          <w14:schemeClr w14:val="tx1"/>
                        </w14:solidFill>
                      </w14:textFill>
                    </w:rPr>
                    <m:t>−</m:t>
                  </m:r>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p>
                    <m:sSupPr>
                      <m:ctrlPr>
                        <w:rPr>
                          <w:rFonts w:ascii="Cambria Math" w:hAnsi="Cambria Math" w:cs="Times New Roman"/>
                          <w:i/>
                          <w:color w:val="000000" w:themeColor="text1"/>
                          <w:szCs w:val="22"/>
                          <w14:textFill>
                            <w14:solidFill>
                              <w14:schemeClr w14:val="tx1"/>
                            </w14:solidFill>
                          </w14:textFill>
                        </w:rPr>
                      </m:ctrlPr>
                    </m:sSupPr>
                    <m:e>
                      <m:d>
                        <m:dPr>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b w:val="0"/>
                              <w:i w:val="0"/>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r>
                            <m:rPr>
                              <m:sty m:val="p"/>
                            </m:rPr>
                            <w:rPr>
                              <w:rFonts w:ascii="Cambria Math" w:hAnsi="Cambria Math" w:cs="Times New Roman"/>
                              <w:color w:val="000000" w:themeColor="text1"/>
                              <w:szCs w:val="22"/>
                              <w14:textFill>
                                <w14:solidFill>
                                  <w14:schemeClr w14:val="tx1"/>
                                </w14:solidFill>
                              </w14:textFill>
                            </w:rPr>
                            <m:t>−</m:t>
                          </m:r>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b w:val="0"/>
                                  <w:i w:val="0"/>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hAnsi="Cambria Math" w:cs="Times New Roman"/>
                              <w:i/>
                              <w:color w:val="000000" w:themeColor="text1"/>
                              <w:szCs w:val="22"/>
                              <w14:textFill>
                                <w14:solidFill>
                                  <w14:schemeClr w14:val="tx1"/>
                                </w14:solidFill>
                              </w14:textFill>
                            </w:rPr>
                          </m:ctrlPr>
                        </m:e>
                      </m:d>
                      <m:ctrlPr>
                        <w:rPr>
                          <w:rFonts w:ascii="Cambria Math" w:hAnsi="Cambria Math" w:cs="Times New Roman"/>
                          <w:i/>
                          <w:color w:val="000000" w:themeColor="text1"/>
                          <w:szCs w:val="22"/>
                          <w14:textFill>
                            <w14:solidFill>
                              <w14:schemeClr w14:val="tx1"/>
                            </w14:solidFill>
                          </w14:textFill>
                        </w:rPr>
                      </m:ctrlPr>
                    </m:e>
                    <m:sup>
                      <m:r>
                        <m:rPr>
                          <m:nor/>
                          <m:sty m:val="p"/>
                        </m:rPr>
                        <w:rPr>
                          <w:rFonts w:cs="Times New Roman"/>
                          <w:b w:val="0"/>
                          <w:i w:val="0"/>
                          <w:color w:val="000000" w:themeColor="text1"/>
                          <w:szCs w:val="22"/>
                          <w14:textFill>
                            <w14:solidFill>
                              <w14:schemeClr w14:val="tx1"/>
                            </w14:solidFill>
                          </w14:textFill>
                        </w:rPr>
                        <m:t>2</m:t>
                      </m:r>
                      <m:ctrlPr>
                        <w:rPr>
                          <w:rFonts w:ascii="Cambria Math" w:hAnsi="Cambria Math" w:cs="Times New Roman"/>
                          <w:i/>
                          <w:color w:val="000000" w:themeColor="text1"/>
                          <w:szCs w:val="22"/>
                          <w14:textFill>
                            <w14:solidFill>
                              <w14:schemeClr w14:val="tx1"/>
                            </w14:solidFill>
                          </w14:textFill>
                        </w:rPr>
                      </m:ctrlPr>
                    </m:sup>
                  </m:sSup>
                  <m:ctrlPr>
                    <w:rPr>
                      <w:rFonts w:ascii="Cambria Math" w:hAnsi="Cambria Math" w:cs="Times New Roman"/>
                      <w:i/>
                      <w:color w:val="000000" w:themeColor="text1"/>
                      <w:szCs w:val="22"/>
                      <w14:textFill>
                        <w14:solidFill>
                          <w14:schemeClr w14:val="tx1"/>
                        </w14:solidFill>
                      </w14:textFill>
                    </w:rPr>
                  </m:ctrlPr>
                </m:e>
              </m:nary>
              <m:ctrlPr>
                <w:rPr>
                  <w:rFonts w:ascii="Cambria Math" w:cs="Times New Roman"/>
                  <w:i/>
                  <w:color w:val="000000" w:themeColor="text1"/>
                  <w:szCs w:val="22"/>
                  <w14:textFill>
                    <w14:solidFill>
                      <w14:schemeClr w14:val="tx1"/>
                    </w14:solidFill>
                  </w14:textFill>
                </w:rPr>
              </m:ctrlPr>
            </m:num>
            <m:den>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b w:val="0"/>
                      <w:i w:val="0"/>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cs="Times New Roman"/>
                  <w:i/>
                  <w:color w:val="000000" w:themeColor="text1"/>
                  <w:szCs w:val="22"/>
                  <w14:textFill>
                    <w14:solidFill>
                      <w14:schemeClr w14:val="tx1"/>
                    </w14:solidFill>
                  </w14:textFill>
                </w:rPr>
              </m:ctrlPr>
            </m:den>
          </m:f>
        </m:oMath>
      </m:oMathPara>
    </w:p>
    <w:p>
      <w:pPr>
        <w:spacing w:line="480" w:lineRule="auto"/>
        <w:rPr>
          <w:rFonts w:cs="Times New Roman"/>
          <w:color w:val="000000" w:themeColor="text1"/>
          <w:szCs w:val="22"/>
          <w14:textFill>
            <w14:solidFill>
              <w14:schemeClr w14:val="tx1"/>
            </w14:solidFill>
          </w14:textFill>
        </w:rPr>
      </w:pPr>
      <w:r>
        <w:rPr>
          <w:color w:val="000000" w:themeColor="text1"/>
          <w:szCs w:val="22"/>
          <w14:textFill>
            <w14:solidFill>
              <w14:schemeClr w14:val="tx1"/>
            </w14:solidFill>
          </w14:textFill>
        </w:rPr>
        <w:t>Where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and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are ind</w:t>
      </w:r>
      <w:r>
        <w:rPr>
          <w:color w:val="000000" w:themeColor="text1"/>
          <w:szCs w:val="22"/>
          <w14:textFill>
            <w14:solidFill>
              <w14:schemeClr w14:val="tx1"/>
            </w14:solidFill>
          </w14:textFill>
        </w:rPr>
        <w:t>ices</w:t>
      </w:r>
      <w:r>
        <w:rPr>
          <w:rFonts w:hint="eastAsia"/>
          <w:color w:val="000000" w:themeColor="text1"/>
          <w:szCs w:val="22"/>
          <w14:textFill>
            <w14:solidFill>
              <w14:schemeClr w14:val="tx1"/>
            </w14:solidFill>
          </w14:textFill>
        </w:rPr>
        <w:t xml:space="preserve"> of ROI, and </w:t>
      </w:r>
      <w:r>
        <w:rPr>
          <w:rFonts w:hint="eastAsia"/>
          <w:i/>
          <w:iCs/>
          <w:color w:val="000000" w:themeColor="text1"/>
          <w:szCs w:val="22"/>
          <w14:textFill>
            <w14:solidFill>
              <w14:schemeClr w14:val="tx1"/>
            </w14:solidFill>
          </w14:textFill>
        </w:rPr>
        <w:t xml:space="preserve">T </w:t>
      </w:r>
      <w:r>
        <w:rPr>
          <w:rFonts w:hint="eastAsia"/>
          <w:color w:val="000000" w:themeColor="text1"/>
          <w:szCs w:val="22"/>
          <w14:textFill>
            <w14:solidFill>
              <w14:schemeClr w14:val="tx1"/>
            </w14:solidFill>
          </w14:textFill>
        </w:rPr>
        <w:t>also</w:t>
      </w:r>
      <w:r>
        <w:rPr>
          <w:rFonts w:hint="eastAsia"/>
          <w:i/>
          <w:iCs/>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denotes</w:t>
      </w:r>
      <w:r>
        <w:rPr>
          <w:rFonts w:hint="eastAsia"/>
          <w:i/>
          <w:iCs/>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total time points.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Similarly</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the 90 × 90 matrix of the vFC </w:t>
      </w:r>
      <w:r>
        <w:rPr>
          <w:rFonts w:hint="eastAsia"/>
          <w:color w:val="000000" w:themeColor="text1"/>
          <w:szCs w:val="22"/>
          <w14:textFill>
            <w14:solidFill>
              <w14:schemeClr w14:val="tx1"/>
            </w14:solidFill>
          </w14:textFill>
        </w:rPr>
        <w:t xml:space="preserve">could </w:t>
      </w:r>
      <w:r>
        <w:rPr>
          <w:color w:val="000000" w:themeColor="text1"/>
          <w:szCs w:val="22"/>
          <w14:textFill>
            <w14:solidFill>
              <w14:schemeClr w14:val="tx1"/>
            </w14:solidFill>
          </w14:textFill>
        </w:rPr>
        <w:t>be obtained for each subject.</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Network-Based Statistics Method</w:t>
      </w:r>
    </w:p>
    <w:p>
      <w:pPr>
        <w:spacing w:line="480" w:lineRule="auto"/>
        <w:rPr>
          <w:rFonts w:cs="Times New Roman"/>
          <w:b/>
          <w:bCs/>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 xml:space="preserve">At present,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tudies on the use of neuroimaging data to construct functional or structural networks are endless, and most of them are aimed at finding different connections between the two groups of networks. When we test each connection in the graph of network at the same time, the family-wise error rate </w:t>
      </w:r>
      <w:r>
        <w:rPr>
          <w:rFonts w:hint="eastAsia" w:cs="Times New Roman"/>
          <w:color w:val="000000" w:themeColor="text1"/>
          <w:szCs w:val="22"/>
          <w14:textFill>
            <w14:solidFill>
              <w14:schemeClr w14:val="tx1"/>
            </w14:solidFill>
          </w14:textFill>
        </w:rPr>
        <w:t xml:space="preserve">(FWER) </w:t>
      </w:r>
      <w:r>
        <w:rPr>
          <w:rFonts w:cs="Times New Roman"/>
          <w:color w:val="000000" w:themeColor="text1"/>
          <w:szCs w:val="22"/>
          <w14:textFill>
            <w14:solidFill>
              <w14:schemeClr w14:val="tx1"/>
            </w14:solidFill>
          </w14:textFill>
        </w:rPr>
        <w:t>is generated. Network-based statistic</w:t>
      </w:r>
      <w:r>
        <w:rPr>
          <w:rFonts w:hint="eastAsia" w:cs="Times New Roman"/>
          <w:color w:val="000000" w:themeColor="text1"/>
          <w:szCs w:val="22"/>
          <w14:textFill>
            <w14:solidFill>
              <w14:schemeClr w14:val="tx1"/>
            </w14:solidFill>
          </w14:textFill>
        </w:rPr>
        <w:t xml:space="preserve"> (NBS) is used to control the FWER (in the weak sense),</w:t>
      </w:r>
      <w:r>
        <w:rPr>
          <w:rFonts w:cs="Times New Roman"/>
          <w:color w:val="000000" w:themeColor="text1"/>
          <w:szCs w:val="22"/>
          <w14:textFill>
            <w14:solidFill>
              <w14:schemeClr w14:val="tx1"/>
            </w14:solidFill>
          </w14:textFill>
        </w:rPr>
        <w:t xml:space="preserve"> depending on the degree of association between the connections of interest. The specific steps are as follows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first step is to independently test the hypothesis of interest at every connection in the network with an appropriate statistical test (i.e., mass univariate hypothesis testing), and the single test statistic value quantifying the evidence in favor of the null hypothesis;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second step</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is to </w:t>
      </w:r>
      <w:r>
        <w:rPr>
          <w:rFonts w:cs="Times New Roman"/>
          <w:color w:val="000000" w:themeColor="text1"/>
          <w:szCs w:val="22"/>
          <w14:textFill>
            <w14:solidFill>
              <w14:schemeClr w14:val="tx1"/>
            </w14:solidFill>
          </w14:textFill>
        </w:rPr>
        <w:t>set a</w:t>
      </w:r>
      <w:r>
        <w:rPr>
          <w:rFonts w:hint="eastAsia" w:cs="Times New Roman"/>
          <w:color w:val="000000" w:themeColor="text1"/>
          <w:szCs w:val="22"/>
          <w14:textFill>
            <w14:solidFill>
              <w14:schemeClr w14:val="tx1"/>
            </w14:solidFill>
          </w14:textFill>
        </w:rPr>
        <w:t>n</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appropriate </w:t>
      </w:r>
      <w:r>
        <w:rPr>
          <w:rFonts w:cs="Times New Roman"/>
          <w:color w:val="000000" w:themeColor="text1"/>
          <w:szCs w:val="22"/>
          <w14:textFill>
            <w14:solidFill>
              <w14:schemeClr w14:val="tx1"/>
            </w14:solidFill>
          </w14:textFill>
        </w:rPr>
        <w:t>threshold</w:t>
      </w:r>
      <w:r>
        <w:rPr>
          <w:rFonts w:hint="eastAsia" w:cs="Times New Roman"/>
          <w:color w:val="000000" w:themeColor="text1"/>
          <w:szCs w:val="22"/>
          <w14:textFill>
            <w14:solidFill>
              <w14:schemeClr w14:val="tx1"/>
            </w14:solidFill>
          </w14:textFill>
        </w:rPr>
        <w:t xml:space="preserve"> </w:t>
      </w:r>
      <m:oMath>
        <m:sSub>
          <m:sSubPr>
            <m:ctrlPr>
              <w:rPr>
                <w:rFonts w:ascii="Cambria Math" w:hAnsi="Cambria Math"/>
                <w:i/>
                <w:color w:val="000000" w:themeColor="text1"/>
                <w:szCs w:val="22"/>
                <w14:textFill>
                  <w14:solidFill>
                    <w14:schemeClr w14:val="tx1"/>
                  </w14:solidFill>
                </w14:textFill>
              </w:rPr>
            </m:ctrlPr>
          </m:sSubPr>
          <m:e>
            <m:r>
              <m:rPr>
                <m:nor/>
              </m:rPr>
              <w:rPr>
                <w:i/>
                <w:iCs/>
                <w:color w:val="000000" w:themeColor="text1"/>
                <w:szCs w:val="22"/>
                <w14:textFill>
                  <w14:solidFill>
                    <w14:schemeClr w14:val="tx1"/>
                  </w14:solidFill>
                </w14:textFill>
              </w:rPr>
              <m:t>t</m:t>
            </m:r>
            <m:ctrlPr>
              <w:rPr>
                <w:rFonts w:ascii="Cambria Math" w:hAnsi="Cambria Math"/>
                <w:i/>
                <w:color w:val="000000" w:themeColor="text1"/>
                <w:szCs w:val="22"/>
                <w14:textFill>
                  <w14:solidFill>
                    <w14:schemeClr w14:val="tx1"/>
                  </w14:solidFill>
                </w14:textFill>
              </w:rPr>
            </m:ctrlPr>
          </m:e>
          <m:sub>
            <m:r>
              <m:rPr>
                <m:nor/>
                <m:sty m:val="p"/>
              </m:rPr>
              <w:rPr>
                <w:b w:val="0"/>
                <w:i w:val="0"/>
                <w:color w:val="000000" w:themeColor="text1"/>
                <w:szCs w:val="22"/>
                <w14:textFill>
                  <w14:solidFill>
                    <w14:schemeClr w14:val="tx1"/>
                  </w14:solidFill>
                </w14:textFill>
              </w:rPr>
              <m:t>0</m:t>
            </m:r>
            <m:ctrlPr>
              <w:rPr>
                <w:rFonts w:ascii="Cambria Math" w:hAnsi="Cambria Math"/>
                <w:i/>
                <w:color w:val="000000" w:themeColor="text1"/>
                <w:szCs w:val="22"/>
                <w14:textFill>
                  <w14:solidFill>
                    <w14:schemeClr w14:val="tx1"/>
                  </w14:solidFill>
                </w14:textFill>
              </w:rPr>
            </m:ctrlPr>
          </m:sub>
        </m:sSub>
      </m:oMath>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those connections greater than the threshold initially select as different connections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third step</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is </w:t>
      </w:r>
      <w:r>
        <w:rPr>
          <w:rFonts w:cs="Times New Roman"/>
          <w:color w:val="000000" w:themeColor="text1"/>
          <w:szCs w:val="22"/>
          <w14:textFill>
            <w14:solidFill>
              <w14:schemeClr w14:val="tx1"/>
            </w14:solidFill>
          </w14:textFill>
        </w:rPr>
        <w:t>using</w:t>
      </w:r>
      <w:r>
        <w:rPr>
          <w:rFonts w:hint="eastAsia" w:cs="Times New Roman"/>
          <w:color w:val="000000" w:themeColor="text1"/>
          <w:szCs w:val="22"/>
          <w14:textFill>
            <w14:solidFill>
              <w14:schemeClr w14:val="tx1"/>
            </w14:solidFill>
          </w14:textFill>
        </w:rPr>
        <w:t xml:space="preserve"> a breadth or depth search</w:t>
      </w:r>
      <w:r>
        <w:rPr>
          <w:rFonts w:cs="Times New Roman"/>
          <w:color w:val="000000" w:themeColor="text1"/>
          <w:szCs w:val="22"/>
          <w14:textFill>
            <w14:solidFill>
              <w14:schemeClr w14:val="tx1"/>
            </w14:solidFill>
          </w14:textFill>
        </w:rPr>
        <w:t xml:space="preserve"> algorithm to find the connected subgraphs existing in the set of initial selection connections, and calculate the size of the connected subgraphs</w:t>
      </w:r>
      <w:r>
        <w:rPr>
          <w:rFonts w:hint="eastAsia" w:cs="Times New Roman"/>
          <w:color w:val="000000" w:themeColor="text1"/>
          <w:szCs w:val="22"/>
          <w14:textFill>
            <w14:solidFill>
              <w14:schemeClr w14:val="tx1"/>
            </w14:solidFill>
          </w14:textFill>
        </w:rPr>
        <w:t>, in this context, a connected graph component (i.e., a subnetwork) is a set of supra-threshold connections for which a path can be found between any two nodes; and the final step is</w:t>
      </w:r>
      <w:r>
        <w:rPr>
          <w:rFonts w:cs="Times New Roman"/>
          <w:color w:val="000000" w:themeColor="text1"/>
          <w:szCs w:val="22"/>
          <w14:textFill>
            <w14:solidFill>
              <w14:schemeClr w14:val="tx1"/>
            </w14:solidFill>
          </w14:textFill>
        </w:rPr>
        <w:t xml:space="preserve"> random</w:t>
      </w:r>
      <w:r>
        <w:rPr>
          <w:rFonts w:hint="eastAsia" w:cs="Times New Roman"/>
          <w:color w:val="000000" w:themeColor="text1"/>
          <w:szCs w:val="22"/>
          <w14:textFill>
            <w14:solidFill>
              <w14:schemeClr w14:val="tx1"/>
            </w14:solidFill>
          </w14:textFill>
        </w:rPr>
        <w:t xml:space="preserve">ly </w:t>
      </w:r>
      <w:r>
        <w:rPr>
          <w:rFonts w:cs="Times New Roman"/>
          <w:color w:val="000000" w:themeColor="text1"/>
          <w:szCs w:val="22"/>
          <w14:textFill>
            <w14:solidFill>
              <w14:schemeClr w14:val="tx1"/>
            </w14:solidFill>
          </w14:textFill>
        </w:rPr>
        <w:t>permutation subjects label</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5</w:t>
      </w:r>
      <w:r>
        <w:rPr>
          <w:rFonts w:hint="eastAsia" w:cs="Times New Roman"/>
          <w:color w:val="000000" w:themeColor="text1"/>
          <w:szCs w:val="22"/>
          <w14:textFill>
            <w14:solidFill>
              <w14:schemeClr w14:val="tx1"/>
            </w14:solidFill>
          </w14:textFill>
        </w:rPr>
        <w:t xml:space="preserve">,000 </w:t>
      </w:r>
      <w:r>
        <w:rPr>
          <w:rFonts w:cs="Times New Roman"/>
          <w:color w:val="000000" w:themeColor="text1"/>
          <w:szCs w:val="22"/>
          <w14:textFill>
            <w14:solidFill>
              <w14:schemeClr w14:val="tx1"/>
            </w14:solidFill>
          </w14:textFill>
        </w:rPr>
        <w:t>times</w:t>
      </w:r>
      <w:r>
        <w:rPr>
          <w:rFonts w:hint="eastAsia" w:cs="Times New Roman"/>
          <w:color w:val="000000" w:themeColor="text1"/>
          <w:szCs w:val="22"/>
          <w14:textFill>
            <w14:solidFill>
              <w14:schemeClr w14:val="tx1"/>
            </w14:solidFill>
          </w14:textFill>
        </w:rPr>
        <w:t xml:space="preserve"> to compute a FWER-corrected p-value for each component. For each permutation, the first three steps of the NBS are repeated on the permuted data,</w:t>
      </w:r>
      <w:r>
        <w:rPr>
          <w:rFonts w:cs="Times New Roman"/>
          <w:color w:val="000000" w:themeColor="text1"/>
          <w:szCs w:val="22"/>
          <w14:textFill>
            <w14:solidFill>
              <w14:schemeClr w14:val="tx1"/>
            </w14:solidFill>
          </w14:textFill>
        </w:rPr>
        <w:t xml:space="preserve"> and then find these initially selected connected </w:t>
      </w:r>
      <w:r>
        <w:rPr>
          <w:rFonts w:hint="eastAsia" w:cs="Times New Roman"/>
          <w:color w:val="000000" w:themeColor="text1"/>
          <w:szCs w:val="22"/>
          <w14:textFill>
            <w14:solidFill>
              <w14:schemeClr w14:val="tx1"/>
            </w14:solidFill>
          </w14:textFill>
        </w:rPr>
        <w:t>subgraphs, calculate the size of the maximum connected subgraph. Finally, the empirical distribution of the size of maximum connected subgraph is obtained, and the significance of the size of the connected subgraph of the observed network data can be tested, thus the set of those reliable different connections can be obtained. In this paper, NBS was calculated with the toolbox introduced by Zalesky (Zalesky et al., 2010).</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T</w:t>
      </w:r>
      <w:r>
        <w:rPr>
          <w:rFonts w:hint="eastAsia" w:cs="Times New Roman"/>
          <w:b/>
          <w:bCs/>
          <w:color w:val="000000" w:themeColor="text1"/>
          <w:szCs w:val="22"/>
          <w14:textFill>
            <w14:solidFill>
              <w14:schemeClr w14:val="tx1"/>
            </w14:solidFill>
          </w14:textFill>
        </w:rPr>
        <w:t>he Study of Frequency Band</w:t>
      </w:r>
    </w:p>
    <w:p>
      <w:pPr>
        <w:spacing w:line="480" w:lineRule="auto"/>
        <w:rPr>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Since the concept of fMRI has been put forward, t</w:t>
      </w:r>
      <w:r>
        <w:rPr>
          <w:rFonts w:cs="Times New Roman"/>
          <w:color w:val="000000" w:themeColor="text1"/>
          <w:szCs w:val="22"/>
          <w14:textFill>
            <w14:solidFill>
              <w14:schemeClr w14:val="tx1"/>
            </w14:solidFill>
          </w14:textFill>
        </w:rPr>
        <w:t xml:space="preserve">he frequency spectrum of fMRI </w:t>
      </w:r>
      <w:r>
        <w:rPr>
          <w:rFonts w:hint="eastAsia" w:cs="Times New Roman"/>
          <w:color w:val="000000" w:themeColor="text1"/>
          <w:szCs w:val="22"/>
          <w14:textFill>
            <w14:solidFill>
              <w14:schemeClr w14:val="tx1"/>
            </w14:solidFill>
          </w14:textFill>
        </w:rPr>
        <w:t>blood oxygenation level</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dependent (</w:t>
      </w:r>
      <w:r>
        <w:rPr>
          <w:rFonts w:cs="Times New Roman"/>
          <w:color w:val="000000" w:themeColor="text1"/>
          <w:szCs w:val="22"/>
          <w14:textFill>
            <w14:solidFill>
              <w14:schemeClr w14:val="tx1"/>
            </w14:solidFill>
          </w14:textFill>
        </w:rPr>
        <w:t>BOLD</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signal has been extensively studied</w:t>
      </w:r>
      <w:r>
        <w:rPr>
          <w:rFonts w:hint="eastAsia" w:cs="Times New Roman"/>
          <w:color w:val="000000" w:themeColor="text1"/>
          <w:szCs w:val="22"/>
          <w14:textFill>
            <w14:solidFill>
              <w14:schemeClr w14:val="tx1"/>
            </w14:solidFill>
          </w14:textFill>
        </w:rPr>
        <w:t xml:space="preserve"> and explored. A large number of studies have shown that the low-frequency fluctuation of the resting-state fMRI signal has its physiological importance, and the low-frequency fluctuation of the resting-state fMRI signal can reflect spontaneous neuronal activity. So far, the most common practice is to band-pass filter BOLD signals between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0.08 Hz or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0.1 Hz. However, the BOLD spectrum is also not immune to noise such as low frequency drift even in such a frequency band. For instance, a study by Wise in 2004 investigated the spontaneous fluctuations in arterial carbon dioxide level mainly affecting the BOLD signal in the frequency range 0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0.05Hz (</w:t>
      </w:r>
      <w:r>
        <w:rPr>
          <w:rFonts w:cs="Times New Roman"/>
          <w:color w:val="000000" w:themeColor="text1"/>
          <w:szCs w:val="22"/>
          <w14:textFill>
            <w14:solidFill>
              <w14:schemeClr w14:val="tx1"/>
            </w14:solidFill>
          </w14:textFill>
        </w:rPr>
        <w:t>Wise</w:t>
      </w:r>
      <w:r>
        <w:rPr>
          <w:rFonts w:hint="eastAsia" w:cs="Times New Roman"/>
          <w:color w:val="000000" w:themeColor="text1"/>
          <w:szCs w:val="22"/>
          <w14:textFill>
            <w14:solidFill>
              <w14:schemeClr w14:val="tx1"/>
            </w14:solidFill>
          </w14:textFill>
        </w:rPr>
        <w:t xml:space="preserve"> et al., 2004). After this, Zuo meticulously explored the BOLD signal at sub-bands relevant in electrophysiological direct current and intracranial recordings (</w:t>
      </w:r>
      <w:r>
        <w:rPr>
          <w:rFonts w:cs="Times New Roman"/>
          <w:color w:val="000000" w:themeColor="text1"/>
          <w:szCs w:val="22"/>
          <w14:textFill>
            <w14:solidFill>
              <w14:schemeClr w14:val="tx1"/>
            </w14:solidFill>
          </w14:textFill>
        </w:rPr>
        <w:t>Zuo</w:t>
      </w:r>
      <w:r>
        <w:rPr>
          <w:rFonts w:hint="eastAsia" w:cs="Times New Roman"/>
          <w:color w:val="000000" w:themeColor="text1"/>
          <w:szCs w:val="22"/>
          <w14:textFill>
            <w14:solidFill>
              <w14:schemeClr w14:val="tx1"/>
            </w14:solidFill>
          </w14:textFill>
        </w:rPr>
        <w:t xml:space="preserve"> et al., 2010)</w:t>
      </w:r>
      <w:r>
        <w:rPr>
          <w:rFonts w:hint="eastAsia" w:cs="Times New Roman"/>
          <w:color w:val="000000" w:themeColor="text1"/>
          <w:szCs w:val="22"/>
          <w:vertAlign w:val="superscript"/>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based on the previous research on slow oscillation frequencies (Penttonen and </w:t>
      </w:r>
      <w:r>
        <w:rPr>
          <w:rFonts w:cs="Times New Roman"/>
          <w:color w:val="000000" w:themeColor="text1"/>
          <w:szCs w:val="22"/>
          <w14:textFill>
            <w14:solidFill>
              <w14:schemeClr w14:val="tx1"/>
            </w14:solidFill>
          </w14:textFill>
        </w:rPr>
        <w:t>Buzsáki</w:t>
      </w:r>
      <w:r>
        <w:rPr>
          <w:rFonts w:hint="eastAsia" w:cs="Times New Roman"/>
          <w:color w:val="000000" w:themeColor="text1"/>
          <w:szCs w:val="22"/>
          <w14:textFill>
            <w14:solidFill>
              <w14:schemeClr w14:val="tx1"/>
            </w14:solidFill>
          </w14:textFill>
        </w:rPr>
        <w:t xml:space="preserve">, 2003). That is, fMRI was used to examine the amplitude of spontaneous low-frequency oscillations observed in the human resting brain and the test-retest reliability of relevant amplitude measures of 4 low frequency bands: slow-5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0.027 Hz), slow-4 (0.027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0.073 Hz), slow-3 (0.073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0.198 Hz) and slow-2 (0.198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0.25 Hz). The results showed that the slow-3 and slow-2 bands were primarily restricted to white matter, respiratory and aliased cardiac signals fall in the range of them; the frequencies subtended by the slow-5 and slow-4 bands were those typically utilized for resting-state functional connectivity (FC) analyses, and mainly identified in the gray matter. Of note, slow-4 was more robust in the basal ganglia, thalamus, and several sensorimotor regions while slow-5 was more dominant within ventromedial prefrontal cortices. Studies had shown that slows-4 and slows-5 were both broadly distributed through gray matter, but slow-4 has higher test-retest reliability and more widespread spatial distribution of reliable voxels. Meanwhile, the Hilbert transform is essentially an all-pass filter, which defines the instantaneous frequency, phase or amplitude of a complex signal at any time point by applying the sines and cosines of the real and imaginary parts of the analytic equation, making it possible for us to extract the instantaneous parameters of the signal. Therefore, </w:t>
      </w:r>
      <w:r>
        <w:rPr>
          <w:rFonts w:cs="Times New Roman"/>
          <w:color w:val="000000" w:themeColor="text1"/>
          <w:szCs w:val="22"/>
          <w14:textFill>
            <w14:solidFill>
              <w14:schemeClr w14:val="tx1"/>
            </w14:solidFill>
          </w14:textFill>
        </w:rPr>
        <w:t xml:space="preserve">the </w:t>
      </w:r>
      <w:r>
        <w:rPr>
          <w:rFonts w:hint="eastAsia" w:cs="Times New Roman"/>
          <w:color w:val="000000" w:themeColor="text1"/>
          <w:szCs w:val="22"/>
          <w14:textFill>
            <w14:solidFill>
              <w14:schemeClr w14:val="tx1"/>
            </w14:solidFill>
          </w14:textFill>
        </w:rPr>
        <w:t>Hilbert transform plays an important role in signal processing and communication theory. The research showed that the Bedrosian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 theorem states an explicit implication, that is, the narrower the bandwidth of the signal of interest, the better does the Hilbert transform produce an analytic signal with meaningful envelope and phase (Bedrosian, 1962). Using a band-pass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filtered version of the BOLD signal can effectively improve the separation between the phase and envelope spectra. Therefore, the narrow range band-pass filter was performed (0.04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0.07 Hz) after consideration, which was shown to be resilient to physiological noise and </w:t>
      </w:r>
      <w:r>
        <w:rPr>
          <w:color w:val="000000" w:themeColor="text1"/>
          <w:szCs w:val="22"/>
          <w14:textFill>
            <w14:solidFill>
              <w14:schemeClr w14:val="tx1"/>
            </w14:solidFill>
          </w14:textFill>
        </w:rPr>
        <w:t>ma</w:t>
      </w:r>
      <w:r>
        <w:rPr>
          <w:rFonts w:hint="eastAsia"/>
          <w:color w:val="000000" w:themeColor="text1"/>
          <w:szCs w:val="22"/>
          <w14:textFill>
            <w14:solidFill>
              <w14:schemeClr w14:val="tx1"/>
            </w14:solidFill>
          </w14:textFill>
        </w:rPr>
        <w:t>ke</w:t>
      </w:r>
      <w:r>
        <w:rPr>
          <w:color w:val="000000" w:themeColor="text1"/>
          <w:szCs w:val="22"/>
          <w14:textFill>
            <w14:solidFill>
              <w14:schemeClr w14:val="tx1"/>
            </w14:solidFill>
          </w14:textFill>
        </w:rPr>
        <w:t xml:space="preserve"> Hilbert transform play a better performance</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Glerean</w:t>
      </w:r>
      <w:r>
        <w:rPr>
          <w:rFonts w:hint="eastAsia" w:cs="Times New Roman"/>
          <w:color w:val="000000" w:themeColor="text1"/>
          <w:szCs w:val="22"/>
          <w14:textFill>
            <w14:solidFill>
              <w14:schemeClr w14:val="tx1"/>
            </w14:solidFill>
          </w14:textFill>
        </w:rPr>
        <w:t xml:space="preserve"> et al., 2012),</w:t>
      </w:r>
      <w:r>
        <w:rPr>
          <w:color w:val="000000" w:themeColor="text1"/>
          <w:szCs w:val="22"/>
          <w:vertAlign w:val="superscript"/>
          <w14:textFill>
            <w14:solidFill>
              <w14:schemeClr w14:val="tx1"/>
            </w14:solidFill>
          </w14:textFill>
        </w:rPr>
        <w:t xml:space="preserve"> </w:t>
      </w:r>
      <w:r>
        <w:rPr>
          <w:color w:val="000000" w:themeColor="text1"/>
          <w:szCs w:val="22"/>
          <w14:textFill>
            <w14:solidFill>
              <w14:schemeClr w14:val="tx1"/>
            </w14:solidFill>
          </w14:textFill>
        </w:rPr>
        <w:t xml:space="preserve">and </w:t>
      </w:r>
      <w:r>
        <w:rPr>
          <w:rFonts w:hint="eastAsia"/>
          <w:color w:val="000000" w:themeColor="text1"/>
          <w:szCs w:val="22"/>
          <w14:textFill>
            <w14:solidFill>
              <w14:schemeClr w14:val="tx1"/>
            </w14:solidFill>
          </w14:textFill>
        </w:rPr>
        <w:t>it was</w:t>
      </w:r>
      <w:r>
        <w:rPr>
          <w:color w:val="000000" w:themeColor="text1"/>
          <w:szCs w:val="22"/>
          <w14:textFill>
            <w14:solidFill>
              <w14:schemeClr w14:val="tx1"/>
            </w14:solidFill>
          </w14:textFill>
        </w:rPr>
        <w:t xml:space="preserve"> successfully </w:t>
      </w:r>
      <w:r>
        <w:rPr>
          <w:rFonts w:hint="eastAsia"/>
          <w:color w:val="000000" w:themeColor="text1"/>
          <w:szCs w:val="22"/>
          <w14:textFill>
            <w14:solidFill>
              <w14:schemeClr w14:val="tx1"/>
            </w14:solidFill>
          </w14:textFill>
        </w:rPr>
        <w:t>applied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in the research of </w:t>
      </w:r>
      <w:r>
        <w:rPr>
          <w:color w:val="000000" w:themeColor="text1"/>
          <w:szCs w:val="22"/>
          <w14:textFill>
            <w14:solidFill>
              <w14:schemeClr w14:val="tx1"/>
            </w14:solidFill>
          </w14:textFill>
        </w:rPr>
        <w:t>Demirtaş</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to reveal altered variability </w:t>
      </w:r>
      <w:r>
        <w:rPr>
          <w:rFonts w:hint="eastAsia"/>
          <w:color w:val="000000" w:themeColor="text1"/>
          <w:szCs w:val="22"/>
          <w14:textFill>
            <w14:solidFill>
              <w14:schemeClr w14:val="tx1"/>
            </w14:solidFill>
          </w14:textFill>
        </w:rPr>
        <w:t>of</w:t>
      </w:r>
      <w:r>
        <w:rPr>
          <w:color w:val="000000" w:themeColor="text1"/>
          <w:szCs w:val="22"/>
          <w14:textFill>
            <w14:solidFill>
              <w14:schemeClr w14:val="tx1"/>
            </w14:solidFill>
          </w14:textFill>
        </w:rPr>
        <w:t xml:space="preserve"> FC among patients</w:t>
      </w:r>
      <w:r>
        <w:rPr>
          <w:rFonts w:hint="eastAsia"/>
          <w:color w:val="000000" w:themeColor="text1"/>
          <w:szCs w:val="22"/>
          <w14:textFill>
            <w14:solidFill>
              <w14:schemeClr w14:val="tx1"/>
            </w14:solidFill>
          </w14:textFill>
        </w:rPr>
        <w:t xml:space="preserve"> with MDD (</w:t>
      </w:r>
      <w:r>
        <w:rPr>
          <w:color w:val="000000" w:themeColor="text1"/>
          <w:szCs w:val="22"/>
          <w14:textFill>
            <w14:solidFill>
              <w14:schemeClr w14:val="tx1"/>
            </w14:solidFill>
          </w14:textFill>
        </w:rPr>
        <w:t>Demirtaş</w:t>
      </w:r>
      <w:r>
        <w:rPr>
          <w:rFonts w:hint="eastAsia"/>
          <w:color w:val="000000" w:themeColor="text1"/>
          <w:szCs w:val="22"/>
          <w14:textFill>
            <w14:solidFill>
              <w14:schemeClr w14:val="tx1"/>
            </w14:solidFill>
          </w14:textFill>
        </w:rPr>
        <w:t xml:space="preserve"> et al., 2016)</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According to the above studies, the preprocessed time series in our </w:t>
      </w:r>
      <w:r>
        <w:rPr>
          <w:color w:val="000000" w:themeColor="text1"/>
          <w:szCs w:val="22"/>
          <w14:textFill>
            <w14:solidFill>
              <w14:schemeClr w14:val="tx1"/>
            </w14:solidFill>
          </w14:textFill>
        </w:rPr>
        <w:t>main text</w:t>
      </w:r>
      <w:r>
        <w:rPr>
          <w:rFonts w:hint="eastAsia"/>
          <w:color w:val="000000" w:themeColor="text1"/>
          <w:szCs w:val="22"/>
          <w14:textFill>
            <w14:solidFill>
              <w14:schemeClr w14:val="tx1"/>
            </w14:solidFill>
          </w14:textFill>
        </w:rPr>
        <w:t xml:space="preserve"> were band-pass filtered in 0.04</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0.07 Hz range in order to reduce the effects of low-frequency drift and high-frequency noise.</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shd w:val="clear" w:color="auto" w:fill="FFFFFF"/>
          <w14:textFill>
            <w14:solidFill>
              <w14:schemeClr w14:val="tx1"/>
            </w14:solidFill>
          </w14:textFill>
        </w:rPr>
        <w:t>In addition, t</w:t>
      </w:r>
      <w:r>
        <w:rPr>
          <w:rFonts w:hint="eastAsia" w:cs="Times New Roman"/>
          <w:color w:val="000000" w:themeColor="text1"/>
          <w:szCs w:val="22"/>
          <w:shd w:val="clear" w:color="auto" w:fill="FFFFFF"/>
          <w14:textFill>
            <w14:solidFill>
              <w14:schemeClr w14:val="tx1"/>
            </w14:solidFill>
          </w14:textFill>
        </w:rPr>
        <w:t>he conventional non-narrow range band-pass filter (0.01</w:t>
      </w:r>
      <w:r>
        <w:rPr>
          <w:rFonts w:cs="Times New Roman"/>
          <w:color w:val="000000" w:themeColor="text1"/>
          <w:szCs w:val="22"/>
          <w:shd w:val="clear" w:color="auto" w:fill="FFFFFF"/>
          <w14:textFill>
            <w14:solidFill>
              <w14:schemeClr w14:val="tx1"/>
            </w14:solidFill>
          </w14:textFill>
        </w:rPr>
        <w:t xml:space="preserve"> – </w:t>
      </w:r>
      <w:r>
        <w:rPr>
          <w:rFonts w:hint="eastAsia" w:cs="Times New Roman"/>
          <w:color w:val="000000" w:themeColor="text1"/>
          <w:szCs w:val="22"/>
          <w:shd w:val="clear" w:color="auto" w:fill="FFFFFF"/>
          <w14:textFill>
            <w14:solidFill>
              <w14:schemeClr w14:val="tx1"/>
            </w14:solidFill>
          </w14:textFill>
        </w:rPr>
        <w:t xml:space="preserve">0.1Hz) of BOLD signals were also considered. </w:t>
      </w:r>
      <w:r>
        <w:rPr>
          <w:rFonts w:cs="Times New Roman"/>
          <w:color w:val="000000" w:themeColor="text1"/>
          <w:szCs w:val="22"/>
          <w:shd w:val="clear" w:color="auto" w:fill="FFFFFF"/>
          <w14:textFill>
            <w14:solidFill>
              <w14:schemeClr w14:val="tx1"/>
            </w14:solidFill>
          </w14:textFill>
        </w:rPr>
        <w:t xml:space="preserve">The global and local dynamic properties were also explored under this filter band. </w:t>
      </w:r>
      <w:r>
        <w:rPr>
          <w:rFonts w:hint="eastAsia" w:cs="Times New Roman"/>
          <w:color w:val="000000" w:themeColor="text1"/>
          <w:szCs w:val="22"/>
          <w:shd w:val="clear" w:color="auto" w:fill="FFFFFF"/>
          <w14:textFill>
            <w14:solidFill>
              <w14:schemeClr w14:val="tx1"/>
            </w14:solidFill>
          </w14:textFill>
        </w:rPr>
        <w:t xml:space="preserve">However, there were no significant differences between SZ and HC for global dynamic features of the </w:t>
      </w:r>
      <w:r>
        <w:rPr>
          <w:rFonts w:hint="eastAsia" w:eastAsia="宋体" w:cs="Times New Roman"/>
          <w:color w:val="000000" w:themeColor="text1"/>
          <w:szCs w:val="22"/>
          <w:shd w:val="clear" w:color="auto" w:fill="FFFFFF"/>
          <w14:textFill>
            <w14:solidFill>
              <w14:schemeClr w14:val="tx1"/>
            </w14:solidFill>
          </w14:textFill>
        </w:rPr>
        <w:t xml:space="preserve">averaged </w:t>
      </w:r>
      <w:r>
        <w:rPr>
          <w:rFonts w:hint="eastAsia" w:cs="Times New Roman"/>
          <w:color w:val="000000" w:themeColor="text1"/>
          <w:szCs w:val="22"/>
          <w:shd w:val="clear" w:color="auto" w:fill="FFFFFF"/>
          <w14:textFill>
            <w14:solidFill>
              <w14:schemeClr w14:val="tx1"/>
            </w14:solidFill>
          </w14:textFill>
        </w:rPr>
        <w:t xml:space="preserve">global synchrony </w:t>
      </w:r>
      <w:r>
        <w:rPr>
          <w:rFonts w:cs="Times New Roman"/>
          <w:color w:val="000000" w:themeColor="text1"/>
          <w:szCs w:val="22"/>
          <w:shd w:val="clear" w:color="auto" w:fill="FFFFFF"/>
          <w14:textFill>
            <w14:solidFill>
              <w14:schemeClr w14:val="tx1"/>
            </w14:solidFill>
          </w14:textFill>
        </w:rPr>
        <w:t xml:space="preserve">and </w:t>
      </w:r>
      <w:r>
        <w:rPr>
          <w:rFonts w:hint="eastAsia" w:cs="Times New Roman"/>
          <w:color w:val="000000" w:themeColor="text1"/>
          <w:szCs w:val="22"/>
          <w:shd w:val="clear" w:color="auto" w:fill="FFFFFF"/>
          <w14:textFill>
            <w14:solidFill>
              <w14:schemeClr w14:val="tx1"/>
            </w14:solidFill>
          </w14:textFill>
        </w:rPr>
        <w:t>ITC</w:t>
      </w:r>
      <w:r>
        <w:rPr>
          <w:rFonts w:cs="Times New Roman"/>
          <w:color w:val="000000" w:themeColor="text1"/>
          <w:szCs w:val="22"/>
          <w:shd w:val="clear" w:color="auto" w:fill="FFFFFF"/>
          <w14:textFill>
            <w14:solidFill>
              <w14:schemeClr w14:val="tx1"/>
            </w14:solidFill>
          </w14:textFill>
        </w:rPr>
        <w:t xml:space="preserve"> </w:t>
      </w:r>
      <w:r>
        <w:rPr>
          <w:rFonts w:hint="eastAsia" w:cs="Times New Roman"/>
          <w:color w:val="000000" w:themeColor="text1"/>
          <w:szCs w:val="22"/>
          <w:shd w:val="clear" w:color="auto" w:fill="FFFFFF"/>
          <w14:textFill>
            <w14:solidFill>
              <w14:schemeClr w14:val="tx1"/>
            </w14:solidFill>
          </w14:textFill>
        </w:rPr>
        <w:t>(permutation test, P &gt; 0.05)</w:t>
      </w:r>
      <w:r>
        <w:rPr>
          <w:rFonts w:cs="Times New Roman"/>
          <w:color w:val="000000" w:themeColor="text1"/>
          <w:szCs w:val="22"/>
          <w:shd w:val="clear" w:color="auto" w:fill="FFFFFF"/>
          <w14:textFill>
            <w14:solidFill>
              <w14:schemeClr w14:val="tx1"/>
            </w14:solidFill>
          </w14:textFill>
        </w:rPr>
        <w:t xml:space="preserve">. </w:t>
      </w:r>
      <w:r>
        <w:rPr>
          <w:rFonts w:hint="eastAsia" w:cs="Times New Roman"/>
          <w:color w:val="000000" w:themeColor="text1"/>
          <w:szCs w:val="22"/>
          <w:shd w:val="clear" w:color="auto" w:fill="FFFFFF"/>
          <w14:textFill>
            <w14:solidFill>
              <w14:schemeClr w14:val="tx1"/>
            </w14:solidFill>
          </w14:textFill>
        </w:rPr>
        <w:t>As for local dynamic features, many connections in dynamic subnetworks with the pattern of both decreased strength and increased variability were observed between similar brain regions</w:t>
      </w:r>
      <w:r>
        <w:rPr>
          <w:rFonts w:cs="Times New Roman"/>
          <w:color w:val="000000" w:themeColor="text1"/>
          <w:szCs w:val="22"/>
          <w:shd w:val="clear" w:color="auto" w:fill="FFFFFF"/>
          <w14:textFill>
            <w14:solidFill>
              <w14:schemeClr w14:val="tx1"/>
            </w14:solidFill>
          </w14:textFill>
        </w:rPr>
        <w:t>, which was</w:t>
      </w:r>
      <w:r>
        <w:rPr>
          <w:rFonts w:hint="eastAsia" w:cs="Times New Roman"/>
          <w:color w:val="000000" w:themeColor="text1"/>
          <w:szCs w:val="22"/>
          <w:shd w:val="clear" w:color="auto" w:fill="FFFFFF"/>
          <w14:textFill>
            <w14:solidFill>
              <w14:schemeClr w14:val="tx1"/>
            </w14:solidFill>
          </w14:textFill>
        </w:rPr>
        <w:t xml:space="preserve"> consistent with the main results of the paper</w:t>
      </w:r>
      <w:r>
        <w:rPr>
          <w:rFonts w:cs="Times New Roman"/>
          <w:color w:val="000000" w:themeColor="text1"/>
          <w:szCs w:val="22"/>
          <w:shd w:val="clear" w:color="auto" w:fill="FFFFFF"/>
          <w14:textFill>
            <w14:solidFill>
              <w14:schemeClr w14:val="tx1"/>
            </w14:solidFill>
          </w14:textFill>
        </w:rPr>
        <w:t>.</w:t>
      </w:r>
    </w:p>
    <w:p>
      <w:pPr>
        <w:spacing w:line="480" w:lineRule="auto"/>
        <w:rPr>
          <w:b/>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Support Vector Machine Modelling: Met</w:t>
      </w:r>
      <w:r>
        <w:rPr>
          <w:b/>
          <w:color w:val="000000" w:themeColor="text1"/>
          <w:szCs w:val="22"/>
          <w14:textFill>
            <w14:solidFill>
              <w14:schemeClr w14:val="tx1"/>
            </w14:solidFill>
          </w14:textFill>
        </w:rPr>
        <w:t>hods</w:t>
      </w:r>
    </w:p>
    <w:p>
      <w:pPr>
        <w:spacing w:line="480" w:lineRule="auto"/>
        <w:ind w:right="-198" w:rightChars="-90"/>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 xml:space="preserve">In order to further estimate the classification ability of global and local features extracted by our instantaneous phase method between two groups (SZ vs HC), the study of Support Vector Machine (SVM) was used in the </w:t>
      </w:r>
      <w:r>
        <w:rPr>
          <w:rFonts w:hint="eastAsia"/>
          <w:color w:val="000000" w:themeColor="text1"/>
          <w14:textFill>
            <w14:solidFill>
              <w14:schemeClr w14:val="tx1"/>
            </w14:solidFill>
          </w14:textFill>
        </w:rPr>
        <w:t>discovery dataset (the COBRE dataset)</w:t>
      </w:r>
      <w:r>
        <w:rPr>
          <w:rFonts w:hint="eastAsia" w:cs="Times New Roman"/>
          <w:color w:val="000000" w:themeColor="text1"/>
          <w:szCs w:val="22"/>
          <w14:textFill>
            <w14:solidFill>
              <w14:schemeClr w14:val="tx1"/>
            </w14:solidFill>
          </w14:textFill>
        </w:rPr>
        <w:t xml:space="preserve"> as an auxiliary analysis, and the linear-SVM was chosen as the classifier to avoid the risk of overfitting (Pereira et al., 2009). Specifically, to measure the test performance and validate the classifier, a nested 10-fold cross-validation for SVM was applied in our study, with the outer loop estimating the generalizability of the model and the inner loop determining the optimal parameter.</w:t>
      </w:r>
      <w:r>
        <w:rPr>
          <w:rFonts w:hint="eastAsia" w:cs="Times New Roman"/>
          <w:color w:val="000000" w:themeColor="text1"/>
          <w:szCs w:val="22"/>
          <w14:textFill>
            <w14:solidFill>
              <w14:schemeClr w14:val="tx1"/>
            </w14:solidFill>
          </w14:textFill>
        </w:rPr>
        <w:t xml:space="preserve"> In order to acquire unbiased estimates,</w:t>
      </w:r>
      <w:r>
        <w:rPr>
          <w:rFonts w:hint="eastAsia"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we consider all situations in the nested 10-fold cross-validation SVM models, including all different </w:t>
      </w:r>
      <w:r>
        <w:rPr>
          <w:rFonts w:hint="eastAsia" w:cs="Times New Roman"/>
          <w:i/>
          <w:iCs/>
          <w:color w:val="000000" w:themeColor="text1"/>
          <w:szCs w:val="22"/>
          <w14:textFill>
            <w14:solidFill>
              <w14:schemeClr w14:val="tx1"/>
            </w14:solidFill>
          </w14:textFill>
        </w:rPr>
        <w:t>C</w:t>
      </w:r>
      <w:r>
        <w:rPr>
          <w:rFonts w:hint="eastAsia" w:cs="Times New Roman"/>
          <w:color w:val="000000" w:themeColor="text1"/>
          <w:szCs w:val="22"/>
          <w14:textFill>
            <w14:solidFill>
              <w14:schemeClr w14:val="tx1"/>
            </w14:solidFill>
          </w14:textFill>
        </w:rPr>
        <w:t xml:space="preserve"> parameter values (0.0001, 0.0005, 0.001, 0.005, 0.01, 0.05, 0.1, 0.5, 1, 5, 10, 20), 5 global synchrony values under different binarization thresholds (</w:t>
      </w:r>
      <w:r>
        <w:rPr>
          <w:rFonts w:eastAsia="宋体" w:cs="Verdana"/>
          <w:color w:val="000000" w:themeColor="text1"/>
          <w:szCs w:val="22"/>
          <w:shd w:val="clear" w:color="auto" w:fill="FFFFFF"/>
          <w14:textFill>
            <w14:solidFill>
              <w14:schemeClr w14:val="tx1"/>
            </w14:solidFill>
          </w14:textFill>
        </w:rPr>
        <w:t>π/6, π/7, π/8, π/9, and π/10</w:t>
      </w:r>
      <w:r>
        <w:rPr>
          <w:rFonts w:hint="eastAsia" w:cs="Times New Roman"/>
          <w:color w:val="000000" w:themeColor="text1"/>
          <w:szCs w:val="22"/>
          <w14:textFill>
            <w14:solidFill>
              <w14:schemeClr w14:val="tx1"/>
            </w14:solidFill>
          </w14:textFill>
        </w:rPr>
        <w:t xml:space="preserve">), all types of global and local dynamic features under different filter range (narrow (0.04 - 0.07Hz) vs standard (0.01 - 0.1Hz)), and all </w:t>
      </w:r>
      <w:r>
        <w:rPr>
          <w:rFonts w:cs="Times New Roman"/>
          <w:color w:val="000000" w:themeColor="text1"/>
          <w:szCs w:val="22"/>
          <w14:textFill>
            <w14:solidFill>
              <w14:schemeClr w14:val="tx1"/>
            </w14:solidFill>
          </w14:textFill>
        </w:rPr>
        <w:t>aberrant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global and local </w:t>
      </w:r>
      <w:r>
        <w:rPr>
          <w:rFonts w:hint="eastAsia" w:cs="Times New Roman"/>
          <w:color w:val="000000" w:themeColor="text1"/>
          <w:szCs w:val="22"/>
          <w14:textFill>
            <w14:solidFill>
              <w14:schemeClr w14:val="tx1"/>
            </w14:solidFill>
          </w14:textFill>
        </w:rPr>
        <w:t xml:space="preserve">dynamic </w:t>
      </w:r>
      <w:r>
        <w:rPr>
          <w:rFonts w:cs="Times New Roman"/>
          <w:color w:val="000000" w:themeColor="text1"/>
          <w:szCs w:val="22"/>
          <w14:textFill>
            <w14:solidFill>
              <w14:schemeClr w14:val="tx1"/>
            </w14:solidFill>
          </w14:textFill>
        </w:rPr>
        <w:t>features</w:t>
      </w:r>
      <w:r>
        <w:rPr>
          <w:rFonts w:hint="eastAsia" w:cs="Times New Roman"/>
          <w:color w:val="000000" w:themeColor="text1"/>
          <w:szCs w:val="22"/>
          <w14:textFill>
            <w14:solidFill>
              <w14:schemeClr w14:val="tx1"/>
            </w14:solidFill>
          </w14:textFill>
        </w:rPr>
        <w:t>.</w:t>
      </w:r>
      <w:r>
        <w:rPr>
          <w:rFonts w:hint="eastAsia" w:cs="Times New Roman"/>
          <w:color w:val="000000" w:themeColor="text1"/>
          <w:szCs w:val="22"/>
          <w:shd w:val="clear" w:color="auto" w:fill="FFFFFF"/>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All subjects were randomly divided into 10 subsets, of the ten subsets, nine were combined as the training set, and the remaining subset was used as the testing set. The training and testing procedures were repeated 10 times so that each of the 10 subsets was used once as the testing set.</w:t>
      </w:r>
      <w:r>
        <w:rPr>
          <w:rFonts w:hint="eastAsia" w:cs="Times New Roman"/>
          <w:color w:val="000000" w:themeColor="text1"/>
          <w:szCs w:val="22"/>
          <w14:textFill>
            <w14:solidFill>
              <w14:schemeClr w14:val="tx1"/>
            </w14:solidFill>
          </w14:textFill>
        </w:rPr>
        <w:t xml:space="preserve"> </w:t>
      </w:r>
      <w:r>
        <w:rPr>
          <w:rFonts w:hint="eastAsia" w:cs="Times New Roman"/>
          <w:color w:val="000000" w:themeColor="text1"/>
          <w:szCs w:val="22"/>
          <w:shd w:val="clear" w:color="auto" w:fill="FFFFFF"/>
          <w14:textFill>
            <w14:solidFill>
              <w14:schemeClr w14:val="tx1"/>
            </w14:solidFill>
          </w14:textFill>
        </w:rPr>
        <w:t>Linear kernel function with different trade-off parameters was tried to obtain the highest classification accuracy rate.</w:t>
      </w:r>
      <w:r>
        <w:rPr>
          <w:rFonts w:hint="eastAsia"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Within each loop of the outer 10-fold cross-validation, we applied the inner 10-fold cross-validation to determine the optimal parameter. Then, we used the best model with the optimal parameter obtained through the inner loop in order to make predictions for our testing set, finally we obtained the corresponding accuracy, sensitivity and specificity.</w:t>
      </w:r>
      <w:r>
        <w:rPr>
          <w:rFonts w:hint="eastAsia"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To yield the final classification performance and avoid </w:t>
      </w:r>
      <w:r>
        <w:rPr>
          <w:rFonts w:eastAsia="宋体" w:cs="Verdana"/>
          <w:color w:val="000000" w:themeColor="text1"/>
          <w:szCs w:val="22"/>
          <w:shd w:val="clear" w:color="auto" w:fill="FFFFFF"/>
          <w14:textFill>
            <w14:solidFill>
              <w14:schemeClr w14:val="tx1"/>
            </w14:solidFill>
          </w14:textFill>
        </w:rPr>
        <w:t>huge error bars</w:t>
      </w:r>
      <w:r>
        <w:rPr>
          <w:rFonts w:hint="eastAsia" w:cs="Times New Roman"/>
          <w:color w:val="000000" w:themeColor="text1"/>
          <w:szCs w:val="22"/>
          <w14:textFill>
            <w14:solidFill>
              <w14:schemeClr w14:val="tx1"/>
            </w14:solidFill>
          </w14:textFill>
        </w:rPr>
        <w:t>, we</w:t>
      </w:r>
      <w:r>
        <w:rPr>
          <w:rFonts w:eastAsia="宋体" w:cs="Verdana"/>
          <w:color w:val="000000" w:themeColor="text1"/>
          <w:szCs w:val="22"/>
          <w:shd w:val="clear" w:color="auto" w:fill="FFFFFF"/>
          <w14:textFill>
            <w14:solidFill>
              <w14:schemeClr w14:val="tx1"/>
            </w14:solidFill>
          </w14:textFill>
        </w:rPr>
        <w:t xml:space="preserve"> compute one big confusion matrix</w:t>
      </w:r>
      <w:r>
        <w:rPr>
          <w:rFonts w:hint="eastAsia" w:eastAsia="宋体" w:cs="Verdana"/>
          <w:color w:val="000000" w:themeColor="text1"/>
          <w:szCs w:val="22"/>
          <w:shd w:val="clear" w:color="auto" w:fill="FFFFFF"/>
          <w14:textFill>
            <w14:solidFill>
              <w14:schemeClr w14:val="tx1"/>
            </w14:solidFill>
          </w14:textFill>
        </w:rPr>
        <w:t xml:space="preserve"> instead of </w:t>
      </w:r>
      <w:r>
        <w:rPr>
          <w:rFonts w:hint="eastAsia" w:cs="Times New Roman"/>
          <w:color w:val="000000" w:themeColor="text1"/>
          <w:szCs w:val="22"/>
          <w14:textFill>
            <w14:solidFill>
              <w14:schemeClr w14:val="tx1"/>
            </w14:solidFill>
          </w14:textFill>
        </w:rPr>
        <w:t>averaging the accuracy, sensitivity and specificity across the ten iterations.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Specifically, different</w:t>
      </w:r>
      <w:r>
        <w:rPr>
          <w:rFonts w:cs="Times New Roman"/>
          <w:color w:val="000000" w:themeColor="text1"/>
          <w:szCs w:val="22"/>
          <w14:textFill>
            <w14:solidFill>
              <w14:schemeClr w14:val="tx1"/>
            </w14:solidFill>
          </w14:textFill>
        </w:rPr>
        <w:t xml:space="preserve"> features</w:t>
      </w:r>
      <w:r>
        <w:rPr>
          <w:rFonts w:hint="eastAsia" w:cs="Times New Roman"/>
          <w:color w:val="000000" w:themeColor="text1"/>
          <w:szCs w:val="22"/>
          <w14:textFill>
            <w14:solidFill>
              <w14:schemeClr w14:val="tx1"/>
            </w14:solidFill>
          </w14:textFill>
        </w:rPr>
        <w:t xml:space="preserve"> were </w:t>
      </w:r>
      <w:r>
        <w:rPr>
          <w:rFonts w:cs="Times New Roman"/>
          <w:color w:val="000000" w:themeColor="text1"/>
          <w:szCs w:val="22"/>
          <w14:textFill>
            <w14:solidFill>
              <w14:schemeClr w14:val="tx1"/>
            </w14:solidFill>
          </w14:textFill>
        </w:rPr>
        <w:t>applied to the raw input matrix to train different models</w:t>
      </w:r>
      <w:r>
        <w:rPr>
          <w:rFonts w:hint="eastAsia" w:cs="Times New Roman"/>
          <w:color w:val="000000" w:themeColor="text1"/>
          <w:szCs w:val="22"/>
          <w14:textFill>
            <w14:solidFill>
              <w14:schemeClr w14:val="tx1"/>
            </w14:solidFill>
          </w14:textFill>
        </w:rPr>
        <w:t xml:space="preserve">. Global dynamic </w:t>
      </w:r>
      <w:r>
        <w:rPr>
          <w:rFonts w:cs="Times New Roman"/>
          <w:color w:val="000000" w:themeColor="text1"/>
          <w:szCs w:val="22"/>
          <w14:textFill>
            <w14:solidFill>
              <w14:schemeClr w14:val="tx1"/>
            </w14:solidFill>
          </w14:textFill>
        </w:rPr>
        <w:t>features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b w:val="0"/>
                <w:i w:val="0"/>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b w:val="0"/>
                <w:i w:val="0"/>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and </w:t>
      </w:r>
      <w:r>
        <w:rPr>
          <w:rFonts w:cs="Times New Roman"/>
          <w:color w:val="000000" w:themeColor="text1"/>
          <w:szCs w:val="22"/>
          <w14:textFill>
            <w14:solidFill>
              <w14:schemeClr w14:val="tx1"/>
            </w14:solidFill>
          </w14:textFill>
        </w:rPr>
        <w:t>ITC)</w:t>
      </w:r>
      <w:r>
        <w:rPr>
          <w:rFonts w:hint="eastAsia" w:cs="Times New Roman"/>
          <w:color w:val="000000" w:themeColor="text1"/>
          <w:szCs w:val="22"/>
          <w14:textFill>
            <w14:solidFill>
              <w14:schemeClr w14:val="tx1"/>
            </w14:solidFill>
          </w14:textFill>
        </w:rPr>
        <w:t xml:space="preserve"> and connections in dynamic subnetworks with significantly differences (P &lt; 0.05, NBS method) in local</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dynamic </w:t>
      </w:r>
      <w:r>
        <w:rPr>
          <w:rFonts w:cs="Times New Roman"/>
          <w:color w:val="000000" w:themeColor="text1"/>
          <w:szCs w:val="22"/>
          <w14:textFill>
            <w14:solidFill>
              <w14:schemeClr w14:val="tx1"/>
            </w14:solidFill>
          </w14:textFill>
        </w:rPr>
        <w:t>features (</w:t>
      </w:r>
      <w:r>
        <w:rPr>
          <w:rFonts w:hint="eastAsia" w:cs="Times New Roman"/>
          <w:color w:val="000000" w:themeColor="text1"/>
          <w:szCs w:val="22"/>
          <w14:textFill>
            <w14:solidFill>
              <w14:schemeClr w14:val="tx1"/>
            </w14:solidFill>
          </w14:textFill>
        </w:rPr>
        <w:t>sFC and vFC</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for each subject were</w:t>
      </w:r>
      <w:r>
        <w:rPr>
          <w:rFonts w:cs="Times New Roman"/>
          <w:color w:val="000000" w:themeColor="text1"/>
          <w:szCs w:val="22"/>
          <w14:textFill>
            <w14:solidFill>
              <w14:schemeClr w14:val="tx1"/>
            </w14:solidFill>
          </w14:textFill>
        </w:rPr>
        <w:t xml:space="preserve"> selected. </w:t>
      </w:r>
      <w:r>
        <w:rPr>
          <w:rFonts w:hint="eastAsia" w:cs="Times New Roman"/>
          <w:color w:val="000000" w:themeColor="text1"/>
          <w:szCs w:val="22"/>
          <w14:textFill>
            <w14:solidFill>
              <w14:schemeClr w14:val="tx1"/>
            </w14:solidFill>
          </w14:textFill>
        </w:rPr>
        <w:t>Finally,</w:t>
      </w:r>
      <w:r>
        <w:rPr>
          <w:color w:val="000000" w:themeColor="text1"/>
          <w:szCs w:val="22"/>
          <w14:textFill>
            <w14:solidFill>
              <w14:schemeClr w14:val="tx1"/>
            </w14:solidFill>
          </w14:textFill>
        </w:rPr>
        <w:t xml:space="preserve"> discrimination accuracy, sensitivity and specificity w</w:t>
      </w:r>
      <w:r>
        <w:rPr>
          <w:rFonts w:hint="eastAsia"/>
          <w:color w:val="000000" w:themeColor="text1"/>
          <w:szCs w:val="22"/>
          <w14:textFill>
            <w14:solidFill>
              <w14:schemeClr w14:val="tx1"/>
            </w14:solidFill>
          </w14:textFill>
        </w:rPr>
        <w:t>ere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reported in our SVM results</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In </w:t>
      </w:r>
      <w:r>
        <w:rPr>
          <w:rFonts w:hint="eastAsia" w:cs="Times New Roman"/>
          <w:color w:val="000000" w:themeColor="text1"/>
          <w:szCs w:val="22"/>
          <w14:textFill>
            <w14:solidFill>
              <w14:schemeClr w14:val="tx1"/>
            </w14:solidFill>
          </w14:textFill>
        </w:rPr>
        <w:t>addition</w:t>
      </w:r>
      <w:r>
        <w:rPr>
          <w:rFonts w:cs="Times New Roman"/>
          <w:color w:val="000000" w:themeColor="text1"/>
          <w:szCs w:val="22"/>
          <w14:textFill>
            <w14:solidFill>
              <w14:schemeClr w14:val="tx1"/>
            </w14:solidFill>
          </w14:textFill>
        </w:rPr>
        <w:t>, using a meaningful measure of generalizability is a crucial requirement for evaluating the performance that a classification algorithm has achieved on a given dataset.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In order to avoid an optimistic estimate when a biased classifier was tested on an imbalanced dataset, we further reported the</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balanced accuracy </w:t>
      </w:r>
      <w:r>
        <w:rPr>
          <w:rFonts w:hint="eastAsia" w:cs="Times New Roman"/>
          <w:color w:val="000000" w:themeColor="text1"/>
          <w:szCs w:val="22"/>
          <w14:textFill>
            <w14:solidFill>
              <w14:schemeClr w14:val="tx1"/>
            </w14:solidFill>
          </w14:textFill>
        </w:rPr>
        <w:t xml:space="preserve">and the </w:t>
      </w:r>
      <w:r>
        <w:rPr>
          <w:rFonts w:hint="eastAsia"/>
          <w:color w:val="000000" w:themeColor="text1"/>
          <w:szCs w:val="22"/>
          <w14:textFill>
            <w14:solidFill>
              <w14:schemeClr w14:val="tx1"/>
            </w14:solidFill>
          </w14:textFill>
        </w:rPr>
        <w:t xml:space="preserve">posterior probability intervals </w:t>
      </w:r>
      <w:r>
        <w:rPr>
          <w:rFonts w:cs="Times New Roman"/>
          <w:color w:val="000000" w:themeColor="text1"/>
          <w:szCs w:val="22"/>
          <w14:textFill>
            <w14:solidFill>
              <w14:schemeClr w14:val="tx1"/>
            </w14:solidFill>
          </w14:textFill>
        </w:rPr>
        <w:t>based on Brodersen's research</w:t>
      </w:r>
      <w:r>
        <w:rPr>
          <w:rFonts w:hint="eastAsia" w:cs="Times New Roman"/>
          <w:color w:val="000000" w:themeColor="text1"/>
          <w:szCs w:val="22"/>
          <w14:textFill>
            <w14:solidFill>
              <w14:schemeClr w14:val="tx1"/>
            </w14:solidFill>
          </w14:textFill>
        </w:rPr>
        <w:t xml:space="preserve"> (Brodersen et al., 2010)</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Moreover, the area under curve (AUC) value was also reported in the results.</w:t>
      </w:r>
    </w:p>
    <w:p>
      <w:pPr>
        <w:spacing w:line="480" w:lineRule="auto"/>
        <w:ind w:right="-198" w:rightChars="-90"/>
        <w:rPr>
          <w:rFonts w:cs="Times New Roman"/>
          <w:color w:val="000000" w:themeColor="text1"/>
          <w:szCs w:val="22"/>
          <w14:textFill>
            <w14:solidFill>
              <w14:schemeClr w14:val="tx1"/>
            </w14:solidFill>
          </w14:textFill>
        </w:rPr>
      </w:pPr>
    </w:p>
    <w:p>
      <w:pPr>
        <w:spacing w:line="480" w:lineRule="auto"/>
        <w:ind w:right="-198" w:rightChars="-90"/>
        <w:rPr>
          <w:rFonts w:cs="Times New Roman"/>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Support Vector Machine Modelling: Result</w:t>
      </w:r>
      <w:r>
        <w:rPr>
          <w:b/>
          <w:color w:val="000000" w:themeColor="text1"/>
          <w:szCs w:val="22"/>
          <w14:textFill>
            <w14:solidFill>
              <w14:schemeClr w14:val="tx1"/>
            </w14:solidFill>
          </w14:textFill>
        </w:rPr>
        <w:t>s</w:t>
      </w:r>
    </w:p>
    <w:p>
      <w:pPr>
        <w:spacing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SVM models under the narrow filter range (0.04 - 0.07 Hz) revealed a relatively high degree of balanced accuracy when classifying SZ and HC by using all significant global and local features as input (85.75%). The relatively lower degree of balanced accuracy when using local features (sFC and vFC) as input (79.75%) (see Table S2). Furthermore, the significant difference was found in the classification performance between the model with all features and the model with only local features (McNemar test, P = 0.0455). Similarly, SVM models under the normal filter range (0.01 - 0.1 Hz) revealed 76.63% of balanced accuracy when classifying SZ and HC by considering all significant global and local features as input, and SVM models also revealed 72.78% of balanced accuracy by considering only local features as input (see Table S2). Although there were no significant differences between the SVM classifier with all features and the SVM classifier with only local features (McNemar test, P = 0.2207), the classification performance of the former was still higher than the latter, which may suggest that the classification performance was mainly and possibly driven by local features. The corresponding posterior probability intervals of balanced accuracy were showed in F</w:t>
      </w:r>
      <w:r>
        <w:rPr>
          <w:color w:val="000000" w:themeColor="text1"/>
          <w:szCs w:val="22"/>
          <w14:textFill>
            <w14:solidFill>
              <w14:schemeClr w14:val="tx1"/>
            </w14:solidFill>
          </w14:textFill>
        </w:rPr>
        <w:t>ig</w:t>
      </w:r>
      <w:r>
        <w:rPr>
          <w:rFonts w:hint="eastAsia"/>
          <w:color w:val="000000" w:themeColor="text1"/>
          <w:szCs w:val="22"/>
          <w14:textFill>
            <w14:solidFill>
              <w14:schemeClr w14:val="tx1"/>
            </w14:solidFill>
          </w14:textFill>
        </w:rPr>
        <w:t xml:space="preserve">ure S3, all intervals were </w:t>
      </w:r>
      <w:r>
        <w:rPr>
          <w:color w:val="000000" w:themeColor="text1"/>
          <w:szCs w:val="22"/>
          <w14:textFill>
            <w14:solidFill>
              <w14:schemeClr w14:val="tx1"/>
            </w14:solidFill>
          </w14:textFill>
        </w:rPr>
        <w:t xml:space="preserve">significantly above </w:t>
      </w:r>
      <w:r>
        <w:rPr>
          <w:rFonts w:hint="eastAsia"/>
          <w:color w:val="000000" w:themeColor="text1"/>
          <w:szCs w:val="22"/>
          <w14:textFill>
            <w14:solidFill>
              <w14:schemeClr w14:val="tx1"/>
            </w14:solidFill>
          </w14:textFill>
        </w:rPr>
        <w:t xml:space="preserve">the </w:t>
      </w:r>
      <w:r>
        <w:rPr>
          <w:color w:val="000000" w:themeColor="text1"/>
          <w:szCs w:val="22"/>
          <w14:textFill>
            <w14:solidFill>
              <w14:schemeClr w14:val="tx1"/>
            </w14:solidFill>
          </w14:textFill>
        </w:rPr>
        <w:t>chance</w:t>
      </w:r>
      <w:r>
        <w:rPr>
          <w:rFonts w:hint="eastAsia"/>
          <w:color w:val="000000" w:themeColor="text1"/>
          <w:szCs w:val="22"/>
          <w14:textFill>
            <w14:solidFill>
              <w14:schemeClr w14:val="tx1"/>
            </w14:solidFill>
          </w14:textFill>
        </w:rPr>
        <w:t xml:space="preserve"> level (</w:t>
      </w:r>
      <w:r>
        <w:rPr>
          <w:rFonts w:hint="eastAsia" w:eastAsia="宋体" w:cs="Verdana"/>
          <w:color w:val="000000" w:themeColor="text1"/>
          <w:szCs w:val="22"/>
          <w:shd w:val="clear" w:color="auto" w:fill="FFFFFF"/>
          <w14:textFill>
            <w14:solidFill>
              <w14:schemeClr w14:val="tx1"/>
            </w14:solidFill>
          </w14:textFill>
        </w:rPr>
        <w:t xml:space="preserve">[0.7867, 0.9107] for narrow filter with </w:t>
      </w:r>
      <w:r>
        <w:rPr>
          <w:rFonts w:hint="eastAsia"/>
          <w:color w:val="000000" w:themeColor="text1"/>
          <w:szCs w:val="22"/>
          <w14:textFill>
            <w14:solidFill>
              <w14:schemeClr w14:val="tx1"/>
            </w14:solidFill>
          </w14:textFill>
        </w:rPr>
        <w:t>all significant global and local features</w:t>
      </w:r>
      <w:r>
        <w:rPr>
          <w:rFonts w:hint="eastAsia" w:eastAsia="宋体" w:cs="Verdana"/>
          <w:color w:val="000000" w:themeColor="text1"/>
          <w:szCs w:val="22"/>
          <w:shd w:val="clear" w:color="auto" w:fill="FFFFFF"/>
          <w14:textFill>
            <w14:solidFill>
              <w14:schemeClr w14:val="tx1"/>
            </w14:solidFill>
          </w14:textFill>
        </w:rPr>
        <w:t xml:space="preserve">, [0.7192, 0.8613] for narrow filter with significant local features, [0.6837, 0.8352] for normal filter with </w:t>
      </w:r>
      <w:r>
        <w:rPr>
          <w:rFonts w:hint="eastAsia"/>
          <w:color w:val="000000" w:themeColor="text1"/>
          <w:szCs w:val="22"/>
          <w14:textFill>
            <w14:solidFill>
              <w14:schemeClr w14:val="tx1"/>
            </w14:solidFill>
          </w14:textFill>
        </w:rPr>
        <w:t>all significant global and local features</w:t>
      </w:r>
      <w:r>
        <w:rPr>
          <w:rFonts w:hint="eastAsia" w:eastAsia="宋体" w:cs="Verdana"/>
          <w:color w:val="000000" w:themeColor="text1"/>
          <w:szCs w:val="22"/>
          <w:shd w:val="clear" w:color="auto" w:fill="FFFFFF"/>
          <w14:textFill>
            <w14:solidFill>
              <w14:schemeClr w14:val="tx1"/>
            </w14:solidFill>
          </w14:textFill>
        </w:rPr>
        <w:t>, [0.6443, 0.8008] for normal filter with significant local features</w:t>
      </w:r>
      <w:r>
        <w:rPr>
          <w:rFonts w:hint="eastAsia"/>
          <w:color w:val="000000" w:themeColor="text1"/>
          <w:szCs w:val="22"/>
          <w14:textFill>
            <w14:solidFill>
              <w14:schemeClr w14:val="tx1"/>
            </w14:solidFill>
          </w14:textFill>
        </w:rPr>
        <w:t>).</w:t>
      </w:r>
    </w:p>
    <w:p>
      <w:pPr>
        <w:spacing w:before="156" w:beforeLines="50" w:line="480" w:lineRule="auto"/>
        <w:rPr>
          <w:rFonts w:eastAsia="宋体" w:cs="Verdana"/>
          <w:color w:val="000000" w:themeColor="text1"/>
          <w:szCs w:val="22"/>
          <w:shd w:val="clear" w:color="auto" w:fill="FFFFFF"/>
          <w14:textFill>
            <w14:solidFill>
              <w14:schemeClr w14:val="tx1"/>
            </w14:solidFill>
          </w14:textFill>
        </w:rPr>
      </w:pPr>
      <w:r>
        <w:rPr>
          <w:rFonts w:hint="eastAsia"/>
          <w:color w:val="000000" w:themeColor="text1"/>
          <w:szCs w:val="22"/>
          <w14:textFill>
            <w14:solidFill>
              <w14:schemeClr w14:val="tx1"/>
            </w14:solidFill>
          </w14:textFill>
        </w:rPr>
        <w:t xml:space="preserve">Furthermore, </w:t>
      </w:r>
      <w:r>
        <w:rPr>
          <w:rFonts w:hint="eastAsia" w:eastAsia="宋体"/>
          <w:color w:val="000000" w:themeColor="text1"/>
          <w:szCs w:val="22"/>
          <w14:textFill>
            <w14:solidFill>
              <w14:schemeClr w14:val="tx1"/>
            </w14:solidFill>
          </w14:textFill>
        </w:rPr>
        <w:t xml:space="preserve">SVM models under the narrow filter range (0.04 - 0.07 Hz) revealed 64.66% of balanced accuracy when classifying SZ and HC by considering all global features (ITC and global synchrony under different thresholds) and all local features (i.e., a total of 8010 dynamic </w:t>
      </w:r>
      <w:r>
        <w:rPr>
          <w:rFonts w:eastAsia="宋体"/>
          <w:color w:val="000000" w:themeColor="text1"/>
          <w:szCs w:val="22"/>
          <w14:textFill>
            <w14:solidFill>
              <w14:schemeClr w14:val="tx1"/>
            </w14:solidFill>
          </w14:textFill>
        </w:rPr>
        <w:t>features</w:t>
      </w:r>
      <w:r>
        <w:rPr>
          <w:rFonts w:hint="eastAsia" w:eastAsia="宋体"/>
          <w:color w:val="000000" w:themeColor="text1"/>
          <w:szCs w:val="22"/>
          <w14:textFill>
            <w14:solidFill>
              <w14:schemeClr w14:val="tx1"/>
            </w14:solidFill>
          </w14:textFill>
        </w:rPr>
        <w:t xml:space="preserve"> from sFC and vFC) as input. Similarly, SVM models under the normal filter range (0.01 - 0.1 Hz) revealed 67.97% of balanced accuracy when classifying SZ and HC by considering all global and local features as input. Moreover, the posterior probability intervals of the above models </w:t>
      </w:r>
      <w:r>
        <w:rPr>
          <w:rFonts w:hint="eastAsia" w:eastAsia="宋体" w:cs="Verdana"/>
          <w:color w:val="000000" w:themeColor="text1"/>
          <w:szCs w:val="22"/>
          <w:shd w:val="clear" w:color="auto" w:fill="FFFFFF"/>
          <w14:textFill>
            <w14:solidFill>
              <w14:schemeClr w14:val="tx1"/>
            </w14:solidFill>
          </w14:textFill>
        </w:rPr>
        <w:t>were</w:t>
      </w:r>
      <w:r>
        <w:rPr>
          <w:rFonts w:eastAsia="宋体" w:cs="Verdana"/>
          <w:color w:val="000000" w:themeColor="text1"/>
          <w:szCs w:val="22"/>
          <w:shd w:val="clear" w:color="auto" w:fill="FFFFFF"/>
          <w14:textFill>
            <w14:solidFill>
              <w14:schemeClr w14:val="tx1"/>
            </w14:solidFill>
          </w14:textFill>
        </w:rPr>
        <w:t xml:space="preserve"> </w:t>
      </w:r>
      <w:r>
        <w:rPr>
          <w:rFonts w:hint="eastAsia" w:eastAsia="宋体" w:cs="Verdana"/>
          <w:color w:val="000000" w:themeColor="text1"/>
          <w:szCs w:val="22"/>
          <w:shd w:val="clear" w:color="auto" w:fill="FFFFFF"/>
          <w14:textFill>
            <w14:solidFill>
              <w14:schemeClr w14:val="tx1"/>
            </w14:solidFill>
          </w14:textFill>
        </w:rPr>
        <w:t xml:space="preserve">still </w:t>
      </w:r>
      <w:r>
        <w:rPr>
          <w:rFonts w:eastAsia="宋体" w:cs="Verdana"/>
          <w:color w:val="000000" w:themeColor="text1"/>
          <w:szCs w:val="22"/>
          <w:shd w:val="clear" w:color="auto" w:fill="FFFFFF"/>
          <w14:textFill>
            <w14:solidFill>
              <w14:schemeClr w14:val="tx1"/>
            </w14:solidFill>
          </w14:textFill>
        </w:rPr>
        <w:t xml:space="preserve">significantly above </w:t>
      </w:r>
      <w:r>
        <w:rPr>
          <w:rFonts w:hint="eastAsia" w:eastAsia="宋体" w:cs="Verdana"/>
          <w:color w:val="000000" w:themeColor="text1"/>
          <w:szCs w:val="22"/>
          <w:shd w:val="clear" w:color="auto" w:fill="FFFFFF"/>
          <w14:textFill>
            <w14:solidFill>
              <w14:schemeClr w14:val="tx1"/>
            </w14:solidFill>
          </w14:textFill>
        </w:rPr>
        <w:t xml:space="preserve">the </w:t>
      </w:r>
      <w:r>
        <w:rPr>
          <w:rFonts w:eastAsia="宋体" w:cs="Verdana"/>
          <w:color w:val="000000" w:themeColor="text1"/>
          <w:szCs w:val="22"/>
          <w:shd w:val="clear" w:color="auto" w:fill="FFFFFF"/>
          <w14:textFill>
            <w14:solidFill>
              <w14:schemeClr w14:val="tx1"/>
            </w14:solidFill>
          </w14:textFill>
        </w:rPr>
        <w:t>chance</w:t>
      </w:r>
      <w:r>
        <w:rPr>
          <w:rFonts w:hint="eastAsia" w:eastAsia="宋体" w:cs="Verdana"/>
          <w:color w:val="000000" w:themeColor="text1"/>
          <w:szCs w:val="22"/>
          <w:shd w:val="clear" w:color="auto" w:fill="FFFFFF"/>
          <w14:textFill>
            <w14:solidFill>
              <w14:schemeClr w14:val="tx1"/>
            </w14:solidFill>
          </w14:textFill>
        </w:rPr>
        <w:t xml:space="preserve"> level ([0.5578, 0.7283] for narrow, [0.5923, 0.7582] for normal). Heuristically, these classification studies showed that the results were robust for different global synchrony thresholds and different filtering ranges, and using all dynamic connections under different filter range and thresholds could also adequately explain the difference between the two groups.</w:t>
      </w:r>
    </w:p>
    <w:p>
      <w:pPr>
        <w:spacing w:before="156" w:beforeLines="50" w:line="480" w:lineRule="auto"/>
        <w:rPr>
          <w:rFonts w:eastAsia="宋体" w:cs="Verdana"/>
          <w:color w:val="000000" w:themeColor="text1"/>
          <w:szCs w:val="22"/>
          <w:shd w:val="clear" w:color="auto" w:fill="FFFFFF"/>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 xml:space="preserve">Results of </w:t>
      </w:r>
      <w:r>
        <w:rPr>
          <w:rFonts w:hint="eastAsia" w:cs="Times New Roman"/>
          <w:b/>
          <w:bCs/>
          <w:color w:val="000000" w:themeColor="text1"/>
          <w:szCs w:val="22"/>
          <w14:textFill>
            <w14:solidFill>
              <w14:schemeClr w14:val="tx1"/>
            </w14:solidFill>
          </w14:textFill>
        </w:rPr>
        <w:t>R</w:t>
      </w:r>
      <w:r>
        <w:rPr>
          <w:rFonts w:cs="Times New Roman"/>
          <w:b/>
          <w:bCs/>
          <w:color w:val="000000" w:themeColor="text1"/>
          <w:szCs w:val="22"/>
          <w14:textFill>
            <w14:solidFill>
              <w14:schemeClr w14:val="tx1"/>
            </w14:solidFill>
          </w14:textFill>
        </w:rPr>
        <w:t>obustness Analysis</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W</w:t>
      </w:r>
      <w:r>
        <w:rPr>
          <w:rFonts w:cs="Times New Roman"/>
          <w:color w:val="000000" w:themeColor="text1"/>
          <w:szCs w:val="22"/>
          <w14:textFill>
            <w14:solidFill>
              <w14:schemeClr w14:val="tx1"/>
            </w14:solidFill>
          </w14:textFill>
        </w:rPr>
        <w:t xml:space="preserve">e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 xml:space="preserve">took the widely used sliding-window approach as a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rFonts w:hint="eastAsia" w:cs="Times New Roman"/>
          <w:color w:val="000000" w:themeColor="text1"/>
          <w:szCs w:val="22"/>
          <w14:textFill>
            <w14:solidFill>
              <w14:schemeClr w14:val="tx1"/>
            </w14:solidFill>
          </w14:textFill>
        </w:rPr>
        <w:t xml:space="preserve"> and</w:t>
      </w:r>
      <w:r>
        <w:rPr>
          <w:rFonts w:cs="Times New Roman"/>
          <w:color w:val="000000" w:themeColor="text1"/>
          <w:szCs w:val="22"/>
          <w14:textFill>
            <w14:solidFill>
              <w14:schemeClr w14:val="tx1"/>
            </w14:solidFill>
          </w14:textFill>
        </w:rPr>
        <w:t xml:space="preserve"> implement</w:t>
      </w:r>
      <w:r>
        <w:rPr>
          <w:rFonts w:hint="eastAsia" w:cs="Times New Roman"/>
          <w:color w:val="000000" w:themeColor="text1"/>
          <w:szCs w:val="22"/>
          <w14:textFill>
            <w14:solidFill>
              <w14:schemeClr w14:val="tx1"/>
            </w14:solidFill>
          </w14:textFill>
        </w:rPr>
        <w:t>ed it with</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 graph theoretical network analysis toolbox (</w:t>
      </w:r>
      <w:r>
        <w:rPr>
          <w:rFonts w:cs="Times New Roman"/>
          <w:color w:val="000000" w:themeColor="text1"/>
          <w:szCs w:val="22"/>
          <w14:textFill>
            <w14:solidFill>
              <w14:schemeClr w14:val="tx1"/>
            </w14:solidFill>
          </w14:textFill>
        </w:rPr>
        <w:t>GRETNA</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(V2.</w:t>
      </w:r>
      <w:r>
        <w:rPr>
          <w:rFonts w:hint="eastAsia" w:cs="Times New Roman"/>
          <w:color w:val="000000" w:themeColor="text1"/>
          <w:szCs w:val="22"/>
          <w14:textFill>
            <w14:solidFill>
              <w14:schemeClr w14:val="tx1"/>
            </w14:solidFill>
          </w14:textFill>
        </w:rPr>
        <w:t>0.</w:t>
      </w:r>
      <w:r>
        <w:rPr>
          <w:rFonts w:cs="Times New Roman"/>
          <w:color w:val="000000" w:themeColor="text1"/>
          <w:szCs w:val="22"/>
          <w14:textFill>
            <w14:solidFill>
              <w14:schemeClr w14:val="tx1"/>
            </w14:solidFill>
          </w14:textFill>
        </w:rPr>
        <w:t xml:space="preserve">0,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"http://www.nitrc.org/projects/gretna/)" </w:instrText>
      </w:r>
      <w:r>
        <w:rPr>
          <w:color w:val="000000" w:themeColor="text1"/>
          <w14:textFill>
            <w14:solidFill>
              <w14:schemeClr w14:val="tx1"/>
            </w14:solidFill>
          </w14:textFill>
        </w:rPr>
        <w:fldChar w:fldCharType="separate"/>
      </w:r>
      <w:r>
        <w:rPr>
          <w:rStyle w:val="10"/>
          <w:rFonts w:cs="Times New Roman"/>
          <w:color w:val="000000" w:themeColor="text1"/>
          <w:szCs w:val="22"/>
          <w14:textFill>
            <w14:solidFill>
              <w14:schemeClr w14:val="tx1"/>
            </w14:solidFill>
          </w14:textFill>
        </w:rPr>
        <w:t>www.nitrc.org/projects/gretna/</w:t>
      </w:r>
      <w:r>
        <w:rPr>
          <w:rStyle w:val="10"/>
          <w:rFonts w:cs="Times New Roman"/>
          <w:color w:val="000000" w:themeColor="text1"/>
          <w:szCs w:val="22"/>
          <w:u w:val="none"/>
          <w14:textFill>
            <w14:solidFill>
              <w14:schemeClr w14:val="tx1"/>
            </w14:solidFill>
          </w14:textFill>
        </w:rPr>
        <w:t>)</w:t>
      </w:r>
      <w:r>
        <w:rPr>
          <w:rStyle w:val="10"/>
          <w:rFonts w:cs="Times New Roman"/>
          <w:color w:val="000000" w:themeColor="text1"/>
          <w:szCs w:val="22"/>
          <w:u w:val="none"/>
          <w14:textFill>
            <w14:solidFill>
              <w14:schemeClr w14:val="tx1"/>
            </w14:solidFill>
          </w14:textFill>
        </w:rPr>
        <w:fldChar w:fldCharType="end"/>
      </w:r>
      <w:r>
        <w:rPr>
          <w:rStyle w:val="10"/>
          <w:rFonts w:hint="eastAsia" w:cs="Times New Roman"/>
          <w:color w:val="000000" w:themeColor="text1"/>
          <w:szCs w:val="22"/>
          <w:u w:val="none"/>
          <w14:textFill>
            <w14:solidFill>
              <w14:schemeClr w14:val="tx1"/>
            </w14:solidFill>
          </w14:textFill>
        </w:rPr>
        <w:t xml:space="preserve"> (</w:t>
      </w:r>
      <w:r>
        <w:rPr>
          <w:rFonts w:cs="Times New Roman"/>
          <w:color w:val="000000" w:themeColor="text1"/>
          <w:szCs w:val="22"/>
          <w14:textFill>
            <w14:solidFill>
              <w14:schemeClr w14:val="tx1"/>
            </w14:solidFill>
          </w14:textFill>
        </w:rPr>
        <w:t>Wang</w:t>
      </w:r>
      <w:r>
        <w:rPr>
          <w:rFonts w:hint="eastAsia" w:cs="Times New Roman"/>
          <w:color w:val="000000" w:themeColor="text1"/>
          <w:szCs w:val="22"/>
          <w14:textFill>
            <w14:solidFill>
              <w14:schemeClr w14:val="tx1"/>
            </w14:solidFill>
          </w14:textFill>
        </w:rPr>
        <w:t xml:space="preserve"> et al., 2015</w:t>
      </w:r>
      <w:r>
        <w:rPr>
          <w:rStyle w:val="10"/>
          <w:rFonts w:hint="eastAsia" w:cs="Times New Roman"/>
          <w:color w:val="000000" w:themeColor="text1"/>
          <w:szCs w:val="22"/>
          <w:u w:val="none"/>
          <w14:textFill>
            <w14:solidFill>
              <w14:schemeClr w14:val="tx1"/>
            </w14:solidFill>
          </w14:textFill>
        </w:rPr>
        <w:t>)</w:t>
      </w:r>
      <w:r>
        <w:rPr>
          <w:rFonts w:cs="Times New Roman"/>
          <w:color w:val="000000" w:themeColor="text1"/>
          <w:szCs w:val="22"/>
          <w14:textFill>
            <w14:solidFill>
              <w14:schemeClr w14:val="tx1"/>
            </w14:solidFill>
          </w14:textFill>
        </w:rPr>
        <w:t xml:space="preserve">. For each subject, </w:t>
      </w:r>
      <w:r>
        <w:rPr>
          <w:rFonts w:hint="eastAsia" w:cs="Times New Roman"/>
          <w:color w:val="000000" w:themeColor="text1"/>
          <w:szCs w:val="22"/>
          <w14:textFill>
            <w14:solidFill>
              <w14:schemeClr w14:val="tx1"/>
            </w14:solidFill>
          </w14:textFill>
        </w:rPr>
        <w:t>the FC was defined as the Pearson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s correlation coefficient between the time series of each ROI, and a series of </w:t>
      </w:r>
      <w:r>
        <w:rPr>
          <w:rFonts w:cs="Times New Roman"/>
          <w:color w:val="000000" w:themeColor="text1"/>
          <w:szCs w:val="22"/>
          <w14:textFill>
            <w14:solidFill>
              <w14:schemeClr w14:val="tx1"/>
            </w14:solidFill>
          </w14:textFill>
        </w:rPr>
        <w:t>sliding-window matrices</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we</w:t>
      </w:r>
      <w:r>
        <w:rPr>
          <w:rFonts w:hint="eastAsia" w:cs="Times New Roman"/>
          <w:color w:val="000000" w:themeColor="text1"/>
          <w:szCs w:val="22"/>
          <w14:textFill>
            <w14:solidFill>
              <w14:schemeClr w14:val="tx1"/>
            </w14:solidFill>
          </w14:textFill>
        </w:rPr>
        <w:t xml:space="preserve">re firstly </w:t>
      </w:r>
      <w:r>
        <w:rPr>
          <w:rFonts w:cs="Times New Roman"/>
          <w:color w:val="000000" w:themeColor="text1"/>
          <w:szCs w:val="22"/>
          <w14:textFill>
            <w14:solidFill>
              <w14:schemeClr w14:val="tx1"/>
            </w14:solidFill>
          </w14:textFill>
        </w:rPr>
        <w:t>obtained. After Fisher’s z-transform</w:t>
      </w:r>
      <w:r>
        <w:rPr>
          <w:rFonts w:hint="eastAsia" w:cs="Times New Roman"/>
          <w:color w:val="000000" w:themeColor="text1"/>
          <w:szCs w:val="22"/>
          <w14:textFill>
            <w14:solidFill>
              <w14:schemeClr w14:val="tx1"/>
            </w14:solidFill>
          </w14:textFill>
        </w:rPr>
        <w:t xml:space="preserve"> (</w:t>
      </w:r>
      <m:oMath>
        <m:r>
          <m:rPr>
            <m:nor/>
            <m:sty m:val="p"/>
          </m:rPr>
          <w:rPr>
            <w:b w:val="0"/>
            <w:i w:val="0"/>
            <w:color w:val="000000" w:themeColor="text1"/>
            <w:szCs w:val="22"/>
            <w14:textFill>
              <w14:solidFill>
                <w14:schemeClr w14:val="tx1"/>
              </w14:solidFill>
            </w14:textFill>
          </w:rPr>
          <m:t xml:space="preserve"> </m:t>
        </m:r>
        <m:r>
          <m:rPr>
            <m:nor/>
          </m:rPr>
          <w:rPr>
            <w:rFonts w:ascii="Cambria Math"/>
            <w:i/>
            <w:iCs/>
            <w:color w:val="000000" w:themeColor="text1"/>
            <w:szCs w:val="22"/>
            <w14:textFill>
              <w14:solidFill>
                <w14:schemeClr w14:val="tx1"/>
              </w14:solidFill>
            </w14:textFill>
          </w:rPr>
          <m:t xml:space="preserve">z </m:t>
        </m:r>
        <m:r>
          <m:rPr>
            <m:nor/>
            <m:sty m:val="p"/>
          </m:rPr>
          <w:rPr>
            <w:rFonts w:ascii="Cambria Math"/>
            <w:b w:val="0"/>
            <w:i w:val="0"/>
            <w:color w:val="000000" w:themeColor="text1"/>
            <w:szCs w:val="22"/>
            <w14:textFill>
              <w14:solidFill>
                <w14:schemeClr w14:val="tx1"/>
              </w14:solidFill>
            </w14:textFill>
          </w:rPr>
          <m:t xml:space="preserve"> </m:t>
        </m:r>
        <m:r>
          <m:rPr>
            <m:nor/>
            <m:sty m:val="p"/>
          </m:rPr>
          <w:rPr>
            <w:b w:val="0"/>
            <w:i w:val="0"/>
            <w:color w:val="000000" w:themeColor="text1"/>
            <w:szCs w:val="22"/>
            <w14:textFill>
              <w14:solidFill>
                <w14:schemeClr w14:val="tx1"/>
              </w14:solidFill>
            </w14:textFill>
          </w:rPr>
          <m:t>=</m:t>
        </m:r>
        <m:r>
          <m:rPr>
            <m:nor/>
            <m:sty m:val="p"/>
          </m:rPr>
          <w:rPr>
            <w:rFonts w:ascii="Cambria Math"/>
            <w:b w:val="0"/>
            <w:i w:val="0"/>
            <w:color w:val="000000" w:themeColor="text1"/>
            <w:szCs w:val="22"/>
            <w14:textFill>
              <w14:solidFill>
                <w14:schemeClr w14:val="tx1"/>
              </w14:solidFill>
            </w14:textFill>
          </w:rPr>
          <m:t xml:space="preserve"> </m:t>
        </m:r>
        <m:f>
          <m:fPr>
            <m:ctrlPr>
              <w:rPr>
                <w:rFonts w:ascii="Cambria Math" w:hAnsi="Cambria Math"/>
                <w:i/>
                <w:color w:val="000000" w:themeColor="text1"/>
                <w:szCs w:val="22"/>
                <w14:textFill>
                  <w14:solidFill>
                    <w14:schemeClr w14:val="tx1"/>
                  </w14:solidFill>
                </w14:textFill>
              </w:rPr>
            </m:ctrlPr>
          </m:fPr>
          <m:num>
            <m:r>
              <m:rPr>
                <m:nor/>
                <m:sty m:val="p"/>
              </m:rPr>
              <w:rPr>
                <w:b w:val="0"/>
                <w:i w:val="0"/>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num>
          <m:den>
            <m:r>
              <m:rPr>
                <m:nor/>
                <m:sty m:val="p"/>
              </m:rPr>
              <w:rPr>
                <w:b w:val="0"/>
                <w:i w:val="0"/>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den>
        </m:f>
        <m:r>
          <m:rPr>
            <m:nor/>
            <m:sty m:val="p"/>
          </m:rPr>
          <w:rPr>
            <w:b w:val="0"/>
            <w:i w:val="0"/>
            <w:color w:val="000000" w:themeColor="text1"/>
            <w:szCs w:val="22"/>
            <w14:textFill>
              <w14:solidFill>
                <w14:schemeClr w14:val="tx1"/>
              </w14:solidFill>
            </w14:textFill>
          </w:rPr>
          <m:t>ln</m:t>
        </m:r>
        <m:d>
          <m:dPr>
            <m:ctrlPr>
              <w:rPr>
                <w:rFonts w:ascii="Cambria Math" w:hAnsi="Cambria Math"/>
                <w:i/>
                <w:color w:val="000000" w:themeColor="text1"/>
                <w:szCs w:val="22"/>
                <w14:textFill>
                  <w14:solidFill>
                    <w14:schemeClr w14:val="tx1"/>
                  </w14:solidFill>
                </w14:textFill>
              </w:rPr>
            </m:ctrlPr>
          </m:dPr>
          <m:e>
            <m:f>
              <m:fPr>
                <m:ctrlPr>
                  <w:rPr>
                    <w:rFonts w:ascii="Cambria Math" w:hAnsi="Cambria Math"/>
                    <w:i/>
                    <w:color w:val="000000" w:themeColor="text1"/>
                    <w:szCs w:val="22"/>
                    <w14:textFill>
                      <w14:solidFill>
                        <w14:schemeClr w14:val="tx1"/>
                      </w14:solidFill>
                    </w14:textFill>
                  </w:rPr>
                </m:ctrlPr>
              </m:fPr>
              <m:num>
                <m:r>
                  <m:rPr>
                    <m:nor/>
                    <m:sty m:val="p"/>
                  </m:rPr>
                  <w:rPr>
                    <w:b w:val="0"/>
                    <w:i w:val="0"/>
                    <w:color w:val="000000" w:themeColor="text1"/>
                    <w:szCs w:val="22"/>
                    <w14:textFill>
                      <w14:solidFill>
                        <w14:schemeClr w14:val="tx1"/>
                      </w14:solidFill>
                    </w14:textFill>
                  </w:rPr>
                  <m:t>1</m:t>
                </m:r>
                <m:r>
                  <m:rPr>
                    <m:nor/>
                    <m:sty m:val="p"/>
                  </m:rPr>
                  <w:rPr>
                    <w:rFonts w:ascii="Cambria Math" w:hAnsi="Cambria Math"/>
                    <w:b w:val="0"/>
                    <w:i w:val="0"/>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num>
              <m:den>
                <m:r>
                  <m:rPr>
                    <m:nor/>
                    <m:sty m:val="p"/>
                  </m:rPr>
                  <w:rPr>
                    <w:b w:val="0"/>
                    <w:i w:val="0"/>
                    <w:color w:val="000000" w:themeColor="text1"/>
                    <w:szCs w:val="22"/>
                    <w14:textFill>
                      <w14:solidFill>
                        <w14:schemeClr w14:val="tx1"/>
                      </w14:solidFill>
                    </w14:textFill>
                  </w:rPr>
                  <m:t>1</m:t>
                </m:r>
                <m:r>
                  <m:rPr>
                    <m:sty m:val="p"/>
                  </m:rPr>
                  <w:rPr>
                    <w:rFonts w:ascii="Cambria Math" w:hAnsi="Cambria Math"/>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den>
            </m:f>
            <m:ctrlPr>
              <w:rPr>
                <w:rFonts w:ascii="Cambria Math" w:hAnsi="Cambria Math"/>
                <w:i/>
                <w:color w:val="000000" w:themeColor="text1"/>
                <w:szCs w:val="22"/>
                <w14:textFill>
                  <w14:solidFill>
                    <w14:schemeClr w14:val="tx1"/>
                  </w14:solidFill>
                </w14:textFill>
              </w:rPr>
            </m:ctrlPr>
          </m:e>
        </m:d>
      </m:oMath>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FC</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on all windows we</w:t>
      </w:r>
      <w:r>
        <w:rPr>
          <w:rFonts w:hint="eastAsia" w:cs="Times New Roman"/>
          <w:color w:val="000000" w:themeColor="text1"/>
          <w:szCs w:val="22"/>
          <w14:textFill>
            <w14:solidFill>
              <w14:schemeClr w14:val="tx1"/>
            </w14:solidFill>
          </w14:textFill>
        </w:rPr>
        <w:t>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then </w:t>
      </w:r>
      <w:r>
        <w:rPr>
          <w:rFonts w:cs="Times New Roman"/>
          <w:color w:val="000000" w:themeColor="text1"/>
          <w:szCs w:val="22"/>
          <w14:textFill>
            <w14:solidFill>
              <w14:schemeClr w14:val="tx1"/>
            </w14:solidFill>
          </w14:textFill>
        </w:rPr>
        <w:t xml:space="preserve">averaged to measure the strength of the dFC </w:t>
      </w:r>
      <w:r>
        <w:rPr>
          <w:rFonts w:hint="eastAsia" w:cs="Times New Roman"/>
          <w:color w:val="000000" w:themeColor="text1"/>
          <w:szCs w:val="22"/>
          <w14:textFill>
            <w14:solidFill>
              <w14:schemeClr w14:val="tx1"/>
            </w14:solidFill>
          </w14:textFill>
        </w:rPr>
        <w:t xml:space="preserve">(sFC) </w:t>
      </w:r>
      <w:r>
        <w:rPr>
          <w:rFonts w:cs="Times New Roman"/>
          <w:color w:val="000000" w:themeColor="text1"/>
          <w:szCs w:val="22"/>
          <w14:textFill>
            <w14:solidFill>
              <w14:schemeClr w14:val="tx1"/>
            </w14:solidFill>
          </w14:textFill>
        </w:rPr>
        <w:t xml:space="preserve">between each pair of </w:t>
      </w:r>
      <w:r>
        <w:rPr>
          <w:rFonts w:hint="eastAsia" w:cs="Times New Roman"/>
          <w:color w:val="000000" w:themeColor="text1"/>
          <w:szCs w:val="22"/>
          <w14:textFill>
            <w14:solidFill>
              <w14:schemeClr w14:val="tx1"/>
            </w14:solidFill>
          </w14:textFill>
        </w:rPr>
        <w:t>regions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and t</w:t>
      </w:r>
      <w:r>
        <w:rPr>
          <w:rFonts w:cs="Times New Roman"/>
          <w:color w:val="000000" w:themeColor="text1"/>
          <w:szCs w:val="22"/>
          <w14:textFill>
            <w14:solidFill>
              <w14:schemeClr w14:val="tx1"/>
            </w14:solidFill>
          </w14:textFill>
        </w:rPr>
        <w:t xml:space="preserve">he variability of </w:t>
      </w:r>
      <w:r>
        <w:rPr>
          <w:rFonts w:hint="eastAsia" w:cs="Times New Roman"/>
          <w:color w:val="000000" w:themeColor="text1"/>
          <w:szCs w:val="22"/>
          <w14:textFill>
            <w14:solidFill>
              <w14:schemeClr w14:val="tx1"/>
            </w14:solidFill>
          </w14:textFill>
        </w:rPr>
        <w:t>FC</w:t>
      </w:r>
      <w:r>
        <w:rPr>
          <w:rFonts w:cs="Times New Roman"/>
          <w:color w:val="000000" w:themeColor="text1"/>
          <w:szCs w:val="22"/>
          <w14:textFill>
            <w14:solidFill>
              <w14:schemeClr w14:val="tx1"/>
            </w14:solidFill>
          </w14:textFill>
        </w:rPr>
        <w:t xml:space="preserve"> (vFC)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 xml:space="preserve">calculated as the dispersion of the dFC at all time points. </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hese 2 </w:t>
      </w:r>
      <w:r>
        <w:rPr>
          <w:rFonts w:hint="eastAsia" w:cs="Times New Roman"/>
          <w:color w:val="000000" w:themeColor="text1"/>
          <w:szCs w:val="22"/>
          <w14:textFill>
            <w14:solidFill>
              <w14:schemeClr w14:val="tx1"/>
            </w14:solidFill>
          </w14:textFill>
        </w:rPr>
        <w:t xml:space="preserve">dynamic </w:t>
      </w:r>
      <w:r>
        <w:rPr>
          <w:rFonts w:hint="eastAsia"/>
          <w:color w:val="000000" w:themeColor="text1"/>
          <w:szCs w:val="22"/>
          <w14:textFill>
            <w14:solidFill>
              <w14:schemeClr w14:val="tx1"/>
            </w14:solidFill>
          </w14:textFill>
        </w:rPr>
        <w:t>ind</w:t>
      </w:r>
      <w:r>
        <w:rPr>
          <w:color w:val="000000" w:themeColor="text1"/>
          <w:szCs w:val="22"/>
          <w14:textFill>
            <w14:solidFill>
              <w14:schemeClr w14:val="tx1"/>
            </w14:solidFill>
          </w14:textFill>
        </w:rPr>
        <w:t>ices</w:t>
      </w:r>
      <w:r>
        <w:rPr>
          <w:rFonts w:hint="eastAsia" w:cs="Times New Roman"/>
          <w:color w:val="000000" w:themeColor="text1"/>
          <w:szCs w:val="22"/>
          <w14:textFill>
            <w14:solidFill>
              <w14:schemeClr w14:val="tx1"/>
            </w14:solidFill>
          </w14:textFill>
        </w:rPr>
        <w:t xml:space="preserve"> were</w:t>
      </w:r>
      <w:r>
        <w:rPr>
          <w:rFonts w:cs="Times New Roman"/>
          <w:color w:val="000000" w:themeColor="text1"/>
          <w:szCs w:val="22"/>
          <w14:textFill>
            <w14:solidFill>
              <w14:schemeClr w14:val="tx1"/>
            </w14:solidFill>
          </w14:textFill>
        </w:rPr>
        <w:t xml:space="preserve"> established for each subject </w:t>
      </w:r>
      <w:r>
        <w:rPr>
          <w:rFonts w:hint="eastAsia" w:cs="Times New Roman"/>
          <w:color w:val="000000" w:themeColor="text1"/>
          <w:szCs w:val="22"/>
          <w14:textFill>
            <w14:solidFill>
              <w14:schemeClr w14:val="tx1"/>
            </w14:solidFill>
          </w14:textFill>
        </w:rPr>
        <w:t xml:space="preserve">in two groups </w:t>
      </w:r>
      <w:r>
        <w:rPr>
          <w:rFonts w:cs="Times New Roman"/>
          <w:color w:val="000000" w:themeColor="text1"/>
          <w:szCs w:val="22"/>
          <w14:textFill>
            <w14:solidFill>
              <w14:schemeClr w14:val="tx1"/>
            </w14:solidFill>
          </w14:textFill>
        </w:rPr>
        <w:t xml:space="preserve">by the sliding-window approach and the same NBS method </w:t>
      </w:r>
      <w:r>
        <w:rPr>
          <w:rFonts w:hint="eastAsia" w:cs="Times New Roman"/>
          <w:color w:val="000000" w:themeColor="text1"/>
          <w:szCs w:val="22"/>
          <w14:textFill>
            <w14:solidFill>
              <w14:schemeClr w14:val="tx1"/>
            </w14:solidFill>
          </w14:textFill>
        </w:rPr>
        <w:t xml:space="preserve">was also </w:t>
      </w:r>
      <w:r>
        <w:rPr>
          <w:rFonts w:cs="Times New Roman"/>
          <w:color w:val="000000" w:themeColor="text1"/>
          <w:szCs w:val="22"/>
          <w14:textFill>
            <w14:solidFill>
              <w14:schemeClr w14:val="tx1"/>
            </w14:solidFill>
          </w14:textFill>
        </w:rPr>
        <w:t xml:space="preserve">used to </w:t>
      </w:r>
      <w:r>
        <w:rPr>
          <w:rFonts w:hint="eastAsia" w:cs="Times New Roman"/>
          <w:color w:val="000000" w:themeColor="text1"/>
          <w:szCs w:val="22"/>
          <w14:textFill>
            <w14:solidFill>
              <w14:schemeClr w14:val="tx1"/>
            </w14:solidFill>
          </w14:textFill>
        </w:rPr>
        <w:t>explore</w:t>
      </w:r>
      <w:r>
        <w:rPr>
          <w:rFonts w:cs="Times New Roman"/>
          <w:color w:val="000000" w:themeColor="text1"/>
          <w:szCs w:val="22"/>
          <w14:textFill>
            <w14:solidFill>
              <w14:schemeClr w14:val="tx1"/>
            </w14:solidFill>
          </w14:textFill>
        </w:rPr>
        <w:t xml:space="preserve"> the su</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networks with significant differences between the respective groups</w:t>
      </w:r>
      <w:r>
        <w:rPr>
          <w:rFonts w:hint="eastAsia" w:cs="Times New Roman"/>
          <w:color w:val="000000" w:themeColor="text1"/>
          <w:szCs w:val="22"/>
          <w14:textFill>
            <w14:solidFill>
              <w14:schemeClr w14:val="tx1"/>
            </w14:solidFill>
          </w14:textFill>
        </w:rPr>
        <w:t>.</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The window length was chosen as 100</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s with an incremental step of 6</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s to balance the dynamics of the BOLD signals and the quality of connectivity estimation, as well as to reduce the computational complexity</w:t>
      </w:r>
      <w:r>
        <w:rPr>
          <w:rFonts w:hint="eastAsia" w:cs="Times New Roman"/>
          <w:color w:val="000000" w:themeColor="text1"/>
          <w:szCs w:val="22"/>
          <w14:textFill>
            <w14:solidFill>
              <w14:schemeClr w14:val="tx1"/>
            </w14:solidFill>
          </w14:textFill>
        </w:rPr>
        <w:t xml:space="preserve"> (Sun et al., 2019)</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In the results, </w:t>
      </w:r>
      <w:r>
        <w:rPr>
          <w:rFonts w:cs="Times New Roman"/>
          <w:color w:val="000000" w:themeColor="text1"/>
          <w:szCs w:val="22"/>
          <w14:textFill>
            <w14:solidFill>
              <w14:schemeClr w14:val="tx1"/>
            </w14:solidFill>
          </w14:textFill>
        </w:rPr>
        <w:t xml:space="preserve">SZ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showed a significant</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 xml:space="preserve">widespread decrease in sFC, </w:t>
      </w:r>
      <w:r>
        <w:rPr>
          <w:rFonts w:hint="eastAsia" w:cs="Times New Roman"/>
          <w:color w:val="000000" w:themeColor="text1"/>
          <w:szCs w:val="22"/>
          <w14:textFill>
            <w14:solidFill>
              <w14:schemeClr w14:val="tx1"/>
            </w14:solidFill>
          </w14:textFill>
        </w:rPr>
        <w:t xml:space="preserve">and </w:t>
      </w:r>
      <w:r>
        <w:rPr>
          <w:rFonts w:cs="Times New Roman"/>
          <w:color w:val="000000" w:themeColor="text1"/>
          <w:szCs w:val="22"/>
          <w14:textFill>
            <w14:solidFill>
              <w14:schemeClr w14:val="tx1"/>
            </w14:solidFill>
          </w14:textFill>
        </w:rPr>
        <w:t xml:space="preserve">the significant </w:t>
      </w:r>
      <w:r>
        <w:rPr>
          <w:rFonts w:hint="eastAsia" w:cs="Times New Roman"/>
          <w:color w:val="000000" w:themeColor="text1"/>
          <w:szCs w:val="22"/>
          <w14:textFill>
            <w14:solidFill>
              <w14:schemeClr w14:val="tx1"/>
            </w14:solidFill>
          </w14:textFill>
        </w:rPr>
        <w:t>aberrant connections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were predominantly observed among</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median cingulate and paracingulate gyri (DCG) and the temporal lobe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DCG and supplementary motor area (SMA), </w:t>
      </w:r>
      <w:r>
        <w:rPr>
          <w:rFonts w:cs="Times New Roman"/>
          <w:color w:val="000000" w:themeColor="text1"/>
          <w:szCs w:val="22"/>
          <w14:textFill>
            <w14:solidFill>
              <w14:schemeClr w14:val="tx1"/>
            </w14:solidFill>
          </w14:textFill>
        </w:rPr>
        <w:t>cuneus and fusiform gyrus</w:t>
      </w:r>
      <w:r>
        <w:rPr>
          <w:rFonts w:hint="eastAsia" w:cs="Times New Roman"/>
          <w:color w:val="000000" w:themeColor="text1"/>
          <w:szCs w:val="22"/>
          <w14:textFill>
            <w14:solidFill>
              <w14:schemeClr w14:val="tx1"/>
            </w14:solidFill>
          </w14:textFill>
        </w:rPr>
        <w:t xml:space="preserve"> (FFG)</w:t>
      </w:r>
      <w:r>
        <w:rPr>
          <w:rFonts w:cs="Times New Roman"/>
          <w:color w:val="000000" w:themeColor="text1"/>
          <w:szCs w:val="22"/>
          <w14:textFill>
            <w14:solidFill>
              <w14:schemeClr w14:val="tx1"/>
            </w14:solidFill>
          </w14:textFill>
        </w:rPr>
        <w:t xml:space="preserve">, abnormal </w:t>
      </w:r>
      <w:r>
        <w:rPr>
          <w:rFonts w:hint="eastAsia" w:cs="Times New Roman"/>
          <w:color w:val="000000" w:themeColor="text1"/>
          <w:szCs w:val="22"/>
          <w14:textFill>
            <w14:solidFill>
              <w14:schemeClr w14:val="tx1"/>
            </w14:solidFill>
          </w14:textFill>
        </w:rPr>
        <w:t>brain regions</w:t>
      </w:r>
      <w:r>
        <w:rPr>
          <w:rFonts w:cs="Times New Roman"/>
          <w:color w:val="000000" w:themeColor="text1"/>
          <w:szCs w:val="22"/>
          <w14:textFill>
            <w14:solidFill>
              <w14:schemeClr w14:val="tx1"/>
            </w14:solidFill>
          </w14:textFill>
        </w:rPr>
        <w:t xml:space="preserve"> were also </w:t>
      </w:r>
      <w:r>
        <w:rPr>
          <w:rFonts w:hint="eastAsia" w:cs="Times New Roman"/>
          <w:color w:val="000000" w:themeColor="text1"/>
          <w:szCs w:val="22"/>
          <w14:textFill>
            <w14:solidFill>
              <w14:schemeClr w14:val="tx1"/>
            </w14:solidFill>
          </w14:textFill>
        </w:rPr>
        <w:t>extended to</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precentral gyrus.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In other words, the </w:t>
      </w:r>
      <w:r>
        <w:rPr>
          <w:rFonts w:cs="Times New Roman"/>
          <w:color w:val="000000" w:themeColor="text1"/>
          <w:szCs w:val="22"/>
          <w14:textFill>
            <w14:solidFill>
              <w14:schemeClr w14:val="tx1"/>
            </w14:solidFill>
          </w14:textFill>
        </w:rPr>
        <w:t>disconnectivity</w:t>
      </w:r>
      <w:r>
        <w:rPr>
          <w:rFonts w:hint="eastAsia" w:cs="Times New Roman"/>
          <w:color w:val="000000" w:themeColor="text1"/>
          <w:szCs w:val="22"/>
          <w14:textFill>
            <w14:solidFill>
              <w14:schemeClr w14:val="tx1"/>
            </w14:solidFill>
          </w14:textFill>
        </w:rPr>
        <w:t xml:space="preserve"> associated with the </w:t>
      </w:r>
      <w:r>
        <w:rPr>
          <w:rFonts w:cs="Times New Roman"/>
          <w:color w:val="000000" w:themeColor="text1"/>
          <w:szCs w:val="22"/>
          <w14:textFill>
            <w14:solidFill>
              <w14:schemeClr w14:val="tx1"/>
            </w14:solidFill>
          </w14:textFill>
        </w:rPr>
        <w:t>anterior cingulate cortex</w:t>
      </w:r>
      <w:r>
        <w:rPr>
          <w:rFonts w:hint="eastAsia" w:cs="Times New Roman"/>
          <w:color w:val="000000" w:themeColor="text1"/>
          <w:szCs w:val="22"/>
          <w14:textFill>
            <w14:solidFill>
              <w14:schemeClr w14:val="tx1"/>
            </w14:solidFill>
          </w14:textFill>
        </w:rPr>
        <w:t xml:space="preserve">, temporal </w:t>
      </w:r>
      <w:r>
        <w:rPr>
          <w:rFonts w:cs="Times New Roman"/>
          <w:color w:val="000000" w:themeColor="text1"/>
          <w:szCs w:val="22"/>
          <w14:textFill>
            <w14:solidFill>
              <w14:schemeClr w14:val="tx1"/>
            </w14:solidFill>
          </w14:textFill>
        </w:rPr>
        <w:t>cortex</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the visual cortex</w:t>
      </w:r>
      <w:r>
        <w:rPr>
          <w:rFonts w:hint="eastAsia" w:cs="Times New Roman"/>
          <w:color w:val="000000" w:themeColor="text1"/>
          <w:szCs w:val="22"/>
          <w14:textFill>
            <w14:solidFill>
              <w14:schemeClr w14:val="tx1"/>
            </w14:solidFill>
          </w14:textFill>
        </w:rPr>
        <w:t xml:space="preserve"> were predominantly found in sFC and further </w:t>
      </w:r>
      <w:r>
        <w:rPr>
          <w:rFonts w:cs="Times New Roman"/>
          <w:color w:val="000000" w:themeColor="text1"/>
          <w:szCs w:val="22"/>
          <w14:textFill>
            <w14:solidFill>
              <w14:schemeClr w14:val="tx1"/>
            </w14:solidFill>
          </w14:textFill>
        </w:rPr>
        <w:t xml:space="preserve">forming a significant dynamic </w:t>
      </w:r>
      <w:r>
        <w:rPr>
          <w:rFonts w:hint="eastAsia" w:cs="Times New Roman"/>
          <w:color w:val="000000" w:themeColor="text1"/>
          <w:szCs w:val="22"/>
          <w14:textFill>
            <w14:solidFill>
              <w14:schemeClr w14:val="tx1"/>
            </w14:solidFill>
          </w14:textFill>
        </w:rPr>
        <w:t>sub</w:t>
      </w:r>
      <w:r>
        <w:rPr>
          <w:rFonts w:cs="Times New Roman"/>
          <w:color w:val="000000" w:themeColor="text1"/>
          <w:szCs w:val="22"/>
          <w14:textFill>
            <w14:solidFill>
              <w14:schemeClr w14:val="tx1"/>
            </w14:solidFill>
          </w14:textFill>
        </w:rPr>
        <w:t>network</w:t>
      </w:r>
      <w:r>
        <w:rPr>
          <w:rFonts w:hint="eastAsia" w:cs="Times New Roman"/>
          <w:color w:val="000000" w:themeColor="text1"/>
          <w:szCs w:val="22"/>
          <w14:textFill>
            <w14:solidFill>
              <w14:schemeClr w14:val="tx1"/>
            </w14:solidFill>
          </w14:textFill>
        </w:rPr>
        <w:t xml:space="preserve">, which were almost consistent with the results of </w:t>
      </w:r>
      <w:r>
        <w:rPr>
          <w:rFonts w:cs="Times New Roman"/>
          <w:color w:val="000000" w:themeColor="text1"/>
          <w:szCs w:val="22"/>
          <w14:textFill>
            <w14:solidFill>
              <w14:schemeClr w14:val="tx1"/>
            </w14:solidFill>
          </w14:textFill>
        </w:rPr>
        <w:t>the instantaneous phase method</w:t>
      </w:r>
      <w:r>
        <w:rPr>
          <w:rFonts w:hint="eastAsia" w:cs="Times New Roman"/>
          <w:color w:val="000000" w:themeColor="text1"/>
          <w:szCs w:val="22"/>
          <w14:textFill>
            <w14:solidFill>
              <w14:schemeClr w14:val="tx1"/>
            </w14:solidFill>
          </w14:textFill>
        </w:rPr>
        <w:t xml:space="preserve"> based on Hilbert transform. Moreover, in the sFC results of significant subnetworks (14 connections) based on the Hilbert transform method and the results of significant subnetworks (13 connections) based on the </w:t>
      </w:r>
      <w:r>
        <w:rPr>
          <w:rFonts w:cs="Times New Roman"/>
          <w:color w:val="000000" w:themeColor="text1"/>
          <w:szCs w:val="22"/>
          <w14:textFill>
            <w14:solidFill>
              <w14:schemeClr w14:val="tx1"/>
            </w14:solidFill>
          </w14:textFill>
        </w:rPr>
        <w:t>sliding-window approach</w:t>
      </w:r>
      <w:r>
        <w:rPr>
          <w:rFonts w:hint="eastAsia" w:cs="Times New Roman"/>
          <w:color w:val="000000" w:themeColor="text1"/>
          <w:szCs w:val="22"/>
          <w:shd w:val="clear" w:color="auto" w:fill="FFFFFF"/>
          <w14:textFill>
            <w14:solidFill>
              <w14:schemeClr w14:val="tx1"/>
            </w14:solidFill>
          </w14:textFill>
        </w:rPr>
        <w:t xml:space="preserve">, a total of </w:t>
      </w:r>
      <w:r>
        <w:rPr>
          <w:rFonts w:hint="eastAsia" w:cs="Times New Roman"/>
          <w:color w:val="000000" w:themeColor="text1"/>
          <w:szCs w:val="22"/>
          <w14:textFill>
            <w14:solidFill>
              <w14:schemeClr w14:val="tx1"/>
            </w14:solidFill>
          </w14:textFill>
        </w:rPr>
        <w:t xml:space="preserve">7 connections were completely identical, and more than 70% of connections in both results were mainly observed among </w:t>
      </w:r>
      <w:r>
        <w:rPr>
          <w:rFonts w:hint="eastAsia"/>
          <w:color w:val="000000" w:themeColor="text1"/>
          <w:szCs w:val="22"/>
          <w14:textFill>
            <w14:solidFill>
              <w14:schemeClr w14:val="tx1"/>
            </w14:solidFill>
          </w14:textFill>
        </w:rPr>
        <w:t xml:space="preserve">the anterior cingulate cortex (ACC) and temporal lobe, cuneus and FFG, ACC and SMA. According to this, the abnormal pattern of dFC with decreased strength was consistent with the results derived from our instantaneous phase method. </w:t>
      </w:r>
      <w:r>
        <w:rPr>
          <w:rFonts w:cs="Times New Roman"/>
          <w:color w:val="000000" w:themeColor="text1"/>
          <w:szCs w:val="22"/>
          <w14:textFill>
            <w14:solidFill>
              <w14:schemeClr w14:val="tx1"/>
            </w14:solidFill>
          </w14:textFill>
        </w:rPr>
        <w:t xml:space="preserve">However, </w:t>
      </w:r>
      <w:r>
        <w:rPr>
          <w:rFonts w:hint="eastAsia" w:cs="Times New Roman"/>
          <w:color w:val="000000" w:themeColor="text1"/>
          <w:szCs w:val="22"/>
          <w14:textFill>
            <w14:solidFill>
              <w14:schemeClr w14:val="tx1"/>
            </w14:solidFill>
          </w14:textFill>
        </w:rPr>
        <w:t>brain regions with significant aberrant connections</w:t>
      </w:r>
      <w:r>
        <w:rPr>
          <w:rFonts w:cs="Times New Roman"/>
          <w:color w:val="000000" w:themeColor="text1"/>
          <w:szCs w:val="22"/>
          <w14:textFill>
            <w14:solidFill>
              <w14:schemeClr w14:val="tx1"/>
            </w14:solidFill>
          </w14:textFill>
        </w:rPr>
        <w:t xml:space="preserve"> in</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vFC</w:t>
      </w:r>
      <w:r>
        <w:rPr>
          <w:rFonts w:hint="eastAsia" w:cs="Times New Roman"/>
          <w:color w:val="000000" w:themeColor="text1"/>
          <w:szCs w:val="22"/>
          <w14:textFill>
            <w14:solidFill>
              <w14:schemeClr w14:val="tx1"/>
            </w14:solidFill>
          </w14:textFill>
        </w:rPr>
        <w:t xml:space="preserve"> were not found (</w:t>
      </w:r>
      <w:r>
        <w:rPr>
          <w:rFonts w:cs="Times New Roman"/>
          <w:color w:val="000000" w:themeColor="text1"/>
          <w:szCs w:val="22"/>
          <w14:textFill>
            <w14:solidFill>
              <w14:schemeClr w14:val="tx1"/>
            </w14:solidFill>
          </w14:textFill>
        </w:rPr>
        <w:t xml:space="preserve">no significant </w:t>
      </w:r>
      <w:r>
        <w:rPr>
          <w:rFonts w:hint="eastAsia" w:cs="Times New Roman"/>
          <w:color w:val="000000" w:themeColor="text1"/>
          <w:szCs w:val="22"/>
          <w14:textFill>
            <w14:solidFill>
              <w14:schemeClr w14:val="tx1"/>
            </w14:solidFill>
          </w14:textFill>
        </w:rPr>
        <w:t>sub</w:t>
      </w:r>
      <w:r>
        <w:rPr>
          <w:rFonts w:cs="Times New Roman"/>
          <w:color w:val="000000" w:themeColor="text1"/>
          <w:szCs w:val="22"/>
          <w14:textFill>
            <w14:solidFill>
              <w14:schemeClr w14:val="tx1"/>
            </w14:solidFill>
          </w14:textFill>
        </w:rPr>
        <w:t>network was formed</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We suspected that this may due to its low temporal resolution (in fact, due to the inherent defects of the window-based method (the trade-off between the window length and the step length), its temporal resolution couldn't provide a window for every time point), the sensitivity in detecting the time-varying properties of FC was far less than that of the phase-based method used in our study. Therefore, under the same conditions, the phase-based method with high temporal resolution in our study may be better to explore the significant differences in time-varying FC</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 S4</w:t>
      </w:r>
      <w:r>
        <w:rPr>
          <w:rFonts w:cs="Times New Roman"/>
          <w:color w:val="000000" w:themeColor="text1"/>
          <w:szCs w:val="22"/>
          <w14:textFill>
            <w14:solidFill>
              <w14:schemeClr w14:val="tx1"/>
            </w14:solidFill>
          </w14:textFill>
        </w:rPr>
        <w:t xml:space="preserve"> and Table </w:t>
      </w:r>
      <w:r>
        <w:rPr>
          <w:rFonts w:hint="eastAsia" w:cs="Times New Roman"/>
          <w:color w:val="000000" w:themeColor="text1"/>
          <w:szCs w:val="22"/>
          <w14:textFill>
            <w14:solidFill>
              <w14:schemeClr w14:val="tx1"/>
            </w14:solidFill>
          </w14:textFill>
        </w:rPr>
        <w:t>S3</w:t>
      </w:r>
      <w:r>
        <w:rPr>
          <w:rFonts w:cs="Times New Roman"/>
          <w:color w:val="000000" w:themeColor="text1"/>
          <w:szCs w:val="22"/>
          <w14:textFill>
            <w14:solidFill>
              <w14:schemeClr w14:val="tx1"/>
            </w14:solidFill>
          </w14:textFill>
        </w:rPr>
        <w:t>).</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 xml:space="preserve">Results of </w:t>
      </w:r>
      <w:r>
        <w:rPr>
          <w:rFonts w:hint="eastAsia" w:cs="Times New Roman"/>
          <w:b/>
          <w:bCs/>
          <w:color w:val="000000" w:themeColor="text1"/>
          <w:szCs w:val="22"/>
          <w14:textFill>
            <w14:solidFill>
              <w14:schemeClr w14:val="tx1"/>
            </w14:solidFill>
          </w14:textFill>
        </w:rPr>
        <w:t>R</w:t>
      </w:r>
      <w:r>
        <w:rPr>
          <w:rFonts w:cs="Times New Roman"/>
          <w:b/>
          <w:bCs/>
          <w:color w:val="000000" w:themeColor="text1"/>
          <w:szCs w:val="22"/>
          <w14:textFill>
            <w14:solidFill>
              <w14:schemeClr w14:val="tx1"/>
            </w14:solidFill>
          </w14:textFill>
        </w:rPr>
        <w:t>obustness Analysis</w:t>
      </w:r>
      <w:r>
        <w:rPr>
          <w:rFonts w:hint="eastAsia" w:cs="Times New Roman"/>
          <w:b/>
          <w:bCs/>
          <w:color w:val="000000" w:themeColor="text1"/>
          <w:szCs w:val="22"/>
          <w14:textFill>
            <w14:solidFill>
              <w14:schemeClr w14:val="tx1"/>
            </w14:solidFill>
          </w14:textFill>
        </w:rPr>
        <w:t xml:space="preserve"> when Taking Age and Gender as Covariates</w:t>
      </w:r>
    </w:p>
    <w:p>
      <w:pPr>
        <w:spacing w:line="480" w:lineRule="auto"/>
        <w:rPr>
          <w:rFonts w:eastAsia="宋体" w:cs="宋体"/>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Heuristically, age and gender are likely to have an impact on dynamic connectivity changes. According to this, we take age and gender as covariates into account. The covariate effects of age and gender were further regressed during the construction of our dFC method.</w:t>
      </w:r>
    </w:p>
    <w:p>
      <w:pPr>
        <w:spacing w:line="480" w:lineRule="auto"/>
        <w:rPr>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 xml:space="preserve">In the new results of COBRE, more than 50% of connections of sFC were mainly </w:t>
      </w:r>
      <w:r>
        <w:rPr>
          <w:rFonts w:hint="eastAsia"/>
          <w:color w:val="000000" w:themeColor="text1"/>
          <w:szCs w:val="22"/>
          <w14:textFill>
            <w14:solidFill>
              <w14:schemeClr w14:val="tx1"/>
            </w14:solidFill>
          </w14:textFill>
        </w:rPr>
        <w:t>observed am</w:t>
      </w:r>
      <w:r>
        <w:rPr>
          <w:rFonts w:hint="eastAsia" w:eastAsia="宋体" w:cs="宋体"/>
          <w:color w:val="000000" w:themeColor="text1"/>
          <w:szCs w:val="22"/>
          <w14:textFill>
            <w14:solidFill>
              <w14:schemeClr w14:val="tx1"/>
            </w14:solidFill>
          </w14:textFill>
        </w:rPr>
        <w:t xml:space="preserve">ong the anterior cingulate and the temporal lobe, brain regions in aberrant subnetworks were also extended to rolandic operculum, supplementary motor area and inferior parietal (but supramarginal and angular gyri). However, </w:t>
      </w: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he disconnectivity</w:t>
      </w:r>
      <w:r>
        <w:rPr>
          <w:rFonts w:hint="eastAsia"/>
          <w:color w:val="000000" w:themeColor="text1"/>
          <w:szCs w:val="22"/>
          <w14:textFill>
            <w14:solidFill>
              <w14:schemeClr w14:val="tx1"/>
            </w14:solidFill>
          </w14:textFill>
        </w:rPr>
        <w:t xml:space="preserve"> between</w:t>
      </w:r>
      <w:r>
        <w:rPr>
          <w:color w:val="000000" w:themeColor="text1"/>
          <w:szCs w:val="22"/>
          <w14:textFill>
            <w14:solidFill>
              <w14:schemeClr w14:val="tx1"/>
            </w14:solidFill>
          </w14:textFill>
        </w:rPr>
        <w:t xml:space="preserve"> the anterior cingulate cortex</w:t>
      </w:r>
      <w:r>
        <w:rPr>
          <w:rFonts w:hint="eastAsia"/>
          <w:color w:val="000000" w:themeColor="text1"/>
          <w:szCs w:val="22"/>
          <w14:textFill>
            <w14:solidFill>
              <w14:schemeClr w14:val="tx1"/>
            </w14:solidFill>
          </w14:textFill>
        </w:rPr>
        <w:t xml:space="preserve"> and the temporal </w:t>
      </w:r>
      <w:r>
        <w:rPr>
          <w:color w:val="000000" w:themeColor="text1"/>
          <w:szCs w:val="22"/>
          <w14:textFill>
            <w14:solidFill>
              <w14:schemeClr w14:val="tx1"/>
            </w14:solidFill>
          </w14:textFill>
        </w:rPr>
        <w:t>cortex</w:t>
      </w:r>
      <w:r>
        <w:rPr>
          <w:rFonts w:hint="eastAsia"/>
          <w:color w:val="000000" w:themeColor="text1"/>
          <w:szCs w:val="22"/>
          <w14:textFill>
            <w14:solidFill>
              <w14:schemeClr w14:val="tx1"/>
            </w14:solidFill>
          </w14:textFill>
        </w:rPr>
        <w:t xml:space="preserve"> were not predominantly found in vFC, and </w:t>
      </w:r>
      <w:r>
        <w:rPr>
          <w:rFonts w:hint="eastAsia" w:eastAsia="宋体" w:cs="宋体"/>
          <w:color w:val="000000" w:themeColor="text1"/>
          <w:szCs w:val="22"/>
          <w14:textFill>
            <w14:solidFill>
              <w14:schemeClr w14:val="tx1"/>
            </w14:solidFill>
          </w14:textFill>
        </w:rPr>
        <w:t>brain regions in aberrant subnetworks were also extended to the frontal lobe, supplementary motor area, amygdala, inferior occipital gyrus and the thalamus,</w:t>
      </w:r>
      <w:r>
        <w:rPr>
          <w:rFonts w:hint="eastAsia"/>
          <w:color w:val="000000" w:themeColor="text1"/>
          <w:szCs w:val="22"/>
          <w14:textFill>
            <w14:solidFill>
              <w14:schemeClr w14:val="tx1"/>
            </w14:solidFill>
          </w14:textFill>
        </w:rPr>
        <w:t>which were not consistent with the former results in our study (</w:t>
      </w:r>
      <w:r>
        <w:rPr>
          <w:rFonts w:hint="eastAsia" w:eastAsia="宋体" w:cs="宋体"/>
          <w:color w:val="000000" w:themeColor="text1"/>
          <w:szCs w:val="22"/>
          <w14:textFill>
            <w14:solidFill>
              <w14:schemeClr w14:val="tx1"/>
            </w14:solidFill>
          </w14:textFill>
        </w:rPr>
        <w:t>Figure S6 (a) (b) and Table S4</w:t>
      </w:r>
      <w:r>
        <w:rPr>
          <w:rFonts w:hint="eastAsia"/>
          <w:color w:val="000000" w:themeColor="text1"/>
          <w:szCs w:val="22"/>
          <w14:textFill>
            <w14:solidFill>
              <w14:schemeClr w14:val="tx1"/>
            </w14:solidFill>
          </w14:textFill>
        </w:rPr>
        <w:t>).</w:t>
      </w:r>
    </w:p>
    <w:p>
      <w:pPr>
        <w:spacing w:line="480" w:lineRule="auto"/>
        <w:rPr>
          <w:rFonts w:cs="Times New Roman"/>
          <w:b/>
          <w:bCs/>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In the new results of OpenfMRI, the aberrant brain regions in significant subnetworks of sFC were mainly involved the temporal lobe, lingual gyrus, gyrus rectus, and the caudate nucleus, and the connections associated with the hippocampus were not found. However, the aberrant brain regions in subnetworks of vFC were predominantly observed at the hippocampus, parahippocampal gyrus, temporal lobe, rolandic operculum, and the inferior occipital gyrus (Figure S6 (c) (d) and Table S5). The consistent results in both sFC and vFC were hardly found in two datasets after the regression of age and gender in our phase based method.</w:t>
      </w:r>
      <w:r>
        <w:rPr>
          <w:rFonts w:hint="eastAsia" w:cs="Times New Roman"/>
          <w:b/>
          <w:bCs/>
          <w:color w:val="000000" w:themeColor="text1"/>
          <w:szCs w:val="22"/>
          <w14:textFill>
            <w14:solidFill>
              <w14:schemeClr w14:val="tx1"/>
            </w14:solidFill>
          </w14:textFill>
        </w:rPr>
        <w:t xml:space="preserve"> </w:t>
      </w:r>
    </w:p>
    <w:p>
      <w:pPr>
        <w:spacing w:line="480" w:lineRule="auto"/>
        <w:rPr>
          <w:rFonts w:eastAsia="宋体" w:cs="宋体"/>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Moreover, the new results of SVM classification performances were all relatively reduced. For the  COBRE dataset: (</w:t>
      </w:r>
      <w:r>
        <w:rPr>
          <w:rFonts w:eastAsia="宋体" w:cs="宋体"/>
          <w:color w:val="000000" w:themeColor="text1"/>
          <w:szCs w:val="22"/>
          <w14:textFill>
            <w14:solidFill>
              <w14:schemeClr w14:val="tx1"/>
            </w14:solidFill>
          </w14:textFill>
        </w:rPr>
        <w:t>Accuracy</w:t>
      </w:r>
      <w:r>
        <w:rPr>
          <w:rFonts w:hint="eastAsia" w:eastAsia="宋体" w:cs="宋体"/>
          <w:color w:val="000000" w:themeColor="text1"/>
          <w:szCs w:val="22"/>
          <w14:textFill>
            <w14:solidFill>
              <w14:schemeClr w14:val="tx1"/>
            </w14:solidFill>
          </w14:textFill>
        </w:rPr>
        <w:t xml:space="preserve">: 0.7629; </w:t>
      </w:r>
      <w:r>
        <w:rPr>
          <w:rFonts w:eastAsia="宋体" w:cs="宋体"/>
          <w:color w:val="000000" w:themeColor="text1"/>
          <w:szCs w:val="22"/>
          <w14:textFill>
            <w14:solidFill>
              <w14:schemeClr w14:val="tx1"/>
            </w14:solidFill>
          </w14:textFill>
        </w:rPr>
        <w:t>Balanced Accuracy</w:t>
      </w:r>
      <w:r>
        <w:rPr>
          <w:rFonts w:hint="eastAsia" w:eastAsia="宋体" w:cs="宋体"/>
          <w:color w:val="000000" w:themeColor="text1"/>
          <w:szCs w:val="22"/>
          <w14:textFill>
            <w14:solidFill>
              <w14:schemeClr w14:val="tx1"/>
            </w14:solidFill>
          </w14:textFill>
        </w:rPr>
        <w:t>: 0.7163; Sensitivity: 0.7467; Specificity: 0.7786); For the OpenfMRI dataset: (</w:t>
      </w:r>
      <w:r>
        <w:rPr>
          <w:rFonts w:eastAsia="宋体" w:cs="宋体"/>
          <w:color w:val="000000" w:themeColor="text1"/>
          <w:szCs w:val="22"/>
          <w14:textFill>
            <w14:solidFill>
              <w14:schemeClr w14:val="tx1"/>
            </w14:solidFill>
          </w14:textFill>
        </w:rPr>
        <w:t>Accuracy</w:t>
      </w:r>
      <w:r>
        <w:rPr>
          <w:rFonts w:hint="eastAsia" w:eastAsia="宋体" w:cs="宋体"/>
          <w:color w:val="000000" w:themeColor="text1"/>
          <w:szCs w:val="22"/>
          <w14:textFill>
            <w14:solidFill>
              <w14:schemeClr w14:val="tx1"/>
            </w14:solidFill>
          </w14:textFill>
        </w:rPr>
        <w:t xml:space="preserve">: 0.7511, </w:t>
      </w:r>
      <w:r>
        <w:rPr>
          <w:rFonts w:eastAsia="宋体" w:cs="宋体"/>
          <w:color w:val="000000" w:themeColor="text1"/>
          <w:szCs w:val="22"/>
          <w14:textFill>
            <w14:solidFill>
              <w14:schemeClr w14:val="tx1"/>
            </w14:solidFill>
          </w14:textFill>
        </w:rPr>
        <w:t>Balanced Accuracy</w:t>
      </w:r>
      <w:r>
        <w:rPr>
          <w:rFonts w:hint="eastAsia" w:eastAsia="宋体" w:cs="宋体"/>
          <w:color w:val="000000" w:themeColor="text1"/>
          <w:szCs w:val="22"/>
          <w14:textFill>
            <w14:solidFill>
              <w14:schemeClr w14:val="tx1"/>
            </w14:solidFill>
          </w14:textFill>
        </w:rPr>
        <w:t xml:space="preserve">: 0.6900; Sensitivity: 0.6917; Specificity: 0.7833). Although the accuracy of SVM classification performance was relatively decreased, the classification results of dynamic global and local features in our study were still statistically significant. </w:t>
      </w:r>
    </w:p>
    <w:p>
      <w:pPr>
        <w:spacing w:line="480" w:lineRule="auto"/>
        <w:rPr>
          <w:rFonts w:eastAsia="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 conclusion, although the abnormal pattern of dFC with decreased strength and increased variability were still unc</w:t>
      </w:r>
      <w:r>
        <w:rPr>
          <w:rFonts w:hint="eastAsia" w:eastAsia="宋体" w:cs="宋体"/>
          <w:color w:val="000000" w:themeColor="text1"/>
          <w:szCs w:val="22"/>
          <w14:textFill>
            <w14:solidFill>
              <w14:schemeClr w14:val="tx1"/>
            </w14:solidFill>
          </w14:textFill>
        </w:rPr>
        <w:t>hanged, we could still consider that the consistency (i.e., in the results of sFC and vFC, many connections in dynamic subnetworks with the pattern of both decreased strength and increased variability were observed between similar brain regions) of the local dynamic features in dFC (sFC and vFC) and the classification performance of those connections in dynamic subnetworks were all affected. This may be caused by the definition and extraction of local features in dFC constructed by ICMs were accordingly influenced (i.e., the meaning and the rationality of our dynamic features will be unclear) after regressing out the effect of covariates (age and gender) in our phase based method.</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ascii="Calibri" w:hAnsi="Calibri" w:cstheme="minorEastAsia"/>
          <w:color w:val="000000" w:themeColor="text1"/>
          <w:szCs w:val="22"/>
          <w14:textFill>
            <w14:solidFill>
              <w14:schemeClr w14:val="tx1"/>
            </w14:solidFill>
          </w14:textFill>
        </w:rPr>
      </w:pPr>
      <w:r>
        <w:rPr>
          <w:rFonts w:hint="eastAsia" w:ascii="Calibri" w:hAnsi="Calibri" w:cstheme="minorEastAsia"/>
          <w:color w:val="000000" w:themeColor="text1"/>
          <w:szCs w:val="22"/>
          <w14:textFill>
            <w14:solidFill>
              <w14:schemeClr w14:val="tx1"/>
            </w14:solidFill>
          </w14:textFill>
        </w:rPr>
        <w:drawing>
          <wp:inline distT="0" distB="0" distL="114300" distR="114300">
            <wp:extent cx="5269230" cy="5495925"/>
            <wp:effectExtent l="0" t="0" r="1270" b="3175"/>
            <wp:docPr id="1" name="图片 1" descr="a成对的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成对的ICM"/>
                    <pic:cNvPicPr>
                      <a:picLocks noChangeAspect="1"/>
                    </pic:cNvPicPr>
                  </pic:nvPicPr>
                  <pic:blipFill>
                    <a:blip r:embed="rId8"/>
                    <a:stretch>
                      <a:fillRect/>
                    </a:stretch>
                  </pic:blipFill>
                  <pic:spPr>
                    <a:xfrm>
                      <a:off x="0" y="0"/>
                      <a:ext cx="5269230" cy="5495925"/>
                    </a:xfrm>
                    <a:prstGeom prst="rect">
                      <a:avLst/>
                    </a:prstGeom>
                  </pic:spPr>
                </pic:pic>
              </a:graphicData>
            </a:graphic>
          </wp:inline>
        </w:drawing>
      </w:r>
    </w:p>
    <w:p>
      <w:pPr>
        <w:spacing w:line="480" w:lineRule="auto"/>
        <w:rPr>
          <w:rFonts w:cs="Times New Roman"/>
          <w:color w:val="000000" w:themeColor="text1"/>
          <w:szCs w:val="22"/>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w:t>
      </w:r>
      <w:r>
        <w:rPr>
          <w:rFonts w:cs="Times New Roman"/>
          <w:b/>
          <w:bCs/>
          <w:color w:val="000000" w:themeColor="text1"/>
          <w:sz w:val="20"/>
          <w:szCs w:val="20"/>
          <w14:textFill>
            <w14:solidFill>
              <w14:schemeClr w14:val="tx1"/>
            </w14:solidFill>
          </w14:textFill>
        </w:rPr>
        <w:t>1.</w:t>
      </w:r>
      <w:r>
        <w:rPr>
          <w:rFonts w:ascii="Calibri" w:hAnsi="Calibri" w:cstheme="minorEastAsia"/>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I</w:t>
      </w:r>
      <w:r>
        <w:rPr>
          <w:rFonts w:cs="Times New Roman"/>
          <w:color w:val="000000" w:themeColor="text1"/>
          <w:sz w:val="20"/>
          <w:szCs w:val="20"/>
          <w14:textFill>
            <w14:solidFill>
              <w14:schemeClr w14:val="tx1"/>
            </w14:solidFill>
          </w14:textFill>
        </w:rPr>
        <w:t>nstantaneous coupling matri</w:t>
      </w:r>
      <w:r>
        <w:rPr>
          <w:rFonts w:hint="eastAsia" w:cs="Times New Roman"/>
          <w:color w:val="000000" w:themeColor="text1"/>
          <w:sz w:val="20"/>
          <w:szCs w:val="20"/>
          <w14:textFill>
            <w14:solidFill>
              <w14:schemeClr w14:val="tx1"/>
            </w14:solidFill>
          </w14:textFill>
        </w:rPr>
        <w:t>x (</w:t>
      </w:r>
      <w:r>
        <w:rPr>
          <w:rFonts w:cs="Times New Roman"/>
          <w:color w:val="000000" w:themeColor="text1"/>
          <w:sz w:val="20"/>
          <w:szCs w:val="20"/>
          <w14:textFill>
            <w14:solidFill>
              <w14:schemeClr w14:val="tx1"/>
            </w14:solidFill>
          </w14:textFill>
        </w:rPr>
        <w:t>ICM</w:t>
      </w:r>
      <w:r>
        <w:rPr>
          <w:rFonts w:hint="eastAsia" w:cs="Times New Roman"/>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analysis chart of </w:t>
      </w:r>
      <w:r>
        <w:rPr>
          <w:rFonts w:hint="eastAsia" w:cs="Times New Roman"/>
          <w:color w:val="000000" w:themeColor="text1"/>
          <w:sz w:val="20"/>
          <w:szCs w:val="20"/>
          <w14:textFill>
            <w14:solidFill>
              <w14:schemeClr w14:val="tx1"/>
            </w14:solidFill>
          </w14:textFill>
        </w:rPr>
        <w:t>the COBRE dataset</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(a), (b) : the correlation coefficient distribution between each ICM pair in the respective groups; (c), (d) : the correlation coefficient distribution between each ICM and the mean matrix of 140 ICMs (av-FC) in the respective groups; (e), (f) : matrix of average similarity between ICMs of the respective groups (left: schizophrenia patients group, right: healthy controls group).</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drawing>
          <wp:inline distT="0" distB="0" distL="114300" distR="114300">
            <wp:extent cx="5269230" cy="5495925"/>
            <wp:effectExtent l="0" t="0" r="1270" b="3175"/>
            <wp:docPr id="3" name="图片 3" descr="a成对的ICM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成对的ICM0614"/>
                    <pic:cNvPicPr>
                      <a:picLocks noChangeAspect="1"/>
                    </pic:cNvPicPr>
                  </pic:nvPicPr>
                  <pic:blipFill>
                    <a:blip r:embed="rId9"/>
                    <a:stretch>
                      <a:fillRect/>
                    </a:stretch>
                  </pic:blipFill>
                  <pic:spPr>
                    <a:xfrm>
                      <a:off x="0" y="0"/>
                      <a:ext cx="5269230" cy="5495925"/>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S2</w:t>
      </w:r>
      <w:r>
        <w:rPr>
          <w:rFonts w:cs="Times New Roman"/>
          <w:b/>
          <w:bCs/>
          <w:color w:val="000000" w:themeColor="text1"/>
          <w:sz w:val="20"/>
          <w:szCs w:val="20"/>
          <w14:textFill>
            <w14:solidFill>
              <w14:schemeClr w14:val="tx1"/>
            </w14:solidFill>
          </w14:textFill>
        </w:rPr>
        <w:t>.</w:t>
      </w:r>
      <w:r>
        <w:rPr>
          <w:rFonts w:ascii="Calibri" w:hAnsi="Calibri" w:cstheme="minorEastAsia"/>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I</w:t>
      </w:r>
      <w:r>
        <w:rPr>
          <w:rFonts w:cs="Times New Roman"/>
          <w:color w:val="000000" w:themeColor="text1"/>
          <w:sz w:val="20"/>
          <w:szCs w:val="20"/>
          <w14:textFill>
            <w14:solidFill>
              <w14:schemeClr w14:val="tx1"/>
            </w14:solidFill>
          </w14:textFill>
        </w:rPr>
        <w:t>nstantaneous coupling matri</w:t>
      </w:r>
      <w:r>
        <w:rPr>
          <w:rFonts w:hint="eastAsia" w:cs="Times New Roman"/>
          <w:color w:val="000000" w:themeColor="text1"/>
          <w:sz w:val="20"/>
          <w:szCs w:val="20"/>
          <w14:textFill>
            <w14:solidFill>
              <w14:schemeClr w14:val="tx1"/>
            </w14:solidFill>
          </w14:textFill>
        </w:rPr>
        <w:t>x (</w:t>
      </w:r>
      <w:r>
        <w:rPr>
          <w:rFonts w:cs="Times New Roman"/>
          <w:color w:val="000000" w:themeColor="text1"/>
          <w:sz w:val="20"/>
          <w:szCs w:val="20"/>
          <w14:textFill>
            <w14:solidFill>
              <w14:schemeClr w14:val="tx1"/>
            </w14:solidFill>
          </w14:textFill>
        </w:rPr>
        <w:t>ICM</w:t>
      </w:r>
      <w:r>
        <w:rPr>
          <w:rFonts w:hint="eastAsia" w:cs="Times New Roman"/>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analysis chart of </w:t>
      </w:r>
      <w:r>
        <w:rPr>
          <w:rFonts w:hint="eastAsia" w:cs="Times New Roman"/>
          <w:color w:val="000000" w:themeColor="text1"/>
          <w:sz w:val="20"/>
          <w:szCs w:val="20"/>
          <w14:textFill>
            <w14:solidFill>
              <w14:schemeClr w14:val="tx1"/>
            </w14:solidFill>
          </w14:textFill>
        </w:rPr>
        <w:t>the OpenfMRI dataset</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(a), (b) : the correlation coefficient distribution between each ICM pair in the respective groups; (c), (d) : the correlation coefficient distribution between each ICM and the mean matrix of 140 ICMs (av-FC) in the respective groups; (e), (f) : matrix of average similarity between ICMs of the respective groups (left: schizophrenia patients group, right: healthy controls group).</w:t>
      </w: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drawing>
          <wp:inline distT="0" distB="0" distL="114300" distR="114300">
            <wp:extent cx="5266690" cy="2477135"/>
            <wp:effectExtent l="0" t="0" r="3810" b="12065"/>
            <wp:docPr id="7" name="图片 7" descr="新的6个SVM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的6个SVM区间图"/>
                    <pic:cNvPicPr>
                      <a:picLocks noChangeAspect="1"/>
                    </pic:cNvPicPr>
                  </pic:nvPicPr>
                  <pic:blipFill>
                    <a:blip r:embed="rId10"/>
                    <a:stretch>
                      <a:fillRect/>
                    </a:stretch>
                  </pic:blipFill>
                  <pic:spPr>
                    <a:xfrm>
                      <a:off x="0" y="0"/>
                      <a:ext cx="5266690" cy="2477135"/>
                    </a:xfrm>
                    <a:prstGeom prst="rect">
                      <a:avLst/>
                    </a:prstGeom>
                  </pic:spPr>
                </pic:pic>
              </a:graphicData>
            </a:graphic>
          </wp:inline>
        </w:drawing>
      </w:r>
    </w:p>
    <w:p>
      <w:pPr>
        <w:spacing w:before="156" w:beforeLines="50"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S3</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 xml:space="preserve">The posterior probability intervals of the balanced accuracy (based on the </w:t>
      </w:r>
      <w:r>
        <w:rPr>
          <w:rFonts w:hint="eastAsia"/>
          <w:color w:val="000000" w:themeColor="text1"/>
          <w14:textFill>
            <w14:solidFill>
              <w14:schemeClr w14:val="tx1"/>
            </w14:solidFill>
          </w14:textFill>
        </w:rPr>
        <w:t>discovery dataset</w:t>
      </w:r>
      <w:r>
        <w:rPr>
          <w:rFonts w:hint="eastAsia" w:cs="Times New Roman"/>
          <w:color w:val="000000" w:themeColor="text1"/>
          <w:sz w:val="20"/>
          <w:szCs w:val="20"/>
          <w14:textFill>
            <w14:solidFill>
              <w14:schemeClr w14:val="tx1"/>
            </w14:solidFill>
          </w14:textFill>
        </w:rPr>
        <w:t>).</w:t>
      </w:r>
    </w:p>
    <w:p>
      <w:pPr>
        <w:spacing w:before="156" w:beforeLines="50" w:line="480" w:lineRule="auto"/>
        <w:rPr>
          <w:rFonts w:cs="Times New Roman"/>
          <w:color w:val="000000" w:themeColor="text1"/>
          <w:sz w:val="20"/>
          <w:szCs w:val="20"/>
          <w14:textFill>
            <w14:solidFill>
              <w14:schemeClr w14:val="tx1"/>
            </w14:solidFill>
          </w14:textFill>
        </w:rPr>
      </w:pPr>
    </w:p>
    <w:p>
      <w:pPr>
        <w:spacing w:before="156" w:beforeLines="50" w:line="480" w:lineRule="auto"/>
        <w:rPr>
          <w:rFonts w:cs="Times New Roman"/>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drawing>
          <wp:inline distT="0" distB="0" distL="114300" distR="114300">
            <wp:extent cx="5261610" cy="2635885"/>
            <wp:effectExtent l="0" t="0" r="8890" b="5715"/>
            <wp:docPr id="4" name="图片 4" descr="new滑动时间窗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ew滑动时间窗sFC"/>
                    <pic:cNvPicPr>
                      <a:picLocks noChangeAspect="1"/>
                    </pic:cNvPicPr>
                  </pic:nvPicPr>
                  <pic:blipFill>
                    <a:blip r:embed="rId11"/>
                    <a:stretch>
                      <a:fillRect/>
                    </a:stretch>
                  </pic:blipFill>
                  <pic:spPr>
                    <a:xfrm>
                      <a:off x="0" y="0"/>
                      <a:ext cx="5261610" cy="2635885"/>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S4</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Significantly decreased connections </w:t>
      </w:r>
      <w:r>
        <w:rPr>
          <w:rFonts w:hint="eastAsia" w:cs="Times New Roman"/>
          <w:color w:val="000000" w:themeColor="text1"/>
          <w:sz w:val="20"/>
          <w:szCs w:val="20"/>
          <w14:textFill>
            <w14:solidFill>
              <w14:schemeClr w14:val="tx1"/>
            </w14:solidFill>
          </w14:textFill>
        </w:rPr>
        <w:t xml:space="preserve">(the strength of functional connectivity, P = 0.0006) </w:t>
      </w:r>
      <w:r>
        <w:rPr>
          <w:rFonts w:cs="Times New Roman"/>
          <w:color w:val="000000" w:themeColor="text1"/>
          <w:sz w:val="20"/>
          <w:szCs w:val="20"/>
          <w14:textFill>
            <w14:solidFill>
              <w14:schemeClr w14:val="tx1"/>
            </w14:solidFill>
          </w14:textFill>
        </w:rPr>
        <w:t xml:space="preserve">in </w:t>
      </w:r>
      <w:r>
        <w:rPr>
          <w:rFonts w:hint="eastAsia" w:cs="Times New Roman"/>
          <w:color w:val="000000" w:themeColor="text1"/>
          <w:sz w:val="20"/>
          <w:szCs w:val="20"/>
          <w14:textFill>
            <w14:solidFill>
              <w14:schemeClr w14:val="tx1"/>
            </w14:solidFill>
          </w14:textFill>
        </w:rPr>
        <w:t>dynamic brain networks</w:t>
      </w:r>
      <w:r>
        <w:rPr>
          <w:rFonts w:cs="Times New Roman"/>
          <w:color w:val="000000" w:themeColor="text1"/>
          <w:sz w:val="20"/>
          <w:szCs w:val="20"/>
          <w14:textFill>
            <w14:solidFill>
              <w14:schemeClr w14:val="tx1"/>
            </w14:solidFill>
          </w14:textFill>
        </w:rPr>
        <w:t xml:space="preserve"> analysis </w:t>
      </w:r>
      <w:r>
        <w:rPr>
          <w:rFonts w:hint="eastAsia" w:cs="Times New Roman"/>
          <w:color w:val="000000" w:themeColor="text1"/>
          <w:sz w:val="20"/>
          <w:szCs w:val="20"/>
          <w14:textFill>
            <w14:solidFill>
              <w14:schemeClr w14:val="tx1"/>
            </w14:solidFill>
          </w14:textFill>
        </w:rPr>
        <w:t xml:space="preserve">by </w:t>
      </w:r>
      <w:r>
        <w:rPr>
          <w:rFonts w:cs="Times New Roman"/>
          <w:color w:val="000000" w:themeColor="text1"/>
          <w:sz w:val="20"/>
          <w:szCs w:val="20"/>
          <w14:textFill>
            <w14:solidFill>
              <w14:schemeClr w14:val="tx1"/>
            </w14:solidFill>
          </w14:textFill>
        </w:rPr>
        <w:t>using the sliding-window approach (</w:t>
      </w:r>
      <w:r>
        <w:rPr>
          <w:rFonts w:hint="eastAsia" w:cs="Times New Roman"/>
          <w:color w:val="000000" w:themeColor="text1"/>
          <w:sz w:val="20"/>
          <w:szCs w:val="20"/>
          <w14:textFill>
            <w14:solidFill>
              <w14:schemeClr w14:val="tx1"/>
            </w14:solidFill>
          </w14:textFill>
        </w:rPr>
        <w:t>schizophrenia patients</w:t>
      </w:r>
      <w:r>
        <w:rPr>
          <w:rFonts w:cs="Times New Roman"/>
          <w:color w:val="000000" w:themeColor="text1"/>
          <w:sz w:val="20"/>
          <w:szCs w:val="20"/>
          <w14:textFill>
            <w14:solidFill>
              <w14:schemeClr w14:val="tx1"/>
            </w14:solidFill>
          </w14:textFill>
        </w:rPr>
        <w:t xml:space="preserve"> vs </w:t>
      </w:r>
      <w:r>
        <w:rPr>
          <w:rFonts w:hint="eastAsia" w:cs="Times New Roman"/>
          <w:color w:val="000000" w:themeColor="text1"/>
          <w:sz w:val="20"/>
          <w:szCs w:val="20"/>
          <w14:textFill>
            <w14:solidFill>
              <w14:schemeClr w14:val="tx1"/>
            </w14:solidFill>
          </w14:textFill>
        </w:rPr>
        <w:t>healthy controls</w:t>
      </w:r>
      <w:r>
        <w:rPr>
          <w:rFonts w:cs="Times New Roman"/>
          <w:color w:val="000000" w:themeColor="text1"/>
          <w:sz w:val="20"/>
          <w:szCs w:val="20"/>
          <w14:textFill>
            <w14:solidFill>
              <w14:schemeClr w14:val="tx1"/>
            </w14:solidFill>
          </w14:textFill>
        </w:rPr>
        <w:t>). The results are based on NBS using 5,000 permutations, P value &lt; 0.05 and maximum component threshold 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&gt;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4.2.</w:t>
      </w: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drawing>
          <wp:inline distT="0" distB="0" distL="114300" distR="114300">
            <wp:extent cx="5273040" cy="2409190"/>
            <wp:effectExtent l="0" t="0" r="10160" b="3810"/>
            <wp:docPr id="11" name="图片 11" descr="Gt的5个验证阈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t的5个验证阈值a"/>
                    <pic:cNvPicPr>
                      <a:picLocks noChangeAspect="1"/>
                    </pic:cNvPicPr>
                  </pic:nvPicPr>
                  <pic:blipFill>
                    <a:blip r:embed="rId12"/>
                    <a:stretch>
                      <a:fillRect/>
                    </a:stretch>
                  </pic:blipFill>
                  <pic:spPr>
                    <a:xfrm>
                      <a:off x="0" y="0"/>
                      <a:ext cx="5273040" cy="2409190"/>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S5</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 xml:space="preserve">The validation of threshold in global synchrony. The group differences of the mean of global synchrony were invariant to the choice of the threshold (10,000 permutations, P = 0.0111, 0.0122, 0.0107, 0.0119, 0.0126 respectively). In our study, </w:t>
      </w:r>
      <w:r>
        <w:rPr>
          <w:rFonts w:cs="Times New Roman"/>
          <w:color w:val="000000" w:themeColor="text1"/>
          <w:sz w:val="20"/>
          <w:szCs w:val="20"/>
          <w14:textFill>
            <w14:solidFill>
              <w14:schemeClr w14:val="tx1"/>
            </w14:solidFill>
          </w14:textFill>
        </w:rPr>
        <w:t>π</w:t>
      </w:r>
      <w:r>
        <w:rPr>
          <w:rFonts w:hint="eastAsia" w:cs="Times New Roman"/>
          <w:color w:val="000000" w:themeColor="text1"/>
          <w:sz w:val="20"/>
          <w:szCs w:val="20"/>
          <w14:textFill>
            <w14:solidFill>
              <w14:schemeClr w14:val="tx1"/>
            </w14:solidFill>
          </w14:textFill>
        </w:rPr>
        <w:t>/8 was chosen to be the binary threshold in analysis.</w:t>
      </w: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drawing>
          <wp:inline distT="0" distB="0" distL="114300" distR="114300">
            <wp:extent cx="4311015" cy="4450080"/>
            <wp:effectExtent l="0" t="0" r="6985" b="7620"/>
            <wp:docPr id="9" name="图片 9" descr="local features after cova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cal features after covariate"/>
                    <pic:cNvPicPr>
                      <a:picLocks noChangeAspect="1"/>
                    </pic:cNvPicPr>
                  </pic:nvPicPr>
                  <pic:blipFill>
                    <a:blip r:embed="rId13"/>
                    <a:stretch>
                      <a:fillRect/>
                    </a:stretch>
                  </pic:blipFill>
                  <pic:spPr>
                    <a:xfrm>
                      <a:off x="0" y="0"/>
                      <a:ext cx="4311015" cy="4450080"/>
                    </a:xfrm>
                    <a:prstGeom prst="rect">
                      <a:avLst/>
                    </a:prstGeom>
                  </pic:spPr>
                </pic:pic>
              </a:graphicData>
            </a:graphic>
          </wp:inline>
        </w:drawing>
      </w:r>
    </w:p>
    <w:p>
      <w:pPr>
        <w:spacing w:line="480" w:lineRule="auto"/>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S6</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The</w:t>
      </w:r>
      <w:r>
        <w:rPr>
          <w:color w:val="000000" w:themeColor="text1"/>
          <w:szCs w:val="22"/>
          <w14:textFill>
            <w14:solidFill>
              <w14:schemeClr w14:val="tx1"/>
            </w14:solidFill>
          </w14:textFill>
        </w:rPr>
        <w:t xml:space="preserve"> results of the</w:t>
      </w:r>
      <w:r>
        <w:rPr>
          <w:rFonts w:hint="eastAsia"/>
          <w:color w:val="000000" w:themeColor="text1"/>
          <w:szCs w:val="22"/>
          <w14:textFill>
            <w14:solidFill>
              <w14:schemeClr w14:val="tx1"/>
            </w14:solidFill>
          </w14:textFill>
        </w:rPr>
        <w:t xml:space="preserve"> aberrant </w:t>
      </w:r>
      <w:r>
        <w:rPr>
          <w:color w:val="000000" w:themeColor="text1"/>
          <w:szCs w:val="22"/>
          <w14:textFill>
            <w14:solidFill>
              <w14:schemeClr w14:val="tx1"/>
            </w14:solidFill>
          </w14:textFill>
        </w:rPr>
        <w:t xml:space="preserve">local dynamic properties in </w:t>
      </w:r>
      <w:r>
        <w:rPr>
          <w:rFonts w:hint="eastAsia"/>
          <w:color w:val="000000" w:themeColor="text1"/>
          <w:szCs w:val="22"/>
          <w14:textFill>
            <w14:solidFill>
              <w14:schemeClr w14:val="tx1"/>
            </w14:solidFill>
          </w14:textFill>
        </w:rPr>
        <w:t>sFC and vFC (regressed the effects of age and gender)</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a</w:t>
      </w:r>
      <w:r>
        <w:rPr>
          <w:color w:val="000000" w:themeColor="text1"/>
          <w:szCs w:val="22"/>
          <w14:textFill>
            <w14:solidFill>
              <w14:schemeClr w14:val="tx1"/>
            </w14:solidFill>
          </w14:textFill>
        </w:rPr>
        <w:t xml:space="preserve">) dynamic brain networks analysis of significantly decreased connections in strength of functional connectivity (sFC) </w:t>
      </w:r>
      <w:r>
        <w:rPr>
          <w:rFonts w:hint="eastAsia"/>
          <w:color w:val="000000" w:themeColor="text1"/>
          <w:szCs w:val="22"/>
          <w14:textFill>
            <w14:solidFill>
              <w14:schemeClr w14:val="tx1"/>
            </w14:solidFill>
          </w14:textFill>
        </w:rPr>
        <w:t xml:space="preserve">in COBRE. (b) </w:t>
      </w:r>
      <w:r>
        <w:rPr>
          <w:color w:val="000000" w:themeColor="text1"/>
          <w:szCs w:val="22"/>
          <w14:textFill>
            <w14:solidFill>
              <w14:schemeClr w14:val="tx1"/>
            </w14:solidFill>
          </w14:textFill>
        </w:rPr>
        <w:t xml:space="preserve">significantly increased connections in variability of functional connectivity (vFC) </w:t>
      </w:r>
      <w:r>
        <w:rPr>
          <w:rFonts w:hint="eastAsia"/>
          <w:color w:val="000000" w:themeColor="text1"/>
          <w:szCs w:val="22"/>
          <w14:textFill>
            <w14:solidFill>
              <w14:schemeClr w14:val="tx1"/>
            </w14:solidFill>
          </w14:textFill>
        </w:rPr>
        <w:t xml:space="preserve">in COBRE </w:t>
      </w:r>
      <w:r>
        <w:rPr>
          <w:color w:val="000000" w:themeColor="text1"/>
          <w:szCs w:val="22"/>
          <w14:textFill>
            <w14:solidFill>
              <w14:schemeClr w14:val="tx1"/>
            </w14:solidFill>
          </w14:textFill>
        </w:rPr>
        <w:t>(P value &lt; 0.05 and maximum component threshold t &gt; 3.</w:t>
      </w:r>
      <w:r>
        <w:rPr>
          <w:rFonts w:hint="eastAsia"/>
          <w:color w:val="000000" w:themeColor="text1"/>
          <w:szCs w:val="22"/>
          <w14:textFill>
            <w14:solidFill>
              <w14:schemeClr w14:val="tx1"/>
            </w14:solidFill>
          </w14:textFill>
        </w:rPr>
        <w:t>60</w:t>
      </w:r>
      <w:r>
        <w:rPr>
          <w:color w:val="000000" w:themeColor="text1"/>
          <w:szCs w:val="22"/>
          <w14:textFill>
            <w14:solidFill>
              <w14:schemeClr w14:val="tx1"/>
            </w14:solidFill>
          </w14:textFill>
        </w:rPr>
        <w:t xml:space="preserve"> (sFC) and t &gt; 3.3</w:t>
      </w:r>
      <w:r>
        <w:rPr>
          <w:rFonts w:hint="eastAsia"/>
          <w:color w:val="000000" w:themeColor="text1"/>
          <w:szCs w:val="22"/>
          <w14:textFill>
            <w14:solidFill>
              <w14:schemeClr w14:val="tx1"/>
            </w14:solidFill>
          </w14:textFill>
        </w:rPr>
        <w:t>9</w:t>
      </w:r>
      <w:r>
        <w:rPr>
          <w:color w:val="000000" w:themeColor="text1"/>
          <w:szCs w:val="22"/>
          <w14:textFill>
            <w14:solidFill>
              <w14:schemeClr w14:val="tx1"/>
            </w14:solidFill>
          </w14:textFill>
        </w:rPr>
        <w:t xml:space="preserve"> (vFC)</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SZ vs HC).</w:t>
      </w:r>
      <w:r>
        <w:rPr>
          <w:rFonts w:hint="eastAsia"/>
          <w:color w:val="000000" w:themeColor="text1"/>
          <w:szCs w:val="22"/>
          <w14:textFill>
            <w14:solidFill>
              <w14:schemeClr w14:val="tx1"/>
            </w14:solidFill>
          </w14:textFill>
        </w:rPr>
        <w:t xml:space="preserve"> (c) </w:t>
      </w:r>
      <w:r>
        <w:rPr>
          <w:color w:val="000000" w:themeColor="text1"/>
          <w:szCs w:val="22"/>
          <w14:textFill>
            <w14:solidFill>
              <w14:schemeClr w14:val="tx1"/>
            </w14:solidFill>
          </w14:textFill>
        </w:rPr>
        <w:t xml:space="preserve">significantly decreased connections in strength of functional connectivity (sFC) </w:t>
      </w:r>
      <w:r>
        <w:rPr>
          <w:rFonts w:hint="eastAsia"/>
          <w:color w:val="000000" w:themeColor="text1"/>
          <w:szCs w:val="22"/>
          <w14:textFill>
            <w14:solidFill>
              <w14:schemeClr w14:val="tx1"/>
            </w14:solidFill>
          </w14:textFill>
        </w:rPr>
        <w:t xml:space="preserve">in OpenfMRI. (d) </w:t>
      </w:r>
      <w:r>
        <w:rPr>
          <w:color w:val="000000" w:themeColor="text1"/>
          <w:szCs w:val="22"/>
          <w14:textFill>
            <w14:solidFill>
              <w14:schemeClr w14:val="tx1"/>
            </w14:solidFill>
          </w14:textFill>
        </w:rPr>
        <w:t xml:space="preserve">significantly increased connections in variability of functional connectivity (vFC) </w:t>
      </w:r>
      <w:r>
        <w:rPr>
          <w:rFonts w:hint="eastAsia"/>
          <w:color w:val="000000" w:themeColor="text1"/>
          <w:szCs w:val="22"/>
          <w14:textFill>
            <w14:solidFill>
              <w14:schemeClr w14:val="tx1"/>
            </w14:solidFill>
          </w14:textFill>
        </w:rPr>
        <w:t xml:space="preserve">in OpenfMRI </w:t>
      </w:r>
      <w:r>
        <w:rPr>
          <w:color w:val="000000" w:themeColor="text1"/>
          <w:szCs w:val="22"/>
          <w14:textFill>
            <w14:solidFill>
              <w14:schemeClr w14:val="tx1"/>
            </w14:solidFill>
          </w14:textFill>
        </w:rPr>
        <w:t>(P value &lt; 0.05 and maximum component threshold t &gt; 3.</w:t>
      </w:r>
      <w:r>
        <w:rPr>
          <w:rFonts w:hint="eastAsia"/>
          <w:color w:val="000000" w:themeColor="text1"/>
          <w:szCs w:val="22"/>
          <w14:textFill>
            <w14:solidFill>
              <w14:schemeClr w14:val="tx1"/>
            </w14:solidFill>
          </w14:textFill>
        </w:rPr>
        <w:t>83</w:t>
      </w:r>
      <w:r>
        <w:rPr>
          <w:color w:val="000000" w:themeColor="text1"/>
          <w:szCs w:val="22"/>
          <w14:textFill>
            <w14:solidFill>
              <w14:schemeClr w14:val="tx1"/>
            </w14:solidFill>
          </w14:textFill>
        </w:rPr>
        <w:t xml:space="preserve"> (sFC) and t &gt; 3.</w:t>
      </w:r>
      <w:r>
        <w:rPr>
          <w:rFonts w:hint="eastAsia"/>
          <w:color w:val="000000" w:themeColor="text1"/>
          <w:szCs w:val="22"/>
          <w14:textFill>
            <w14:solidFill>
              <w14:schemeClr w14:val="tx1"/>
            </w14:solidFill>
          </w14:textFill>
        </w:rPr>
        <w:t>40</w:t>
      </w:r>
      <w:r>
        <w:rPr>
          <w:color w:val="000000" w:themeColor="text1"/>
          <w:szCs w:val="22"/>
          <w14:textFill>
            <w14:solidFill>
              <w14:schemeClr w14:val="tx1"/>
            </w14:solidFill>
          </w14:textFill>
        </w:rPr>
        <w:t xml:space="preserve"> (vFC)</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SZ vs HC).</w:t>
      </w:r>
    </w:p>
    <w:p>
      <w:pPr>
        <w:spacing w:line="480" w:lineRule="auto"/>
        <w:rPr>
          <w:rFonts w:cs="Times New Roman"/>
          <w:b/>
          <w:bCs/>
          <w:color w:val="000000" w:themeColor="text1"/>
          <w:sz w:val="20"/>
          <w:szCs w:val="20"/>
          <w14:textFill>
            <w14:solidFill>
              <w14:schemeClr w14:val="tx1"/>
            </w14:solidFill>
          </w14:textFill>
        </w:rPr>
      </w:pPr>
    </w:p>
    <w:p>
      <w:pPr>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S1. Local alteration of brain networks for OpenfMRI dataset</w:t>
      </w:r>
      <w:r>
        <w:rPr>
          <w:rFonts w:hint="eastAsia" w:cs="Times New Roman"/>
          <w:b/>
          <w:bCs/>
          <w:color w:val="000000" w:themeColor="text1"/>
          <w:sz w:val="20"/>
          <w:szCs w:val="20"/>
          <w14:textFill>
            <w14:solidFill>
              <w14:schemeClr w14:val="tx1"/>
            </w14:solidFill>
          </w14:textFill>
        </w:rPr>
        <w:t xml:space="preserve"> (schizophrenia patients VS healthy controls)</w:t>
      </w:r>
    </w:p>
    <w:tbl>
      <w:tblPr>
        <w:tblStyle w:val="8"/>
        <w:tblW w:w="871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1"/>
        <w:gridCol w:w="1054"/>
        <w:gridCol w:w="40"/>
        <w:gridCol w:w="1418"/>
        <w:gridCol w:w="1842"/>
        <w:gridCol w:w="1080"/>
        <w:gridCol w:w="12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4503" w:type="dxa"/>
            <w:gridSpan w:val="4"/>
            <w:tcBorders>
              <w:top w:val="single" w:color="auto" w:sz="4" w:space="0"/>
              <w:bottom w:val="single" w:color="auto" w:sz="4" w:space="0"/>
              <w:right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 Strength of functional connectivity</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(sFC)</w:t>
            </w:r>
          </w:p>
        </w:tc>
        <w:tc>
          <w:tcPr>
            <w:tcW w:w="4215" w:type="dxa"/>
            <w:gridSpan w:val="3"/>
            <w:tcBorders>
              <w:top w:val="single" w:color="auto" w:sz="4" w:space="0"/>
              <w:left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Variability of functional connectivity</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(vFC)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991" w:type="dxa"/>
            <w:tcBorders>
              <w:top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94" w:type="dxa"/>
            <w:gridSpan w:val="2"/>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418" w:type="dxa"/>
            <w:tcBorders>
              <w:bottom w:val="single" w:color="auto" w:sz="4" w:space="0"/>
              <w:right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w:t>
            </w:r>
            <w:r>
              <w:rPr>
                <w:rFonts w:hint="eastAsia" w:cs="Times New Roman"/>
                <w:b/>
                <w:bCs/>
                <w:color w:val="000000" w:themeColor="text1"/>
                <w:sz w:val="20"/>
                <w:szCs w:val="20"/>
                <w14:textFill>
                  <w14:solidFill>
                    <w14:schemeClr w14:val="tx1"/>
                  </w14:solidFill>
                </w14:textFill>
              </w:rPr>
              <w:t xml:space="preserve"> value</w:t>
            </w:r>
          </w:p>
        </w:tc>
        <w:tc>
          <w:tcPr>
            <w:tcW w:w="1842" w:type="dxa"/>
            <w:tcBorders>
              <w:left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80" w:type="dxa"/>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293" w:type="dxa"/>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w:t>
            </w:r>
            <w:r>
              <w:rPr>
                <w:rFonts w:hint="eastAsia" w:cs="Times New Roman"/>
                <w:b/>
                <w:bCs/>
                <w:color w:val="000000" w:themeColor="text1"/>
                <w:sz w:val="20"/>
                <w:szCs w:val="20"/>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91" w:type="dxa"/>
            <w:tcBorders>
              <w:top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PreCG.R–LING.L</w:t>
            </w:r>
          </w:p>
        </w:tc>
        <w:tc>
          <w:tcPr>
            <w:tcW w:w="1054" w:type="dxa"/>
            <w:tcBorders>
              <w:top w:val="single" w:color="auto" w:sz="4" w:space="0"/>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3.63</w:t>
            </w:r>
          </w:p>
        </w:tc>
        <w:tc>
          <w:tcPr>
            <w:tcW w:w="1458" w:type="dxa"/>
            <w:gridSpan w:val="2"/>
            <w:tcBorders>
              <w:top w:val="single" w:color="auto" w:sz="4" w:space="0"/>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4.58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top w:val="single" w:color="auto" w:sz="4" w:space="0"/>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OLF.L–INS.R</w:t>
            </w:r>
          </w:p>
        </w:tc>
        <w:tc>
          <w:tcPr>
            <w:tcW w:w="1080" w:type="dxa"/>
            <w:tcBorders>
              <w:top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3.49</w:t>
            </w:r>
          </w:p>
        </w:tc>
        <w:tc>
          <w:tcPr>
            <w:tcW w:w="1293" w:type="dxa"/>
            <w:tcBorders>
              <w:top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7.32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CUN.L–LING.L</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3.57</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5.74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SMA.L–ACG.R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3.79</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CUN.R–LING.L</w:t>
            </w: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4.16</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7.03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w:t>
            </w:r>
            <w:r>
              <w:rPr>
                <w:rFonts w:cs="Times New Roman"/>
                <w:color w:val="000000" w:themeColor="text1"/>
                <w:sz w:val="20"/>
                <w:szCs w:val="20"/>
                <w:vertAlign w:val="superscript"/>
                <w14:textFill>
                  <w14:solidFill>
                    <w14:schemeClr w14:val="tx1"/>
                  </w14:solidFill>
                </w14:textFill>
              </w:rPr>
              <w:t>5</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INS.R–DCG.R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4.08</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9.34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CUN.R–LING.R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3.70</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3.67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ROL.L–HIP.R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3.42</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9.40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CAL.R–TPOmid.R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3.83</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2.28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ROL.L–PHG.R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3.34</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w:t>
            </w:r>
            <w:r>
              <w:rPr>
                <w:rFonts w:hint="eastAsia" w:cs="Times New Roman"/>
                <w:color w:val="000000" w:themeColor="text1"/>
                <w:sz w:val="20"/>
                <w:szCs w:val="20"/>
                <w14:textFill>
                  <w14:solidFill>
                    <w14:schemeClr w14:val="tx1"/>
                  </w14:solidFill>
                </w14:textFill>
              </w:rPr>
              <w:t xml:space="preserve">20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LING.R–TPOmid.R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3.93</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1.65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3.44</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8.62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ROL.L–PHG.R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3.65</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4.30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3.35</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1.16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REC.L–PHG.R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3.77</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2.84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3.33</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1.2</w:t>
            </w:r>
            <w:r>
              <w:rPr>
                <w:rFonts w:hint="eastAsia" w:cs="Times New Roman"/>
                <w:color w:val="000000" w:themeColor="text1"/>
                <w:sz w:val="20"/>
                <w:szCs w:val="20"/>
                <w14:textFill>
                  <w14:solidFill>
                    <w14:schemeClr w14:val="tx1"/>
                  </w14:solidFill>
                </w14:textFill>
              </w:rPr>
              <w:t xml:space="preserve">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PHG.R–TPOsup.L</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3.74</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3.1</w:t>
            </w:r>
            <w:r>
              <w:rPr>
                <w:rFonts w:cs="Times New Roman"/>
                <w:color w:val="000000" w:themeColor="text1"/>
                <w:sz w:val="20"/>
                <w:szCs w:val="20"/>
                <w14:textFill>
                  <w14:solidFill>
                    <w14:schemeClr w14:val="tx1"/>
                  </w14:solidFill>
                </w14:textFill>
              </w:rPr>
              <w:t>9</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INS.L–PHG.R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3.41</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9.54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SFGdor.L–TPOsup.</w:t>
            </w:r>
            <w:r>
              <w:rPr>
                <w:rFonts w:hint="eastAsia" w:cs="Times New Roman"/>
                <w:color w:val="000000" w:themeColor="text1"/>
                <w:sz w:val="20"/>
                <w:szCs w:val="20"/>
                <w14:textFill>
                  <w14:solidFill>
                    <w14:schemeClr w14:val="tx1"/>
                  </w14:solidFill>
                </w14:textFill>
              </w:rPr>
              <w:t>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3.56</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5.92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4.30</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4.11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w:t>
            </w:r>
            <w:r>
              <w:rPr>
                <w:rFonts w:hint="eastAsia" w:cs="Times New Roman"/>
                <w:color w:val="000000" w:themeColor="text1"/>
                <w:sz w:val="20"/>
                <w:szCs w:val="20"/>
                <w14:textFill>
                  <w14:solidFill>
                    <w14:schemeClr w14:val="tx1"/>
                  </w14:solidFill>
                </w14:textFill>
              </w:rPr>
              <w:t>R</w:t>
            </w: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3.72</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3.38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PHG.R–STG.L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3.79</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2.69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xml:space="preserve"> </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SMA.L–STG.</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3.76</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2.91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xml:space="preserve"> </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HIP.R</w:t>
            </w:r>
            <w:r>
              <w:rPr>
                <w:rFonts w:cs="Times New Roman"/>
                <w:color w:val="000000" w:themeColor="text1"/>
                <w:sz w:val="20"/>
                <w:szCs w:val="20"/>
                <w14:textFill>
                  <w14:solidFill>
                    <w14:schemeClr w14:val="tx1"/>
                  </w14:solidFill>
                </w14:textFill>
              </w:rPr>
              <w:t>–TPOsup.L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3.62</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w:t>
            </w:r>
            <w:r>
              <w:rPr>
                <w:rFonts w:hint="eastAsia" w:cs="Times New Roman"/>
                <w:color w:val="000000" w:themeColor="text1"/>
                <w:sz w:val="20"/>
                <w:szCs w:val="20"/>
                <w14:textFill>
                  <w14:solidFill>
                    <w14:schemeClr w14:val="tx1"/>
                  </w14:solidFill>
                </w14:textFill>
              </w:rPr>
              <w:t xml:space="preserve">78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3.47</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7.</w:t>
            </w:r>
            <w:r>
              <w:rPr>
                <w:rFonts w:hint="eastAsia" w:cs="Times New Roman"/>
                <w:color w:val="000000" w:themeColor="text1"/>
                <w:sz w:val="20"/>
                <w:szCs w:val="20"/>
                <w14:textFill>
                  <w14:solidFill>
                    <w14:schemeClr w14:val="tx1"/>
                  </w14:solidFill>
                </w14:textFill>
              </w:rPr>
              <w:t xml:space="preserve">85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DCG.R–TPOsup.</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4.08</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9.37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HIP.R–TPOsup.</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4.26</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4.84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bl>
    <w:p>
      <w:pPr>
        <w:autoSpaceDE w:val="0"/>
        <w:spacing w:line="480" w:lineRule="auto"/>
        <w:rPr>
          <w:b/>
          <w:bCs/>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Note: L denotes the left cerebral hemisphere, and R denotes the right cerebral hemisphere.</w:t>
      </w:r>
    </w:p>
    <w:p>
      <w:pPr>
        <w:autoSpaceDE w:val="0"/>
        <w:spacing w:line="480" w:lineRule="auto"/>
        <w:jc w:val="center"/>
        <w:rPr>
          <w:b/>
          <w:bCs/>
          <w:color w:val="000000" w:themeColor="text1"/>
          <w:sz w:val="20"/>
          <w:szCs w:val="20"/>
          <w14:textFill>
            <w14:solidFill>
              <w14:schemeClr w14:val="tx1"/>
            </w14:solidFill>
          </w14:textFill>
        </w:rPr>
      </w:pPr>
    </w:p>
    <w:p>
      <w:pPr>
        <w:autoSpaceDE w:val="0"/>
        <w:spacing w:line="480" w:lineRule="auto"/>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 xml:space="preserve">Table </w:t>
      </w:r>
      <w:r>
        <w:rPr>
          <w:rFonts w:hint="eastAsia"/>
          <w:b/>
          <w:bCs/>
          <w:color w:val="000000" w:themeColor="text1"/>
          <w:sz w:val="20"/>
          <w:szCs w:val="20"/>
          <w14:textFill>
            <w14:solidFill>
              <w14:schemeClr w14:val="tx1"/>
            </w14:solidFill>
          </w14:textFill>
        </w:rPr>
        <w:t>S2</w:t>
      </w:r>
      <w:r>
        <w:rPr>
          <w:b/>
          <w:bCs/>
          <w:color w:val="000000" w:themeColor="text1"/>
          <w:sz w:val="20"/>
          <w:szCs w:val="20"/>
          <w14:textFill>
            <w14:solidFill>
              <w14:schemeClr w14:val="tx1"/>
            </w14:solidFill>
          </w14:textFill>
        </w:rPr>
        <w:t xml:space="preserve">. SVM classification performances with different classification </w:t>
      </w:r>
      <w:r>
        <w:rPr>
          <w:rFonts w:hint="eastAsia"/>
          <w:b/>
          <w:bCs/>
          <w:color w:val="000000" w:themeColor="text1"/>
          <w:sz w:val="20"/>
          <w:szCs w:val="20"/>
          <w14:textFill>
            <w14:solidFill>
              <w14:schemeClr w14:val="tx1"/>
            </w14:solidFill>
          </w14:textFill>
        </w:rPr>
        <w:t>feature</w:t>
      </w:r>
      <w:r>
        <w:rPr>
          <w:b/>
          <w:bCs/>
          <w:color w:val="000000" w:themeColor="text1"/>
          <w:sz w:val="20"/>
          <w:szCs w:val="20"/>
          <w14:textFill>
            <w14:solidFill>
              <w14:schemeClr w14:val="tx1"/>
            </w14:solidFill>
          </w14:textFill>
        </w:rPr>
        <w:t>s</w:t>
      </w:r>
      <w:r>
        <w:rPr>
          <w:rFonts w:hint="eastAsia"/>
          <w:b/>
          <w:bCs/>
          <w:color w:val="000000" w:themeColor="text1"/>
          <w:sz w:val="20"/>
          <w:szCs w:val="20"/>
          <w14:textFill>
            <w14:solidFill>
              <w14:schemeClr w14:val="tx1"/>
            </w14:solidFill>
          </w14:textFill>
        </w:rPr>
        <w:t xml:space="preserve"> in the discovery dataset</w:t>
      </w:r>
    </w:p>
    <w:tbl>
      <w:tblPr>
        <w:tblStyle w:val="7"/>
        <w:tblW w:w="9169" w:type="dxa"/>
        <w:tblInd w:w="0" w:type="dxa"/>
        <w:tblLayout w:type="fixed"/>
        <w:tblCellMar>
          <w:top w:w="0" w:type="dxa"/>
          <w:left w:w="108" w:type="dxa"/>
          <w:bottom w:w="0" w:type="dxa"/>
          <w:right w:w="108" w:type="dxa"/>
        </w:tblCellMar>
      </w:tblPr>
      <w:tblGrid>
        <w:gridCol w:w="1528"/>
        <w:gridCol w:w="1528"/>
        <w:gridCol w:w="1528"/>
        <w:gridCol w:w="1528"/>
        <w:gridCol w:w="1528"/>
        <w:gridCol w:w="1529"/>
      </w:tblGrid>
      <w:tr>
        <w:tblPrEx>
          <w:tblCellMar>
            <w:top w:w="0" w:type="dxa"/>
            <w:left w:w="108" w:type="dxa"/>
            <w:bottom w:w="0" w:type="dxa"/>
            <w:right w:w="108" w:type="dxa"/>
          </w:tblCellMar>
        </w:tblPrEx>
        <w:tc>
          <w:tcPr>
            <w:tcW w:w="1528" w:type="dxa"/>
            <w:tcBorders>
              <w:top w:val="single" w:color="auto" w:sz="12" w:space="0"/>
              <w:left w:val="nil"/>
              <w:bottom w:val="single" w:color="auto" w:sz="6" w:space="0"/>
              <w:right w:val="single" w:color="auto" w:sz="4" w:space="0"/>
            </w:tcBorders>
            <w:vAlign w:val="center"/>
          </w:tcPr>
          <w:p>
            <w:pPr>
              <w:autoSpaceDE w:val="0"/>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SVM model</w:t>
            </w:r>
          </w:p>
        </w:tc>
        <w:tc>
          <w:tcPr>
            <w:tcW w:w="1528" w:type="dxa"/>
            <w:tcBorders>
              <w:top w:val="single" w:color="auto" w:sz="12" w:space="0"/>
              <w:left w:val="single" w:color="auto" w:sz="4" w:space="0"/>
              <w:bottom w:val="single" w:color="auto" w:sz="6" w:space="0"/>
              <w:right w:val="nil"/>
            </w:tcBorders>
            <w:vAlign w:val="center"/>
          </w:tcPr>
          <w:p>
            <w:pPr>
              <w:autoSpaceDE w:val="0"/>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Accuracy</w:t>
            </w:r>
          </w:p>
        </w:tc>
        <w:tc>
          <w:tcPr>
            <w:tcW w:w="1528" w:type="dxa"/>
            <w:tcBorders>
              <w:top w:val="single" w:color="auto" w:sz="12" w:space="0"/>
              <w:left w:val="nil"/>
              <w:bottom w:val="single" w:color="auto" w:sz="6" w:space="0"/>
              <w:right w:val="nil"/>
            </w:tcBorders>
          </w:tcPr>
          <w:p>
            <w:pPr>
              <w:autoSpaceDE w:val="0"/>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Balanced Accuracy</w:t>
            </w:r>
          </w:p>
        </w:tc>
        <w:tc>
          <w:tcPr>
            <w:tcW w:w="1528" w:type="dxa"/>
            <w:tcBorders>
              <w:top w:val="single" w:color="auto" w:sz="12" w:space="0"/>
              <w:left w:val="nil"/>
              <w:bottom w:val="single" w:color="auto" w:sz="6" w:space="0"/>
              <w:right w:val="nil"/>
            </w:tcBorders>
            <w:vAlign w:val="center"/>
          </w:tcPr>
          <w:p>
            <w:pPr>
              <w:autoSpaceDE w:val="0"/>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Sensitivity</w:t>
            </w:r>
          </w:p>
        </w:tc>
        <w:tc>
          <w:tcPr>
            <w:tcW w:w="1528" w:type="dxa"/>
            <w:tcBorders>
              <w:top w:val="single" w:color="auto" w:sz="12" w:space="0"/>
              <w:left w:val="nil"/>
              <w:bottom w:val="single" w:color="auto" w:sz="6" w:space="0"/>
              <w:right w:val="nil"/>
            </w:tcBorders>
            <w:vAlign w:val="center"/>
          </w:tcPr>
          <w:p>
            <w:pPr>
              <w:autoSpaceDE w:val="0"/>
              <w:jc w:val="center"/>
              <w:rPr>
                <w:rFonts w:ascii="Cambria Math" w:hAnsi="Cambria Math"/>
                <w:color w:val="000000" w:themeColor="text1"/>
                <w:sz w:val="20"/>
                <w:szCs w:val="20"/>
                <w14:textFill>
                  <w14:solidFill>
                    <w14:schemeClr w14:val="tx1"/>
                  </w14:solidFill>
                </w14:textFill>
                <w:oMath/>
              </w:rPr>
            </w:pPr>
            <w:r>
              <w:rPr>
                <w:rFonts w:cs="Times New Roman"/>
                <w:b/>
                <w:bCs/>
                <w:color w:val="000000" w:themeColor="text1"/>
                <w:sz w:val="20"/>
                <w:szCs w:val="20"/>
                <w14:textFill>
                  <w14:solidFill>
                    <w14:schemeClr w14:val="tx1"/>
                  </w14:solidFill>
                </w14:textFill>
              </w:rPr>
              <w:t>Specificity</w:t>
            </w:r>
          </w:p>
        </w:tc>
        <w:tc>
          <w:tcPr>
            <w:tcW w:w="1529" w:type="dxa"/>
            <w:tcBorders>
              <w:top w:val="single" w:color="auto" w:sz="12" w:space="0"/>
              <w:left w:val="nil"/>
              <w:bottom w:val="single" w:color="auto" w:sz="6" w:space="0"/>
              <w:right w:val="nil"/>
            </w:tcBorders>
            <w:vAlign w:val="center"/>
          </w:tcPr>
          <w:p>
            <w:pPr>
              <w:autoSpaceDE w:val="0"/>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AUC</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narrow filter (all aberrant features)</w:t>
            </w:r>
          </w:p>
        </w:tc>
        <w:tc>
          <w:tcPr>
            <w:tcW w:w="1528" w:type="dxa"/>
            <w:tcBorders>
              <w:top w:val="nil"/>
              <w:left w:val="single" w:color="auto" w:sz="4" w:space="0"/>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0.8772</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0.8575</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0.7451</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0.9841</w:t>
            </w:r>
          </w:p>
        </w:tc>
        <w:tc>
          <w:tcPr>
            <w:tcW w:w="1529"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0.8646</w:t>
            </w:r>
          </w:p>
        </w:tc>
      </w:tr>
      <w:tr>
        <w:tblPrEx>
          <w:tblCellMar>
            <w:top w:w="0" w:type="dxa"/>
            <w:left w:w="108" w:type="dxa"/>
            <w:bottom w:w="0" w:type="dxa"/>
            <w:right w:w="108" w:type="dxa"/>
          </w:tblCellMar>
        </w:tblPrEx>
        <w:trPr>
          <w:trHeight w:val="632" w:hRule="atLeast"/>
        </w:trPr>
        <w:tc>
          <w:tcPr>
            <w:tcW w:w="1528" w:type="dxa"/>
            <w:tcBorders>
              <w:top w:val="nil"/>
              <w:left w:val="nil"/>
              <w:bottom w:val="nil"/>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narrow filter (sFC+vFC)</w:t>
            </w:r>
          </w:p>
        </w:tc>
        <w:tc>
          <w:tcPr>
            <w:tcW w:w="1528" w:type="dxa"/>
            <w:tcBorders>
              <w:top w:val="nil"/>
              <w:left w:val="single" w:color="auto" w:sz="4" w:space="0"/>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0.8158</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0.7975</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0.6863</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0.9206</w:t>
            </w:r>
          </w:p>
        </w:tc>
        <w:tc>
          <w:tcPr>
            <w:tcW w:w="1529"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0.8035</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normal filter (all aberrant features)</w:t>
            </w:r>
          </w:p>
        </w:tc>
        <w:tc>
          <w:tcPr>
            <w:tcW w:w="1528" w:type="dxa"/>
            <w:tcBorders>
              <w:top w:val="nil"/>
              <w:left w:val="single" w:color="auto" w:sz="4" w:space="0"/>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0.7807</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0.7663</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0.6863</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0.8571</w:t>
            </w:r>
          </w:p>
        </w:tc>
        <w:tc>
          <w:tcPr>
            <w:tcW w:w="1529"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0.7717</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normal filter (sFC+vFC)</w:t>
            </w:r>
          </w:p>
        </w:tc>
        <w:tc>
          <w:tcPr>
            <w:tcW w:w="1528" w:type="dxa"/>
            <w:tcBorders>
              <w:top w:val="nil"/>
              <w:left w:val="single" w:color="auto" w:sz="4" w:space="0"/>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0.7456</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0.7278</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0.6078</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0.8571</w:t>
            </w:r>
          </w:p>
        </w:tc>
        <w:tc>
          <w:tcPr>
            <w:tcW w:w="1529"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0.7325</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narrow filter (all features)</w:t>
            </w:r>
          </w:p>
        </w:tc>
        <w:tc>
          <w:tcPr>
            <w:tcW w:w="1528" w:type="dxa"/>
            <w:tcBorders>
              <w:top w:val="nil"/>
              <w:left w:val="single" w:color="auto" w:sz="4" w:space="0"/>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0.6579</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0.6466</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0.5686</w:t>
            </w:r>
          </w:p>
        </w:tc>
        <w:tc>
          <w:tcPr>
            <w:tcW w:w="1528"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0.7302</w:t>
            </w:r>
          </w:p>
        </w:tc>
        <w:tc>
          <w:tcPr>
            <w:tcW w:w="1529" w:type="dxa"/>
            <w:tcBorders>
              <w:top w:val="nil"/>
              <w:left w:val="nil"/>
              <w:bottom w:val="nil"/>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0.6494</w:t>
            </w:r>
          </w:p>
        </w:tc>
      </w:tr>
      <w:tr>
        <w:tblPrEx>
          <w:tblCellMar>
            <w:top w:w="0" w:type="dxa"/>
            <w:left w:w="108" w:type="dxa"/>
            <w:bottom w:w="0" w:type="dxa"/>
            <w:right w:w="108" w:type="dxa"/>
          </w:tblCellMar>
        </w:tblPrEx>
        <w:tc>
          <w:tcPr>
            <w:tcW w:w="1528" w:type="dxa"/>
            <w:tcBorders>
              <w:top w:val="nil"/>
              <w:left w:val="nil"/>
              <w:bottom w:val="single" w:color="auto" w:sz="12" w:space="0"/>
              <w:right w:val="single" w:color="auto" w:sz="4" w:space="0"/>
            </w:tcBorders>
          </w:tcPr>
          <w:p>
            <w:pPr>
              <w:autoSpaceDE w:val="0"/>
              <w:jc w:val="center"/>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t>normal filter (all features)</w:t>
            </w:r>
          </w:p>
        </w:tc>
        <w:tc>
          <w:tcPr>
            <w:tcW w:w="1528" w:type="dxa"/>
            <w:tcBorders>
              <w:top w:val="nil"/>
              <w:left w:val="single" w:color="auto" w:sz="4" w:space="0"/>
              <w:bottom w:val="single" w:color="auto" w:sz="12" w:space="0"/>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0.6930</w:t>
            </w:r>
          </w:p>
        </w:tc>
        <w:tc>
          <w:tcPr>
            <w:tcW w:w="1528" w:type="dxa"/>
            <w:tcBorders>
              <w:top w:val="nil"/>
              <w:left w:val="nil"/>
              <w:bottom w:val="single" w:color="auto" w:sz="12" w:space="0"/>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0.6797</w:t>
            </w:r>
          </w:p>
        </w:tc>
        <w:tc>
          <w:tcPr>
            <w:tcW w:w="1528" w:type="dxa"/>
            <w:tcBorders>
              <w:top w:val="nil"/>
              <w:left w:val="nil"/>
              <w:bottom w:val="single" w:color="auto" w:sz="12" w:space="0"/>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0.5882</w:t>
            </w:r>
          </w:p>
        </w:tc>
        <w:tc>
          <w:tcPr>
            <w:tcW w:w="1528" w:type="dxa"/>
            <w:tcBorders>
              <w:top w:val="nil"/>
              <w:left w:val="nil"/>
              <w:bottom w:val="single" w:color="auto" w:sz="12" w:space="0"/>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0.7778</w:t>
            </w:r>
          </w:p>
        </w:tc>
        <w:tc>
          <w:tcPr>
            <w:tcW w:w="1529" w:type="dxa"/>
            <w:tcBorders>
              <w:top w:val="nil"/>
              <w:left w:val="nil"/>
              <w:bottom w:val="single" w:color="auto" w:sz="12" w:space="0"/>
              <w:right w:val="nil"/>
            </w:tcBorders>
            <w:vAlign w:val="center"/>
          </w:tcPr>
          <w:p>
            <w:pPr>
              <w:autoSpaceDE w:val="0"/>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0.6830</w:t>
            </w:r>
          </w:p>
        </w:tc>
      </w:tr>
    </w:tbl>
    <w:p>
      <w:pPr>
        <w:spacing w:line="480" w:lineRule="auto"/>
        <w:rPr>
          <w:rFonts w:cs="Times New Roman"/>
          <w:b/>
          <w:bCs/>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Note: narrow filter denotes 0.04 - 0.07 Hz, and normal filter denotes 0.01 - 0.1 Hz.</w:t>
      </w:r>
    </w:p>
    <w:p>
      <w:pPr>
        <w:spacing w:line="480" w:lineRule="auto"/>
        <w:rPr>
          <w:rFonts w:cs="Times New Roman"/>
          <w:b/>
          <w:bCs/>
          <w:color w:val="000000" w:themeColor="text1"/>
          <w:sz w:val="20"/>
          <w:szCs w:val="20"/>
          <w14:textFill>
            <w14:solidFill>
              <w14:schemeClr w14:val="tx1"/>
            </w14:solidFill>
          </w14:textFill>
        </w:rPr>
      </w:pPr>
    </w:p>
    <w:p>
      <w:pPr>
        <w:spacing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S3</w:t>
      </w:r>
      <w:r>
        <w:rPr>
          <w:rFonts w:cs="Times New Roman"/>
          <w:b/>
          <w:bCs/>
          <w:color w:val="000000" w:themeColor="text1"/>
          <w:sz w:val="20"/>
          <w:szCs w:val="20"/>
          <w14:textFill>
            <w14:solidFill>
              <w14:schemeClr w14:val="tx1"/>
            </w14:solidFill>
          </w14:textFill>
        </w:rPr>
        <w:t xml:space="preserve">. </w:t>
      </w:r>
      <w:r>
        <w:rPr>
          <w:rFonts w:hint="eastAsia" w:cs="Times New Roman"/>
          <w:b/>
          <w:bCs/>
          <w:color w:val="000000" w:themeColor="text1"/>
          <w:sz w:val="20"/>
          <w:szCs w:val="20"/>
          <w14:textFill>
            <w14:solidFill>
              <w14:schemeClr w14:val="tx1"/>
            </w14:solidFill>
          </w14:textFill>
        </w:rPr>
        <w:t>Local alteration of brain networks</w:t>
      </w:r>
      <w:r>
        <w:rPr>
          <w:rFonts w:cs="Times New Roman"/>
          <w:b/>
          <w:bCs/>
          <w:color w:val="000000" w:themeColor="text1"/>
          <w:sz w:val="20"/>
          <w:szCs w:val="20"/>
          <w14:textFill>
            <w14:solidFill>
              <w14:schemeClr w14:val="tx1"/>
            </w14:solidFill>
          </w14:textFill>
        </w:rPr>
        <w:t xml:space="preserve"> in the strength of FC (sFC) based on the</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sliding-window approach</w:t>
      </w:r>
      <w:r>
        <w:rPr>
          <w:rFonts w:hint="eastAsia" w:cs="Times New Roman"/>
          <w:b/>
          <w:bCs/>
          <w:color w:val="000000" w:themeColor="text1"/>
          <w:sz w:val="20"/>
          <w:szCs w:val="20"/>
          <w14:textFill>
            <w14:solidFill>
              <w14:schemeClr w14:val="tx1"/>
            </w14:solidFill>
          </w14:textFill>
        </w:rPr>
        <w:t xml:space="preserve"> (schizophrenia patients VS healthy controls)</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 xml:space="preserve"> </w:t>
      </w:r>
    </w:p>
    <w:tbl>
      <w:tblPr>
        <w:tblStyle w:val="11"/>
        <w:tblW w:w="8522" w:type="dxa"/>
        <w:tblInd w:w="0" w:type="dxa"/>
        <w:tblLayout w:type="fixed"/>
        <w:tblCellMar>
          <w:top w:w="0" w:type="dxa"/>
          <w:left w:w="108" w:type="dxa"/>
          <w:bottom w:w="0" w:type="dxa"/>
          <w:right w:w="108" w:type="dxa"/>
        </w:tblCellMar>
      </w:tblPr>
      <w:tblGrid>
        <w:gridCol w:w="2840"/>
        <w:gridCol w:w="2840"/>
        <w:gridCol w:w="2842"/>
      </w:tblGrid>
      <w:tr>
        <w:tblPrEx>
          <w:tblCellMar>
            <w:top w:w="0" w:type="dxa"/>
            <w:left w:w="108" w:type="dxa"/>
            <w:bottom w:w="0" w:type="dxa"/>
            <w:right w:w="108" w:type="dxa"/>
          </w:tblCellMar>
        </w:tblPrEx>
        <w:trPr>
          <w:trHeight w:val="624" w:hRule="atLeast"/>
        </w:trPr>
        <w:tc>
          <w:tcPr>
            <w:tcW w:w="8522" w:type="dxa"/>
            <w:gridSpan w:val="3"/>
            <w:tcBorders>
              <w:top w:val="single" w:color="auto" w:sz="4" w:space="0"/>
              <w:left w:val="nil"/>
              <w:bottom w:val="single" w:color="auto" w:sz="4" w:space="0"/>
              <w:right w:val="nil"/>
            </w:tcBorders>
            <w:shd w:val="clear" w:color="auto" w:fill="auto"/>
            <w:vAlign w:val="center"/>
          </w:tcPr>
          <w:p>
            <w:pPr>
              <w:autoSpaceDE w:val="0"/>
              <w:spacing w:line="480" w:lineRule="auto"/>
              <w:jc w:val="center"/>
              <w:rPr>
                <w:b w:val="0"/>
                <w:bCs w:val="0"/>
                <w:caps/>
                <w:color w:val="000000" w:themeColor="text1"/>
                <w:sz w:val="20"/>
                <w:szCs w:val="20"/>
                <w14:textFill>
                  <w14:solidFill>
                    <w14:schemeClr w14:val="tx1"/>
                  </w14:solidFill>
                </w14:textFill>
              </w:rPr>
            </w:pPr>
            <w:r>
              <w:rPr>
                <w:rFonts w:cs="Times New Roman"/>
                <w:b/>
                <w:bCs/>
                <w:caps w:val="0"/>
                <w:color w:val="000000" w:themeColor="text1"/>
                <w:sz w:val="20"/>
                <w:szCs w:val="20"/>
                <w14:textFill>
                  <w14:solidFill>
                    <w14:schemeClr w14:val="tx1"/>
                  </w14:solidFill>
                </w14:textFill>
              </w:rPr>
              <w:t>Strength of functional connectivity</w:t>
            </w:r>
            <w:r>
              <w:rPr>
                <w:rFonts w:hint="eastAsia" w:cs="Times New Roman"/>
                <w:b/>
                <w:bCs/>
                <w:caps w:val="0"/>
                <w:color w:val="000000" w:themeColor="text1"/>
                <w:sz w:val="20"/>
                <w:szCs w:val="20"/>
                <w14:textFill>
                  <w14:solidFill>
                    <w14:schemeClr w14:val="tx1"/>
                  </w14:solidFill>
                </w14:textFill>
              </w:rPr>
              <w:t xml:space="preserve"> </w:t>
            </w:r>
            <w:r>
              <w:rPr>
                <w:rFonts w:cs="Times New Roman"/>
                <w:b/>
                <w:bCs/>
                <w:caps w:val="0"/>
                <w:color w:val="000000" w:themeColor="text1"/>
                <w:sz w:val="20"/>
                <w:szCs w:val="20"/>
                <w14:textFill>
                  <w14:solidFill>
                    <w14:schemeClr w14:val="tx1"/>
                  </w14:solidFill>
                </w14:textFill>
              </w:rPr>
              <w:t>(sFC)</w:t>
            </w:r>
          </w:p>
        </w:tc>
      </w:tr>
      <w:tr>
        <w:tblPrEx>
          <w:tblCellMar>
            <w:top w:w="0" w:type="dxa"/>
            <w:left w:w="108" w:type="dxa"/>
            <w:bottom w:w="0" w:type="dxa"/>
            <w:right w:w="108" w:type="dxa"/>
          </w:tblCellMar>
        </w:tblPrEx>
        <w:trPr>
          <w:trHeight w:val="624" w:hRule="atLeast"/>
        </w:trPr>
        <w:tc>
          <w:tcPr>
            <w:tcW w:w="2840"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val="0"/>
                <w:bCs w:val="0"/>
                <w:caps/>
                <w:color w:val="000000" w:themeColor="text1"/>
                <w:sz w:val="20"/>
                <w:szCs w:val="20"/>
                <w14:textFill>
                  <w14:solidFill>
                    <w14:schemeClr w14:val="tx1"/>
                  </w14:solidFill>
                </w14:textFill>
              </w:rPr>
            </w:pPr>
            <w:r>
              <w:rPr>
                <w:rFonts w:cs="Times New Roman"/>
                <w:b/>
                <w:bCs/>
                <w:caps w:val="0"/>
                <w:color w:val="000000" w:themeColor="text1"/>
                <w:sz w:val="20"/>
                <w:szCs w:val="20"/>
                <w14:textFill>
                  <w14:solidFill>
                    <w14:schemeClr w14:val="tx1"/>
                  </w14:solidFill>
                </w14:textFill>
              </w:rPr>
              <w:t>Connections</w:t>
            </w:r>
          </w:p>
        </w:tc>
        <w:tc>
          <w:tcPr>
            <w:tcW w:w="2840"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2842"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 value</w:t>
            </w:r>
          </w:p>
        </w:tc>
      </w:tr>
      <w:tr>
        <w:tblPrEx>
          <w:tblCellMar>
            <w:top w:w="0" w:type="dxa"/>
            <w:left w:w="108" w:type="dxa"/>
            <w:bottom w:w="0" w:type="dxa"/>
            <w:right w:w="108" w:type="dxa"/>
          </w:tblCellMar>
        </w:tblPrEx>
        <w:trPr>
          <w:trHeight w:val="624" w:hRule="atLeast"/>
        </w:trPr>
        <w:tc>
          <w:tcPr>
            <w:tcW w:w="2840" w:type="dxa"/>
            <w:tcBorders>
              <w:top w:val="single" w:color="auto" w:sz="4" w:space="0"/>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SMA.R–DCG.L</w:t>
            </w:r>
          </w:p>
        </w:tc>
        <w:tc>
          <w:tcPr>
            <w:tcW w:w="2840" w:type="dxa"/>
            <w:tcBorders>
              <w:top w:val="single" w:color="auto" w:sz="4" w:space="0"/>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–4.50</w:t>
            </w:r>
          </w:p>
        </w:tc>
        <w:tc>
          <w:tcPr>
            <w:tcW w:w="2842" w:type="dxa"/>
            <w:tcBorders>
              <w:top w:val="single" w:color="auto" w:sz="4" w:space="0"/>
              <w:lef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SMA.R–CUN.R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–4.21</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5.28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CUN.R–FFG.R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–4.39</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2.54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PreCG.R–HES.R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–4.37</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2.77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DCG.R–HES.R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–4.54</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1.41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DCG.L–STG.L</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–4.52</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1.53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DCG.R–STG.L</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–4.84</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4.20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-6</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DCG.L–STG.R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–4.38</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DCG.R–STG.R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–4.76</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5.90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-6</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DCG.L–MTG.R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1.48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DCG.R–MTG.R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–4.43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2.25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STG.R–MTG.R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4.72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single" w:color="auto" w:sz="4" w:space="0"/>
              <w:right w:val="nil"/>
            </w:tcBorders>
            <w:shd w:val="clear" w:color="auto" w:fill="auto"/>
            <w:vAlign w:val="center"/>
          </w:tcPr>
          <w:p>
            <w:pPr>
              <w:spacing w:line="480" w:lineRule="auto"/>
              <w:jc w:val="center"/>
              <w:rPr>
                <w:rFonts w:cs="Times New Roman"/>
                <w:b w:val="0"/>
                <w:bCs w:val="0"/>
                <w:caps w:val="0"/>
                <w:color w:val="000000" w:themeColor="text1"/>
                <w:sz w:val="20"/>
                <w:szCs w:val="20"/>
                <w14:textFill>
                  <w14:solidFill>
                    <w14:schemeClr w14:val="tx1"/>
                  </w14:solidFill>
                </w14:textFill>
              </w:rPr>
            </w:pPr>
            <w:r>
              <w:rPr>
                <w:rFonts w:cs="Times New Roman"/>
                <w:b w:val="0"/>
                <w:bCs w:val="0"/>
                <w:caps w:val="0"/>
                <w:color w:val="000000" w:themeColor="text1"/>
                <w:sz w:val="20"/>
                <w:szCs w:val="20"/>
                <w14:textFill>
                  <w14:solidFill>
                    <w14:schemeClr w14:val="tx1"/>
                  </w14:solidFill>
                </w14:textFill>
              </w:rPr>
              <w:t>DCG.L–ITG.R</w:t>
            </w:r>
          </w:p>
        </w:tc>
        <w:tc>
          <w:tcPr>
            <w:tcW w:w="2840" w:type="dxa"/>
            <w:tcBorders>
              <w:top w:val="nil"/>
              <w:left w:val="nil"/>
              <w:bottom w:val="single" w:color="auto" w:sz="4" w:space="0"/>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–4.24</w:t>
            </w:r>
          </w:p>
        </w:tc>
        <w:tc>
          <w:tcPr>
            <w:tcW w:w="2842" w:type="dxa"/>
            <w:tcBorders>
              <w:top w:val="nil"/>
              <w:left w:val="nil"/>
              <w:bottom w:val="single" w:color="auto" w:sz="4" w:space="0"/>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4.66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bl>
    <w:p>
      <w:pPr>
        <w:autoSpaceDE w:val="0"/>
        <w:spacing w:line="480" w:lineRule="auto"/>
        <w:rPr>
          <w:b/>
          <w:bCs/>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Note: L denotes the left cerebral hemisphere, and R denotes the right cerebral hemisphere.</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autoSpaceDE w:val="0"/>
        <w:spacing w:line="480" w:lineRule="auto"/>
        <w:rPr>
          <w:rFonts w:cs="Times New Roman"/>
          <w:b/>
          <w:bCs/>
          <w:color w:val="000000" w:themeColor="text1"/>
          <w:sz w:val="20"/>
          <w:szCs w:val="20"/>
          <w14:textFill>
            <w14:solidFill>
              <w14:schemeClr w14:val="tx1"/>
            </w14:solidFill>
          </w14:textFill>
        </w:rPr>
      </w:pPr>
    </w:p>
    <w:p>
      <w:pPr>
        <w:autoSpaceDE w:val="0"/>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S4</w:t>
      </w:r>
      <w:r>
        <w:rPr>
          <w:rFonts w:cs="Times New Roman"/>
          <w:b/>
          <w:bCs/>
          <w:color w:val="000000" w:themeColor="text1"/>
          <w:sz w:val="20"/>
          <w:szCs w:val="20"/>
          <w14:textFill>
            <w14:solidFill>
              <w14:schemeClr w14:val="tx1"/>
            </w14:solidFill>
          </w14:textFill>
        </w:rPr>
        <w:t>. Local alteration of brain networks for COBRE dataset</w:t>
      </w:r>
      <w:r>
        <w:rPr>
          <w:rFonts w:hint="eastAsia" w:cs="Times New Roman"/>
          <w:b/>
          <w:bCs/>
          <w:color w:val="000000" w:themeColor="text1"/>
          <w:sz w:val="20"/>
          <w:szCs w:val="20"/>
          <w14:textFill>
            <w14:solidFill>
              <w14:schemeClr w14:val="tx1"/>
            </w14:solidFill>
          </w14:textFill>
        </w:rPr>
        <w:t xml:space="preserve"> (after regressing out the covariate effect of age and gender)</w:t>
      </w:r>
    </w:p>
    <w:tbl>
      <w:tblPr>
        <w:tblStyle w:val="7"/>
        <w:tblW w:w="833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060"/>
        <w:gridCol w:w="1159"/>
        <w:gridCol w:w="2048"/>
        <w:gridCol w:w="1066"/>
        <w:gridCol w:w="11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4077" w:type="dxa"/>
            <w:gridSpan w:val="3"/>
            <w:tcBorders>
              <w:top w:val="single" w:color="auto" w:sz="4" w:space="0"/>
              <w:left w:val="nil"/>
              <w:bottom w:val="single" w:color="auto" w:sz="4" w:space="0"/>
              <w:right w:val="single" w:color="auto" w:sz="4" w:space="0"/>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Strength of functional connectivity (sFC)</w:t>
            </w:r>
          </w:p>
        </w:tc>
        <w:tc>
          <w:tcPr>
            <w:tcW w:w="4254" w:type="dxa"/>
            <w:gridSpan w:val="3"/>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Variability of functional connectivity (vFC)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858"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60"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159" w:type="dxa"/>
            <w:tcBorders>
              <w:top w:val="nil"/>
              <w:left w:val="nil"/>
              <w:bottom w:val="single" w:color="auto" w:sz="4" w:space="0"/>
              <w:right w:val="single" w:color="auto" w:sz="4" w:space="0"/>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 value</w:t>
            </w:r>
          </w:p>
        </w:tc>
        <w:tc>
          <w:tcPr>
            <w:tcW w:w="2048"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66"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140"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8" w:type="dxa"/>
            <w:tcBorders>
              <w:top w:val="single" w:color="auto" w:sz="4" w:space="0"/>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DCG.L</w:t>
            </w:r>
          </w:p>
        </w:tc>
        <w:tc>
          <w:tcPr>
            <w:tcW w:w="1060" w:type="dxa"/>
            <w:tcBorders>
              <w:top w:val="single" w:color="auto" w:sz="4" w:space="0"/>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3.69</w:t>
            </w:r>
          </w:p>
        </w:tc>
        <w:tc>
          <w:tcPr>
            <w:tcW w:w="1159" w:type="dxa"/>
            <w:tcBorders>
              <w:top w:val="single" w:color="auto" w:sz="4" w:space="0"/>
              <w:left w:val="nil"/>
              <w:bottom w:val="nil"/>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single" w:color="auto" w:sz="4" w:space="0"/>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ORBinf.L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DCG.R</w:t>
            </w:r>
          </w:p>
        </w:tc>
        <w:tc>
          <w:tcPr>
            <w:tcW w:w="1066" w:type="dxa"/>
            <w:tcBorders>
              <w:top w:val="single" w:color="auto" w:sz="4" w:space="0"/>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3.87</w:t>
            </w:r>
          </w:p>
        </w:tc>
        <w:tc>
          <w:tcPr>
            <w:tcW w:w="1140" w:type="dxa"/>
            <w:tcBorders>
              <w:top w:val="single" w:color="auto" w:sz="4" w:space="0"/>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w:t>
            </w:r>
            <w:r>
              <w:rPr>
                <w:rFonts w:hint="eastAsia" w:cs="Times New Roman"/>
                <w:color w:val="000000" w:themeColor="text1"/>
                <w:sz w:val="20"/>
                <w:szCs w:val="20"/>
                <w14:textFill>
                  <w14:solidFill>
                    <w14:schemeClr w14:val="tx1"/>
                  </w14:solidFill>
                </w14:textFill>
              </w:rPr>
              <w:t>81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DCG.L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3.89</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1.70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SMA.R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DCG.R</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3.87</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1.85</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DCG.R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3.68</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3.54</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DCG.L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AMYG.R</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3.55</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5.6</w:t>
            </w:r>
            <w:r>
              <w:rPr>
                <w:rFonts w:cs="Times New Roman"/>
                <w:color w:val="000000" w:themeColor="text1"/>
                <w:sz w:val="20"/>
                <w:szCs w:val="20"/>
                <w14:textFill>
                  <w14:solidFill>
                    <w14:schemeClr w14:val="tx1"/>
                  </w14:solidFill>
                </w14:textFill>
              </w:rPr>
              <w:t>4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SMA.R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DCG.R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w:t>
            </w:r>
            <w:r>
              <w:rPr>
                <w:rFonts w:cs="Times New Roman"/>
                <w:color w:val="000000" w:themeColor="text1"/>
                <w:sz w:val="20"/>
                <w:szCs w:val="20"/>
                <w14:textFill>
                  <w14:solidFill>
                    <w14:schemeClr w14:val="tx1"/>
                  </w14:solidFill>
                </w14:textFill>
              </w:rPr>
              <w:t>5</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2.82</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DCG.R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IOG.L</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3.41</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9.19</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IFGoperc.L–IPL.L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w:t>
            </w:r>
            <w:r>
              <w:rPr>
                <w:rFonts w:hint="eastAsia" w:cs="Times New Roman"/>
                <w:color w:val="000000" w:themeColor="text1"/>
                <w:sz w:val="20"/>
                <w:szCs w:val="20"/>
                <w14:textFill>
                  <w14:solidFill>
                    <w14:schemeClr w14:val="tx1"/>
                  </w14:solidFill>
                </w14:textFill>
              </w:rPr>
              <w:t>30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3.70</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204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IFGoperc.L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IPL.L</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3.56</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5.54</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w:t>
            </w:r>
            <w:r>
              <w:rPr>
                <w:rFonts w:hint="eastAsia" w:cs="Times New Roman"/>
                <w:color w:val="000000" w:themeColor="text1"/>
                <w:sz w:val="20"/>
                <w:szCs w:val="20"/>
                <w14:textFill>
                  <w14:solidFill>
                    <w14:schemeClr w14:val="tx1"/>
                  </w14:solidFill>
                </w14:textFill>
              </w:rPr>
              <w:t>L</w:t>
            </w:r>
            <w:r>
              <w:rPr>
                <w:rFonts w:cs="Times New Roman"/>
                <w:color w:val="000000" w:themeColor="text1"/>
                <w:sz w:val="20"/>
                <w:szCs w:val="20"/>
                <w14:textFill>
                  <w14:solidFill>
                    <w14:schemeClr w14:val="tx1"/>
                  </w14:solidFill>
                </w14:textFill>
              </w:rPr>
              <w:t>–STG.L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w:t>
            </w:r>
            <w:r>
              <w:rPr>
                <w:rFonts w:hint="eastAsia" w:cs="Times New Roman"/>
                <w:color w:val="000000" w:themeColor="text1"/>
                <w:sz w:val="20"/>
                <w:szCs w:val="20"/>
                <w14:textFill>
                  <w14:solidFill>
                    <w14:schemeClr w14:val="tx1"/>
                  </w14:solidFill>
                </w14:textFill>
              </w:rPr>
              <w:t>00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1.14</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ORBinf.L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IPL.L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3.44</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8.10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–STG.</w:t>
            </w:r>
            <w:r>
              <w:rPr>
                <w:rFonts w:hint="eastAsia" w:cs="Times New Roman"/>
                <w:color w:val="000000" w:themeColor="text1"/>
                <w:sz w:val="20"/>
                <w:szCs w:val="20"/>
                <w14:textFill>
                  <w14:solidFill>
                    <w14:schemeClr w14:val="tx1"/>
                  </w14:solidFill>
                </w14:textFill>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3.90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1.67</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ORBsupmed.L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IPL.L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3.59</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4.85</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w:t>
            </w:r>
            <w:r>
              <w:rPr>
                <w:rFonts w:hint="eastAsia" w:cs="Times New Roman"/>
                <w:color w:val="000000" w:themeColor="text1"/>
                <w:sz w:val="20"/>
                <w:szCs w:val="20"/>
                <w14:textFill>
                  <w14:solidFill>
                    <w14:schemeClr w14:val="tx1"/>
                  </w14:solidFill>
                </w14:textFill>
              </w:rPr>
              <w:t>L</w:t>
            </w:r>
            <w:r>
              <w:rPr>
                <w:rFonts w:cs="Times New Roman"/>
                <w:color w:val="000000" w:themeColor="text1"/>
                <w:sz w:val="20"/>
                <w:szCs w:val="20"/>
                <w14:textFill>
                  <w14:solidFill>
                    <w14:schemeClr w14:val="tx1"/>
                  </w14:solidFill>
                </w14:textFill>
              </w:rPr>
              <w:t>–STG.R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3.96</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1.30</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ACG.R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IPL.L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3.53</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5.94</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–STG.R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4.15</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6.50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ACG.R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THA.R</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3.55</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5.61</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DCG.L–</w:t>
            </w:r>
            <w:r>
              <w:rPr>
                <w:rFonts w:hint="eastAsia" w:cs="Times New Roman"/>
                <w:color w:val="000000" w:themeColor="text1"/>
                <w:sz w:val="20"/>
                <w:szCs w:val="20"/>
                <w14:textFill>
                  <w14:solidFill>
                    <w14:schemeClr w14:val="tx1"/>
                  </w14:solidFill>
                </w14:textFill>
              </w:rPr>
              <w:t>TPOsup</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3.72</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3.11</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IOG.L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HES.L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3.43</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8.54</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IPL</w:t>
            </w:r>
            <w:r>
              <w:rPr>
                <w:rFonts w:cs="Times New Roman"/>
                <w:color w:val="000000" w:themeColor="text1"/>
                <w:sz w:val="20"/>
                <w:szCs w:val="20"/>
                <w14:textFill>
                  <w14:solidFill>
                    <w14:schemeClr w14:val="tx1"/>
                  </w14:solidFill>
                </w14:textFill>
              </w:rPr>
              <w:t>.L–</w:t>
            </w:r>
            <w:r>
              <w:rPr>
                <w:rFonts w:hint="eastAsia" w:cs="Times New Roman"/>
                <w:color w:val="000000" w:themeColor="text1"/>
                <w:sz w:val="20"/>
                <w:szCs w:val="20"/>
                <w14:textFill>
                  <w14:solidFill>
                    <w14:schemeClr w14:val="tx1"/>
                  </w14:solidFill>
                </w14:textFill>
              </w:rPr>
              <w:t>TPOsup</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3.87</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1.86</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DCG.R</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STG.R</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3.40</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9.50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w:t>
            </w:r>
            <w:r>
              <w:rPr>
                <w:rFonts w:cs="Times New Roman"/>
                <w:color w:val="000000" w:themeColor="text1"/>
                <w:sz w:val="20"/>
                <w:szCs w:val="20"/>
                <w14:textFill>
                  <w14:solidFill>
                    <w14:schemeClr w14:val="tx1"/>
                  </w14:solidFill>
                </w14:textFill>
              </w:rPr>
              <w:t>.L–</w:t>
            </w:r>
            <w:r>
              <w:rPr>
                <w:rFonts w:hint="eastAsia" w:cs="Times New Roman"/>
                <w:color w:val="000000" w:themeColor="text1"/>
                <w:sz w:val="20"/>
                <w:szCs w:val="20"/>
                <w14:textFill>
                  <w14:solidFill>
                    <w14:schemeClr w14:val="tx1"/>
                  </w14:solidFill>
                </w14:textFill>
              </w:rPr>
              <w:t>MT</w:t>
            </w:r>
            <w:r>
              <w:rPr>
                <w:rFonts w:cs="Times New Roman"/>
                <w:color w:val="000000" w:themeColor="text1"/>
                <w:sz w:val="20"/>
                <w:szCs w:val="20"/>
                <w14:textFill>
                  <w14:solidFill>
                    <w14:schemeClr w14:val="tx1"/>
                  </w14:solidFill>
                </w14:textFill>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3.63</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4.25</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DCG.L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TPOsup.L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3.57</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5.18</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DCG</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MT</w:t>
            </w:r>
            <w:r>
              <w:rPr>
                <w:rFonts w:cs="Times New Roman"/>
                <w:color w:val="000000" w:themeColor="text1"/>
                <w:sz w:val="20"/>
                <w:szCs w:val="20"/>
                <w14:textFill>
                  <w14:solidFill>
                    <w14:schemeClr w14:val="tx1"/>
                  </w14:solidFill>
                </w14:textFill>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4.03</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w:t>
            </w:r>
            <w:r>
              <w:rPr>
                <w:rFonts w:hint="eastAsia" w:cs="Times New Roman"/>
                <w:color w:val="000000" w:themeColor="text1"/>
                <w:sz w:val="20"/>
                <w:szCs w:val="20"/>
                <w14:textFill>
                  <w14:solidFill>
                    <w14:schemeClr w14:val="tx1"/>
                  </w14:solidFill>
                </w14:textFill>
              </w:rPr>
              <w:t>01</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IPL.L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TPOsup.L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3.56</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5.41</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DCG</w:t>
            </w:r>
            <w:r>
              <w:rPr>
                <w:rFonts w:cs="Times New Roman"/>
                <w:color w:val="000000" w:themeColor="text1"/>
                <w:sz w:val="20"/>
                <w:szCs w:val="20"/>
                <w14:textFill>
                  <w14:solidFill>
                    <w14:schemeClr w14:val="tx1"/>
                  </w14:solidFill>
                </w14:textFill>
              </w:rPr>
              <w:t>.R–</w:t>
            </w:r>
            <w:r>
              <w:rPr>
                <w:rFonts w:hint="eastAsia" w:cs="Times New Roman"/>
                <w:color w:val="000000" w:themeColor="text1"/>
                <w:sz w:val="20"/>
                <w:szCs w:val="20"/>
                <w14:textFill>
                  <w14:solidFill>
                    <w14:schemeClr w14:val="tx1"/>
                  </w14:solidFill>
                </w14:textFill>
              </w:rPr>
              <w:t>MT</w:t>
            </w:r>
            <w:r>
              <w:rPr>
                <w:rFonts w:cs="Times New Roman"/>
                <w:color w:val="000000" w:themeColor="text1"/>
                <w:sz w:val="20"/>
                <w:szCs w:val="20"/>
                <w14:textFill>
                  <w14:solidFill>
                    <w14:schemeClr w14:val="tx1"/>
                  </w14:solidFill>
                </w14:textFill>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3.72</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3.15</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IPL.L</w:t>
            </w: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ITG.L</w:t>
            </w:r>
          </w:p>
        </w:tc>
        <w:tc>
          <w:tcPr>
            <w:tcW w:w="1066"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4.01</w:t>
            </w:r>
          </w:p>
        </w:tc>
        <w:tc>
          <w:tcPr>
            <w:tcW w:w="1140" w:type="dxa"/>
            <w:tcBorders>
              <w:top w:val="nil"/>
              <w:left w:val="nil"/>
              <w:bottom w:val="nil"/>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1.09</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DCG</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IT</w:t>
            </w:r>
            <w:r>
              <w:rPr>
                <w:rFonts w:cs="Times New Roman"/>
                <w:color w:val="000000" w:themeColor="text1"/>
                <w:sz w:val="20"/>
                <w:szCs w:val="20"/>
                <w14:textFill>
                  <w14:solidFill>
                    <w14:schemeClr w14:val="tx1"/>
                  </w14:solidFill>
                </w14:textFill>
              </w:rPr>
              <w:t>G.R</w:t>
            </w:r>
          </w:p>
        </w:tc>
        <w:tc>
          <w:tcPr>
            <w:tcW w:w="1060" w:type="dxa"/>
            <w:tcBorders>
              <w:top w:val="nil"/>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3.72</w:t>
            </w:r>
          </w:p>
        </w:tc>
        <w:tc>
          <w:tcPr>
            <w:tcW w:w="1159" w:type="dxa"/>
            <w:tcBorders>
              <w:top w:val="nil"/>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3.17</w:t>
            </w:r>
            <w:r>
              <w:rPr>
                <w:rFonts w:cs="Times New Roman"/>
                <w:color w:val="000000" w:themeColor="text1"/>
                <w:sz w:val="20"/>
                <w:szCs w:val="20"/>
                <w14:textFill>
                  <w14:solidFill>
                    <w14:schemeClr w14:val="tx1"/>
                  </w14:solidFill>
                </w14:textFill>
              </w:rPr>
              <w:t xml:space="preserve">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2048" w:type="dxa"/>
            <w:tcBorders>
              <w:top w:val="nil"/>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066" w:type="dxa"/>
            <w:tcBorders>
              <w:top w:val="nil"/>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140" w:type="dxa"/>
            <w:tcBorders>
              <w:top w:val="nil"/>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p>
        </w:tc>
      </w:tr>
    </w:tbl>
    <w:p>
      <w:pPr>
        <w:spacing w:line="480" w:lineRule="auto"/>
        <w:rPr>
          <w:rFonts w:cs="Times New Roman"/>
          <w:b/>
          <w:bCs/>
          <w:color w:val="000000" w:themeColor="text1"/>
          <w:szCs w:val="22"/>
          <w14:textFill>
            <w14:solidFill>
              <w14:schemeClr w14:val="tx1"/>
            </w14:solidFill>
          </w14:textFill>
        </w:rPr>
      </w:pP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Note: L denotes the left cerebral hemisphere, and R denotes the right cerebral hemisphere.</w:t>
      </w:r>
    </w:p>
    <w:p>
      <w:pPr>
        <w:spacing w:line="480" w:lineRule="auto"/>
        <w:rPr>
          <w:rFonts w:cs="Times New Roman"/>
          <w:b/>
          <w:bCs/>
          <w:color w:val="000000" w:themeColor="text1"/>
          <w:szCs w:val="22"/>
          <w14:textFill>
            <w14:solidFill>
              <w14:schemeClr w14:val="tx1"/>
            </w14:solidFill>
          </w14:textFill>
        </w:rPr>
      </w:pPr>
    </w:p>
    <w:p>
      <w:pPr>
        <w:autoSpaceDE w:val="0"/>
        <w:spacing w:line="480" w:lineRule="auto"/>
        <w:jc w:val="center"/>
        <w:rPr>
          <w:rFonts w:cs="Times New Roman"/>
          <w:b/>
          <w:bCs/>
          <w:color w:val="000000" w:themeColor="text1"/>
          <w:sz w:val="20"/>
          <w:szCs w:val="20"/>
          <w14:textFill>
            <w14:solidFill>
              <w14:schemeClr w14:val="tx1"/>
            </w14:solidFill>
          </w14:textFill>
        </w:rPr>
      </w:pPr>
    </w:p>
    <w:p>
      <w:pPr>
        <w:autoSpaceDE w:val="0"/>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S5</w:t>
      </w:r>
      <w:r>
        <w:rPr>
          <w:rFonts w:cs="Times New Roman"/>
          <w:b/>
          <w:bCs/>
          <w:color w:val="000000" w:themeColor="text1"/>
          <w:sz w:val="20"/>
          <w:szCs w:val="20"/>
          <w14:textFill>
            <w14:solidFill>
              <w14:schemeClr w14:val="tx1"/>
            </w14:solidFill>
          </w14:textFill>
        </w:rPr>
        <w:t xml:space="preserve">. Local alteration of brain networks for </w:t>
      </w:r>
      <w:r>
        <w:rPr>
          <w:rFonts w:hint="eastAsia" w:cs="Times New Roman"/>
          <w:b/>
          <w:bCs/>
          <w:color w:val="000000" w:themeColor="text1"/>
          <w:sz w:val="20"/>
          <w:szCs w:val="20"/>
          <w14:textFill>
            <w14:solidFill>
              <w14:schemeClr w14:val="tx1"/>
            </w14:solidFill>
          </w14:textFill>
        </w:rPr>
        <w:t>OpenfMRI</w:t>
      </w:r>
      <w:r>
        <w:rPr>
          <w:rFonts w:cs="Times New Roman"/>
          <w:b/>
          <w:bCs/>
          <w:color w:val="000000" w:themeColor="text1"/>
          <w:sz w:val="20"/>
          <w:szCs w:val="20"/>
          <w14:textFill>
            <w14:solidFill>
              <w14:schemeClr w14:val="tx1"/>
            </w14:solidFill>
          </w14:textFill>
        </w:rPr>
        <w:t xml:space="preserve"> dataset</w:t>
      </w:r>
      <w:r>
        <w:rPr>
          <w:rFonts w:hint="eastAsia" w:cs="Times New Roman"/>
          <w:b/>
          <w:bCs/>
          <w:color w:val="000000" w:themeColor="text1"/>
          <w:sz w:val="20"/>
          <w:szCs w:val="20"/>
          <w14:textFill>
            <w14:solidFill>
              <w14:schemeClr w14:val="tx1"/>
            </w14:solidFill>
          </w14:textFill>
        </w:rPr>
        <w:t xml:space="preserve"> (after regressing out the covariate effect of age and gender)</w:t>
      </w:r>
    </w:p>
    <w:tbl>
      <w:tblPr>
        <w:tblStyle w:val="7"/>
        <w:tblW w:w="833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133"/>
        <w:gridCol w:w="1434"/>
        <w:gridCol w:w="1721"/>
        <w:gridCol w:w="1066"/>
        <w:gridCol w:w="11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4404" w:type="dxa"/>
            <w:gridSpan w:val="3"/>
            <w:tcBorders>
              <w:top w:val="single" w:color="auto" w:sz="4" w:space="0"/>
              <w:left w:val="nil"/>
              <w:bottom w:val="single" w:color="auto" w:sz="4" w:space="0"/>
              <w:right w:val="single" w:color="auto" w:sz="4" w:space="0"/>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Strength of functional connectivity (sFC)</w:t>
            </w:r>
          </w:p>
        </w:tc>
        <w:tc>
          <w:tcPr>
            <w:tcW w:w="3927" w:type="dxa"/>
            <w:gridSpan w:val="3"/>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Variability of functional connectivity (vFC)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133"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434" w:type="dxa"/>
            <w:tcBorders>
              <w:top w:val="nil"/>
              <w:left w:val="nil"/>
              <w:bottom w:val="single" w:color="auto" w:sz="4" w:space="0"/>
              <w:right w:val="single" w:color="auto" w:sz="4" w:space="0"/>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 value</w:t>
            </w:r>
          </w:p>
        </w:tc>
        <w:tc>
          <w:tcPr>
            <w:tcW w:w="1721"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66"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140" w:type="dxa"/>
            <w:tcBorders>
              <w:top w:val="nil"/>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3.97</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1.41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14"/>
                <w:szCs w:val="14"/>
                <w14:textFill>
                  <w14:solidFill>
                    <w14:schemeClr w14:val="tx1"/>
                  </w14:solidFill>
                </w14:textFill>
              </w:rPr>
              <w:t>IFGtriang.R</w:t>
            </w:r>
            <w:r>
              <w:rPr>
                <w:rFonts w:cs="Times New Roman"/>
                <w:b/>
                <w:bCs/>
                <w:color w:val="000000" w:themeColor="text1"/>
                <w:sz w:val="14"/>
                <w:szCs w:val="14"/>
                <w14:textFill>
                  <w14:solidFill>
                    <w14:schemeClr w14:val="tx1"/>
                  </w14:solidFill>
                </w14:textFill>
              </w:rPr>
              <w:t>–</w:t>
            </w:r>
            <w:r>
              <w:rPr>
                <w:rFonts w:cs="Times New Roman"/>
                <w:b/>
                <w:bCs/>
                <w:color w:val="000000" w:themeColor="text1"/>
                <w:sz w:val="14"/>
                <w:szCs w:val="14"/>
                <w14:textFill>
                  <w14:solidFill>
                    <w14:schemeClr w14:val="tx1"/>
                  </w14:solidFill>
                </w14:textFill>
              </w:rPr>
              <w:t>ORBinf.R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5.53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PreCG.L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4.12</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8.30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SMA.L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4.11</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8.51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4.26</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4.93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HIP.R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3.45</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8.51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PreCG.R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-3.99</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1.33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ORBinf.R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PHG.L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7.43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CUN.L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-3.85</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2.15</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PHG.L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AMYG.L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4.18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6.51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CUN.R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-5.34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6.32</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7</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IOG.L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3.59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5.27</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ORBinf.L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MOG.R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2.23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IOG.L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SMG.R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3.92</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1.71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LING.L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FFG.R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2.21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CAU.L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3.67</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3.96</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MOG.R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FFG.R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-4.44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2.43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3.69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3.75</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ORBsup.R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REC.R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-3.87</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1.97</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SMA.L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4.37</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3.20</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17"/>
                <w:szCs w:val="17"/>
                <w14:textFill>
                  <w14:solidFill>
                    <w14:schemeClr w14:val="tx1"/>
                  </w14:solidFill>
                </w14:textFill>
              </w:rPr>
              <w:t>ORBsupmed.R–REC.R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2.27</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PHG.L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STG.R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3.43</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9.08</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ORBsup.R–HES.R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-3.90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1.82</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CAU.L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ITG.L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2.73</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REC.L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-4.02</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1.16</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ROL.L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-4.06</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1.02</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SOG.L</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-4.10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8.72</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SOG.R</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-4.20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6.11</w:t>
            </w:r>
            <w:r>
              <w:rPr>
                <w:rFonts w:cs="Times New Roman"/>
                <w:color w:val="000000" w:themeColor="text1"/>
                <w:sz w:val="20"/>
                <w:szCs w:val="20"/>
                <w14:textFill>
                  <w14:solidFill>
                    <w14:schemeClr w14:val="tx1"/>
                  </w14:solidFill>
                </w14:textFill>
              </w:rPr>
              <w:t> × 10</w:t>
            </w:r>
            <w:r>
              <w:rPr>
                <w:rFonts w:cs="Times New Roman"/>
                <w:color w:val="000000" w:themeColor="text1"/>
                <w:sz w:val="20"/>
                <w:szCs w:val="20"/>
                <w:vertAlign w:val="superscript"/>
                <w14:textFill>
                  <w14:solidFill>
                    <w14:schemeClr w14:val="tx1"/>
                  </w14:solidFill>
                </w14:textFill>
              </w:rPr>
              <w:t>-</w:t>
            </w:r>
            <w:r>
              <w:rPr>
                <w:rFonts w:hint="eastAsia" w:cs="Times New Roman"/>
                <w:color w:val="000000" w:themeColor="text1"/>
                <w:sz w:val="20"/>
                <w:szCs w:val="20"/>
                <w:vertAlign w:val="superscript"/>
                <w14:textFill>
                  <w14:solidFill>
                    <w14:schemeClr w14:val="tx1"/>
                  </w14:solidFill>
                </w14:textFill>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themeColor="text1"/>
                <w:sz w:val="20"/>
                <w:szCs w:val="20"/>
                <w14:textFill>
                  <w14:solidFill>
                    <w14:schemeClr w14:val="tx1"/>
                  </w14:solidFill>
                </w14:textFill>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themeColor="text1"/>
                <w:sz w:val="20"/>
                <w:szCs w:val="20"/>
                <w14:textFill>
                  <w14:solidFill>
                    <w14:schemeClr w14:val="tx1"/>
                  </w14:solidFill>
                </w14:textFill>
              </w:rPr>
            </w:pPr>
          </w:p>
        </w:tc>
      </w:tr>
    </w:tbl>
    <w:p>
      <w:pPr>
        <w:spacing w:line="480" w:lineRule="auto"/>
        <w:rPr>
          <w:rFonts w:cs="Times New Roman"/>
          <w:b/>
          <w:bCs/>
          <w:color w:val="000000" w:themeColor="text1"/>
          <w:szCs w:val="22"/>
          <w14:textFill>
            <w14:solidFill>
              <w14:schemeClr w14:val="tx1"/>
            </w14:solidFill>
          </w14:textFill>
        </w:rPr>
      </w:pPr>
      <w:r>
        <w:rPr>
          <w:rFonts w:hint="eastAsia"/>
          <w:color w:val="000000" w:themeColor="text1"/>
          <w:sz w:val="20"/>
          <w:szCs w:val="20"/>
          <w14:textFill>
            <w14:solidFill>
              <w14:schemeClr w14:val="tx1"/>
            </w14:solidFill>
          </w14:textFill>
        </w:rPr>
        <w:t>Note: L denotes the left cerebral hemisphere, and R denotes the right cerebral hemisphere.</w:t>
      </w:r>
    </w:p>
    <w:p>
      <w:pPr>
        <w:spacing w:line="480" w:lineRule="auto"/>
        <w:rPr>
          <w:color w:val="000000" w:themeColor="text1"/>
          <w14:textFill>
            <w14:solidFill>
              <w14:schemeClr w14:val="tx1"/>
            </w14:solidFill>
          </w14:textFill>
        </w:rPr>
      </w:pPr>
      <w:r>
        <w:rPr>
          <w:rFonts w:cs="Times New Roman"/>
          <w:b/>
          <w:bCs/>
          <w:color w:val="000000" w:themeColor="text1"/>
          <w:szCs w:val="22"/>
          <w14:textFill>
            <w14:solidFill>
              <w14:schemeClr w14:val="tx1"/>
            </w14:solidFill>
          </w14:textFill>
        </w:rPr>
        <w:t>References</w:t>
      </w:r>
    </w:p>
    <w:p>
      <w:pPr>
        <w:spacing w:line="480" w:lineRule="auto"/>
        <w:rPr>
          <w:color w:val="000000" w:themeColor="text1"/>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Bedrosian, E. A. (1963). A product theorem for hilbert transforms. </w:t>
      </w:r>
      <w:r>
        <w:rPr>
          <w:rFonts w:hint="eastAsia" w:ascii="Times New Roman" w:hAnsi="Times New Roman"/>
          <w:i/>
          <w:iCs/>
          <w:color w:val="000000" w:themeColor="text1"/>
          <w:sz w:val="22"/>
          <w:szCs w:val="22"/>
          <w14:textFill>
            <w14:solidFill>
              <w14:schemeClr w14:val="tx1"/>
            </w14:solidFill>
          </w14:textFill>
        </w:rPr>
        <w:t>Proceedings of the IEEE</w:t>
      </w:r>
      <w:r>
        <w:rPr>
          <w:rFonts w:hint="eastAsia" w:ascii="Times New Roman" w:hAnsi="Times New Roman"/>
          <w:color w:val="000000" w:themeColor="text1"/>
          <w:sz w:val="22"/>
          <w:szCs w:val="22"/>
          <w14:textFill>
            <w14:solidFill>
              <w14:schemeClr w14:val="tx1"/>
            </w14:solidFill>
          </w14:textFill>
        </w:rPr>
        <w:t>, 51(5), 868</w:t>
      </w:r>
      <w:r>
        <w:rPr>
          <w:rFonts w:hint="default" w:ascii="Times New Roman" w:hAnsi="Times New Roman"/>
          <w:color w:val="000000" w:themeColor="text1"/>
          <w:sz w:val="22"/>
          <w:szCs w:val="22"/>
          <w14:textFill>
            <w14:solidFill>
              <w14:schemeClr w14:val="tx1"/>
            </w14:solidFill>
          </w14:textFill>
        </w:rPr>
        <w:t>–</w:t>
      </w:r>
      <w:r>
        <w:rPr>
          <w:rFonts w:hint="eastAsia" w:ascii="Times New Roman" w:hAnsi="Times New Roman"/>
          <w:color w:val="000000" w:themeColor="text1"/>
          <w:sz w:val="22"/>
          <w:szCs w:val="22"/>
          <w14:textFill>
            <w14:solidFill>
              <w14:schemeClr w14:val="tx1"/>
            </w14:solidFill>
          </w14:textFill>
        </w:rPr>
        <w:t>869.</w:t>
      </w:r>
    </w:p>
    <w:p>
      <w:pPr>
        <w:spacing w:line="480" w:lineRule="auto"/>
        <w:rPr>
          <w:color w:val="000000" w:themeColor="text1"/>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Brodersen, K. H., Ong, C. S., Stephan, K. E., &amp; Buhmann, J. M. (2010). The balanced accuracy and its posterior distribution. </w:t>
      </w:r>
      <w:r>
        <w:rPr>
          <w:rFonts w:ascii="Times New Roman" w:hAnsi="Times New Roman"/>
          <w:i/>
          <w:iCs/>
          <w:color w:val="000000" w:themeColor="text1"/>
          <w:sz w:val="22"/>
          <w14:textFill>
            <w14:solidFill>
              <w14:schemeClr w14:val="tx1"/>
            </w14:solidFill>
          </w14:textFill>
        </w:rPr>
        <w:t>International Conference on Pattern Recognition</w:t>
      </w:r>
      <w:r>
        <w:rPr>
          <w:rFonts w:hint="eastAsia" w:ascii="Times New Roman" w:hAnsi="Times New Roman"/>
          <w:color w:val="000000" w:themeColor="text1"/>
          <w:sz w:val="22"/>
          <w14:textFill>
            <w14:solidFill>
              <w14:schemeClr w14:val="tx1"/>
            </w14:solidFill>
          </w14:textFill>
        </w:rPr>
        <w:t xml:space="preserve"> 3121</w:t>
      </w:r>
      <w:r>
        <w:rPr>
          <w:rFonts w:ascii="Times New Roman" w:hAnsi="Times New Roman"/>
          <w:color w:val="000000" w:themeColor="text1"/>
          <w:sz w:val="22"/>
          <w14:textFill>
            <w14:solidFill>
              <w14:schemeClr w14:val="tx1"/>
            </w14:solidFill>
          </w14:textFill>
        </w:rPr>
        <w:t>–</w:t>
      </w:r>
      <w:r>
        <w:rPr>
          <w:rFonts w:hint="eastAsia" w:ascii="Times New Roman" w:hAnsi="Times New Roman"/>
          <w:color w:val="000000" w:themeColor="text1"/>
          <w:sz w:val="22"/>
          <w14:textFill>
            <w14:solidFill>
              <w14:schemeClr w14:val="tx1"/>
            </w14:solidFill>
          </w14:textFill>
        </w:rPr>
        <w:t>3124.</w:t>
      </w:r>
    </w:p>
    <w:p>
      <w:pPr>
        <w:spacing w:line="480" w:lineRule="auto"/>
        <w:rPr>
          <w:color w:val="000000" w:themeColor="text1"/>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Friston, K. J., Williams, S., Howard, R., Frackowiak, R. S., &amp; Turner, R. (1996). Movement-related effects in fMRI time-series.</w:t>
      </w:r>
      <w:r>
        <w:rPr>
          <w:rFonts w:hint="default" w:ascii="Times New Roman" w:hAnsi="Times New Roman"/>
          <w:color w:val="000000" w:themeColor="text1"/>
          <w:sz w:val="22"/>
          <w:szCs w:val="22"/>
          <w14:textFill>
            <w14:solidFill>
              <w14:schemeClr w14:val="tx1"/>
            </w14:solidFill>
          </w14:textFill>
        </w:rPr>
        <w:t> </w:t>
      </w:r>
      <w:r>
        <w:rPr>
          <w:rFonts w:hint="eastAsia" w:ascii="Times New Roman" w:hAnsi="Times New Roman" w:cs="Times New Roman"/>
          <w:i/>
          <w:iCs/>
          <w:color w:val="000000" w:themeColor="text1"/>
          <w:sz w:val="22"/>
          <w14:textFill>
            <w14:solidFill>
              <w14:schemeClr w14:val="tx1"/>
            </w14:solidFill>
          </w14:textFill>
        </w:rPr>
        <w:t>Magnetic Resonance in Medicine</w:t>
      </w:r>
      <w:r>
        <w:rPr>
          <w:rFonts w:hint="default" w:ascii="Times New Roman" w:hAnsi="Times New Roman"/>
          <w:color w:val="000000" w:themeColor="text1"/>
          <w:sz w:val="22"/>
          <w:szCs w:val="22"/>
          <w14:textFill>
            <w14:solidFill>
              <w14:schemeClr w14:val="tx1"/>
            </w14:solidFill>
          </w14:textFill>
        </w:rPr>
        <w:t>, 35(3), 346–355.</w:t>
      </w:r>
    </w:p>
    <w:p>
      <w:pPr>
        <w:spacing w:line="480" w:lineRule="auto"/>
        <w:rPr>
          <w:rFonts w:cs="Times New Roman"/>
          <w:color w:val="000000" w:themeColor="text1"/>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Glerean, E., Salmi, J., Lahnakoski, J. M., Jääskeläinen, I. P., &amp; Sams, M. (2012). Functional magnetic resonance imaging phase synchronization as a measure of dynamic functional connectivity.</w:t>
      </w:r>
      <w:r>
        <w:rPr>
          <w:rFonts w:hint="default" w:ascii="Times New Roman" w:hAnsi="Times New Roman"/>
          <w:color w:val="000000" w:themeColor="text1"/>
          <w:sz w:val="22"/>
          <w:szCs w:val="22"/>
          <w14:textFill>
            <w14:solidFill>
              <w14:schemeClr w14:val="tx1"/>
            </w14:solidFill>
          </w14:textFill>
        </w:rPr>
        <w:t> </w:t>
      </w:r>
      <w:r>
        <w:rPr>
          <w:rFonts w:hint="eastAsia" w:ascii="Times New Roman" w:hAnsi="Times New Roman"/>
          <w:i/>
          <w:iCs/>
          <w:color w:val="000000" w:themeColor="text1"/>
          <w:sz w:val="22"/>
          <w14:textFill>
            <w14:solidFill>
              <w14:schemeClr w14:val="tx1"/>
            </w14:solidFill>
          </w14:textFill>
        </w:rPr>
        <w:t>Brain Connectivity</w:t>
      </w:r>
      <w:r>
        <w:rPr>
          <w:rFonts w:hint="default" w:ascii="Times New Roman" w:hAnsi="Times New Roman"/>
          <w:color w:val="000000" w:themeColor="text1"/>
          <w:sz w:val="22"/>
          <w:szCs w:val="22"/>
          <w14:textFill>
            <w14:solidFill>
              <w14:schemeClr w14:val="tx1"/>
            </w14:solidFill>
          </w14:textFill>
        </w:rPr>
        <w:t>, 2(2), 91–101.</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 xml:space="preserve">Penttonen, M., &amp; Buzsáki, G. (2003). Natural logarithmic relationship between brain oscillators. </w:t>
      </w:r>
      <w:r>
        <w:rPr>
          <w:rFonts w:hint="eastAsia" w:cs="Times New Roman"/>
          <w:i/>
          <w:iCs/>
          <w:color w:val="000000" w:themeColor="text1"/>
          <w:szCs w:val="22"/>
          <w14:textFill>
            <w14:solidFill>
              <w14:schemeClr w14:val="tx1"/>
            </w14:solidFill>
          </w14:textFill>
        </w:rPr>
        <w:t>Thalamus and Related Systems</w:t>
      </w:r>
      <w:r>
        <w:rPr>
          <w:rFonts w:hint="eastAsia" w:cs="Times New Roman"/>
          <w:color w:val="000000" w:themeColor="text1"/>
          <w:szCs w:val="22"/>
          <w14:textFill>
            <w14:solidFill>
              <w14:schemeClr w14:val="tx1"/>
            </w14:solidFill>
          </w14:textFill>
        </w:rPr>
        <w:t>, 2(2), 145</w:t>
      </w:r>
      <w:r>
        <w:rPr>
          <w:rFonts w:hint="default" w:ascii="Times New Roman" w:hAnsi="Times New Roman"/>
          <w:color w:val="000000" w:themeColor="text1"/>
          <w:sz w:val="22"/>
          <w:szCs w:val="22"/>
          <w14:textFill>
            <w14:solidFill>
              <w14:schemeClr w14:val="tx1"/>
            </w14:solidFill>
          </w14:textFill>
        </w:rPr>
        <w:t>–</w:t>
      </w:r>
      <w:r>
        <w:rPr>
          <w:rFonts w:hint="eastAsia" w:cs="Times New Roman"/>
          <w:color w:val="000000" w:themeColor="text1"/>
          <w:szCs w:val="22"/>
          <w14:textFill>
            <w14:solidFill>
              <w14:schemeClr w14:val="tx1"/>
            </w14:solidFill>
          </w14:textFill>
        </w:rPr>
        <w:t>152.</w:t>
      </w:r>
    </w:p>
    <w:p>
      <w:pPr>
        <w:spacing w:line="480" w:lineRule="auto"/>
        <w:rPr>
          <w:color w:val="000000" w:themeColor="text1"/>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Pereira, F., Mitchell, T., &amp; Botvinick, M. (2009). Machine learning classifiers and fMRI: a tutorial overview.</w:t>
      </w:r>
      <w:r>
        <w:rPr>
          <w:rFonts w:hint="default" w:ascii="Times New Roman" w:hAnsi="Times New Roman" w:cs="Times New Roman"/>
          <w:color w:val="000000" w:themeColor="text1"/>
          <w:szCs w:val="22"/>
          <w14:textFill>
            <w14:solidFill>
              <w14:schemeClr w14:val="tx1"/>
            </w14:solidFill>
          </w14:textFill>
        </w:rPr>
        <w:t> </w:t>
      </w:r>
      <w:r>
        <w:rPr>
          <w:rFonts w:hint="default" w:ascii="Times New Roman" w:hAnsi="Times New Roman" w:cs="Times New Roman"/>
          <w:i/>
          <w:iCs/>
          <w:color w:val="000000" w:themeColor="text1"/>
          <w:szCs w:val="22"/>
          <w14:textFill>
            <w14:solidFill>
              <w14:schemeClr w14:val="tx1"/>
            </w14:solidFill>
          </w14:textFill>
        </w:rPr>
        <w:t>NeuroImage</w:t>
      </w:r>
      <w:r>
        <w:rPr>
          <w:rFonts w:hint="default" w:ascii="Times New Roman" w:hAnsi="Times New Roman" w:cs="Times New Roman"/>
          <w:color w:val="000000" w:themeColor="text1"/>
          <w:szCs w:val="22"/>
          <w14:textFill>
            <w14:solidFill>
              <w14:schemeClr w14:val="tx1"/>
            </w14:solidFill>
          </w14:textFill>
        </w:rPr>
        <w:t>, 45(1 Suppl), S199–S209.</w:t>
      </w:r>
      <w:r>
        <w:rPr>
          <w:rFonts w:hint="default" w:ascii="Segoe UI" w:hAnsi="Segoe UI" w:eastAsia="Segoe UI" w:cs="Segoe UI"/>
          <w:i w:val="0"/>
          <w:iCs w:val="0"/>
          <w:caps w:val="0"/>
          <w:color w:val="000000" w:themeColor="text1"/>
          <w:spacing w:val="0"/>
          <w:sz w:val="16"/>
          <w:szCs w:val="16"/>
          <w:shd w:val="clear" w:fill="FFFFFF"/>
          <w14:textFill>
            <w14:solidFill>
              <w14:schemeClr w14:val="tx1"/>
            </w14:solidFill>
          </w14:textFill>
        </w:rPr>
        <w:t> </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Power, J. D., Barnes, K. A., Snyder, A. Z., Schlaggar, B. L., &amp; Petersen, S. E. (2012). Spurious but systematic correlations in functional connectivity MRI networks arise from subject motion.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59(3), 2142–2154.</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Sun, Y., Collinson, S. L., Suckling, J., &amp; Sim, K. (2019). Dynamic Reorganization of Functional Connectivity Reveals Abnormal Temporal Efficiency in Schizophrenia. </w:t>
      </w:r>
      <w:r>
        <w:rPr>
          <w:rFonts w:hint="eastAsia" w:ascii="Times New Roman" w:hAnsi="Times New Roman"/>
          <w:i/>
          <w:iCs/>
          <w:color w:val="000000" w:themeColor="text1"/>
          <w:sz w:val="22"/>
          <w14:textFill>
            <w14:solidFill>
              <w14:schemeClr w14:val="tx1"/>
            </w14:solidFill>
          </w14:textFill>
        </w:rPr>
        <w:t>Schizophrenia Bulletin</w:t>
      </w:r>
      <w:r>
        <w:rPr>
          <w:rFonts w:hint="default" w:ascii="Times New Roman" w:hAnsi="Times New Roman"/>
          <w:color w:val="000000" w:themeColor="text1"/>
          <w:sz w:val="22"/>
          <w:szCs w:val="22"/>
          <w14:textFill>
            <w14:solidFill>
              <w14:schemeClr w14:val="tx1"/>
            </w14:solidFill>
          </w14:textFill>
        </w:rPr>
        <w:t>, 45(3), 659–669.</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Tzourio-Mazoyer, N., Landeau, B., Papathanassiou, D., Crivello, F., Etard, O.</w:t>
      </w:r>
      <w:bookmarkStart w:id="1" w:name="_GoBack"/>
      <w:bookmarkEnd w:id="1"/>
      <w:r>
        <w:rPr>
          <w:rFonts w:hint="default" w:ascii="Times New Roman" w:hAnsi="Times New Roman"/>
          <w:color w:val="000000" w:themeColor="text1"/>
          <w:sz w:val="22"/>
          <w:szCs w:val="22"/>
          <w14:textFill>
            <w14:solidFill>
              <w14:schemeClr w14:val="tx1"/>
            </w14:solidFill>
          </w14:textFill>
        </w:rPr>
        <w:t>, Delcroix, N., Mazoyer, B., &amp; Joliot, M. (2002). Automated anatomical labeling of activations in SPM using a macroscopic anatomical parcellation of the MNI MRI single-subject brain.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15(1), 273–289.</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Van Dijk, K. R., Sabuncu, M. R., &amp; Buckner, R. L. (2012). The influence of head motion on intrinsic functional connectivity MRI.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59(1), 431–438.</w:t>
      </w:r>
    </w:p>
    <w:p>
      <w:pPr>
        <w:spacing w:line="480" w:lineRule="auto"/>
        <w:rPr>
          <w:rFonts w:hint="default" w:ascii="Times New Roman" w:hAnsi="Times New Roman"/>
          <w:color w:val="000000" w:themeColor="text1"/>
          <w:sz w:val="22"/>
          <w:szCs w:val="22"/>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Wang, J., Wang, X., Xia, M., Liao, X., Evans, A., &amp; He, Y. (2015). GRETNA: a graph theoretical network analysis toolbox for imaging connectomics. </w:t>
      </w:r>
      <w:r>
        <w:rPr>
          <w:rFonts w:hint="default" w:ascii="Times New Roman" w:hAnsi="Times New Roman"/>
          <w:i/>
          <w:iCs/>
          <w:color w:val="000000" w:themeColor="text1"/>
          <w:sz w:val="22"/>
          <w:szCs w:val="22"/>
          <w14:textFill>
            <w14:solidFill>
              <w14:schemeClr w14:val="tx1"/>
            </w14:solidFill>
          </w14:textFill>
        </w:rPr>
        <w:t xml:space="preserve">Frontiers in </w:t>
      </w:r>
      <w:r>
        <w:rPr>
          <w:rFonts w:hint="eastAsia" w:ascii="Times New Roman" w:hAnsi="Times New Roman"/>
          <w:i/>
          <w:iCs/>
          <w:color w:val="000000" w:themeColor="text1"/>
          <w:sz w:val="22"/>
          <w:szCs w:val="22"/>
          <w:lang w:val="en-US" w:eastAsia="zh-CN"/>
          <w14:textFill>
            <w14:solidFill>
              <w14:schemeClr w14:val="tx1"/>
            </w14:solidFill>
          </w14:textFill>
        </w:rPr>
        <w:t>H</w:t>
      </w:r>
      <w:r>
        <w:rPr>
          <w:rFonts w:hint="default" w:ascii="Times New Roman" w:hAnsi="Times New Roman"/>
          <w:i/>
          <w:iCs/>
          <w:color w:val="000000" w:themeColor="text1"/>
          <w:sz w:val="22"/>
          <w:szCs w:val="22"/>
          <w14:textFill>
            <w14:solidFill>
              <w14:schemeClr w14:val="tx1"/>
            </w14:solidFill>
          </w14:textFill>
        </w:rPr>
        <w:t xml:space="preserve">uman </w:t>
      </w:r>
      <w:r>
        <w:rPr>
          <w:rFonts w:hint="eastAsia" w:ascii="Times New Roman" w:hAnsi="Times New Roman"/>
          <w:i/>
          <w:iCs/>
          <w:color w:val="000000" w:themeColor="text1"/>
          <w:sz w:val="22"/>
          <w:szCs w:val="22"/>
          <w:lang w:val="en-US" w:eastAsia="zh-CN"/>
          <w14:textFill>
            <w14:solidFill>
              <w14:schemeClr w14:val="tx1"/>
            </w14:solidFill>
          </w14:textFill>
        </w:rPr>
        <w:t>N</w:t>
      </w:r>
      <w:r>
        <w:rPr>
          <w:rFonts w:hint="default" w:ascii="Times New Roman" w:hAnsi="Times New Roman"/>
          <w:i/>
          <w:iCs/>
          <w:color w:val="000000" w:themeColor="text1"/>
          <w:sz w:val="22"/>
          <w:szCs w:val="22"/>
          <w14:textFill>
            <w14:solidFill>
              <w14:schemeClr w14:val="tx1"/>
            </w14:solidFill>
          </w14:textFill>
        </w:rPr>
        <w:t>euroscience</w:t>
      </w:r>
      <w:r>
        <w:rPr>
          <w:rFonts w:hint="default" w:ascii="Times New Roman" w:hAnsi="Times New Roman"/>
          <w:color w:val="000000" w:themeColor="text1"/>
          <w:sz w:val="22"/>
          <w:szCs w:val="22"/>
          <w14:textFill>
            <w14:solidFill>
              <w14:schemeClr w14:val="tx1"/>
            </w14:solidFill>
          </w14:textFill>
        </w:rPr>
        <w:t>, 9, 386. </w:t>
      </w:r>
    </w:p>
    <w:p>
      <w:pPr>
        <w:spacing w:line="480" w:lineRule="auto"/>
        <w:rPr>
          <w:rFonts w:hint="default" w:ascii="Times New Roman" w:hAnsi="Times New Roman"/>
          <w:color w:val="000000" w:themeColor="text1"/>
          <w:sz w:val="22"/>
          <w:szCs w:val="22"/>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Wise, R. G., Ide, K., Poulin, M. J., &amp; Tracey, I. (2004). Resting fluctuations in arterial carbon dioxide induce significant low frequency variations in BOLD signal.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21(4), 1652–1664. </w:t>
      </w:r>
    </w:p>
    <w:p>
      <w:pPr>
        <w:spacing w:line="480" w:lineRule="auto"/>
        <w:rPr>
          <w:rFonts w:cs="Times New Roman"/>
          <w:color w:val="000000" w:themeColor="text1"/>
          <w:szCs w:val="22"/>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Yan, C. G., Cheung, B., Kelly, C., Colcombe, S., Craddock, R. C., Di Martino, A., Li, Q., Zuo, X. N., Castellanos, F. X., &amp; Milham, M. P. (2013). A comprehensive assessment of regional variation in the impact of head micromovements on functional connectomics.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76, 183–201.</w:t>
      </w:r>
    </w:p>
    <w:p>
      <w:pPr>
        <w:spacing w:line="480" w:lineRule="auto"/>
        <w:rPr>
          <w:rFonts w:cs="Times New Roman"/>
          <w:color w:val="000000" w:themeColor="text1"/>
          <w:szCs w:val="22"/>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Yan, C. G., Wang, X. D., Zuo, X. N., &amp; Zang, Y. F. (2016). DPABI: Data Processing &amp; Analysis for (Resting-State) Brain Imaging. </w:t>
      </w:r>
      <w:r>
        <w:rPr>
          <w:rFonts w:hint="default" w:ascii="Times New Roman" w:hAnsi="Times New Roman"/>
          <w:i/>
          <w:iCs/>
          <w:color w:val="000000" w:themeColor="text1"/>
          <w:sz w:val="22"/>
          <w:szCs w:val="22"/>
          <w14:textFill>
            <w14:solidFill>
              <w14:schemeClr w14:val="tx1"/>
            </w14:solidFill>
          </w14:textFill>
        </w:rPr>
        <w:t>Neuroinformatics</w:t>
      </w:r>
      <w:r>
        <w:rPr>
          <w:rFonts w:hint="default" w:ascii="Times New Roman" w:hAnsi="Times New Roman"/>
          <w:color w:val="000000" w:themeColor="text1"/>
          <w:sz w:val="22"/>
          <w:szCs w:val="22"/>
          <w14:textFill>
            <w14:solidFill>
              <w14:schemeClr w14:val="tx1"/>
            </w14:solidFill>
          </w14:textFill>
        </w:rPr>
        <w:t>, 14(3), 339–351.</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Zalesky, A., Fornito, A., &amp; Bullmore, E. T. (2010). Network-based statistic: identifying differences in brain networks.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53(4), 1197–1207.</w:t>
      </w:r>
    </w:p>
    <w:p>
      <w:pPr>
        <w:spacing w:line="480" w:lineRule="auto"/>
        <w:rPr>
          <w:color w:val="000000" w:themeColor="text1"/>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Zeng, L. L., Wang, D., Fox, M. D., Sabuncu, M., Hu, D., Ge, M., Buckner, R. L., &amp; Liu, H. (2014). Neurobiological basis of head motion in brain imaging. </w:t>
      </w:r>
      <w:r>
        <w:rPr>
          <w:rFonts w:ascii="Times New Roman" w:hAnsi="Times New Roman"/>
          <w:i/>
          <w:iCs/>
          <w:color w:val="000000" w:themeColor="text1"/>
          <w:sz w:val="22"/>
          <w14:textFill>
            <w14:solidFill>
              <w14:schemeClr w14:val="tx1"/>
            </w14:solidFill>
          </w14:textFill>
        </w:rPr>
        <w:t>Proceedings of the National Academy of Sciences of the United States of America</w:t>
      </w:r>
      <w:r>
        <w:rPr>
          <w:rFonts w:hint="default" w:ascii="Times New Roman" w:hAnsi="Times New Roman"/>
          <w:color w:val="000000" w:themeColor="text1"/>
          <w:sz w:val="22"/>
          <w:szCs w:val="22"/>
          <w14:textFill>
            <w14:solidFill>
              <w14:schemeClr w14:val="tx1"/>
            </w14:solidFill>
          </w14:textFill>
        </w:rPr>
        <w:t>, 111(16), 6058–6062.</w:t>
      </w:r>
    </w:p>
    <w:p>
      <w:pPr>
        <w:spacing w:line="480" w:lineRule="auto"/>
        <w:rPr>
          <w:rFonts w:hint="default" w:ascii="Times New Roman" w:hAnsi="Times New Roman"/>
          <w:color w:val="000000" w:themeColor="text1"/>
          <w:sz w:val="22"/>
          <w:szCs w:val="22"/>
          <w14:textFill>
            <w14:solidFill>
              <w14:schemeClr w14:val="tx1"/>
            </w14:solidFill>
          </w14:textFill>
        </w:rPr>
      </w:pPr>
      <w:r>
        <w:rPr>
          <w:rFonts w:hint="default" w:ascii="Times New Roman" w:hAnsi="Times New Roman"/>
          <w:color w:val="000000" w:themeColor="text1"/>
          <w:sz w:val="22"/>
          <w:szCs w:val="22"/>
          <w14:textFill>
            <w14:solidFill>
              <w14:schemeClr w14:val="tx1"/>
            </w14:solidFill>
          </w14:textFill>
        </w:rPr>
        <w:t>Zuo, X. N., Di Martino, A., Kelly, C., Shehzad, Z. E., Gee, D. G., Klein, D. F., Castellanos, F. X., Biswal, B. B., &amp; Milham, M. P. (2010). The oscillating brain: complex and reliable. </w:t>
      </w:r>
      <w:r>
        <w:rPr>
          <w:rFonts w:hint="default" w:ascii="Times New Roman" w:hAnsi="Times New Roman"/>
          <w:i/>
          <w:iCs/>
          <w:color w:val="000000" w:themeColor="text1"/>
          <w:sz w:val="22"/>
          <w:szCs w:val="22"/>
          <w14:textFill>
            <w14:solidFill>
              <w14:schemeClr w14:val="tx1"/>
            </w14:solidFill>
          </w14:textFill>
        </w:rPr>
        <w:t>NeuroImage</w:t>
      </w:r>
      <w:r>
        <w:rPr>
          <w:rFonts w:hint="default" w:ascii="Times New Roman" w:hAnsi="Times New Roman"/>
          <w:color w:val="000000" w:themeColor="text1"/>
          <w:sz w:val="22"/>
          <w:szCs w:val="22"/>
          <w14:textFill>
            <w14:solidFill>
              <w14:schemeClr w14:val="tx1"/>
            </w14:solidFill>
          </w14:textFill>
        </w:rPr>
        <w:t>, 49(2), 1432–1445. </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C8507F"/>
    <w:rsid w:val="00131449"/>
    <w:rsid w:val="00203553"/>
    <w:rsid w:val="00430973"/>
    <w:rsid w:val="00640116"/>
    <w:rsid w:val="006D3A2B"/>
    <w:rsid w:val="007A66C0"/>
    <w:rsid w:val="00841F11"/>
    <w:rsid w:val="00AE7C43"/>
    <w:rsid w:val="00B15066"/>
    <w:rsid w:val="00BE0325"/>
    <w:rsid w:val="00F35C1F"/>
    <w:rsid w:val="00F71AFE"/>
    <w:rsid w:val="01F53054"/>
    <w:rsid w:val="02676E6B"/>
    <w:rsid w:val="032D5ABF"/>
    <w:rsid w:val="0363319D"/>
    <w:rsid w:val="0A5B1163"/>
    <w:rsid w:val="0AAB08A7"/>
    <w:rsid w:val="0B3D47C4"/>
    <w:rsid w:val="0E4039A1"/>
    <w:rsid w:val="102762A4"/>
    <w:rsid w:val="10755042"/>
    <w:rsid w:val="152A03E5"/>
    <w:rsid w:val="156368AD"/>
    <w:rsid w:val="16F5568A"/>
    <w:rsid w:val="1BDD2225"/>
    <w:rsid w:val="1CE83C95"/>
    <w:rsid w:val="1DA11E77"/>
    <w:rsid w:val="1DAA171D"/>
    <w:rsid w:val="1EA354DA"/>
    <w:rsid w:val="22800D97"/>
    <w:rsid w:val="241A03AA"/>
    <w:rsid w:val="269B3132"/>
    <w:rsid w:val="27494D99"/>
    <w:rsid w:val="2780296C"/>
    <w:rsid w:val="28823CE5"/>
    <w:rsid w:val="29C564A3"/>
    <w:rsid w:val="2C6E2BE0"/>
    <w:rsid w:val="2D6F5005"/>
    <w:rsid w:val="342C77C2"/>
    <w:rsid w:val="36CA0F19"/>
    <w:rsid w:val="3DD02923"/>
    <w:rsid w:val="3FF03DDF"/>
    <w:rsid w:val="42ED509E"/>
    <w:rsid w:val="43C8507F"/>
    <w:rsid w:val="44D70479"/>
    <w:rsid w:val="46936DB9"/>
    <w:rsid w:val="485B2785"/>
    <w:rsid w:val="4D9A302F"/>
    <w:rsid w:val="4E75381E"/>
    <w:rsid w:val="4F956441"/>
    <w:rsid w:val="50C34798"/>
    <w:rsid w:val="55F57099"/>
    <w:rsid w:val="560330CE"/>
    <w:rsid w:val="56296D15"/>
    <w:rsid w:val="57273DB1"/>
    <w:rsid w:val="58056608"/>
    <w:rsid w:val="58835BC9"/>
    <w:rsid w:val="59255499"/>
    <w:rsid w:val="5AF31EA1"/>
    <w:rsid w:val="5B985C99"/>
    <w:rsid w:val="5FBA6625"/>
    <w:rsid w:val="62FF643E"/>
    <w:rsid w:val="65397E90"/>
    <w:rsid w:val="695E27E4"/>
    <w:rsid w:val="69C70169"/>
    <w:rsid w:val="6AA27CA2"/>
    <w:rsid w:val="6EC803C4"/>
    <w:rsid w:val="6FD572FD"/>
    <w:rsid w:val="723B3CF4"/>
    <w:rsid w:val="72F409F9"/>
    <w:rsid w:val="7516773E"/>
    <w:rsid w:val="76BE5EAB"/>
    <w:rsid w:val="789158B0"/>
    <w:rsid w:val="78C11292"/>
    <w:rsid w:val="7BE82E59"/>
    <w:rsid w:val="7D197B5E"/>
    <w:rsid w:val="7D5E64CC"/>
    <w:rsid w:val="7E237219"/>
    <w:rsid w:val="7E3D3175"/>
    <w:rsid w:val="7EC03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2"/>
      <w:szCs w:val="24"/>
      <w:lang w:val="en-US" w:eastAsia="zh-CN" w:bidi="ar-SA"/>
    </w:rPr>
  </w:style>
  <w:style w:type="paragraph" w:styleId="2">
    <w:name w:val="heading 1"/>
    <w:basedOn w:val="1"/>
    <w:next w:val="1"/>
    <w:qFormat/>
    <w:uiPriority w:val="0"/>
    <w:pPr>
      <w:keepNext/>
      <w:keepLines/>
      <w:spacing w:before="340" w:after="330"/>
      <w:jc w:val="left"/>
      <w:outlineLvl w:val="0"/>
    </w:pPr>
    <w:rPr>
      <w:b/>
      <w:kern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6">
    <w:name w:val="toc 1"/>
    <w:basedOn w:val="1"/>
    <w:next w:val="1"/>
    <w:qFormat/>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0000FF"/>
      <w:u w:val="single"/>
    </w:rPr>
  </w:style>
  <w:style w:type="table" w:customStyle="1" w:styleId="11">
    <w:name w:val="无格式表格 31"/>
    <w:basedOn w:val="7"/>
    <w:qFormat/>
    <w:uiPriority w:val="0"/>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2">
    <w:name w:val="16"/>
    <w:basedOn w:val="9"/>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7099</Words>
  <Characters>40465</Characters>
  <Lines>337</Lines>
  <Paragraphs>94</Paragraphs>
  <TotalTime>1</TotalTime>
  <ScaleCrop>false</ScaleCrop>
  <LinksUpToDate>false</LinksUpToDate>
  <CharactersWithSpaces>47470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2020-07-03T14:40:00Z</dcterms:created>
  <dc:creator>盛旦</dc:creator>
  <cp:lastModifiedBy>晴天☜</cp:lastModifiedBy>
  <dcterms:modified xsi:type="dcterms:W3CDTF">2021-09-03T13:31:03Z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6C1703C84F9C4592B971B0C5ED176864</vt:lpwstr>
  </property>
</Properties>
</file>