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FC075" w14:textId="77777777" w:rsidR="003F568E" w:rsidRPr="00707DF8" w:rsidRDefault="003F568E" w:rsidP="004701AF">
      <w:pPr>
        <w:spacing w:line="480" w:lineRule="auto"/>
        <w:jc w:val="center"/>
        <w:outlineLvl w:val="0"/>
        <w:rPr>
          <w:color w:val="000000" w:themeColor="text1"/>
        </w:rPr>
      </w:pPr>
      <w:bookmarkStart w:id="0" w:name="_GoBack"/>
      <w:bookmarkEnd w:id="0"/>
      <w:r w:rsidRPr="00707DF8">
        <w:rPr>
          <w:color w:val="000000" w:themeColor="text1"/>
        </w:rPr>
        <w:t>Running Head: BODY PROJECT TREATMENT TARGET ENGAGEMENT</w:t>
      </w:r>
    </w:p>
    <w:p w14:paraId="5EF727D0" w14:textId="77777777" w:rsidR="003F568E" w:rsidRPr="00707DF8" w:rsidRDefault="003F568E" w:rsidP="004701AF">
      <w:pPr>
        <w:tabs>
          <w:tab w:val="left" w:pos="360"/>
        </w:tabs>
        <w:spacing w:line="480" w:lineRule="auto"/>
        <w:rPr>
          <w:color w:val="000000" w:themeColor="text1"/>
        </w:rPr>
      </w:pPr>
    </w:p>
    <w:p w14:paraId="47E71E1A" w14:textId="77777777" w:rsidR="005A2BF9" w:rsidRPr="00707DF8" w:rsidRDefault="005A2BF9" w:rsidP="005A2BF9">
      <w:pPr>
        <w:spacing w:line="480" w:lineRule="auto"/>
        <w:ind w:right="720"/>
        <w:jc w:val="center"/>
        <w:rPr>
          <w:b/>
          <w:color w:val="000000" w:themeColor="text1"/>
        </w:rPr>
      </w:pPr>
      <w:r w:rsidRPr="00707DF8">
        <w:rPr>
          <w:b/>
          <w:color w:val="000000" w:themeColor="text1"/>
        </w:rPr>
        <w:t xml:space="preserve">Evidence that a Novel </w:t>
      </w:r>
      <w:proofErr w:type="spellStart"/>
      <w:r w:rsidRPr="00707DF8">
        <w:rPr>
          <w:b/>
          <w:color w:val="000000" w:themeColor="text1"/>
        </w:rPr>
        <w:t>Transdiagnostic</w:t>
      </w:r>
      <w:proofErr w:type="spellEnd"/>
      <w:r w:rsidRPr="00707DF8">
        <w:rPr>
          <w:b/>
          <w:color w:val="000000" w:themeColor="text1"/>
        </w:rPr>
        <w:t xml:space="preserve"> Eating Disorder Treatment Reduces Reward Region Response to the Thin Beauty Ideal and High-Calorie Binge Foods</w:t>
      </w:r>
    </w:p>
    <w:p w14:paraId="23F5ADFD" w14:textId="77777777" w:rsidR="003F568E" w:rsidRPr="00707DF8" w:rsidRDefault="003F568E" w:rsidP="004701AF">
      <w:pPr>
        <w:tabs>
          <w:tab w:val="left" w:pos="360"/>
        </w:tabs>
        <w:spacing w:line="480" w:lineRule="auto"/>
        <w:ind w:right="720"/>
        <w:rPr>
          <w:color w:val="000000" w:themeColor="text1"/>
        </w:rPr>
      </w:pPr>
    </w:p>
    <w:p w14:paraId="2320861F" w14:textId="77777777" w:rsidR="003F568E" w:rsidRPr="00707DF8" w:rsidRDefault="003F568E" w:rsidP="004701AF">
      <w:pPr>
        <w:tabs>
          <w:tab w:val="left" w:pos="180"/>
          <w:tab w:val="left" w:pos="360"/>
        </w:tabs>
        <w:spacing w:line="480" w:lineRule="auto"/>
        <w:ind w:hanging="720"/>
        <w:jc w:val="center"/>
        <w:outlineLvl w:val="0"/>
        <w:rPr>
          <w:color w:val="000000" w:themeColor="text1"/>
        </w:rPr>
      </w:pPr>
      <w:r w:rsidRPr="00707DF8">
        <w:rPr>
          <w:color w:val="000000" w:themeColor="text1"/>
        </w:rPr>
        <w:t>Eric Stice</w:t>
      </w:r>
    </w:p>
    <w:p w14:paraId="31C62A7B" w14:textId="77777777" w:rsidR="003F568E" w:rsidRPr="00707DF8" w:rsidRDefault="003F568E" w:rsidP="004701AF">
      <w:pPr>
        <w:tabs>
          <w:tab w:val="left" w:pos="180"/>
          <w:tab w:val="left" w:pos="360"/>
        </w:tabs>
        <w:spacing w:line="480" w:lineRule="auto"/>
        <w:ind w:hanging="720"/>
        <w:jc w:val="center"/>
        <w:outlineLvl w:val="0"/>
        <w:rPr>
          <w:color w:val="000000" w:themeColor="text1"/>
        </w:rPr>
      </w:pPr>
      <w:r w:rsidRPr="00707DF8">
        <w:rPr>
          <w:color w:val="000000" w:themeColor="text1"/>
        </w:rPr>
        <w:t>Stanford University</w:t>
      </w:r>
    </w:p>
    <w:p w14:paraId="1A5874A5" w14:textId="77777777" w:rsidR="003F568E" w:rsidRPr="00707DF8" w:rsidRDefault="003F568E" w:rsidP="004701AF">
      <w:pPr>
        <w:tabs>
          <w:tab w:val="left" w:pos="180"/>
          <w:tab w:val="left" w:pos="360"/>
        </w:tabs>
        <w:spacing w:line="480" w:lineRule="auto"/>
        <w:ind w:hanging="720"/>
        <w:jc w:val="center"/>
        <w:outlineLvl w:val="0"/>
        <w:rPr>
          <w:color w:val="000000" w:themeColor="text1"/>
        </w:rPr>
      </w:pPr>
    </w:p>
    <w:p w14:paraId="4E7FAE1D" w14:textId="77777777" w:rsidR="003F568E" w:rsidRPr="00707DF8" w:rsidRDefault="003F568E" w:rsidP="004701AF">
      <w:pPr>
        <w:tabs>
          <w:tab w:val="left" w:pos="180"/>
          <w:tab w:val="left" w:pos="360"/>
        </w:tabs>
        <w:spacing w:line="480" w:lineRule="auto"/>
        <w:ind w:hanging="720"/>
        <w:jc w:val="center"/>
        <w:outlineLvl w:val="0"/>
        <w:rPr>
          <w:color w:val="000000" w:themeColor="text1"/>
        </w:rPr>
      </w:pPr>
      <w:r w:rsidRPr="00707DF8">
        <w:rPr>
          <w:color w:val="000000" w:themeColor="text1"/>
        </w:rPr>
        <w:t>Sonja Yokum</w:t>
      </w:r>
    </w:p>
    <w:p w14:paraId="13477604" w14:textId="77777777" w:rsidR="003F568E" w:rsidRPr="00707DF8" w:rsidRDefault="003F568E" w:rsidP="004701AF">
      <w:pPr>
        <w:tabs>
          <w:tab w:val="left" w:pos="180"/>
          <w:tab w:val="left" w:pos="360"/>
        </w:tabs>
        <w:spacing w:line="480" w:lineRule="auto"/>
        <w:ind w:hanging="720"/>
        <w:jc w:val="center"/>
        <w:rPr>
          <w:color w:val="000000" w:themeColor="text1"/>
        </w:rPr>
      </w:pPr>
      <w:r w:rsidRPr="00707DF8">
        <w:rPr>
          <w:color w:val="000000" w:themeColor="text1"/>
        </w:rPr>
        <w:t>Paul Rohde</w:t>
      </w:r>
    </w:p>
    <w:p w14:paraId="37872503" w14:textId="77777777" w:rsidR="003F568E" w:rsidRPr="00707DF8" w:rsidRDefault="003F568E" w:rsidP="004701AF">
      <w:pPr>
        <w:tabs>
          <w:tab w:val="left" w:pos="180"/>
          <w:tab w:val="left" w:pos="360"/>
        </w:tabs>
        <w:spacing w:line="480" w:lineRule="auto"/>
        <w:ind w:hanging="720"/>
        <w:jc w:val="center"/>
        <w:rPr>
          <w:color w:val="000000" w:themeColor="text1"/>
        </w:rPr>
      </w:pPr>
      <w:r w:rsidRPr="00707DF8">
        <w:rPr>
          <w:color w:val="000000" w:themeColor="text1"/>
        </w:rPr>
        <w:t>Jeff Gau</w:t>
      </w:r>
    </w:p>
    <w:p w14:paraId="56A3A859" w14:textId="77777777" w:rsidR="003F568E" w:rsidRPr="00707DF8" w:rsidRDefault="003F568E" w:rsidP="004701AF">
      <w:pPr>
        <w:tabs>
          <w:tab w:val="left" w:pos="180"/>
          <w:tab w:val="left" w:pos="360"/>
        </w:tabs>
        <w:spacing w:line="480" w:lineRule="auto"/>
        <w:ind w:hanging="720"/>
        <w:jc w:val="center"/>
        <w:rPr>
          <w:color w:val="000000" w:themeColor="text1"/>
        </w:rPr>
      </w:pPr>
      <w:r w:rsidRPr="00707DF8">
        <w:rPr>
          <w:color w:val="000000" w:themeColor="text1"/>
        </w:rPr>
        <w:t>Oregon Research Institute</w:t>
      </w:r>
    </w:p>
    <w:p w14:paraId="5F7E4A61" w14:textId="77777777" w:rsidR="003F568E" w:rsidRPr="00707DF8" w:rsidRDefault="003F568E" w:rsidP="004701AF">
      <w:pPr>
        <w:tabs>
          <w:tab w:val="left" w:pos="180"/>
          <w:tab w:val="left" w:pos="360"/>
        </w:tabs>
        <w:spacing w:line="480" w:lineRule="auto"/>
        <w:ind w:hanging="720"/>
        <w:jc w:val="center"/>
        <w:rPr>
          <w:color w:val="000000" w:themeColor="text1"/>
        </w:rPr>
      </w:pPr>
    </w:p>
    <w:p w14:paraId="0AF8423C" w14:textId="77777777" w:rsidR="003F568E" w:rsidRPr="00707DF8" w:rsidRDefault="003F568E" w:rsidP="004701AF">
      <w:pPr>
        <w:tabs>
          <w:tab w:val="left" w:pos="180"/>
          <w:tab w:val="left" w:pos="360"/>
        </w:tabs>
        <w:spacing w:line="480" w:lineRule="auto"/>
        <w:ind w:hanging="720"/>
        <w:jc w:val="center"/>
        <w:rPr>
          <w:color w:val="000000" w:themeColor="text1"/>
        </w:rPr>
      </w:pPr>
      <w:r w:rsidRPr="00707DF8">
        <w:rPr>
          <w:color w:val="000000" w:themeColor="text1"/>
        </w:rPr>
        <w:t>Heather Shaw</w:t>
      </w:r>
    </w:p>
    <w:p w14:paraId="7111A6D9" w14:textId="77777777" w:rsidR="003F568E" w:rsidRPr="00707DF8" w:rsidRDefault="003F568E" w:rsidP="004701AF">
      <w:pPr>
        <w:tabs>
          <w:tab w:val="left" w:pos="180"/>
          <w:tab w:val="left" w:pos="360"/>
        </w:tabs>
        <w:spacing w:line="480" w:lineRule="auto"/>
        <w:ind w:hanging="720"/>
        <w:jc w:val="center"/>
        <w:outlineLvl w:val="0"/>
        <w:rPr>
          <w:color w:val="000000" w:themeColor="text1"/>
        </w:rPr>
      </w:pPr>
      <w:r w:rsidRPr="00707DF8">
        <w:rPr>
          <w:color w:val="000000" w:themeColor="text1"/>
        </w:rPr>
        <w:t>Stanford University</w:t>
      </w:r>
    </w:p>
    <w:p w14:paraId="4D3AD5BB" w14:textId="77777777" w:rsidR="003F568E" w:rsidRPr="00707DF8" w:rsidRDefault="003F568E">
      <w:pPr>
        <w:rPr>
          <w:color w:val="000000" w:themeColor="text1"/>
        </w:rPr>
      </w:pPr>
    </w:p>
    <w:p w14:paraId="65264D5C" w14:textId="77777777" w:rsidR="003F568E" w:rsidRPr="00707DF8" w:rsidRDefault="003F568E">
      <w:pPr>
        <w:rPr>
          <w:color w:val="000000" w:themeColor="text1"/>
        </w:rPr>
      </w:pPr>
    </w:p>
    <w:p w14:paraId="0972A7E1" w14:textId="77777777" w:rsidR="003F568E" w:rsidRPr="00707DF8" w:rsidRDefault="003F568E">
      <w:pPr>
        <w:rPr>
          <w:color w:val="000000" w:themeColor="text1"/>
        </w:rPr>
      </w:pPr>
    </w:p>
    <w:p w14:paraId="0E9F13F8" w14:textId="77777777" w:rsidR="003F568E" w:rsidRPr="00707DF8" w:rsidRDefault="003F568E">
      <w:pPr>
        <w:rPr>
          <w:color w:val="000000" w:themeColor="text1"/>
        </w:rPr>
      </w:pPr>
    </w:p>
    <w:p w14:paraId="07CDD189" w14:textId="77777777" w:rsidR="003F568E" w:rsidRPr="00707DF8" w:rsidRDefault="003F568E">
      <w:pPr>
        <w:rPr>
          <w:color w:val="000000" w:themeColor="text1"/>
        </w:rPr>
      </w:pPr>
    </w:p>
    <w:p w14:paraId="7DEC3056" w14:textId="77777777" w:rsidR="003F568E" w:rsidRPr="00707DF8" w:rsidRDefault="003F568E">
      <w:pPr>
        <w:rPr>
          <w:color w:val="000000" w:themeColor="text1"/>
        </w:rPr>
      </w:pPr>
    </w:p>
    <w:p w14:paraId="69073C97" w14:textId="77777777" w:rsidR="003F568E" w:rsidRPr="00707DF8" w:rsidRDefault="003F568E">
      <w:pPr>
        <w:rPr>
          <w:color w:val="000000" w:themeColor="text1"/>
        </w:rPr>
      </w:pPr>
    </w:p>
    <w:p w14:paraId="55AC55AE" w14:textId="77777777" w:rsidR="003F568E" w:rsidRPr="00707DF8" w:rsidRDefault="003F568E">
      <w:pPr>
        <w:rPr>
          <w:color w:val="000000" w:themeColor="text1"/>
        </w:rPr>
      </w:pPr>
    </w:p>
    <w:p w14:paraId="4F5FD278" w14:textId="77777777" w:rsidR="003F568E" w:rsidRPr="00707DF8" w:rsidRDefault="003F568E">
      <w:pPr>
        <w:rPr>
          <w:color w:val="000000" w:themeColor="text1"/>
        </w:rPr>
      </w:pPr>
    </w:p>
    <w:p w14:paraId="2A1A32C4" w14:textId="77777777" w:rsidR="003F568E" w:rsidRPr="00707DF8" w:rsidRDefault="003F568E">
      <w:pPr>
        <w:rPr>
          <w:color w:val="000000" w:themeColor="text1"/>
        </w:rPr>
      </w:pPr>
    </w:p>
    <w:p w14:paraId="4A1A55A1" w14:textId="77777777" w:rsidR="003F568E" w:rsidRPr="00707DF8" w:rsidRDefault="003F568E">
      <w:pPr>
        <w:rPr>
          <w:color w:val="000000" w:themeColor="text1"/>
        </w:rPr>
      </w:pPr>
    </w:p>
    <w:p w14:paraId="6F53E5D1" w14:textId="77777777" w:rsidR="003F568E" w:rsidRPr="00707DF8" w:rsidRDefault="003F568E">
      <w:pPr>
        <w:rPr>
          <w:color w:val="000000" w:themeColor="text1"/>
        </w:rPr>
      </w:pPr>
    </w:p>
    <w:p w14:paraId="00A46516" w14:textId="77777777" w:rsidR="003F568E" w:rsidRPr="00707DF8" w:rsidRDefault="003F568E">
      <w:pPr>
        <w:rPr>
          <w:color w:val="000000" w:themeColor="text1"/>
        </w:rPr>
      </w:pPr>
    </w:p>
    <w:p w14:paraId="3DC6AEAC" w14:textId="77777777" w:rsidR="003F568E" w:rsidRPr="00707DF8" w:rsidRDefault="003F568E">
      <w:pPr>
        <w:rPr>
          <w:color w:val="000000" w:themeColor="text1"/>
        </w:rPr>
      </w:pPr>
    </w:p>
    <w:p w14:paraId="0A27C060" w14:textId="77777777" w:rsidR="003F568E" w:rsidRPr="00707DF8" w:rsidRDefault="003F568E">
      <w:pPr>
        <w:rPr>
          <w:color w:val="000000" w:themeColor="text1"/>
        </w:rPr>
      </w:pPr>
    </w:p>
    <w:p w14:paraId="320BD12F" w14:textId="77777777" w:rsidR="003F568E" w:rsidRPr="00707DF8" w:rsidRDefault="003F568E">
      <w:pPr>
        <w:rPr>
          <w:color w:val="000000" w:themeColor="text1"/>
        </w:rPr>
      </w:pPr>
    </w:p>
    <w:p w14:paraId="0A64B54B" w14:textId="77777777" w:rsidR="003F568E" w:rsidRPr="00707DF8" w:rsidRDefault="003F568E" w:rsidP="004701AF">
      <w:pPr>
        <w:spacing w:line="480" w:lineRule="auto"/>
        <w:jc w:val="center"/>
        <w:rPr>
          <w:rFonts w:asciiTheme="minorHAnsi" w:hAnsiTheme="minorHAnsi" w:cstheme="minorHAnsi"/>
          <w:b/>
          <w:color w:val="000000" w:themeColor="text1"/>
          <w:szCs w:val="24"/>
        </w:rPr>
      </w:pPr>
      <w:r w:rsidRPr="00707DF8">
        <w:rPr>
          <w:rFonts w:asciiTheme="minorHAnsi" w:hAnsiTheme="minorHAnsi" w:cstheme="minorHAnsi"/>
          <w:b/>
          <w:color w:val="000000" w:themeColor="text1"/>
          <w:szCs w:val="24"/>
        </w:rPr>
        <w:lastRenderedPageBreak/>
        <w:t>Supplementary Methods</w:t>
      </w:r>
    </w:p>
    <w:p w14:paraId="548BC115" w14:textId="77777777" w:rsidR="003F568E" w:rsidRPr="00707DF8" w:rsidRDefault="003F568E" w:rsidP="005E24F2">
      <w:pPr>
        <w:pStyle w:val="Heading4"/>
        <w:keepNext w:val="0"/>
        <w:widowControl w:val="0"/>
        <w:ind w:right="0"/>
        <w:rPr>
          <w:i/>
          <w:strike/>
          <w:color w:val="000000" w:themeColor="text1"/>
        </w:rPr>
      </w:pPr>
      <w:r w:rsidRPr="00707DF8">
        <w:rPr>
          <w:b/>
          <w:color w:val="000000" w:themeColor="text1"/>
          <w:u w:val="none"/>
        </w:rPr>
        <w:t>Participants and Procedure</w:t>
      </w:r>
      <w:r w:rsidRPr="00707DF8">
        <w:rPr>
          <w:i/>
          <w:strike/>
          <w:color w:val="000000" w:themeColor="text1"/>
        </w:rPr>
        <w:t xml:space="preserve"> </w:t>
      </w:r>
    </w:p>
    <w:p w14:paraId="107B1D5F" w14:textId="77777777" w:rsidR="003F568E" w:rsidRPr="00707DF8" w:rsidRDefault="003F568E" w:rsidP="004701AF">
      <w:pPr>
        <w:tabs>
          <w:tab w:val="left" w:pos="360"/>
        </w:tabs>
        <w:spacing w:line="480" w:lineRule="auto"/>
        <w:rPr>
          <w:b/>
          <w:color w:val="000000" w:themeColor="text1"/>
          <w:szCs w:val="24"/>
        </w:rPr>
      </w:pPr>
      <w:r w:rsidRPr="00707DF8">
        <w:rPr>
          <w:color w:val="000000" w:themeColor="text1"/>
        </w:rPr>
        <w:tab/>
        <w:t>The project coordinator was solely responsible for allocation and did not know which condition participants would be assigned to until each had completed their pretest assessment (there were 12 exceptions due to needing to assign participants to the waitlist condition in the initial phase of this trial because we could not implement groups during the holiday season; sensitivity analyses confirmed that this departure from full random assignment did not bias tests of intervention effects; Stice</w:t>
      </w:r>
      <w:r w:rsidR="00E978CE" w:rsidRPr="00707DF8">
        <w:rPr>
          <w:color w:val="000000" w:themeColor="text1"/>
        </w:rPr>
        <w:t xml:space="preserve"> et al., </w:t>
      </w:r>
      <w:r w:rsidRPr="00707DF8">
        <w:rPr>
          <w:color w:val="000000" w:themeColor="text1"/>
        </w:rPr>
        <w:t xml:space="preserve">2019). Assessors were not informed of the allocation of participants to condition and baseline assessments were completed before allocation to condition, but 50 of the 138 follow-up assessments were completed by the project coordinator because no other assessor was available at the Texas site. Sensitivity analyses confirmed that this deviation from allocation concealment did not bias the estimates of the intervention effects, in that the parameter estimates of the effects when these 50 participants were excluded were not outside the 95% confidence intervals for the original parameter estimates. </w:t>
      </w:r>
    </w:p>
    <w:p w14:paraId="5E2277B6" w14:textId="77777777" w:rsidR="003F568E" w:rsidRPr="00707DF8" w:rsidRDefault="003F568E" w:rsidP="004701AF">
      <w:pPr>
        <w:tabs>
          <w:tab w:val="left" w:pos="360"/>
        </w:tabs>
        <w:spacing w:line="480" w:lineRule="auto"/>
        <w:rPr>
          <w:b/>
          <w:color w:val="000000" w:themeColor="text1"/>
          <w:szCs w:val="24"/>
        </w:rPr>
      </w:pPr>
      <w:r w:rsidRPr="00707DF8">
        <w:rPr>
          <w:b/>
          <w:color w:val="000000" w:themeColor="text1"/>
          <w:szCs w:val="24"/>
        </w:rPr>
        <w:t>Non-fMRI Measures</w:t>
      </w:r>
    </w:p>
    <w:p w14:paraId="6B5775C7" w14:textId="77777777" w:rsidR="003F568E" w:rsidRPr="00707DF8" w:rsidRDefault="003F568E" w:rsidP="00B02222">
      <w:pPr>
        <w:widowControl w:val="0"/>
        <w:tabs>
          <w:tab w:val="left" w:pos="360"/>
        </w:tabs>
        <w:spacing w:line="480" w:lineRule="auto"/>
        <w:ind w:firstLine="360"/>
        <w:rPr>
          <w:color w:val="000000" w:themeColor="text1"/>
        </w:rPr>
      </w:pPr>
      <w:r w:rsidRPr="00707DF8">
        <w:rPr>
          <w:i/>
          <w:color w:val="000000" w:themeColor="text1"/>
        </w:rPr>
        <w:t>Thin-ideal internalization.</w:t>
      </w:r>
      <w:r w:rsidRPr="00707DF8">
        <w:rPr>
          <w:color w:val="000000" w:themeColor="text1"/>
        </w:rPr>
        <w:t xml:space="preserve"> The 8-item Thin-Ideal Internalization Scale (TIIS) assessed pursuit of the thin beauty ideal (Stice</w:t>
      </w:r>
      <w:r w:rsidR="00E978CE" w:rsidRPr="00707DF8">
        <w:rPr>
          <w:color w:val="000000" w:themeColor="text1"/>
        </w:rPr>
        <w:t>, Gau, Rohde, &amp; Shaw</w:t>
      </w:r>
      <w:r w:rsidRPr="00707DF8">
        <w:rPr>
          <w:color w:val="000000" w:themeColor="text1"/>
        </w:rPr>
        <w:t>, 2017)</w:t>
      </w:r>
      <w:r w:rsidRPr="00707DF8">
        <w:rPr>
          <w:i/>
          <w:color w:val="000000" w:themeColor="text1"/>
        </w:rPr>
        <w:t>.</w:t>
      </w:r>
      <w:r w:rsidRPr="00707DF8">
        <w:rPr>
          <w:color w:val="000000" w:themeColor="text1"/>
        </w:rPr>
        <w:t xml:space="preserve"> Items were averaged for this and the scales described subsequently. This scale has shown internal consistency (</w:t>
      </w:r>
      <w:r w:rsidRPr="00707DF8">
        <w:rPr>
          <w:rFonts w:ascii="Symbol" w:hAnsi="Symbol"/>
          <w:color w:val="000000" w:themeColor="text1"/>
          <w:sz w:val="22"/>
        </w:rPr>
        <w:t></w:t>
      </w:r>
      <w:r w:rsidRPr="00707DF8">
        <w:rPr>
          <w:rFonts w:ascii="Symbol" w:hAnsi="Symbol"/>
          <w:color w:val="000000" w:themeColor="text1"/>
          <w:sz w:val="22"/>
        </w:rPr>
        <w:t></w:t>
      </w:r>
      <w:r w:rsidRPr="00707DF8">
        <w:rPr>
          <w:rFonts w:ascii="Times" w:hAnsi="Times"/>
          <w:color w:val="000000" w:themeColor="text1"/>
        </w:rPr>
        <w:t>.75</w:t>
      </w:r>
      <w:r w:rsidRPr="00707DF8">
        <w:rPr>
          <w:color w:val="000000" w:themeColor="text1"/>
        </w:rPr>
        <w:t xml:space="preserve">), </w:t>
      </w:r>
      <w:r w:rsidRPr="00707DF8">
        <w:rPr>
          <w:rFonts w:ascii="Times" w:hAnsi="Times"/>
          <w:color w:val="000000" w:themeColor="text1"/>
        </w:rPr>
        <w:t>2-week test-retest reliability (</w:t>
      </w:r>
      <w:r w:rsidRPr="00707DF8">
        <w:rPr>
          <w:rFonts w:ascii="Times" w:hAnsi="Times"/>
          <w:i/>
          <w:color w:val="000000" w:themeColor="text1"/>
        </w:rPr>
        <w:t>r</w:t>
      </w:r>
      <w:r w:rsidRPr="00707DF8">
        <w:rPr>
          <w:rFonts w:ascii="Times" w:hAnsi="Times"/>
          <w:color w:val="000000" w:themeColor="text1"/>
        </w:rPr>
        <w:t>=.80), predictive validity for bulimic symptom onset, and sensitivity to detecting intervention effects (Stice</w:t>
      </w:r>
      <w:r w:rsidR="00E978CE" w:rsidRPr="00707DF8">
        <w:rPr>
          <w:rFonts w:ascii="Times" w:hAnsi="Times"/>
          <w:color w:val="000000" w:themeColor="text1"/>
        </w:rPr>
        <w:t xml:space="preserve"> et al., 2019</w:t>
      </w:r>
      <w:r w:rsidRPr="00707DF8">
        <w:rPr>
          <w:rFonts w:ascii="Times" w:hAnsi="Times"/>
          <w:color w:val="000000" w:themeColor="text1"/>
        </w:rPr>
        <w:t>)</w:t>
      </w:r>
      <w:r w:rsidRPr="00707DF8">
        <w:rPr>
          <w:color w:val="000000" w:themeColor="text1"/>
        </w:rPr>
        <w:t>.</w:t>
      </w:r>
    </w:p>
    <w:p w14:paraId="154E4C61" w14:textId="77777777" w:rsidR="003F568E" w:rsidRPr="00707DF8" w:rsidRDefault="003F568E" w:rsidP="00B02222">
      <w:pPr>
        <w:widowControl w:val="0"/>
        <w:tabs>
          <w:tab w:val="left" w:pos="360"/>
        </w:tabs>
        <w:spacing w:line="480" w:lineRule="auto"/>
        <w:ind w:firstLine="360"/>
        <w:rPr>
          <w:color w:val="000000" w:themeColor="text1"/>
        </w:rPr>
      </w:pPr>
      <w:r w:rsidRPr="00707DF8">
        <w:rPr>
          <w:i/>
          <w:color w:val="000000" w:themeColor="text1"/>
        </w:rPr>
        <w:t>Body dissatisfaction.</w:t>
      </w:r>
      <w:r w:rsidRPr="00707DF8">
        <w:rPr>
          <w:color w:val="000000" w:themeColor="text1"/>
        </w:rPr>
        <w:t xml:space="preserve"> The 17-item </w:t>
      </w:r>
      <w:r w:rsidRPr="00707DF8">
        <w:rPr>
          <w:i/>
          <w:color w:val="000000" w:themeColor="text1"/>
        </w:rPr>
        <w:t>Satisfaction and Dissatisfaction with Body Parts Scale</w:t>
      </w:r>
      <w:r w:rsidRPr="00707DF8">
        <w:rPr>
          <w:color w:val="000000" w:themeColor="text1"/>
        </w:rPr>
        <w:t xml:space="preserve"> (</w:t>
      </w:r>
      <w:proofErr w:type="spellStart"/>
      <w:r w:rsidRPr="00707DF8">
        <w:rPr>
          <w:color w:val="000000" w:themeColor="text1"/>
        </w:rPr>
        <w:t>Berscheid</w:t>
      </w:r>
      <w:proofErr w:type="spellEnd"/>
      <w:r w:rsidRPr="00707DF8">
        <w:rPr>
          <w:color w:val="000000" w:themeColor="text1"/>
        </w:rPr>
        <w:t xml:space="preserve">, </w:t>
      </w:r>
      <w:proofErr w:type="spellStart"/>
      <w:r w:rsidRPr="00707DF8">
        <w:rPr>
          <w:color w:val="000000" w:themeColor="text1"/>
        </w:rPr>
        <w:t>Walster</w:t>
      </w:r>
      <w:proofErr w:type="spellEnd"/>
      <w:r w:rsidRPr="00707DF8">
        <w:rPr>
          <w:color w:val="000000" w:themeColor="text1"/>
        </w:rPr>
        <w:t xml:space="preserve">, &amp; </w:t>
      </w:r>
      <w:proofErr w:type="spellStart"/>
      <w:r w:rsidRPr="00707DF8">
        <w:rPr>
          <w:color w:val="000000" w:themeColor="text1"/>
        </w:rPr>
        <w:t>Bohrnstedt</w:t>
      </w:r>
      <w:proofErr w:type="spellEnd"/>
      <w:r w:rsidRPr="00707DF8">
        <w:rPr>
          <w:color w:val="000000" w:themeColor="text1"/>
        </w:rPr>
        <w:t>, 1973) assessed body dissatisfaction. It has exhibited internal consistency (α=.94), 3-week test-retest reliability (</w:t>
      </w:r>
      <w:r w:rsidRPr="00707DF8">
        <w:rPr>
          <w:i/>
          <w:color w:val="000000" w:themeColor="text1"/>
        </w:rPr>
        <w:t>r</w:t>
      </w:r>
      <w:r w:rsidRPr="00707DF8">
        <w:rPr>
          <w:color w:val="000000" w:themeColor="text1"/>
        </w:rPr>
        <w:t xml:space="preserve">=.90), predictive validity for bulimic </w:t>
      </w:r>
      <w:r w:rsidRPr="00707DF8">
        <w:rPr>
          <w:color w:val="000000" w:themeColor="text1"/>
        </w:rPr>
        <w:lastRenderedPageBreak/>
        <w:t>symptom onset, and sensitivity to detecting intervention effects (</w:t>
      </w:r>
      <w:r w:rsidRPr="00707DF8">
        <w:rPr>
          <w:rFonts w:ascii="Times" w:hAnsi="Times"/>
          <w:color w:val="000000" w:themeColor="text1"/>
        </w:rPr>
        <w:t>Stice</w:t>
      </w:r>
      <w:r w:rsidR="00E978CE" w:rsidRPr="00707DF8">
        <w:rPr>
          <w:rFonts w:ascii="Times" w:hAnsi="Times"/>
          <w:color w:val="000000" w:themeColor="text1"/>
        </w:rPr>
        <w:t xml:space="preserve"> et al., 2</w:t>
      </w:r>
      <w:r w:rsidRPr="00707DF8">
        <w:rPr>
          <w:rFonts w:ascii="Times" w:hAnsi="Times"/>
          <w:color w:val="000000" w:themeColor="text1"/>
        </w:rPr>
        <w:t>019</w:t>
      </w:r>
      <w:r w:rsidRPr="00707DF8">
        <w:rPr>
          <w:color w:val="000000" w:themeColor="text1"/>
        </w:rPr>
        <w:t>).</w:t>
      </w:r>
    </w:p>
    <w:p w14:paraId="77D4ED17" w14:textId="77777777" w:rsidR="003F568E" w:rsidRPr="00707DF8" w:rsidRDefault="003F568E" w:rsidP="00B02222">
      <w:pPr>
        <w:tabs>
          <w:tab w:val="left" w:pos="360"/>
        </w:tabs>
        <w:spacing w:line="480" w:lineRule="auto"/>
        <w:rPr>
          <w:rFonts w:ascii="Times" w:hAnsi="Times"/>
          <w:color w:val="000000" w:themeColor="text1"/>
        </w:rPr>
      </w:pPr>
      <w:r w:rsidRPr="00707DF8">
        <w:rPr>
          <w:i/>
          <w:color w:val="000000" w:themeColor="text1"/>
        </w:rPr>
        <w:tab/>
        <w:t>Negative affect.</w:t>
      </w:r>
      <w:r w:rsidRPr="00707DF8">
        <w:rPr>
          <w:color w:val="000000" w:themeColor="text1"/>
        </w:rPr>
        <w:t xml:space="preserve"> </w:t>
      </w:r>
      <w:r w:rsidRPr="00707DF8">
        <w:rPr>
          <w:rFonts w:ascii="Times" w:hAnsi="Times"/>
          <w:color w:val="000000" w:themeColor="text1"/>
        </w:rPr>
        <w:t xml:space="preserve">Negative affect was assessed with 20 items from the sadness, guilt, and fear/anxiety subscales of the </w:t>
      </w:r>
      <w:r w:rsidRPr="00707DF8">
        <w:rPr>
          <w:rFonts w:ascii="Times" w:hAnsi="Times"/>
          <w:i/>
          <w:color w:val="000000" w:themeColor="text1"/>
        </w:rPr>
        <w:t>Positive Affect and Negative Affect Scale-Revised</w:t>
      </w:r>
      <w:r w:rsidRPr="00707DF8">
        <w:rPr>
          <w:rFonts w:ascii="Times" w:hAnsi="Times"/>
          <w:color w:val="000000" w:themeColor="text1"/>
        </w:rPr>
        <w:t xml:space="preserve"> (PANAS-X; Watson &amp; Clark, 1992). This scale has shown internal consistency (</w:t>
      </w:r>
      <w:r w:rsidRPr="00707DF8">
        <w:rPr>
          <w:rFonts w:ascii="Symbol" w:hAnsi="Symbol"/>
          <w:color w:val="000000" w:themeColor="text1"/>
          <w:sz w:val="22"/>
        </w:rPr>
        <w:t></w:t>
      </w:r>
      <w:r w:rsidRPr="00707DF8">
        <w:rPr>
          <w:rFonts w:ascii="Times" w:hAnsi="Times"/>
          <w:color w:val="000000" w:themeColor="text1"/>
        </w:rPr>
        <w:t>=.95), 3-week test-retest reliability (</w:t>
      </w:r>
      <w:r w:rsidRPr="00707DF8">
        <w:rPr>
          <w:rFonts w:ascii="Times" w:hAnsi="Times"/>
          <w:i/>
          <w:color w:val="000000" w:themeColor="text1"/>
        </w:rPr>
        <w:t>r</w:t>
      </w:r>
      <w:r w:rsidRPr="00707DF8">
        <w:rPr>
          <w:rFonts w:ascii="Times" w:hAnsi="Times"/>
          <w:color w:val="000000" w:themeColor="text1"/>
        </w:rPr>
        <w:t>=.78), convergent validity, predictive validity for bulimic symptom onset, and sensitivity to detecting intervention effects (Stice</w:t>
      </w:r>
      <w:r w:rsidR="00E978CE" w:rsidRPr="00707DF8">
        <w:rPr>
          <w:rFonts w:ascii="Times" w:hAnsi="Times"/>
          <w:color w:val="000000" w:themeColor="text1"/>
        </w:rPr>
        <w:t xml:space="preserve"> et al., </w:t>
      </w:r>
      <w:r w:rsidRPr="00707DF8">
        <w:rPr>
          <w:rFonts w:ascii="Times" w:hAnsi="Times"/>
          <w:color w:val="000000" w:themeColor="text1"/>
        </w:rPr>
        <w:t>2019).</w:t>
      </w:r>
    </w:p>
    <w:p w14:paraId="3E9892FA" w14:textId="77777777" w:rsidR="003F568E" w:rsidRPr="00707DF8" w:rsidRDefault="003F568E" w:rsidP="00822341">
      <w:pPr>
        <w:widowControl w:val="0"/>
        <w:spacing w:line="480" w:lineRule="auto"/>
        <w:ind w:firstLine="360"/>
        <w:rPr>
          <w:rFonts w:cstheme="majorHAnsi"/>
          <w:iCs/>
          <w:color w:val="000000" w:themeColor="text1"/>
        </w:rPr>
      </w:pPr>
      <w:r w:rsidRPr="00707DF8">
        <w:rPr>
          <w:rFonts w:cstheme="majorHAnsi"/>
          <w:i/>
          <w:iCs/>
          <w:color w:val="000000" w:themeColor="text1"/>
        </w:rPr>
        <w:t xml:space="preserve">Food and Model Picture ratings. </w:t>
      </w:r>
      <w:r w:rsidRPr="00707DF8">
        <w:rPr>
          <w:rFonts w:cstheme="majorHAnsi"/>
          <w:iCs/>
          <w:color w:val="000000" w:themeColor="text1"/>
        </w:rPr>
        <w:t>Immediately after the scans, participants rated the attractiveness of the models (1=being least attractive to 9 being most attractive) and the palatability (1=being least appetizing to 9 being most appetizing) and monetary value ($1 to $10) of the foods. Attractiveness ratings of thin and average weight models and palatability and monetary ratings of high-calorie and low-calorie food images have shown sensitivity to detecting intervention effects (Stice, Yokum, Veling, Kemps, &amp; Lawrence, 2017; Stice</w:t>
      </w:r>
      <w:r w:rsidR="00E978CE" w:rsidRPr="00707DF8">
        <w:rPr>
          <w:rFonts w:cstheme="majorHAnsi"/>
          <w:iCs/>
          <w:color w:val="000000" w:themeColor="text1"/>
        </w:rPr>
        <w:t xml:space="preserve"> et al., 2015</w:t>
      </w:r>
      <w:r w:rsidRPr="00707DF8">
        <w:rPr>
          <w:rFonts w:cstheme="majorHAnsi"/>
          <w:iCs/>
          <w:color w:val="000000" w:themeColor="text1"/>
        </w:rPr>
        <w:t>).</w:t>
      </w:r>
    </w:p>
    <w:p w14:paraId="7E4B51F7" w14:textId="77777777" w:rsidR="003F568E" w:rsidRPr="00707DF8" w:rsidRDefault="003F568E" w:rsidP="004701AF">
      <w:pPr>
        <w:tabs>
          <w:tab w:val="left" w:pos="360"/>
        </w:tabs>
        <w:spacing w:line="480" w:lineRule="auto"/>
        <w:rPr>
          <w:b/>
          <w:color w:val="000000" w:themeColor="text1"/>
          <w:szCs w:val="24"/>
        </w:rPr>
      </w:pPr>
      <w:r w:rsidRPr="00707DF8">
        <w:rPr>
          <w:b/>
          <w:color w:val="000000" w:themeColor="text1"/>
          <w:szCs w:val="24"/>
        </w:rPr>
        <w:t>Statistical Methods</w:t>
      </w:r>
    </w:p>
    <w:p w14:paraId="2A946612" w14:textId="77777777" w:rsidR="003F568E" w:rsidRPr="00707DF8" w:rsidRDefault="003F568E" w:rsidP="00F23845">
      <w:pPr>
        <w:tabs>
          <w:tab w:val="left" w:pos="360"/>
        </w:tabs>
        <w:spacing w:line="480" w:lineRule="auto"/>
        <w:rPr>
          <w:color w:val="000000" w:themeColor="text1"/>
          <w:szCs w:val="24"/>
        </w:rPr>
      </w:pPr>
      <w:r w:rsidRPr="00707DF8">
        <w:rPr>
          <w:i/>
          <w:color w:val="000000" w:themeColor="text1"/>
          <w:szCs w:val="24"/>
        </w:rPr>
        <w:tab/>
        <w:t xml:space="preserve">MRI acquisition and fMRI data preprocessing. </w:t>
      </w:r>
      <w:r w:rsidRPr="00707DF8">
        <w:rPr>
          <w:color w:val="000000" w:themeColor="text1"/>
          <w:szCs w:val="24"/>
        </w:rPr>
        <w:t xml:space="preserve">MRI data were acquired on a Siemens </w:t>
      </w:r>
      <w:proofErr w:type="spellStart"/>
      <w:r w:rsidRPr="00707DF8">
        <w:rPr>
          <w:color w:val="000000" w:themeColor="text1"/>
          <w:szCs w:val="24"/>
        </w:rPr>
        <w:t>Skyra</w:t>
      </w:r>
      <w:proofErr w:type="spellEnd"/>
      <w:r w:rsidRPr="00707DF8">
        <w:rPr>
          <w:color w:val="000000" w:themeColor="text1"/>
          <w:szCs w:val="24"/>
        </w:rPr>
        <w:t xml:space="preserve"> 3T MRI scanner. Functional scans used a T2* weighted EPI plus sequence (72 slices, TE=25 </w:t>
      </w:r>
      <w:proofErr w:type="spellStart"/>
      <w:r w:rsidRPr="00707DF8">
        <w:rPr>
          <w:color w:val="000000" w:themeColor="text1"/>
          <w:szCs w:val="24"/>
        </w:rPr>
        <w:t>ms</w:t>
      </w:r>
      <w:proofErr w:type="spellEnd"/>
      <w:r w:rsidRPr="00707DF8">
        <w:rPr>
          <w:color w:val="000000" w:themeColor="text1"/>
          <w:szCs w:val="24"/>
        </w:rPr>
        <w:t xml:space="preserve">, TR=2000 </w:t>
      </w:r>
      <w:proofErr w:type="spellStart"/>
      <w:r w:rsidRPr="00707DF8">
        <w:rPr>
          <w:color w:val="000000" w:themeColor="text1"/>
          <w:szCs w:val="24"/>
        </w:rPr>
        <w:t>ms</w:t>
      </w:r>
      <w:proofErr w:type="spellEnd"/>
      <w:r w:rsidRPr="00707DF8">
        <w:rPr>
          <w:color w:val="000000" w:themeColor="text1"/>
          <w:szCs w:val="24"/>
        </w:rPr>
        <w:t>, flip angle=90°, matrix size=100 x 100, voxel size=2 mm</w:t>
      </w:r>
      <w:r w:rsidRPr="00707DF8">
        <w:rPr>
          <w:color w:val="000000" w:themeColor="text1"/>
          <w:szCs w:val="24"/>
          <w:vertAlign w:val="superscript"/>
        </w:rPr>
        <w:t>3</w:t>
      </w:r>
      <w:r w:rsidRPr="00707DF8">
        <w:rPr>
          <w:color w:val="000000" w:themeColor="text1"/>
          <w:szCs w:val="24"/>
        </w:rPr>
        <w:t xml:space="preserve">, axial slices=72, FOV=200, multiband acceleration factor=3). Structural scans were collected using a high-resolution anatomical T1-weighted MP-RAGE scan (TE=3.43 </w:t>
      </w:r>
      <w:proofErr w:type="spellStart"/>
      <w:r w:rsidRPr="00707DF8">
        <w:rPr>
          <w:color w:val="000000" w:themeColor="text1"/>
          <w:szCs w:val="24"/>
        </w:rPr>
        <w:t>ms</w:t>
      </w:r>
      <w:proofErr w:type="spellEnd"/>
      <w:r w:rsidRPr="00707DF8">
        <w:rPr>
          <w:color w:val="000000" w:themeColor="text1"/>
          <w:szCs w:val="24"/>
        </w:rPr>
        <w:t xml:space="preserve">, TR=2500 </w:t>
      </w:r>
      <w:proofErr w:type="spellStart"/>
      <w:r w:rsidRPr="00707DF8">
        <w:rPr>
          <w:color w:val="000000" w:themeColor="text1"/>
          <w:szCs w:val="24"/>
        </w:rPr>
        <w:t>ms</w:t>
      </w:r>
      <w:proofErr w:type="spellEnd"/>
      <w:r w:rsidRPr="00707DF8">
        <w:rPr>
          <w:color w:val="000000" w:themeColor="text1"/>
          <w:szCs w:val="24"/>
        </w:rPr>
        <w:t>, 256 x 256 matrix, voxel size=1 mm</w:t>
      </w:r>
      <w:r w:rsidRPr="00707DF8">
        <w:rPr>
          <w:color w:val="000000" w:themeColor="text1"/>
          <w:szCs w:val="24"/>
          <w:vertAlign w:val="superscript"/>
        </w:rPr>
        <w:t>3</w:t>
      </w:r>
      <w:r w:rsidRPr="00707DF8">
        <w:rPr>
          <w:color w:val="000000" w:themeColor="text1"/>
          <w:szCs w:val="24"/>
        </w:rPr>
        <w:t xml:space="preserve">, sagittal slices=176, FOV=256).  </w:t>
      </w:r>
    </w:p>
    <w:p w14:paraId="1A1C8567" w14:textId="77777777" w:rsidR="003F568E" w:rsidRPr="00707DF8" w:rsidRDefault="003F568E" w:rsidP="00F23845">
      <w:pPr>
        <w:tabs>
          <w:tab w:val="left" w:pos="360"/>
        </w:tabs>
        <w:spacing w:line="480" w:lineRule="auto"/>
        <w:rPr>
          <w:color w:val="000000" w:themeColor="text1"/>
        </w:rPr>
      </w:pPr>
      <w:r w:rsidRPr="00707DF8">
        <w:rPr>
          <w:color w:val="000000" w:themeColor="text1"/>
          <w:szCs w:val="24"/>
        </w:rPr>
        <w:tab/>
        <w:t xml:space="preserve">Neuroimaging data were </w:t>
      </w:r>
      <w:proofErr w:type="spellStart"/>
      <w:r w:rsidRPr="00707DF8">
        <w:rPr>
          <w:color w:val="000000" w:themeColor="text1"/>
          <w:szCs w:val="24"/>
        </w:rPr>
        <w:t>skullstripped</w:t>
      </w:r>
      <w:proofErr w:type="spellEnd"/>
      <w:r w:rsidRPr="00707DF8">
        <w:rPr>
          <w:color w:val="000000" w:themeColor="text1"/>
          <w:szCs w:val="24"/>
        </w:rPr>
        <w:t xml:space="preserve"> using the Brain Extraction Tool in FSL (FMRIB Analysis Group, Oxford, UK) and then preprocessed and analyzed using SPM12 (</w:t>
      </w:r>
      <w:proofErr w:type="spellStart"/>
      <w:r w:rsidRPr="00707DF8">
        <w:rPr>
          <w:color w:val="000000" w:themeColor="text1"/>
          <w:szCs w:val="24"/>
        </w:rPr>
        <w:t>Wellcome</w:t>
      </w:r>
      <w:proofErr w:type="spellEnd"/>
      <w:r w:rsidRPr="00707DF8">
        <w:rPr>
          <w:color w:val="000000" w:themeColor="text1"/>
          <w:szCs w:val="24"/>
        </w:rPr>
        <w:t xml:space="preserve"> Department of Cognitive Neurology; </w:t>
      </w:r>
      <w:hyperlink r:id="rId6" w:history="1">
        <w:r w:rsidRPr="00707DF8">
          <w:rPr>
            <w:color w:val="000000" w:themeColor="text1"/>
            <w:szCs w:val="24"/>
            <w:u w:val="single"/>
          </w:rPr>
          <w:t>http://www.fil.ion. ucl.ac.uk/</w:t>
        </w:r>
        <w:proofErr w:type="spellStart"/>
        <w:r w:rsidRPr="00707DF8">
          <w:rPr>
            <w:color w:val="000000" w:themeColor="text1"/>
            <w:szCs w:val="24"/>
            <w:u w:val="single"/>
          </w:rPr>
          <w:t>spm</w:t>
        </w:r>
        <w:proofErr w:type="spellEnd"/>
      </w:hyperlink>
      <w:r w:rsidRPr="00707DF8">
        <w:rPr>
          <w:color w:val="000000" w:themeColor="text1"/>
          <w:szCs w:val="24"/>
        </w:rPr>
        <w:t xml:space="preserve">) in </w:t>
      </w:r>
      <w:proofErr w:type="spellStart"/>
      <w:r w:rsidRPr="00707DF8">
        <w:rPr>
          <w:color w:val="000000" w:themeColor="text1"/>
          <w:szCs w:val="24"/>
        </w:rPr>
        <w:t>Matlab</w:t>
      </w:r>
      <w:proofErr w:type="spellEnd"/>
      <w:r w:rsidRPr="00707DF8">
        <w:rPr>
          <w:color w:val="000000" w:themeColor="text1"/>
          <w:szCs w:val="24"/>
        </w:rPr>
        <w:t xml:space="preserve"> (</w:t>
      </w:r>
      <w:proofErr w:type="spellStart"/>
      <w:r w:rsidRPr="00707DF8">
        <w:rPr>
          <w:color w:val="000000" w:themeColor="text1"/>
          <w:szCs w:val="24"/>
        </w:rPr>
        <w:t>Mathworks</w:t>
      </w:r>
      <w:proofErr w:type="spellEnd"/>
      <w:r w:rsidRPr="00707DF8">
        <w:rPr>
          <w:color w:val="000000" w:themeColor="text1"/>
          <w:szCs w:val="24"/>
        </w:rPr>
        <w:t xml:space="preserve">, Inc., Natick, MA). During preprocessing, functional data were preprocessed as follows: (1) </w:t>
      </w:r>
      <w:r w:rsidRPr="00707DF8">
        <w:rPr>
          <w:color w:val="000000" w:themeColor="text1"/>
          <w:szCs w:val="24"/>
        </w:rPr>
        <w:lastRenderedPageBreak/>
        <w:t xml:space="preserve">adjusted for variation in magnetic field distortion using field maps; (2) realigned to the mean functional from that run and </w:t>
      </w:r>
      <w:proofErr w:type="spellStart"/>
      <w:r w:rsidRPr="00707DF8">
        <w:rPr>
          <w:color w:val="000000" w:themeColor="text1"/>
          <w:szCs w:val="24"/>
        </w:rPr>
        <w:t>coregistered</w:t>
      </w:r>
      <w:proofErr w:type="spellEnd"/>
      <w:r w:rsidRPr="00707DF8">
        <w:rPr>
          <w:color w:val="000000" w:themeColor="text1"/>
          <w:szCs w:val="24"/>
        </w:rPr>
        <w:t xml:space="preserve"> with the anatomical; and (3) normalized to Montreal Neurological Institute (MNI) space using the DARTEL template and deformation fields output. Functional data were smoothed to 6 mm Gaussian full-width-at-half-maximum (FWHM). A 128 second high-pass filter removed low-frequency noise and signal drift. Head motion greater than 2 mm or degrees in any direction was our </w:t>
      </w:r>
      <w:r w:rsidRPr="00707DF8">
        <w:rPr>
          <w:i/>
          <w:color w:val="000000" w:themeColor="text1"/>
          <w:szCs w:val="24"/>
        </w:rPr>
        <w:t>a priori</w:t>
      </w:r>
      <w:r w:rsidRPr="00707DF8">
        <w:rPr>
          <w:color w:val="000000" w:themeColor="text1"/>
          <w:szCs w:val="24"/>
        </w:rPr>
        <w:t xml:space="preserve"> exclusion criteria. Artifact Detection Toolbox (ART; </w:t>
      </w:r>
      <w:proofErr w:type="spellStart"/>
      <w:r w:rsidRPr="00707DF8">
        <w:rPr>
          <w:color w:val="000000" w:themeColor="text1"/>
          <w:szCs w:val="24"/>
        </w:rPr>
        <w:t>Gabrieli</w:t>
      </w:r>
      <w:proofErr w:type="spellEnd"/>
      <w:r w:rsidRPr="00707DF8">
        <w:rPr>
          <w:color w:val="000000" w:themeColor="text1"/>
          <w:szCs w:val="24"/>
        </w:rPr>
        <w:t xml:space="preserve"> Laboratory, McGovern Institute for Brain Research, Cambridge MA) was used to detect global mean response spikes and motion outliers. Motion parameters were used as </w:t>
      </w:r>
      <w:proofErr w:type="spellStart"/>
      <w:r w:rsidRPr="00707DF8">
        <w:rPr>
          <w:color w:val="000000" w:themeColor="text1"/>
          <w:szCs w:val="24"/>
        </w:rPr>
        <w:t>regressors</w:t>
      </w:r>
      <w:proofErr w:type="spellEnd"/>
      <w:r w:rsidRPr="00707DF8">
        <w:rPr>
          <w:color w:val="000000" w:themeColor="text1"/>
          <w:szCs w:val="24"/>
        </w:rPr>
        <w:t xml:space="preserve"> and outlier image volumes (&lt;2 mm) were de-weighted during individual-level model estimation. Anatomical images were </w:t>
      </w:r>
      <w:proofErr w:type="spellStart"/>
      <w:r w:rsidRPr="00707DF8">
        <w:rPr>
          <w:color w:val="000000" w:themeColor="text1"/>
          <w:szCs w:val="24"/>
        </w:rPr>
        <w:t>coregistered</w:t>
      </w:r>
      <w:proofErr w:type="spellEnd"/>
      <w:r w:rsidRPr="00707DF8">
        <w:rPr>
          <w:color w:val="000000" w:themeColor="text1"/>
          <w:szCs w:val="24"/>
        </w:rPr>
        <w:t xml:space="preserve"> to the mean functional image and segmented into 6 tissue types using unified segmentation approach (</w:t>
      </w:r>
      <w:proofErr w:type="spellStart"/>
      <w:r w:rsidRPr="00707DF8">
        <w:rPr>
          <w:color w:val="000000" w:themeColor="text1"/>
          <w:szCs w:val="24"/>
        </w:rPr>
        <w:t>Ashburner</w:t>
      </w:r>
      <w:proofErr w:type="spellEnd"/>
      <w:r w:rsidRPr="00707DF8">
        <w:rPr>
          <w:color w:val="000000" w:themeColor="text1"/>
          <w:szCs w:val="24"/>
        </w:rPr>
        <w:t xml:space="preserve"> &amp; </w:t>
      </w:r>
      <w:proofErr w:type="spellStart"/>
      <w:r w:rsidRPr="00707DF8">
        <w:rPr>
          <w:color w:val="000000" w:themeColor="text1"/>
          <w:szCs w:val="24"/>
        </w:rPr>
        <w:t>Friston</w:t>
      </w:r>
      <w:proofErr w:type="spellEnd"/>
      <w:r w:rsidRPr="00707DF8">
        <w:rPr>
          <w:color w:val="000000" w:themeColor="text1"/>
          <w:szCs w:val="24"/>
        </w:rPr>
        <w:t xml:space="preserve">, 2005). DARTEL was used to create a group anatomical template, </w:t>
      </w:r>
      <w:proofErr w:type="spellStart"/>
      <w:r w:rsidRPr="00707DF8">
        <w:rPr>
          <w:color w:val="000000" w:themeColor="text1"/>
          <w:szCs w:val="24"/>
        </w:rPr>
        <w:t>tranformations</w:t>
      </w:r>
      <w:proofErr w:type="spellEnd"/>
      <w:r w:rsidRPr="00707DF8">
        <w:rPr>
          <w:color w:val="000000" w:themeColor="text1"/>
          <w:szCs w:val="24"/>
        </w:rPr>
        <w:t xml:space="preserve"> from which were applied to warp functional data to the ICBM-152 template supplied with SPM12 (</w:t>
      </w:r>
      <w:proofErr w:type="spellStart"/>
      <w:r w:rsidRPr="00707DF8">
        <w:rPr>
          <w:color w:val="000000" w:themeColor="text1"/>
          <w:szCs w:val="24"/>
        </w:rPr>
        <w:t>Ashburner</w:t>
      </w:r>
      <w:proofErr w:type="spellEnd"/>
      <w:r w:rsidRPr="00707DF8">
        <w:rPr>
          <w:color w:val="000000" w:themeColor="text1"/>
          <w:szCs w:val="24"/>
        </w:rPr>
        <w:t>, 2007).</w:t>
      </w:r>
    </w:p>
    <w:p w14:paraId="5336711F" w14:textId="6B1CBF40" w:rsidR="003F568E" w:rsidRPr="00707DF8" w:rsidRDefault="003F568E" w:rsidP="004701AF">
      <w:pPr>
        <w:tabs>
          <w:tab w:val="left" w:pos="360"/>
        </w:tabs>
        <w:spacing w:line="480" w:lineRule="auto"/>
        <w:outlineLvl w:val="0"/>
        <w:rPr>
          <w:rFonts w:eastAsia="Calibri" w:cstheme="majorHAnsi"/>
          <w:color w:val="000000" w:themeColor="text1"/>
          <w:szCs w:val="24"/>
        </w:rPr>
      </w:pPr>
      <w:r w:rsidRPr="00707DF8">
        <w:rPr>
          <w:rStyle w:val="LineNumber"/>
          <w:rFonts w:ascii="Times" w:hAnsi="Times" w:cstheme="majorHAnsi"/>
          <w:i/>
          <w:color w:val="000000" w:themeColor="text1"/>
          <w:szCs w:val="24"/>
        </w:rPr>
        <w:tab/>
      </w:r>
      <w:proofErr w:type="gramStart"/>
      <w:r w:rsidRPr="00707DF8">
        <w:rPr>
          <w:rStyle w:val="LineNumber"/>
          <w:rFonts w:ascii="Times" w:hAnsi="Times" w:cstheme="majorHAnsi"/>
          <w:i/>
          <w:color w:val="000000" w:themeColor="text1"/>
          <w:sz w:val="24"/>
          <w:szCs w:val="24"/>
        </w:rPr>
        <w:t>fMRI</w:t>
      </w:r>
      <w:proofErr w:type="gramEnd"/>
      <w:r w:rsidRPr="00707DF8">
        <w:rPr>
          <w:rStyle w:val="LineNumber"/>
          <w:rFonts w:ascii="Times" w:hAnsi="Times" w:cstheme="majorHAnsi"/>
          <w:i/>
          <w:color w:val="000000" w:themeColor="text1"/>
          <w:sz w:val="24"/>
          <w:szCs w:val="24"/>
        </w:rPr>
        <w:t xml:space="preserve"> data analysis.</w:t>
      </w:r>
      <w:r w:rsidRPr="00707DF8">
        <w:rPr>
          <w:rStyle w:val="LineNumber"/>
          <w:rFonts w:ascii="Times" w:hAnsi="Times" w:cstheme="majorHAnsi"/>
          <w:i/>
          <w:color w:val="000000" w:themeColor="text1"/>
          <w:szCs w:val="24"/>
        </w:rPr>
        <w:t xml:space="preserve"> </w:t>
      </w:r>
      <w:r w:rsidRPr="00707DF8">
        <w:rPr>
          <w:rFonts w:cstheme="majorHAnsi"/>
          <w:color w:val="000000" w:themeColor="text1"/>
          <w:szCs w:val="24"/>
        </w:rPr>
        <w:t xml:space="preserve">At the subject level, BOLD signal was modeled in a fixed effects analysis with separate </w:t>
      </w:r>
      <w:proofErr w:type="spellStart"/>
      <w:r w:rsidRPr="00707DF8">
        <w:rPr>
          <w:rFonts w:cstheme="majorHAnsi"/>
          <w:color w:val="000000" w:themeColor="text1"/>
          <w:szCs w:val="24"/>
        </w:rPr>
        <w:t>regressors</w:t>
      </w:r>
      <w:proofErr w:type="spellEnd"/>
      <w:r w:rsidRPr="00707DF8">
        <w:rPr>
          <w:rFonts w:cstheme="majorHAnsi"/>
          <w:color w:val="000000" w:themeColor="text1"/>
          <w:szCs w:val="24"/>
        </w:rPr>
        <w:t xml:space="preserve"> modeling each condition of interest for each task for pretest and posttest separately. T-maps were constructed for comparisons of activation within participants for the following contrasts: model picture paradigm: thin models versus average-weight models; food picture paradigm: high-calorie binge foods versus low-calorie foods. </w:t>
      </w:r>
      <w:r w:rsidRPr="00707DF8">
        <w:rPr>
          <w:rFonts w:ascii="Times" w:eastAsia="Calibri" w:hAnsi="Times" w:cs="Calibri"/>
          <w:color w:val="000000" w:themeColor="text1"/>
          <w:szCs w:val="24"/>
        </w:rPr>
        <w:t xml:space="preserve">We also performed </w:t>
      </w:r>
      <w:r w:rsidRPr="00707DF8">
        <w:rPr>
          <w:rFonts w:ascii="Times" w:eastAsia="Calibri" w:hAnsi="Times" w:cs="Calibri"/>
          <w:i/>
          <w:color w:val="000000" w:themeColor="text1"/>
          <w:szCs w:val="24"/>
        </w:rPr>
        <w:t>a priori</w:t>
      </w:r>
      <w:r w:rsidRPr="00707DF8">
        <w:rPr>
          <w:rFonts w:ascii="Times" w:eastAsia="Calibri" w:hAnsi="Times" w:cs="Calibri"/>
          <w:color w:val="000000" w:themeColor="text1"/>
          <w:szCs w:val="24"/>
        </w:rPr>
        <w:t xml:space="preserve"> regions-of-interest (ROI) analyses within the caudate and ventromedial prefrontal cortex (</w:t>
      </w:r>
      <w:proofErr w:type="spellStart"/>
      <w:r w:rsidRPr="00707DF8">
        <w:rPr>
          <w:rFonts w:ascii="Times" w:eastAsia="Calibri" w:hAnsi="Times" w:cs="Calibri"/>
          <w:color w:val="000000" w:themeColor="text1"/>
          <w:szCs w:val="24"/>
        </w:rPr>
        <w:t>vmPFC</w:t>
      </w:r>
      <w:proofErr w:type="spellEnd"/>
      <w:r w:rsidRPr="00707DF8">
        <w:rPr>
          <w:rFonts w:ascii="Times" w:eastAsia="Calibri" w:hAnsi="Times" w:cs="Calibri"/>
          <w:color w:val="000000" w:themeColor="text1"/>
          <w:szCs w:val="24"/>
        </w:rPr>
        <w:t xml:space="preserve">) to test for significant </w:t>
      </w:r>
      <w:r w:rsidRPr="00707DF8">
        <w:rPr>
          <w:rFonts w:ascii="Times" w:eastAsia="Calibri" w:hAnsi="Times" w:cs="Calibri"/>
          <w:bCs/>
          <w:color w:val="000000" w:themeColor="text1"/>
          <w:szCs w:val="24"/>
        </w:rPr>
        <w:t>pre-post changes</w:t>
      </w:r>
      <w:r w:rsidRPr="00707DF8">
        <w:rPr>
          <w:rFonts w:ascii="Times" w:eastAsia="Calibri" w:hAnsi="Times" w:cs="Calibri"/>
          <w:color w:val="000000" w:themeColor="text1"/>
          <w:szCs w:val="24"/>
        </w:rPr>
        <w:t xml:space="preserve"> within these regions. Morphology-based regions of interests (ROIs) were generated using the Montreal Neurological Institute (MNI) average adult MRI template. For the caudate, we created an ROI that included bilateral caudate. Peak activity was considered significant at a peak level of </w:t>
      </w:r>
      <w:r w:rsidRPr="00707DF8">
        <w:rPr>
          <w:rFonts w:ascii="Times" w:eastAsia="Calibri" w:hAnsi="Times" w:cs="Calibri"/>
          <w:i/>
          <w:iCs/>
          <w:color w:val="000000" w:themeColor="text1"/>
          <w:szCs w:val="24"/>
        </w:rPr>
        <w:t>p</w:t>
      </w:r>
      <w:r w:rsidRPr="00707DF8">
        <w:rPr>
          <w:rFonts w:ascii="Times" w:eastAsia="Calibri" w:hAnsi="Times" w:cs="Calibri"/>
          <w:color w:val="000000" w:themeColor="text1"/>
          <w:szCs w:val="24"/>
        </w:rPr>
        <w:t xml:space="preserve">&lt;0.05 FWE corrected across the total </w:t>
      </w:r>
      <w:r w:rsidRPr="00707DF8">
        <w:rPr>
          <w:rFonts w:ascii="Times" w:eastAsia="Calibri" w:hAnsi="Times" w:cs="Calibri"/>
          <w:color w:val="000000" w:themeColor="text1"/>
          <w:szCs w:val="24"/>
        </w:rPr>
        <w:lastRenderedPageBreak/>
        <w:t xml:space="preserve">number of voxels across the ROI. For the </w:t>
      </w:r>
      <w:proofErr w:type="spellStart"/>
      <w:r w:rsidRPr="00707DF8">
        <w:rPr>
          <w:rFonts w:ascii="Times" w:eastAsia="Calibri" w:hAnsi="Times" w:cs="Calibri"/>
          <w:color w:val="000000" w:themeColor="text1"/>
          <w:szCs w:val="24"/>
        </w:rPr>
        <w:t>vmPFC</w:t>
      </w:r>
      <w:proofErr w:type="spellEnd"/>
      <w:r w:rsidRPr="00707DF8">
        <w:rPr>
          <w:rFonts w:ascii="Times" w:eastAsia="Calibri" w:hAnsi="Times" w:cs="Calibri"/>
          <w:color w:val="000000" w:themeColor="text1"/>
          <w:szCs w:val="24"/>
        </w:rPr>
        <w:t xml:space="preserve">, we used a spherical ROI (10-mm diameter spheres) centered at peak coordinates from published papers (Hare, </w:t>
      </w:r>
      <w:proofErr w:type="spellStart"/>
      <w:r w:rsidRPr="00707DF8">
        <w:rPr>
          <w:rFonts w:ascii="Times" w:eastAsia="Calibri" w:hAnsi="Times" w:cs="Calibri"/>
          <w:color w:val="000000" w:themeColor="text1"/>
          <w:szCs w:val="24"/>
        </w:rPr>
        <w:t>Camerer</w:t>
      </w:r>
      <w:proofErr w:type="spellEnd"/>
      <w:r w:rsidRPr="00707DF8">
        <w:rPr>
          <w:rFonts w:ascii="Times" w:eastAsia="Calibri" w:hAnsi="Times" w:cs="Calibri"/>
          <w:color w:val="000000" w:themeColor="text1"/>
          <w:szCs w:val="24"/>
        </w:rPr>
        <w:t>, &amp; Rangel, 2009; Smith</w:t>
      </w:r>
      <w:r w:rsidR="00E978CE" w:rsidRPr="00707DF8">
        <w:rPr>
          <w:rFonts w:ascii="Times" w:eastAsia="Calibri" w:hAnsi="Times" w:cs="Calibri"/>
          <w:color w:val="000000" w:themeColor="text1"/>
          <w:szCs w:val="24"/>
        </w:rPr>
        <w:t xml:space="preserve">, Hayden, Truong, Song, Platt, &amp; </w:t>
      </w:r>
      <w:proofErr w:type="spellStart"/>
      <w:r w:rsidR="00E978CE" w:rsidRPr="00707DF8">
        <w:rPr>
          <w:rFonts w:ascii="Times" w:eastAsia="Calibri" w:hAnsi="Times" w:cs="Calibri"/>
          <w:color w:val="000000" w:themeColor="text1"/>
          <w:szCs w:val="24"/>
        </w:rPr>
        <w:t>Huettel</w:t>
      </w:r>
      <w:proofErr w:type="spellEnd"/>
      <w:r w:rsidRPr="00707DF8">
        <w:rPr>
          <w:rFonts w:ascii="Times" w:eastAsia="Calibri" w:hAnsi="Times" w:cs="Calibri"/>
          <w:color w:val="000000" w:themeColor="text1"/>
          <w:szCs w:val="24"/>
        </w:rPr>
        <w:t xml:space="preserve">, 2010; </w:t>
      </w:r>
      <w:r w:rsidRPr="00707DF8">
        <w:rPr>
          <w:rFonts w:cstheme="majorHAnsi"/>
          <w:color w:val="000000" w:themeColor="text1"/>
        </w:rPr>
        <w:t xml:space="preserve">Winston, </w:t>
      </w:r>
      <w:proofErr w:type="spellStart"/>
      <w:r w:rsidRPr="00707DF8">
        <w:rPr>
          <w:rFonts w:cstheme="majorHAnsi"/>
          <w:color w:val="000000" w:themeColor="text1"/>
        </w:rPr>
        <w:t>O'Doherty</w:t>
      </w:r>
      <w:proofErr w:type="spellEnd"/>
      <w:r w:rsidRPr="00707DF8">
        <w:rPr>
          <w:rFonts w:cstheme="majorHAnsi"/>
          <w:color w:val="000000" w:themeColor="text1"/>
        </w:rPr>
        <w:t xml:space="preserve">, </w:t>
      </w:r>
      <w:proofErr w:type="spellStart"/>
      <w:r w:rsidRPr="00707DF8">
        <w:rPr>
          <w:rFonts w:cstheme="majorHAnsi"/>
          <w:color w:val="000000" w:themeColor="text1"/>
        </w:rPr>
        <w:t>Kilner</w:t>
      </w:r>
      <w:proofErr w:type="spellEnd"/>
      <w:r w:rsidRPr="00707DF8">
        <w:rPr>
          <w:rFonts w:cstheme="majorHAnsi"/>
          <w:color w:val="000000" w:themeColor="text1"/>
        </w:rPr>
        <w:t>, Perrett, &amp; Dolan, 2007</w:t>
      </w:r>
      <w:r w:rsidRPr="00707DF8">
        <w:rPr>
          <w:rFonts w:ascii="Times" w:eastAsia="Calibri" w:hAnsi="Times" w:cs="Calibri"/>
          <w:color w:val="000000" w:themeColor="text1"/>
          <w:szCs w:val="24"/>
        </w:rPr>
        <w:t>).</w:t>
      </w:r>
      <w:r w:rsidRPr="00707DF8">
        <w:rPr>
          <w:rFonts w:eastAsia="Calibri" w:cstheme="majorHAnsi"/>
          <w:color w:val="000000" w:themeColor="text1"/>
          <w:szCs w:val="24"/>
        </w:rPr>
        <w:t xml:space="preserve"> Peak activity with </w:t>
      </w:r>
      <w:r w:rsidRPr="00707DF8">
        <w:rPr>
          <w:rFonts w:eastAsia="Calibri" w:cstheme="majorHAnsi"/>
          <w:i/>
          <w:iCs/>
          <w:color w:val="000000" w:themeColor="text1"/>
          <w:szCs w:val="24"/>
        </w:rPr>
        <w:t>p</w:t>
      </w:r>
      <w:r w:rsidRPr="00707DF8">
        <w:rPr>
          <w:rFonts w:eastAsia="Calibri" w:cstheme="majorHAnsi"/>
          <w:color w:val="000000" w:themeColor="text1"/>
          <w:szCs w:val="24"/>
        </w:rPr>
        <w:t>-values ≤0.05 corrected using voxel-level familywise error rate (</w:t>
      </w:r>
      <w:proofErr w:type="spellStart"/>
      <w:r w:rsidRPr="00707DF8">
        <w:rPr>
          <w:rFonts w:eastAsia="Calibri" w:cstheme="majorHAnsi"/>
          <w:color w:val="000000" w:themeColor="text1"/>
          <w:szCs w:val="24"/>
        </w:rPr>
        <w:t>pFWE</w:t>
      </w:r>
      <w:proofErr w:type="spellEnd"/>
      <w:r w:rsidRPr="00707DF8">
        <w:rPr>
          <w:rFonts w:eastAsia="Calibri" w:cstheme="majorHAnsi"/>
          <w:color w:val="000000" w:themeColor="text1"/>
          <w:szCs w:val="24"/>
        </w:rPr>
        <w:t>) over the 10 mm sphere were considered significant.</w:t>
      </w:r>
    </w:p>
    <w:p w14:paraId="0B8EA39F" w14:textId="77777777" w:rsidR="00455A4C" w:rsidRPr="00707DF8" w:rsidRDefault="00455A4C" w:rsidP="00455A4C">
      <w:pPr>
        <w:tabs>
          <w:tab w:val="left" w:pos="360"/>
        </w:tabs>
        <w:spacing w:line="480" w:lineRule="auto"/>
        <w:jc w:val="center"/>
        <w:outlineLvl w:val="0"/>
        <w:rPr>
          <w:rFonts w:eastAsia="Calibri" w:cstheme="majorHAnsi"/>
          <w:b/>
          <w:color w:val="000000" w:themeColor="text1"/>
          <w:szCs w:val="24"/>
        </w:rPr>
      </w:pPr>
      <w:r w:rsidRPr="00707DF8">
        <w:rPr>
          <w:rFonts w:eastAsia="Calibri" w:cstheme="majorHAnsi"/>
          <w:b/>
          <w:color w:val="000000" w:themeColor="text1"/>
          <w:szCs w:val="24"/>
        </w:rPr>
        <w:t>Supplementary Results</w:t>
      </w:r>
    </w:p>
    <w:p w14:paraId="4B9FA831" w14:textId="77777777" w:rsidR="00455A4C" w:rsidRPr="00707DF8" w:rsidRDefault="00455A4C" w:rsidP="00455A4C">
      <w:pPr>
        <w:widowControl w:val="0"/>
        <w:tabs>
          <w:tab w:val="left" w:pos="360"/>
        </w:tabs>
        <w:spacing w:line="480" w:lineRule="auto"/>
        <w:rPr>
          <w:rFonts w:cstheme="majorHAnsi"/>
          <w:b/>
          <w:bCs/>
          <w:color w:val="000000" w:themeColor="text1"/>
        </w:rPr>
      </w:pPr>
      <w:r w:rsidRPr="00707DF8">
        <w:rPr>
          <w:rFonts w:cstheme="majorHAnsi"/>
          <w:b/>
          <w:bCs/>
          <w:color w:val="000000" w:themeColor="text1"/>
        </w:rPr>
        <w:t>Relations of pre-post changes in neural response to thin models and high-calorie foods to pre-post changes in other outcomes</w:t>
      </w:r>
    </w:p>
    <w:p w14:paraId="47043CF0" w14:textId="7D46BE7F" w:rsidR="00455A4C" w:rsidRPr="00707DF8" w:rsidRDefault="00455A4C" w:rsidP="00833790">
      <w:pPr>
        <w:widowControl w:val="0"/>
        <w:tabs>
          <w:tab w:val="left" w:pos="360"/>
        </w:tabs>
        <w:spacing w:line="480" w:lineRule="auto"/>
        <w:rPr>
          <w:color w:val="000000" w:themeColor="text1"/>
          <w:szCs w:val="24"/>
        </w:rPr>
      </w:pPr>
      <w:r w:rsidRPr="00707DF8">
        <w:rPr>
          <w:rFonts w:cstheme="majorHAnsi"/>
          <w:b/>
          <w:bCs/>
          <w:color w:val="000000" w:themeColor="text1"/>
        </w:rPr>
        <w:tab/>
      </w:r>
      <w:r w:rsidRPr="00707DF8">
        <w:rPr>
          <w:rFonts w:cstheme="majorHAnsi"/>
          <w:bCs/>
          <w:color w:val="000000" w:themeColor="text1"/>
        </w:rPr>
        <w:t>We tested if pre-post BOLD response changes correlated with pre-post changes</w:t>
      </w:r>
      <w:r w:rsidR="00833790" w:rsidRPr="00707DF8">
        <w:rPr>
          <w:rFonts w:cstheme="majorHAnsi"/>
          <w:bCs/>
          <w:color w:val="000000" w:themeColor="text1"/>
        </w:rPr>
        <w:t xml:space="preserve"> in self-reported outcomes</w:t>
      </w:r>
      <w:r w:rsidRPr="00707DF8">
        <w:rPr>
          <w:color w:val="000000" w:themeColor="text1"/>
          <w:szCs w:val="24"/>
        </w:rPr>
        <w:t xml:space="preserve">. </w:t>
      </w:r>
      <w:r w:rsidRPr="00707DF8">
        <w:rPr>
          <w:color w:val="000000" w:themeColor="text1"/>
          <w:szCs w:val="24"/>
          <w:lang w:val="en"/>
        </w:rPr>
        <w:t xml:space="preserve">Although correlations did not survive adjustment for multiple comparisons, the uncorrected associations are considered. </w:t>
      </w:r>
      <w:r w:rsidR="00833790" w:rsidRPr="00707DF8">
        <w:rPr>
          <w:color w:val="000000" w:themeColor="text1"/>
          <w:szCs w:val="24"/>
        </w:rPr>
        <w:t>Pre-post changes in right caudate response (MNI coordinates: 12, 17, -1) to the contrast thin &gt; average-weight models correlated negatively with pre-post attractiveness ratings of average-weight models (</w:t>
      </w:r>
      <w:r w:rsidR="00833790" w:rsidRPr="00707DF8">
        <w:rPr>
          <w:i/>
          <w:color w:val="000000" w:themeColor="text1"/>
          <w:szCs w:val="24"/>
        </w:rPr>
        <w:t>r</w:t>
      </w:r>
      <w:r w:rsidR="00833790" w:rsidRPr="00707DF8">
        <w:rPr>
          <w:color w:val="000000" w:themeColor="text1"/>
          <w:szCs w:val="24"/>
        </w:rPr>
        <w:t xml:space="preserve">=-0.25, </w:t>
      </w:r>
      <w:r w:rsidR="00833790" w:rsidRPr="00707DF8">
        <w:rPr>
          <w:i/>
          <w:color w:val="000000" w:themeColor="text1"/>
          <w:szCs w:val="24"/>
        </w:rPr>
        <w:t>p</w:t>
      </w:r>
      <w:r w:rsidR="00833790" w:rsidRPr="00707DF8">
        <w:rPr>
          <w:color w:val="000000" w:themeColor="text1"/>
          <w:szCs w:val="24"/>
        </w:rPr>
        <w:t xml:space="preserve">=0.01), suggesting that the change in right caudate activation to thin models was related to increased perceived attractiveness of average-weight models. </w:t>
      </w:r>
      <w:r w:rsidRPr="00707DF8">
        <w:rPr>
          <w:color w:val="000000" w:themeColor="text1"/>
          <w:szCs w:val="24"/>
        </w:rPr>
        <w:t xml:space="preserve">Pre-post changes in left </w:t>
      </w:r>
      <w:proofErr w:type="spellStart"/>
      <w:r w:rsidRPr="00707DF8">
        <w:rPr>
          <w:color w:val="000000" w:themeColor="text1"/>
          <w:szCs w:val="24"/>
        </w:rPr>
        <w:t>vlPFC</w:t>
      </w:r>
      <w:proofErr w:type="spellEnd"/>
      <w:r w:rsidRPr="00707DF8">
        <w:rPr>
          <w:color w:val="000000" w:themeColor="text1"/>
          <w:szCs w:val="24"/>
        </w:rPr>
        <w:t xml:space="preserve"> response to the contrast high-calorie &gt; low-calorie foods correlated negatively with pre-post change in monetary value of low-calorie foods (</w:t>
      </w:r>
      <w:r w:rsidRPr="00707DF8">
        <w:rPr>
          <w:i/>
          <w:color w:val="000000" w:themeColor="text1"/>
          <w:szCs w:val="24"/>
        </w:rPr>
        <w:t>r</w:t>
      </w:r>
      <w:r w:rsidRPr="00707DF8">
        <w:rPr>
          <w:color w:val="000000" w:themeColor="text1"/>
          <w:szCs w:val="24"/>
        </w:rPr>
        <w:t xml:space="preserve">=-0.21, </w:t>
      </w:r>
      <w:r w:rsidRPr="00707DF8">
        <w:rPr>
          <w:i/>
          <w:color w:val="000000" w:themeColor="text1"/>
          <w:szCs w:val="24"/>
        </w:rPr>
        <w:t>p</w:t>
      </w:r>
      <w:r w:rsidRPr="00707DF8">
        <w:rPr>
          <w:color w:val="000000" w:themeColor="text1"/>
          <w:szCs w:val="24"/>
        </w:rPr>
        <w:t xml:space="preserve">=0.03), suggesting that a pre-post reduction in left </w:t>
      </w:r>
      <w:proofErr w:type="spellStart"/>
      <w:r w:rsidRPr="00707DF8">
        <w:rPr>
          <w:color w:val="000000" w:themeColor="text1"/>
          <w:szCs w:val="24"/>
        </w:rPr>
        <w:t>vlPFC</w:t>
      </w:r>
      <w:proofErr w:type="spellEnd"/>
      <w:r w:rsidRPr="00707DF8">
        <w:rPr>
          <w:color w:val="000000" w:themeColor="text1"/>
          <w:szCs w:val="24"/>
        </w:rPr>
        <w:t xml:space="preserve"> activation to high-calorie binge foods is related with an increase in monetary value of low-calorie foods. </w:t>
      </w:r>
    </w:p>
    <w:p w14:paraId="380A84C1" w14:textId="0693A281"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68CDDFCA" w14:textId="3D0F39AD"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0C246DE7" w14:textId="6C98F867"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437E7E2E" w14:textId="66BB80CD"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42492D5C" w14:textId="0C5E0A0D"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5DF6B0A2" w14:textId="77777777" w:rsidR="00316911" w:rsidRPr="00707DF8" w:rsidRDefault="00316911" w:rsidP="00316911">
      <w:pPr>
        <w:contextualSpacing/>
        <w:rPr>
          <w:color w:val="000000" w:themeColor="text1"/>
          <w:szCs w:val="24"/>
        </w:rPr>
      </w:pPr>
      <w:r w:rsidRPr="00707DF8">
        <w:rPr>
          <w:color w:val="000000" w:themeColor="text1"/>
          <w:szCs w:val="24"/>
        </w:rPr>
        <w:lastRenderedPageBreak/>
        <w:t>Table 1S</w:t>
      </w:r>
    </w:p>
    <w:p w14:paraId="5BE32093" w14:textId="77777777" w:rsidR="00316911" w:rsidRPr="00707DF8" w:rsidRDefault="00316911" w:rsidP="00316911">
      <w:pPr>
        <w:contextualSpacing/>
        <w:rPr>
          <w:color w:val="000000" w:themeColor="text1"/>
          <w:szCs w:val="24"/>
        </w:rPr>
      </w:pPr>
      <w:r w:rsidRPr="00707DF8">
        <w:rPr>
          <w:color w:val="000000" w:themeColor="text1"/>
          <w:szCs w:val="24"/>
        </w:rPr>
        <w:t>Comparison of Condition, Demographics and Baseline Outcomes by Participants who Completed Baseline and Posttest Assessments versus Participants who Dropped Out at Posttest.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5"/>
        <w:gridCol w:w="877"/>
        <w:gridCol w:w="878"/>
        <w:gridCol w:w="877"/>
        <w:gridCol w:w="878"/>
        <w:gridCol w:w="2515"/>
      </w:tblGrid>
      <w:tr w:rsidR="00707DF8" w:rsidRPr="00707DF8" w14:paraId="50325EB3" w14:textId="77777777" w:rsidTr="00F06BE8">
        <w:tc>
          <w:tcPr>
            <w:tcW w:w="3325" w:type="dxa"/>
            <w:tcBorders>
              <w:top w:val="single" w:sz="4" w:space="0" w:color="auto"/>
              <w:bottom w:val="single" w:sz="4" w:space="0" w:color="auto"/>
            </w:tcBorders>
          </w:tcPr>
          <w:p w14:paraId="33658C8E" w14:textId="77777777" w:rsidR="00316911" w:rsidRPr="00707DF8" w:rsidRDefault="00316911" w:rsidP="00F06BE8">
            <w:pPr>
              <w:rPr>
                <w:color w:val="000000" w:themeColor="text1"/>
                <w:szCs w:val="24"/>
              </w:rPr>
            </w:pPr>
          </w:p>
        </w:tc>
        <w:tc>
          <w:tcPr>
            <w:tcW w:w="1755" w:type="dxa"/>
            <w:gridSpan w:val="2"/>
            <w:tcBorders>
              <w:top w:val="single" w:sz="4" w:space="0" w:color="auto"/>
              <w:bottom w:val="single" w:sz="4" w:space="0" w:color="auto"/>
            </w:tcBorders>
            <w:vAlign w:val="center"/>
          </w:tcPr>
          <w:p w14:paraId="59CE05AA" w14:textId="77777777" w:rsidR="00316911" w:rsidRPr="00707DF8" w:rsidRDefault="00316911" w:rsidP="00F06BE8">
            <w:pPr>
              <w:jc w:val="center"/>
              <w:rPr>
                <w:color w:val="000000" w:themeColor="text1"/>
                <w:szCs w:val="24"/>
              </w:rPr>
            </w:pPr>
            <w:r w:rsidRPr="00707DF8">
              <w:rPr>
                <w:color w:val="000000" w:themeColor="text1"/>
                <w:szCs w:val="24"/>
              </w:rPr>
              <w:t xml:space="preserve">Completed Baseline and Posttest </w:t>
            </w:r>
          </w:p>
          <w:p w14:paraId="4FBC420B" w14:textId="4781C19B" w:rsidR="00316911" w:rsidRPr="00707DF8" w:rsidRDefault="00316911" w:rsidP="0063668E">
            <w:pPr>
              <w:jc w:val="center"/>
              <w:rPr>
                <w:color w:val="000000" w:themeColor="text1"/>
                <w:szCs w:val="24"/>
              </w:rPr>
            </w:pPr>
            <w:r w:rsidRPr="00707DF8">
              <w:rPr>
                <w:color w:val="000000" w:themeColor="text1"/>
                <w:szCs w:val="24"/>
              </w:rPr>
              <w:t>(</w:t>
            </w:r>
            <w:r w:rsidRPr="00707DF8">
              <w:rPr>
                <w:i/>
                <w:color w:val="000000" w:themeColor="text1"/>
                <w:szCs w:val="24"/>
              </w:rPr>
              <w:t>n</w:t>
            </w:r>
            <w:r w:rsidRPr="00707DF8">
              <w:rPr>
                <w:color w:val="000000" w:themeColor="text1"/>
                <w:szCs w:val="24"/>
              </w:rPr>
              <w:t>=125)</w:t>
            </w:r>
          </w:p>
        </w:tc>
        <w:tc>
          <w:tcPr>
            <w:tcW w:w="1755" w:type="dxa"/>
            <w:gridSpan w:val="2"/>
            <w:tcBorders>
              <w:top w:val="single" w:sz="4" w:space="0" w:color="auto"/>
              <w:bottom w:val="single" w:sz="4" w:space="0" w:color="auto"/>
            </w:tcBorders>
            <w:vAlign w:val="center"/>
          </w:tcPr>
          <w:p w14:paraId="043E806F" w14:textId="77777777" w:rsidR="00316911" w:rsidRPr="00707DF8" w:rsidRDefault="00316911" w:rsidP="00F06BE8">
            <w:pPr>
              <w:jc w:val="center"/>
              <w:rPr>
                <w:color w:val="000000" w:themeColor="text1"/>
                <w:szCs w:val="24"/>
              </w:rPr>
            </w:pPr>
            <w:r w:rsidRPr="00707DF8">
              <w:rPr>
                <w:color w:val="000000" w:themeColor="text1"/>
                <w:szCs w:val="24"/>
              </w:rPr>
              <w:t>Completed Baseline Only</w:t>
            </w:r>
          </w:p>
          <w:p w14:paraId="6CD1CD08" w14:textId="444C3067" w:rsidR="00316911" w:rsidRPr="00707DF8" w:rsidRDefault="00316911" w:rsidP="0063668E">
            <w:pPr>
              <w:jc w:val="center"/>
              <w:rPr>
                <w:color w:val="000000" w:themeColor="text1"/>
                <w:szCs w:val="24"/>
              </w:rPr>
            </w:pPr>
            <w:r w:rsidRPr="00707DF8">
              <w:rPr>
                <w:color w:val="000000" w:themeColor="text1"/>
                <w:szCs w:val="24"/>
              </w:rPr>
              <w:t>(</w:t>
            </w:r>
            <w:r w:rsidRPr="00707DF8">
              <w:rPr>
                <w:i/>
                <w:color w:val="000000" w:themeColor="text1"/>
                <w:szCs w:val="24"/>
              </w:rPr>
              <w:t>n</w:t>
            </w:r>
            <w:r w:rsidRPr="00707DF8">
              <w:rPr>
                <w:color w:val="000000" w:themeColor="text1"/>
                <w:szCs w:val="24"/>
              </w:rPr>
              <w:t>=3)</w:t>
            </w:r>
          </w:p>
        </w:tc>
        <w:tc>
          <w:tcPr>
            <w:tcW w:w="2515" w:type="dxa"/>
            <w:tcBorders>
              <w:top w:val="single" w:sz="4" w:space="0" w:color="auto"/>
              <w:bottom w:val="single" w:sz="4" w:space="0" w:color="auto"/>
            </w:tcBorders>
            <w:vAlign w:val="center"/>
          </w:tcPr>
          <w:p w14:paraId="47B39A47" w14:textId="77777777" w:rsidR="00316911" w:rsidRPr="00707DF8" w:rsidRDefault="00316911" w:rsidP="00F06BE8">
            <w:pPr>
              <w:jc w:val="center"/>
              <w:rPr>
                <w:color w:val="000000" w:themeColor="text1"/>
                <w:szCs w:val="24"/>
              </w:rPr>
            </w:pPr>
            <w:r w:rsidRPr="00707DF8">
              <w:rPr>
                <w:color w:val="000000" w:themeColor="text1"/>
                <w:szCs w:val="24"/>
              </w:rPr>
              <w:t>Test Statistics</w:t>
            </w:r>
          </w:p>
        </w:tc>
      </w:tr>
      <w:tr w:rsidR="00707DF8" w:rsidRPr="00707DF8" w14:paraId="6BF8F4D5" w14:textId="77777777" w:rsidTr="00F06BE8">
        <w:tc>
          <w:tcPr>
            <w:tcW w:w="3325" w:type="dxa"/>
            <w:tcBorders>
              <w:top w:val="single" w:sz="4" w:space="0" w:color="auto"/>
            </w:tcBorders>
          </w:tcPr>
          <w:p w14:paraId="3767C8C0" w14:textId="77777777" w:rsidR="00316911" w:rsidRPr="00707DF8" w:rsidRDefault="00316911" w:rsidP="00F06BE8">
            <w:pPr>
              <w:rPr>
                <w:color w:val="000000" w:themeColor="text1"/>
                <w:szCs w:val="24"/>
              </w:rPr>
            </w:pPr>
            <w:r w:rsidRPr="00707DF8">
              <w:rPr>
                <w:color w:val="000000" w:themeColor="text1"/>
                <w:szCs w:val="24"/>
              </w:rPr>
              <w:t>Condition (%)</w:t>
            </w:r>
          </w:p>
        </w:tc>
        <w:tc>
          <w:tcPr>
            <w:tcW w:w="877" w:type="dxa"/>
            <w:tcBorders>
              <w:top w:val="single" w:sz="4" w:space="0" w:color="auto"/>
            </w:tcBorders>
          </w:tcPr>
          <w:p w14:paraId="238D51C8" w14:textId="77777777" w:rsidR="00316911" w:rsidRPr="00707DF8" w:rsidRDefault="00316911" w:rsidP="00F06BE8">
            <w:pPr>
              <w:jc w:val="right"/>
              <w:rPr>
                <w:color w:val="000000" w:themeColor="text1"/>
                <w:szCs w:val="24"/>
              </w:rPr>
            </w:pPr>
          </w:p>
        </w:tc>
        <w:tc>
          <w:tcPr>
            <w:tcW w:w="878" w:type="dxa"/>
            <w:tcBorders>
              <w:top w:val="single" w:sz="4" w:space="0" w:color="auto"/>
            </w:tcBorders>
          </w:tcPr>
          <w:p w14:paraId="7F872BEF" w14:textId="77777777" w:rsidR="00316911" w:rsidRPr="00707DF8" w:rsidRDefault="00316911" w:rsidP="00F06BE8">
            <w:pPr>
              <w:jc w:val="right"/>
              <w:rPr>
                <w:color w:val="000000" w:themeColor="text1"/>
                <w:szCs w:val="24"/>
              </w:rPr>
            </w:pPr>
          </w:p>
        </w:tc>
        <w:tc>
          <w:tcPr>
            <w:tcW w:w="877" w:type="dxa"/>
            <w:tcBorders>
              <w:top w:val="single" w:sz="4" w:space="0" w:color="auto"/>
            </w:tcBorders>
          </w:tcPr>
          <w:p w14:paraId="7FAD7E8F" w14:textId="77777777" w:rsidR="00316911" w:rsidRPr="00707DF8" w:rsidRDefault="00316911" w:rsidP="00F06BE8">
            <w:pPr>
              <w:jc w:val="right"/>
              <w:rPr>
                <w:color w:val="000000" w:themeColor="text1"/>
                <w:szCs w:val="24"/>
              </w:rPr>
            </w:pPr>
          </w:p>
        </w:tc>
        <w:tc>
          <w:tcPr>
            <w:tcW w:w="878" w:type="dxa"/>
            <w:tcBorders>
              <w:top w:val="single" w:sz="4" w:space="0" w:color="auto"/>
            </w:tcBorders>
          </w:tcPr>
          <w:p w14:paraId="3DDD3533" w14:textId="77777777" w:rsidR="00316911" w:rsidRPr="00707DF8" w:rsidRDefault="00316911" w:rsidP="00F06BE8">
            <w:pPr>
              <w:jc w:val="right"/>
              <w:rPr>
                <w:color w:val="000000" w:themeColor="text1"/>
                <w:szCs w:val="24"/>
              </w:rPr>
            </w:pPr>
          </w:p>
        </w:tc>
        <w:tc>
          <w:tcPr>
            <w:tcW w:w="2515" w:type="dxa"/>
            <w:tcBorders>
              <w:top w:val="single" w:sz="4" w:space="0" w:color="auto"/>
            </w:tcBorders>
            <w:vAlign w:val="center"/>
          </w:tcPr>
          <w:p w14:paraId="6A4ECC1A" w14:textId="77777777" w:rsidR="00316911" w:rsidRPr="00707DF8" w:rsidRDefault="00316911" w:rsidP="00F06BE8">
            <w:pPr>
              <w:contextualSpacing/>
              <w:jc w:val="right"/>
              <w:rPr>
                <w:i/>
                <w:color w:val="000000" w:themeColor="text1"/>
              </w:rPr>
            </w:pPr>
          </w:p>
        </w:tc>
      </w:tr>
      <w:tr w:rsidR="00707DF8" w:rsidRPr="00707DF8" w14:paraId="0913B4F9" w14:textId="77777777" w:rsidTr="00F06BE8">
        <w:tc>
          <w:tcPr>
            <w:tcW w:w="3325" w:type="dxa"/>
          </w:tcPr>
          <w:p w14:paraId="48D58517" w14:textId="77777777" w:rsidR="00316911" w:rsidRPr="00707DF8" w:rsidRDefault="00316911" w:rsidP="00F06BE8">
            <w:pPr>
              <w:ind w:left="157"/>
              <w:rPr>
                <w:color w:val="000000" w:themeColor="text1"/>
                <w:szCs w:val="24"/>
              </w:rPr>
            </w:pPr>
            <w:r w:rsidRPr="00707DF8">
              <w:rPr>
                <w:color w:val="000000" w:themeColor="text1"/>
                <w:szCs w:val="24"/>
              </w:rPr>
              <w:t>Waitlist control</w:t>
            </w:r>
          </w:p>
        </w:tc>
        <w:tc>
          <w:tcPr>
            <w:tcW w:w="877" w:type="dxa"/>
          </w:tcPr>
          <w:p w14:paraId="425FAAFB" w14:textId="77777777" w:rsidR="00316911" w:rsidRPr="00707DF8" w:rsidRDefault="00316911" w:rsidP="00F06BE8">
            <w:pPr>
              <w:jc w:val="right"/>
              <w:rPr>
                <w:color w:val="000000" w:themeColor="text1"/>
                <w:szCs w:val="24"/>
              </w:rPr>
            </w:pPr>
          </w:p>
        </w:tc>
        <w:tc>
          <w:tcPr>
            <w:tcW w:w="878" w:type="dxa"/>
          </w:tcPr>
          <w:p w14:paraId="6B2F410A" w14:textId="77777777" w:rsidR="00316911" w:rsidRPr="00707DF8" w:rsidRDefault="00316911" w:rsidP="00F06BE8">
            <w:pPr>
              <w:jc w:val="right"/>
              <w:rPr>
                <w:color w:val="000000" w:themeColor="text1"/>
                <w:szCs w:val="24"/>
              </w:rPr>
            </w:pPr>
            <w:r w:rsidRPr="00707DF8">
              <w:rPr>
                <w:color w:val="000000" w:themeColor="text1"/>
                <w:szCs w:val="24"/>
              </w:rPr>
              <w:t>41.9</w:t>
            </w:r>
          </w:p>
        </w:tc>
        <w:tc>
          <w:tcPr>
            <w:tcW w:w="877" w:type="dxa"/>
          </w:tcPr>
          <w:p w14:paraId="0EDEFF04" w14:textId="77777777" w:rsidR="00316911" w:rsidRPr="00707DF8" w:rsidRDefault="00316911" w:rsidP="00F06BE8">
            <w:pPr>
              <w:jc w:val="right"/>
              <w:rPr>
                <w:color w:val="000000" w:themeColor="text1"/>
                <w:szCs w:val="24"/>
              </w:rPr>
            </w:pPr>
          </w:p>
        </w:tc>
        <w:tc>
          <w:tcPr>
            <w:tcW w:w="878" w:type="dxa"/>
          </w:tcPr>
          <w:p w14:paraId="1BEA02F7" w14:textId="77777777" w:rsidR="00316911" w:rsidRPr="00707DF8" w:rsidRDefault="00316911" w:rsidP="00F06BE8">
            <w:pPr>
              <w:jc w:val="right"/>
              <w:rPr>
                <w:color w:val="000000" w:themeColor="text1"/>
                <w:szCs w:val="24"/>
              </w:rPr>
            </w:pPr>
            <w:r w:rsidRPr="00707DF8">
              <w:rPr>
                <w:color w:val="000000" w:themeColor="text1"/>
                <w:szCs w:val="24"/>
              </w:rPr>
              <w:t>23.1</w:t>
            </w:r>
          </w:p>
        </w:tc>
        <w:tc>
          <w:tcPr>
            <w:tcW w:w="2515" w:type="dxa"/>
            <w:vAlign w:val="center"/>
          </w:tcPr>
          <w:p w14:paraId="7B806E48" w14:textId="0B505C3C" w:rsidR="00316911" w:rsidRPr="00707DF8" w:rsidRDefault="00316911" w:rsidP="0063668E">
            <w:pPr>
              <w:contextualSpacing/>
              <w:jc w:val="right"/>
              <w:rPr>
                <w:i/>
                <w:color w:val="000000" w:themeColor="text1"/>
              </w:rPr>
            </w:pPr>
            <w:r w:rsidRPr="00707DF8">
              <w:rPr>
                <w:i/>
                <w:color w:val="000000" w:themeColor="text1"/>
              </w:rPr>
              <w:t>χ</w:t>
            </w:r>
            <w:r w:rsidRPr="00707DF8">
              <w:rPr>
                <w:color w:val="000000" w:themeColor="text1"/>
                <w:vertAlign w:val="superscript"/>
              </w:rPr>
              <w:t>2</w:t>
            </w:r>
            <w:r w:rsidRPr="00707DF8">
              <w:rPr>
                <w:color w:val="000000" w:themeColor="text1"/>
              </w:rPr>
              <w:t xml:space="preserve">[2,138]=2.47, </w:t>
            </w:r>
            <w:r w:rsidRPr="00707DF8">
              <w:rPr>
                <w:i/>
                <w:color w:val="000000" w:themeColor="text1"/>
              </w:rPr>
              <w:t>p</w:t>
            </w:r>
            <w:r w:rsidRPr="00707DF8">
              <w:rPr>
                <w:color w:val="000000" w:themeColor="text1"/>
              </w:rPr>
              <w:t>=.291</w:t>
            </w:r>
          </w:p>
        </w:tc>
      </w:tr>
      <w:tr w:rsidR="00707DF8" w:rsidRPr="00707DF8" w14:paraId="04B16CCD" w14:textId="77777777" w:rsidTr="00F06BE8">
        <w:tc>
          <w:tcPr>
            <w:tcW w:w="3325" w:type="dxa"/>
          </w:tcPr>
          <w:p w14:paraId="54126ED3" w14:textId="77777777" w:rsidR="00316911" w:rsidRPr="00707DF8" w:rsidRDefault="00316911" w:rsidP="00F06BE8">
            <w:pPr>
              <w:ind w:left="157"/>
              <w:rPr>
                <w:color w:val="000000" w:themeColor="text1"/>
                <w:szCs w:val="24"/>
              </w:rPr>
            </w:pPr>
            <w:r w:rsidRPr="00707DF8">
              <w:rPr>
                <w:color w:val="000000" w:themeColor="text1"/>
                <w:szCs w:val="24"/>
              </w:rPr>
              <w:t xml:space="preserve">Early symptom BPT </w:t>
            </w:r>
          </w:p>
        </w:tc>
        <w:tc>
          <w:tcPr>
            <w:tcW w:w="877" w:type="dxa"/>
          </w:tcPr>
          <w:p w14:paraId="62328199" w14:textId="77777777" w:rsidR="00316911" w:rsidRPr="00707DF8" w:rsidRDefault="00316911" w:rsidP="00F06BE8">
            <w:pPr>
              <w:jc w:val="right"/>
              <w:rPr>
                <w:color w:val="000000" w:themeColor="text1"/>
                <w:szCs w:val="24"/>
              </w:rPr>
            </w:pPr>
          </w:p>
        </w:tc>
        <w:tc>
          <w:tcPr>
            <w:tcW w:w="878" w:type="dxa"/>
          </w:tcPr>
          <w:p w14:paraId="46A2A878" w14:textId="77777777" w:rsidR="00316911" w:rsidRPr="00707DF8" w:rsidRDefault="00316911" w:rsidP="00F06BE8">
            <w:pPr>
              <w:jc w:val="right"/>
              <w:rPr>
                <w:color w:val="000000" w:themeColor="text1"/>
                <w:szCs w:val="24"/>
              </w:rPr>
            </w:pPr>
            <w:r w:rsidRPr="00707DF8">
              <w:rPr>
                <w:color w:val="000000" w:themeColor="text1"/>
                <w:szCs w:val="24"/>
              </w:rPr>
              <w:t>36.8</w:t>
            </w:r>
          </w:p>
        </w:tc>
        <w:tc>
          <w:tcPr>
            <w:tcW w:w="877" w:type="dxa"/>
          </w:tcPr>
          <w:p w14:paraId="6925CDEC" w14:textId="77777777" w:rsidR="00316911" w:rsidRPr="00707DF8" w:rsidRDefault="00316911" w:rsidP="00F06BE8">
            <w:pPr>
              <w:jc w:val="right"/>
              <w:rPr>
                <w:color w:val="000000" w:themeColor="text1"/>
                <w:szCs w:val="24"/>
              </w:rPr>
            </w:pPr>
          </w:p>
        </w:tc>
        <w:tc>
          <w:tcPr>
            <w:tcW w:w="878" w:type="dxa"/>
          </w:tcPr>
          <w:p w14:paraId="6A59B7C4" w14:textId="77777777" w:rsidR="00316911" w:rsidRPr="00707DF8" w:rsidRDefault="00316911" w:rsidP="00F06BE8">
            <w:pPr>
              <w:jc w:val="right"/>
              <w:rPr>
                <w:color w:val="000000" w:themeColor="text1"/>
                <w:szCs w:val="24"/>
              </w:rPr>
            </w:pPr>
            <w:r w:rsidRPr="00707DF8">
              <w:rPr>
                <w:color w:val="000000" w:themeColor="text1"/>
                <w:szCs w:val="24"/>
              </w:rPr>
              <w:t>38.5</w:t>
            </w:r>
          </w:p>
        </w:tc>
        <w:tc>
          <w:tcPr>
            <w:tcW w:w="2515" w:type="dxa"/>
            <w:vAlign w:val="center"/>
          </w:tcPr>
          <w:p w14:paraId="0EEBBCAA" w14:textId="77777777" w:rsidR="00316911" w:rsidRPr="00707DF8" w:rsidRDefault="00316911" w:rsidP="00F06BE8">
            <w:pPr>
              <w:contextualSpacing/>
              <w:jc w:val="right"/>
              <w:rPr>
                <w:i/>
                <w:color w:val="000000" w:themeColor="text1"/>
              </w:rPr>
            </w:pPr>
          </w:p>
        </w:tc>
      </w:tr>
      <w:tr w:rsidR="00707DF8" w:rsidRPr="00707DF8" w14:paraId="0EBE8219" w14:textId="77777777" w:rsidTr="00F06BE8">
        <w:tc>
          <w:tcPr>
            <w:tcW w:w="3325" w:type="dxa"/>
          </w:tcPr>
          <w:p w14:paraId="25A799F0" w14:textId="77777777" w:rsidR="00316911" w:rsidRPr="00707DF8" w:rsidRDefault="00316911" w:rsidP="00F06BE8">
            <w:pPr>
              <w:ind w:left="157"/>
              <w:rPr>
                <w:color w:val="000000" w:themeColor="text1"/>
                <w:szCs w:val="24"/>
              </w:rPr>
            </w:pPr>
            <w:r w:rsidRPr="00707DF8">
              <w:rPr>
                <w:color w:val="000000" w:themeColor="text1"/>
                <w:szCs w:val="24"/>
              </w:rPr>
              <w:t xml:space="preserve">Original BPT </w:t>
            </w:r>
          </w:p>
        </w:tc>
        <w:tc>
          <w:tcPr>
            <w:tcW w:w="877" w:type="dxa"/>
          </w:tcPr>
          <w:p w14:paraId="29C95F23" w14:textId="77777777" w:rsidR="00316911" w:rsidRPr="00707DF8" w:rsidRDefault="00316911" w:rsidP="00F06BE8">
            <w:pPr>
              <w:jc w:val="right"/>
              <w:rPr>
                <w:color w:val="000000" w:themeColor="text1"/>
                <w:szCs w:val="24"/>
              </w:rPr>
            </w:pPr>
          </w:p>
        </w:tc>
        <w:tc>
          <w:tcPr>
            <w:tcW w:w="878" w:type="dxa"/>
          </w:tcPr>
          <w:p w14:paraId="2D53781D" w14:textId="77777777" w:rsidR="00316911" w:rsidRPr="00707DF8" w:rsidRDefault="00316911" w:rsidP="00F06BE8">
            <w:pPr>
              <w:jc w:val="right"/>
              <w:rPr>
                <w:color w:val="000000" w:themeColor="text1"/>
                <w:szCs w:val="24"/>
              </w:rPr>
            </w:pPr>
            <w:r w:rsidRPr="00707DF8">
              <w:rPr>
                <w:color w:val="000000" w:themeColor="text1"/>
                <w:szCs w:val="24"/>
              </w:rPr>
              <w:t>21.6</w:t>
            </w:r>
          </w:p>
        </w:tc>
        <w:tc>
          <w:tcPr>
            <w:tcW w:w="877" w:type="dxa"/>
          </w:tcPr>
          <w:p w14:paraId="7633C56D" w14:textId="77777777" w:rsidR="00316911" w:rsidRPr="00707DF8" w:rsidRDefault="00316911" w:rsidP="00F06BE8">
            <w:pPr>
              <w:jc w:val="right"/>
              <w:rPr>
                <w:color w:val="000000" w:themeColor="text1"/>
                <w:szCs w:val="24"/>
              </w:rPr>
            </w:pPr>
          </w:p>
        </w:tc>
        <w:tc>
          <w:tcPr>
            <w:tcW w:w="878" w:type="dxa"/>
          </w:tcPr>
          <w:p w14:paraId="3B29DF15" w14:textId="77777777" w:rsidR="00316911" w:rsidRPr="00707DF8" w:rsidRDefault="00316911" w:rsidP="00F06BE8">
            <w:pPr>
              <w:jc w:val="right"/>
              <w:rPr>
                <w:color w:val="000000" w:themeColor="text1"/>
                <w:szCs w:val="24"/>
              </w:rPr>
            </w:pPr>
            <w:r w:rsidRPr="00707DF8">
              <w:rPr>
                <w:color w:val="000000" w:themeColor="text1"/>
                <w:szCs w:val="24"/>
              </w:rPr>
              <w:t>38.5</w:t>
            </w:r>
          </w:p>
        </w:tc>
        <w:tc>
          <w:tcPr>
            <w:tcW w:w="2515" w:type="dxa"/>
            <w:vAlign w:val="center"/>
          </w:tcPr>
          <w:p w14:paraId="50600577" w14:textId="77777777" w:rsidR="00316911" w:rsidRPr="00707DF8" w:rsidRDefault="00316911" w:rsidP="00F06BE8">
            <w:pPr>
              <w:contextualSpacing/>
              <w:jc w:val="right"/>
              <w:rPr>
                <w:i/>
                <w:color w:val="000000" w:themeColor="text1"/>
              </w:rPr>
            </w:pPr>
          </w:p>
        </w:tc>
      </w:tr>
      <w:tr w:rsidR="00707DF8" w:rsidRPr="00707DF8" w14:paraId="2EBD79CF" w14:textId="77777777" w:rsidTr="00F06BE8">
        <w:tc>
          <w:tcPr>
            <w:tcW w:w="3325" w:type="dxa"/>
          </w:tcPr>
          <w:p w14:paraId="3D91A0B8" w14:textId="77777777" w:rsidR="00316911" w:rsidRPr="00707DF8" w:rsidRDefault="00316911" w:rsidP="00F06BE8">
            <w:pPr>
              <w:rPr>
                <w:color w:val="000000" w:themeColor="text1"/>
                <w:szCs w:val="24"/>
              </w:rPr>
            </w:pPr>
            <w:r w:rsidRPr="00707DF8">
              <w:rPr>
                <w:color w:val="000000" w:themeColor="text1"/>
                <w:szCs w:val="24"/>
              </w:rPr>
              <w:t xml:space="preserve">Age </w:t>
            </w:r>
            <w:r w:rsidRPr="00707DF8">
              <w:rPr>
                <w:color w:val="000000" w:themeColor="text1"/>
              </w:rPr>
              <w:t>[</w:t>
            </w:r>
            <w:r w:rsidRPr="00707DF8">
              <w:rPr>
                <w:i/>
                <w:color w:val="000000" w:themeColor="text1"/>
              </w:rPr>
              <w:t>Mean</w:t>
            </w:r>
            <w:r w:rsidRPr="00707DF8">
              <w:rPr>
                <w:color w:val="000000" w:themeColor="text1"/>
              </w:rPr>
              <w:t>, (</w:t>
            </w:r>
            <w:r w:rsidRPr="00707DF8">
              <w:rPr>
                <w:i/>
                <w:color w:val="000000" w:themeColor="text1"/>
              </w:rPr>
              <w:t>SD</w:t>
            </w:r>
            <w:r w:rsidRPr="00707DF8">
              <w:rPr>
                <w:color w:val="000000" w:themeColor="text1"/>
              </w:rPr>
              <w:t>)]</w:t>
            </w:r>
          </w:p>
        </w:tc>
        <w:tc>
          <w:tcPr>
            <w:tcW w:w="877" w:type="dxa"/>
          </w:tcPr>
          <w:p w14:paraId="16CF900F" w14:textId="77777777" w:rsidR="00316911" w:rsidRPr="00707DF8" w:rsidRDefault="00316911" w:rsidP="00F06BE8">
            <w:pPr>
              <w:jc w:val="right"/>
              <w:rPr>
                <w:color w:val="000000" w:themeColor="text1"/>
                <w:szCs w:val="24"/>
              </w:rPr>
            </w:pPr>
            <w:r w:rsidRPr="00707DF8">
              <w:rPr>
                <w:color w:val="000000" w:themeColor="text1"/>
                <w:szCs w:val="24"/>
              </w:rPr>
              <w:t>21.9</w:t>
            </w:r>
          </w:p>
        </w:tc>
        <w:tc>
          <w:tcPr>
            <w:tcW w:w="878" w:type="dxa"/>
          </w:tcPr>
          <w:p w14:paraId="33D6416D" w14:textId="77777777" w:rsidR="00316911" w:rsidRPr="00707DF8" w:rsidRDefault="00316911" w:rsidP="00F06BE8">
            <w:pPr>
              <w:jc w:val="right"/>
              <w:rPr>
                <w:color w:val="000000" w:themeColor="text1"/>
                <w:szCs w:val="24"/>
              </w:rPr>
            </w:pPr>
            <w:r w:rsidRPr="00707DF8">
              <w:rPr>
                <w:color w:val="000000" w:themeColor="text1"/>
                <w:szCs w:val="24"/>
              </w:rPr>
              <w:t>(3.4)</w:t>
            </w:r>
          </w:p>
        </w:tc>
        <w:tc>
          <w:tcPr>
            <w:tcW w:w="877" w:type="dxa"/>
          </w:tcPr>
          <w:p w14:paraId="3D98D25B" w14:textId="77777777" w:rsidR="00316911" w:rsidRPr="00707DF8" w:rsidRDefault="00316911" w:rsidP="00F06BE8">
            <w:pPr>
              <w:jc w:val="right"/>
              <w:rPr>
                <w:color w:val="000000" w:themeColor="text1"/>
                <w:szCs w:val="24"/>
              </w:rPr>
            </w:pPr>
            <w:r w:rsidRPr="00707DF8">
              <w:rPr>
                <w:color w:val="000000" w:themeColor="text1"/>
                <w:szCs w:val="24"/>
              </w:rPr>
              <w:t>22.6</w:t>
            </w:r>
          </w:p>
        </w:tc>
        <w:tc>
          <w:tcPr>
            <w:tcW w:w="878" w:type="dxa"/>
          </w:tcPr>
          <w:p w14:paraId="2ACACC25" w14:textId="77777777" w:rsidR="00316911" w:rsidRPr="00707DF8" w:rsidRDefault="00316911" w:rsidP="00F06BE8">
            <w:pPr>
              <w:jc w:val="right"/>
              <w:rPr>
                <w:color w:val="000000" w:themeColor="text1"/>
                <w:szCs w:val="24"/>
              </w:rPr>
            </w:pPr>
            <w:r w:rsidRPr="00707DF8">
              <w:rPr>
                <w:color w:val="000000" w:themeColor="text1"/>
                <w:szCs w:val="24"/>
              </w:rPr>
              <w:t>(3.3)</w:t>
            </w:r>
          </w:p>
        </w:tc>
        <w:tc>
          <w:tcPr>
            <w:tcW w:w="2515" w:type="dxa"/>
            <w:vAlign w:val="center"/>
          </w:tcPr>
          <w:p w14:paraId="41066E2D" w14:textId="25E35B30"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[136]=0.67, </w:t>
            </w:r>
            <w:r w:rsidRPr="00707DF8">
              <w:rPr>
                <w:i/>
                <w:color w:val="000000" w:themeColor="text1"/>
              </w:rPr>
              <w:t>p</w:t>
            </w:r>
            <w:r w:rsidRPr="00707DF8">
              <w:rPr>
                <w:color w:val="000000" w:themeColor="text1"/>
              </w:rPr>
              <w:t>=504</w:t>
            </w:r>
          </w:p>
        </w:tc>
      </w:tr>
      <w:tr w:rsidR="00707DF8" w:rsidRPr="00707DF8" w14:paraId="35B5EC43" w14:textId="77777777" w:rsidTr="00F06BE8">
        <w:tc>
          <w:tcPr>
            <w:tcW w:w="3325" w:type="dxa"/>
          </w:tcPr>
          <w:p w14:paraId="35F6BC49" w14:textId="77777777" w:rsidR="00316911" w:rsidRPr="00707DF8" w:rsidRDefault="00316911" w:rsidP="00F06BE8">
            <w:pPr>
              <w:rPr>
                <w:color w:val="000000" w:themeColor="text1"/>
                <w:szCs w:val="24"/>
              </w:rPr>
            </w:pPr>
            <w:r w:rsidRPr="00707DF8">
              <w:rPr>
                <w:color w:val="000000" w:themeColor="text1"/>
                <w:szCs w:val="24"/>
              </w:rPr>
              <w:t>Hispanic (%)</w:t>
            </w:r>
          </w:p>
        </w:tc>
        <w:tc>
          <w:tcPr>
            <w:tcW w:w="877" w:type="dxa"/>
          </w:tcPr>
          <w:p w14:paraId="55A21E4D" w14:textId="77777777" w:rsidR="00316911" w:rsidRPr="00707DF8" w:rsidRDefault="00316911" w:rsidP="00F06BE8">
            <w:pPr>
              <w:jc w:val="right"/>
              <w:rPr>
                <w:color w:val="000000" w:themeColor="text1"/>
                <w:szCs w:val="24"/>
              </w:rPr>
            </w:pPr>
          </w:p>
        </w:tc>
        <w:tc>
          <w:tcPr>
            <w:tcW w:w="878" w:type="dxa"/>
          </w:tcPr>
          <w:p w14:paraId="47714B63" w14:textId="77777777" w:rsidR="00316911" w:rsidRPr="00707DF8" w:rsidRDefault="00316911" w:rsidP="00F06BE8">
            <w:pPr>
              <w:jc w:val="right"/>
              <w:rPr>
                <w:color w:val="000000" w:themeColor="text1"/>
                <w:szCs w:val="24"/>
              </w:rPr>
            </w:pPr>
            <w:r w:rsidRPr="00707DF8">
              <w:rPr>
                <w:color w:val="000000" w:themeColor="text1"/>
                <w:szCs w:val="24"/>
              </w:rPr>
              <w:t>15.4</w:t>
            </w:r>
          </w:p>
        </w:tc>
        <w:tc>
          <w:tcPr>
            <w:tcW w:w="877" w:type="dxa"/>
          </w:tcPr>
          <w:p w14:paraId="6065DF84" w14:textId="77777777" w:rsidR="00316911" w:rsidRPr="00707DF8" w:rsidRDefault="00316911" w:rsidP="00F06BE8">
            <w:pPr>
              <w:jc w:val="right"/>
              <w:rPr>
                <w:color w:val="000000" w:themeColor="text1"/>
                <w:szCs w:val="24"/>
              </w:rPr>
            </w:pPr>
          </w:p>
        </w:tc>
        <w:tc>
          <w:tcPr>
            <w:tcW w:w="878" w:type="dxa"/>
          </w:tcPr>
          <w:p w14:paraId="3F3CC0E4" w14:textId="77777777" w:rsidR="00316911" w:rsidRPr="00707DF8" w:rsidRDefault="00316911" w:rsidP="00F06BE8">
            <w:pPr>
              <w:jc w:val="right"/>
              <w:rPr>
                <w:color w:val="000000" w:themeColor="text1"/>
                <w:szCs w:val="24"/>
              </w:rPr>
            </w:pPr>
            <w:r w:rsidRPr="00707DF8">
              <w:rPr>
                <w:color w:val="000000" w:themeColor="text1"/>
                <w:szCs w:val="24"/>
              </w:rPr>
              <w:t>0.0</w:t>
            </w:r>
          </w:p>
        </w:tc>
        <w:tc>
          <w:tcPr>
            <w:tcW w:w="2515" w:type="dxa"/>
            <w:vAlign w:val="center"/>
          </w:tcPr>
          <w:p w14:paraId="18C0C0EC" w14:textId="43672687" w:rsidR="00316911" w:rsidRPr="00707DF8" w:rsidRDefault="00316911" w:rsidP="0063668E">
            <w:pPr>
              <w:contextualSpacing/>
              <w:jc w:val="right"/>
              <w:rPr>
                <w:color w:val="000000" w:themeColor="text1"/>
              </w:rPr>
            </w:pPr>
            <w:r w:rsidRPr="00707DF8">
              <w:rPr>
                <w:i/>
                <w:color w:val="000000" w:themeColor="text1"/>
              </w:rPr>
              <w:t>χ</w:t>
            </w:r>
            <w:r w:rsidRPr="00707DF8">
              <w:rPr>
                <w:color w:val="000000" w:themeColor="text1"/>
                <w:vertAlign w:val="superscript"/>
              </w:rPr>
              <w:t>2</w:t>
            </w:r>
            <w:r w:rsidRPr="00707DF8">
              <w:rPr>
                <w:color w:val="000000" w:themeColor="text1"/>
              </w:rPr>
              <w:t xml:space="preserve">[1,135]=2.16, </w:t>
            </w:r>
            <w:r w:rsidRPr="00707DF8">
              <w:rPr>
                <w:i/>
                <w:color w:val="000000" w:themeColor="text1"/>
              </w:rPr>
              <w:t>p</w:t>
            </w:r>
            <w:r w:rsidRPr="00707DF8">
              <w:rPr>
                <w:color w:val="000000" w:themeColor="text1"/>
              </w:rPr>
              <w:t>=.142</w:t>
            </w:r>
          </w:p>
        </w:tc>
      </w:tr>
      <w:tr w:rsidR="00707DF8" w:rsidRPr="00707DF8" w14:paraId="7784DA13" w14:textId="77777777" w:rsidTr="00F06BE8">
        <w:tc>
          <w:tcPr>
            <w:tcW w:w="3325" w:type="dxa"/>
          </w:tcPr>
          <w:p w14:paraId="1F35879B" w14:textId="77777777" w:rsidR="00316911" w:rsidRPr="00707DF8" w:rsidRDefault="00316911" w:rsidP="00F06BE8">
            <w:pPr>
              <w:tabs>
                <w:tab w:val="left" w:pos="360"/>
              </w:tabs>
              <w:contextualSpacing/>
              <w:rPr>
                <w:color w:val="000000" w:themeColor="text1"/>
              </w:rPr>
            </w:pPr>
            <w:r w:rsidRPr="00707DF8">
              <w:rPr>
                <w:color w:val="000000" w:themeColor="text1"/>
              </w:rPr>
              <w:t>Race (%)</w:t>
            </w:r>
          </w:p>
        </w:tc>
        <w:tc>
          <w:tcPr>
            <w:tcW w:w="877" w:type="dxa"/>
          </w:tcPr>
          <w:p w14:paraId="63A000CD" w14:textId="77777777" w:rsidR="00316911" w:rsidRPr="00707DF8" w:rsidRDefault="00316911" w:rsidP="00F06BE8">
            <w:pPr>
              <w:jc w:val="right"/>
              <w:rPr>
                <w:color w:val="000000" w:themeColor="text1"/>
                <w:szCs w:val="24"/>
              </w:rPr>
            </w:pPr>
          </w:p>
        </w:tc>
        <w:tc>
          <w:tcPr>
            <w:tcW w:w="878" w:type="dxa"/>
          </w:tcPr>
          <w:p w14:paraId="0C4B9ADB" w14:textId="77777777" w:rsidR="00316911" w:rsidRPr="00707DF8" w:rsidRDefault="00316911" w:rsidP="00F06BE8">
            <w:pPr>
              <w:jc w:val="right"/>
              <w:rPr>
                <w:color w:val="000000" w:themeColor="text1"/>
                <w:szCs w:val="24"/>
              </w:rPr>
            </w:pPr>
          </w:p>
        </w:tc>
        <w:tc>
          <w:tcPr>
            <w:tcW w:w="877" w:type="dxa"/>
          </w:tcPr>
          <w:p w14:paraId="4B8089FE" w14:textId="77777777" w:rsidR="00316911" w:rsidRPr="00707DF8" w:rsidRDefault="00316911" w:rsidP="00F06BE8">
            <w:pPr>
              <w:jc w:val="right"/>
              <w:rPr>
                <w:color w:val="000000" w:themeColor="text1"/>
                <w:szCs w:val="24"/>
              </w:rPr>
            </w:pPr>
          </w:p>
        </w:tc>
        <w:tc>
          <w:tcPr>
            <w:tcW w:w="878" w:type="dxa"/>
          </w:tcPr>
          <w:p w14:paraId="1D3AA539" w14:textId="77777777" w:rsidR="00316911" w:rsidRPr="00707DF8" w:rsidRDefault="00316911" w:rsidP="00F06BE8">
            <w:pPr>
              <w:jc w:val="right"/>
              <w:rPr>
                <w:color w:val="000000" w:themeColor="text1"/>
                <w:szCs w:val="24"/>
              </w:rPr>
            </w:pPr>
          </w:p>
        </w:tc>
        <w:tc>
          <w:tcPr>
            <w:tcW w:w="2515" w:type="dxa"/>
            <w:vAlign w:val="center"/>
          </w:tcPr>
          <w:p w14:paraId="6DE14E47" w14:textId="393A4DDF" w:rsidR="00316911" w:rsidRPr="00707DF8" w:rsidRDefault="00316911" w:rsidP="0063668E">
            <w:pPr>
              <w:contextualSpacing/>
              <w:jc w:val="right"/>
              <w:rPr>
                <w:color w:val="000000" w:themeColor="text1"/>
              </w:rPr>
            </w:pPr>
            <w:r w:rsidRPr="00707DF8">
              <w:rPr>
                <w:i/>
                <w:color w:val="000000" w:themeColor="text1"/>
              </w:rPr>
              <w:t>χ</w:t>
            </w:r>
            <w:r w:rsidRPr="00707DF8">
              <w:rPr>
                <w:color w:val="000000" w:themeColor="text1"/>
                <w:vertAlign w:val="superscript"/>
              </w:rPr>
              <w:t>2</w:t>
            </w:r>
            <w:r w:rsidRPr="00707DF8">
              <w:rPr>
                <w:color w:val="000000" w:themeColor="text1"/>
              </w:rPr>
              <w:t xml:space="preserve">[4,135]=0.66, </w:t>
            </w:r>
            <w:r w:rsidRPr="00707DF8">
              <w:rPr>
                <w:i/>
                <w:color w:val="000000" w:themeColor="text1"/>
              </w:rPr>
              <w:t>p</w:t>
            </w:r>
            <w:r w:rsidRPr="00707DF8">
              <w:rPr>
                <w:color w:val="000000" w:themeColor="text1"/>
              </w:rPr>
              <w:t>=.956</w:t>
            </w:r>
          </w:p>
        </w:tc>
      </w:tr>
      <w:tr w:rsidR="00707DF8" w:rsidRPr="00707DF8" w14:paraId="649B6E5B" w14:textId="77777777" w:rsidTr="00F06BE8">
        <w:tc>
          <w:tcPr>
            <w:tcW w:w="3325" w:type="dxa"/>
          </w:tcPr>
          <w:p w14:paraId="3EAEF47A" w14:textId="77777777" w:rsidR="00316911" w:rsidRPr="00707DF8" w:rsidRDefault="00316911" w:rsidP="00F06BE8">
            <w:pPr>
              <w:ind w:left="180"/>
              <w:contextualSpacing/>
              <w:rPr>
                <w:color w:val="000000" w:themeColor="text1"/>
              </w:rPr>
            </w:pPr>
            <w:r w:rsidRPr="00707DF8">
              <w:rPr>
                <w:color w:val="000000" w:themeColor="text1"/>
              </w:rPr>
              <w:t>Asian</w:t>
            </w:r>
          </w:p>
        </w:tc>
        <w:tc>
          <w:tcPr>
            <w:tcW w:w="877" w:type="dxa"/>
          </w:tcPr>
          <w:p w14:paraId="58E5C39C" w14:textId="77777777" w:rsidR="00316911" w:rsidRPr="00707DF8" w:rsidRDefault="00316911" w:rsidP="00F06BE8">
            <w:pPr>
              <w:jc w:val="right"/>
              <w:rPr>
                <w:color w:val="000000" w:themeColor="text1"/>
                <w:szCs w:val="24"/>
              </w:rPr>
            </w:pPr>
          </w:p>
        </w:tc>
        <w:tc>
          <w:tcPr>
            <w:tcW w:w="878" w:type="dxa"/>
          </w:tcPr>
          <w:p w14:paraId="018E28F8" w14:textId="77777777" w:rsidR="00316911" w:rsidRPr="00707DF8" w:rsidRDefault="00316911" w:rsidP="00F06BE8">
            <w:pPr>
              <w:jc w:val="right"/>
              <w:rPr>
                <w:color w:val="000000" w:themeColor="text1"/>
                <w:szCs w:val="24"/>
              </w:rPr>
            </w:pPr>
            <w:r w:rsidRPr="00707DF8">
              <w:rPr>
                <w:color w:val="000000" w:themeColor="text1"/>
                <w:szCs w:val="24"/>
              </w:rPr>
              <w:t>15.6</w:t>
            </w:r>
          </w:p>
        </w:tc>
        <w:tc>
          <w:tcPr>
            <w:tcW w:w="877" w:type="dxa"/>
          </w:tcPr>
          <w:p w14:paraId="45C657C8" w14:textId="77777777" w:rsidR="00316911" w:rsidRPr="00707DF8" w:rsidRDefault="00316911" w:rsidP="00F06BE8">
            <w:pPr>
              <w:jc w:val="right"/>
              <w:rPr>
                <w:color w:val="000000" w:themeColor="text1"/>
                <w:szCs w:val="24"/>
              </w:rPr>
            </w:pPr>
          </w:p>
        </w:tc>
        <w:tc>
          <w:tcPr>
            <w:tcW w:w="878" w:type="dxa"/>
          </w:tcPr>
          <w:p w14:paraId="65227B82" w14:textId="77777777" w:rsidR="00316911" w:rsidRPr="00707DF8" w:rsidRDefault="00316911" w:rsidP="00F06BE8">
            <w:pPr>
              <w:jc w:val="right"/>
              <w:rPr>
                <w:color w:val="000000" w:themeColor="text1"/>
                <w:szCs w:val="24"/>
              </w:rPr>
            </w:pPr>
            <w:r w:rsidRPr="00707DF8">
              <w:rPr>
                <w:color w:val="000000" w:themeColor="text1"/>
                <w:szCs w:val="24"/>
              </w:rPr>
              <w:t>15.4</w:t>
            </w:r>
          </w:p>
        </w:tc>
        <w:tc>
          <w:tcPr>
            <w:tcW w:w="2515" w:type="dxa"/>
            <w:vAlign w:val="center"/>
          </w:tcPr>
          <w:p w14:paraId="76E90616" w14:textId="77777777" w:rsidR="00316911" w:rsidRPr="00707DF8" w:rsidRDefault="00316911" w:rsidP="00F06BE8">
            <w:pPr>
              <w:jc w:val="right"/>
              <w:rPr>
                <w:color w:val="000000" w:themeColor="text1"/>
                <w:szCs w:val="24"/>
              </w:rPr>
            </w:pPr>
          </w:p>
        </w:tc>
      </w:tr>
      <w:tr w:rsidR="00707DF8" w:rsidRPr="00707DF8" w14:paraId="57CEA7CF" w14:textId="77777777" w:rsidTr="00F06BE8">
        <w:tc>
          <w:tcPr>
            <w:tcW w:w="3325" w:type="dxa"/>
          </w:tcPr>
          <w:p w14:paraId="39E57658" w14:textId="77777777" w:rsidR="00316911" w:rsidRPr="00707DF8" w:rsidRDefault="00316911" w:rsidP="00F06BE8">
            <w:pPr>
              <w:ind w:left="180"/>
              <w:contextualSpacing/>
              <w:rPr>
                <w:color w:val="000000" w:themeColor="text1"/>
              </w:rPr>
            </w:pPr>
            <w:r w:rsidRPr="00707DF8">
              <w:rPr>
                <w:color w:val="000000" w:themeColor="text1"/>
              </w:rPr>
              <w:t>Black or African American</w:t>
            </w:r>
          </w:p>
        </w:tc>
        <w:tc>
          <w:tcPr>
            <w:tcW w:w="877" w:type="dxa"/>
          </w:tcPr>
          <w:p w14:paraId="32F9ED47" w14:textId="77777777" w:rsidR="00316911" w:rsidRPr="00707DF8" w:rsidRDefault="00316911" w:rsidP="00F06BE8">
            <w:pPr>
              <w:jc w:val="right"/>
              <w:rPr>
                <w:color w:val="000000" w:themeColor="text1"/>
                <w:szCs w:val="24"/>
              </w:rPr>
            </w:pPr>
          </w:p>
        </w:tc>
        <w:tc>
          <w:tcPr>
            <w:tcW w:w="878" w:type="dxa"/>
          </w:tcPr>
          <w:p w14:paraId="3910986E" w14:textId="77777777" w:rsidR="00316911" w:rsidRPr="00707DF8" w:rsidRDefault="00316911" w:rsidP="00F06BE8">
            <w:pPr>
              <w:jc w:val="right"/>
              <w:rPr>
                <w:color w:val="000000" w:themeColor="text1"/>
                <w:szCs w:val="24"/>
              </w:rPr>
            </w:pPr>
            <w:r w:rsidRPr="00707DF8">
              <w:rPr>
                <w:color w:val="000000" w:themeColor="text1"/>
                <w:szCs w:val="24"/>
              </w:rPr>
              <w:t>4.1</w:t>
            </w:r>
          </w:p>
        </w:tc>
        <w:tc>
          <w:tcPr>
            <w:tcW w:w="877" w:type="dxa"/>
          </w:tcPr>
          <w:p w14:paraId="4CB4936B" w14:textId="77777777" w:rsidR="00316911" w:rsidRPr="00707DF8" w:rsidRDefault="00316911" w:rsidP="00F06BE8">
            <w:pPr>
              <w:jc w:val="right"/>
              <w:rPr>
                <w:color w:val="000000" w:themeColor="text1"/>
                <w:szCs w:val="24"/>
              </w:rPr>
            </w:pPr>
          </w:p>
        </w:tc>
        <w:tc>
          <w:tcPr>
            <w:tcW w:w="878" w:type="dxa"/>
          </w:tcPr>
          <w:p w14:paraId="46885972" w14:textId="77777777" w:rsidR="00316911" w:rsidRPr="00707DF8" w:rsidRDefault="00316911" w:rsidP="00F06BE8">
            <w:pPr>
              <w:jc w:val="right"/>
              <w:rPr>
                <w:color w:val="000000" w:themeColor="text1"/>
                <w:szCs w:val="24"/>
              </w:rPr>
            </w:pPr>
            <w:r w:rsidRPr="00707DF8">
              <w:rPr>
                <w:color w:val="000000" w:themeColor="text1"/>
                <w:szCs w:val="24"/>
              </w:rPr>
              <w:t>7.7</w:t>
            </w:r>
          </w:p>
        </w:tc>
        <w:tc>
          <w:tcPr>
            <w:tcW w:w="2515" w:type="dxa"/>
            <w:vAlign w:val="center"/>
          </w:tcPr>
          <w:p w14:paraId="77DC41A1" w14:textId="77777777" w:rsidR="00316911" w:rsidRPr="00707DF8" w:rsidRDefault="00316911" w:rsidP="00F06BE8">
            <w:pPr>
              <w:jc w:val="right"/>
              <w:rPr>
                <w:color w:val="000000" w:themeColor="text1"/>
                <w:szCs w:val="24"/>
              </w:rPr>
            </w:pPr>
          </w:p>
        </w:tc>
      </w:tr>
      <w:tr w:rsidR="00707DF8" w:rsidRPr="00707DF8" w14:paraId="6922DE88" w14:textId="77777777" w:rsidTr="00F06BE8">
        <w:tc>
          <w:tcPr>
            <w:tcW w:w="3325" w:type="dxa"/>
          </w:tcPr>
          <w:p w14:paraId="2E08A6D0" w14:textId="77777777" w:rsidR="00316911" w:rsidRPr="00707DF8" w:rsidRDefault="00316911" w:rsidP="00F06BE8">
            <w:pPr>
              <w:ind w:left="180"/>
              <w:contextualSpacing/>
              <w:rPr>
                <w:color w:val="000000" w:themeColor="text1"/>
              </w:rPr>
            </w:pPr>
            <w:r w:rsidRPr="00707DF8">
              <w:rPr>
                <w:color w:val="000000" w:themeColor="text1"/>
              </w:rPr>
              <w:t>American Indian/Alaskan Native</w:t>
            </w:r>
          </w:p>
        </w:tc>
        <w:tc>
          <w:tcPr>
            <w:tcW w:w="877" w:type="dxa"/>
          </w:tcPr>
          <w:p w14:paraId="1CF441A5" w14:textId="77777777" w:rsidR="00316911" w:rsidRPr="00707DF8" w:rsidRDefault="00316911" w:rsidP="00F06BE8">
            <w:pPr>
              <w:jc w:val="right"/>
              <w:rPr>
                <w:color w:val="000000" w:themeColor="text1"/>
                <w:szCs w:val="24"/>
              </w:rPr>
            </w:pPr>
          </w:p>
        </w:tc>
        <w:tc>
          <w:tcPr>
            <w:tcW w:w="878" w:type="dxa"/>
          </w:tcPr>
          <w:p w14:paraId="618726BD" w14:textId="77777777" w:rsidR="00316911" w:rsidRPr="00707DF8" w:rsidRDefault="00316911" w:rsidP="00F06BE8">
            <w:pPr>
              <w:jc w:val="right"/>
              <w:rPr>
                <w:color w:val="000000" w:themeColor="text1"/>
                <w:szCs w:val="24"/>
              </w:rPr>
            </w:pPr>
            <w:r w:rsidRPr="00707DF8">
              <w:rPr>
                <w:color w:val="000000" w:themeColor="text1"/>
                <w:szCs w:val="24"/>
              </w:rPr>
              <w:t>1.6</w:t>
            </w:r>
          </w:p>
        </w:tc>
        <w:tc>
          <w:tcPr>
            <w:tcW w:w="877" w:type="dxa"/>
          </w:tcPr>
          <w:p w14:paraId="18E60BA9" w14:textId="77777777" w:rsidR="00316911" w:rsidRPr="00707DF8" w:rsidRDefault="00316911" w:rsidP="00F06BE8">
            <w:pPr>
              <w:jc w:val="right"/>
              <w:rPr>
                <w:color w:val="000000" w:themeColor="text1"/>
                <w:szCs w:val="24"/>
              </w:rPr>
            </w:pPr>
          </w:p>
        </w:tc>
        <w:tc>
          <w:tcPr>
            <w:tcW w:w="878" w:type="dxa"/>
          </w:tcPr>
          <w:p w14:paraId="4C5A148E" w14:textId="77777777" w:rsidR="00316911" w:rsidRPr="00707DF8" w:rsidRDefault="00316911" w:rsidP="00F06BE8">
            <w:pPr>
              <w:jc w:val="right"/>
              <w:rPr>
                <w:color w:val="000000" w:themeColor="text1"/>
                <w:szCs w:val="24"/>
              </w:rPr>
            </w:pPr>
            <w:r w:rsidRPr="00707DF8">
              <w:rPr>
                <w:color w:val="000000" w:themeColor="text1"/>
                <w:szCs w:val="24"/>
              </w:rPr>
              <w:t>0.0</w:t>
            </w:r>
          </w:p>
        </w:tc>
        <w:tc>
          <w:tcPr>
            <w:tcW w:w="2515" w:type="dxa"/>
            <w:vAlign w:val="center"/>
          </w:tcPr>
          <w:p w14:paraId="36D37456" w14:textId="77777777" w:rsidR="00316911" w:rsidRPr="00707DF8" w:rsidRDefault="00316911" w:rsidP="00F06BE8">
            <w:pPr>
              <w:jc w:val="right"/>
              <w:rPr>
                <w:color w:val="000000" w:themeColor="text1"/>
                <w:szCs w:val="24"/>
              </w:rPr>
            </w:pPr>
          </w:p>
        </w:tc>
      </w:tr>
      <w:tr w:rsidR="00707DF8" w:rsidRPr="00707DF8" w14:paraId="334DFF1D" w14:textId="77777777" w:rsidTr="00F06BE8">
        <w:tc>
          <w:tcPr>
            <w:tcW w:w="3325" w:type="dxa"/>
          </w:tcPr>
          <w:p w14:paraId="79BFF8B2" w14:textId="77777777" w:rsidR="00316911" w:rsidRPr="00707DF8" w:rsidRDefault="00316911" w:rsidP="00F06BE8">
            <w:pPr>
              <w:ind w:left="180"/>
              <w:contextualSpacing/>
              <w:rPr>
                <w:color w:val="000000" w:themeColor="text1"/>
              </w:rPr>
            </w:pPr>
            <w:r w:rsidRPr="00707DF8">
              <w:rPr>
                <w:color w:val="000000" w:themeColor="text1"/>
              </w:rPr>
              <w:t>Caucasian</w:t>
            </w:r>
          </w:p>
        </w:tc>
        <w:tc>
          <w:tcPr>
            <w:tcW w:w="877" w:type="dxa"/>
          </w:tcPr>
          <w:p w14:paraId="54B4B714" w14:textId="77777777" w:rsidR="00316911" w:rsidRPr="00707DF8" w:rsidRDefault="00316911" w:rsidP="00F06BE8">
            <w:pPr>
              <w:jc w:val="right"/>
              <w:rPr>
                <w:color w:val="000000" w:themeColor="text1"/>
                <w:szCs w:val="24"/>
              </w:rPr>
            </w:pPr>
          </w:p>
        </w:tc>
        <w:tc>
          <w:tcPr>
            <w:tcW w:w="878" w:type="dxa"/>
          </w:tcPr>
          <w:p w14:paraId="33E06231" w14:textId="77777777" w:rsidR="00316911" w:rsidRPr="00707DF8" w:rsidRDefault="00316911" w:rsidP="00F06BE8">
            <w:pPr>
              <w:jc w:val="right"/>
              <w:rPr>
                <w:color w:val="000000" w:themeColor="text1"/>
                <w:szCs w:val="24"/>
              </w:rPr>
            </w:pPr>
            <w:r w:rsidRPr="00707DF8">
              <w:rPr>
                <w:color w:val="000000" w:themeColor="text1"/>
                <w:szCs w:val="24"/>
              </w:rPr>
              <w:t>77.9</w:t>
            </w:r>
          </w:p>
        </w:tc>
        <w:tc>
          <w:tcPr>
            <w:tcW w:w="877" w:type="dxa"/>
          </w:tcPr>
          <w:p w14:paraId="4223C92B" w14:textId="77777777" w:rsidR="00316911" w:rsidRPr="00707DF8" w:rsidRDefault="00316911" w:rsidP="00F06BE8">
            <w:pPr>
              <w:jc w:val="right"/>
              <w:rPr>
                <w:color w:val="000000" w:themeColor="text1"/>
                <w:szCs w:val="24"/>
              </w:rPr>
            </w:pPr>
          </w:p>
        </w:tc>
        <w:tc>
          <w:tcPr>
            <w:tcW w:w="878" w:type="dxa"/>
          </w:tcPr>
          <w:p w14:paraId="71E94884" w14:textId="77777777" w:rsidR="00316911" w:rsidRPr="00707DF8" w:rsidRDefault="00316911" w:rsidP="00F06BE8">
            <w:pPr>
              <w:jc w:val="right"/>
              <w:rPr>
                <w:color w:val="000000" w:themeColor="text1"/>
                <w:szCs w:val="24"/>
              </w:rPr>
            </w:pPr>
            <w:r w:rsidRPr="00707DF8">
              <w:rPr>
                <w:color w:val="000000" w:themeColor="text1"/>
                <w:szCs w:val="24"/>
              </w:rPr>
              <w:t>76.9</w:t>
            </w:r>
          </w:p>
        </w:tc>
        <w:tc>
          <w:tcPr>
            <w:tcW w:w="2515" w:type="dxa"/>
            <w:vAlign w:val="center"/>
          </w:tcPr>
          <w:p w14:paraId="1D8FDE40" w14:textId="77777777" w:rsidR="00316911" w:rsidRPr="00707DF8" w:rsidRDefault="00316911" w:rsidP="00F06BE8">
            <w:pPr>
              <w:jc w:val="right"/>
              <w:rPr>
                <w:color w:val="000000" w:themeColor="text1"/>
                <w:szCs w:val="24"/>
              </w:rPr>
            </w:pPr>
          </w:p>
        </w:tc>
      </w:tr>
      <w:tr w:rsidR="00707DF8" w:rsidRPr="00707DF8" w14:paraId="0F6003E7" w14:textId="77777777" w:rsidTr="00F06BE8">
        <w:tc>
          <w:tcPr>
            <w:tcW w:w="3325" w:type="dxa"/>
          </w:tcPr>
          <w:p w14:paraId="5240C869" w14:textId="77777777" w:rsidR="00316911" w:rsidRPr="00707DF8" w:rsidRDefault="00316911" w:rsidP="00F06BE8">
            <w:pPr>
              <w:ind w:left="180"/>
              <w:contextualSpacing/>
              <w:rPr>
                <w:color w:val="000000" w:themeColor="text1"/>
              </w:rPr>
            </w:pPr>
            <w:r w:rsidRPr="00707DF8">
              <w:rPr>
                <w:color w:val="000000" w:themeColor="text1"/>
              </w:rPr>
              <w:t>Other</w:t>
            </w:r>
          </w:p>
        </w:tc>
        <w:tc>
          <w:tcPr>
            <w:tcW w:w="877" w:type="dxa"/>
          </w:tcPr>
          <w:p w14:paraId="1A554BEC" w14:textId="77777777" w:rsidR="00316911" w:rsidRPr="00707DF8" w:rsidRDefault="00316911" w:rsidP="00F06BE8">
            <w:pPr>
              <w:jc w:val="right"/>
              <w:rPr>
                <w:color w:val="000000" w:themeColor="text1"/>
                <w:szCs w:val="24"/>
              </w:rPr>
            </w:pPr>
          </w:p>
        </w:tc>
        <w:tc>
          <w:tcPr>
            <w:tcW w:w="878" w:type="dxa"/>
          </w:tcPr>
          <w:p w14:paraId="554E662A" w14:textId="77777777" w:rsidR="00316911" w:rsidRPr="00707DF8" w:rsidRDefault="00316911" w:rsidP="00F06BE8">
            <w:pPr>
              <w:jc w:val="right"/>
              <w:rPr>
                <w:color w:val="000000" w:themeColor="text1"/>
                <w:szCs w:val="24"/>
              </w:rPr>
            </w:pPr>
            <w:r w:rsidRPr="00707DF8">
              <w:rPr>
                <w:color w:val="000000" w:themeColor="text1"/>
                <w:szCs w:val="24"/>
              </w:rPr>
              <w:t>0.8</w:t>
            </w:r>
          </w:p>
        </w:tc>
        <w:tc>
          <w:tcPr>
            <w:tcW w:w="877" w:type="dxa"/>
          </w:tcPr>
          <w:p w14:paraId="3BB23366" w14:textId="77777777" w:rsidR="00316911" w:rsidRPr="00707DF8" w:rsidRDefault="00316911" w:rsidP="00F06BE8">
            <w:pPr>
              <w:jc w:val="right"/>
              <w:rPr>
                <w:color w:val="000000" w:themeColor="text1"/>
                <w:szCs w:val="24"/>
              </w:rPr>
            </w:pPr>
          </w:p>
        </w:tc>
        <w:tc>
          <w:tcPr>
            <w:tcW w:w="878" w:type="dxa"/>
          </w:tcPr>
          <w:p w14:paraId="3E6A973D" w14:textId="77777777" w:rsidR="00316911" w:rsidRPr="00707DF8" w:rsidRDefault="00316911" w:rsidP="00F06BE8">
            <w:pPr>
              <w:jc w:val="right"/>
              <w:rPr>
                <w:color w:val="000000" w:themeColor="text1"/>
                <w:szCs w:val="24"/>
              </w:rPr>
            </w:pPr>
            <w:r w:rsidRPr="00707DF8">
              <w:rPr>
                <w:color w:val="000000" w:themeColor="text1"/>
                <w:szCs w:val="24"/>
              </w:rPr>
              <w:t>0.0</w:t>
            </w:r>
          </w:p>
        </w:tc>
        <w:tc>
          <w:tcPr>
            <w:tcW w:w="2515" w:type="dxa"/>
            <w:vAlign w:val="center"/>
          </w:tcPr>
          <w:p w14:paraId="1A38C811" w14:textId="77777777" w:rsidR="00316911" w:rsidRPr="00707DF8" w:rsidRDefault="00316911" w:rsidP="00F06BE8">
            <w:pPr>
              <w:jc w:val="right"/>
              <w:rPr>
                <w:color w:val="000000" w:themeColor="text1"/>
                <w:szCs w:val="24"/>
              </w:rPr>
            </w:pPr>
          </w:p>
        </w:tc>
      </w:tr>
      <w:tr w:rsidR="00707DF8" w:rsidRPr="00707DF8" w14:paraId="5F24EDB9" w14:textId="77777777" w:rsidTr="00F06BE8">
        <w:tc>
          <w:tcPr>
            <w:tcW w:w="3325" w:type="dxa"/>
          </w:tcPr>
          <w:p w14:paraId="71827295" w14:textId="77777777" w:rsidR="00316911" w:rsidRPr="00707DF8" w:rsidRDefault="00316911" w:rsidP="00F06BE8">
            <w:pPr>
              <w:tabs>
                <w:tab w:val="left" w:pos="360"/>
              </w:tabs>
              <w:contextualSpacing/>
              <w:rPr>
                <w:color w:val="000000" w:themeColor="text1"/>
              </w:rPr>
            </w:pPr>
            <w:r w:rsidRPr="00707DF8">
              <w:rPr>
                <w:color w:val="000000" w:themeColor="text1"/>
              </w:rPr>
              <w:t>Maximum parental education (%)</w:t>
            </w:r>
          </w:p>
        </w:tc>
        <w:tc>
          <w:tcPr>
            <w:tcW w:w="877" w:type="dxa"/>
          </w:tcPr>
          <w:p w14:paraId="3472AAC7" w14:textId="77777777" w:rsidR="00316911" w:rsidRPr="00707DF8" w:rsidRDefault="00316911" w:rsidP="00F06BE8">
            <w:pPr>
              <w:jc w:val="right"/>
              <w:rPr>
                <w:color w:val="000000" w:themeColor="text1"/>
                <w:szCs w:val="24"/>
              </w:rPr>
            </w:pPr>
          </w:p>
        </w:tc>
        <w:tc>
          <w:tcPr>
            <w:tcW w:w="878" w:type="dxa"/>
          </w:tcPr>
          <w:p w14:paraId="2E0E5675" w14:textId="77777777" w:rsidR="00316911" w:rsidRPr="00707DF8" w:rsidRDefault="00316911" w:rsidP="00F06BE8">
            <w:pPr>
              <w:jc w:val="right"/>
              <w:rPr>
                <w:color w:val="000000" w:themeColor="text1"/>
                <w:szCs w:val="24"/>
              </w:rPr>
            </w:pPr>
          </w:p>
        </w:tc>
        <w:tc>
          <w:tcPr>
            <w:tcW w:w="877" w:type="dxa"/>
          </w:tcPr>
          <w:p w14:paraId="771788E3" w14:textId="77777777" w:rsidR="00316911" w:rsidRPr="00707DF8" w:rsidRDefault="00316911" w:rsidP="00F06BE8">
            <w:pPr>
              <w:jc w:val="right"/>
              <w:rPr>
                <w:color w:val="000000" w:themeColor="text1"/>
                <w:szCs w:val="24"/>
              </w:rPr>
            </w:pPr>
          </w:p>
        </w:tc>
        <w:tc>
          <w:tcPr>
            <w:tcW w:w="878" w:type="dxa"/>
          </w:tcPr>
          <w:p w14:paraId="5CEB6A1E" w14:textId="77777777" w:rsidR="00316911" w:rsidRPr="00707DF8" w:rsidRDefault="00316911" w:rsidP="00F06BE8">
            <w:pPr>
              <w:jc w:val="right"/>
              <w:rPr>
                <w:color w:val="000000" w:themeColor="text1"/>
                <w:szCs w:val="24"/>
              </w:rPr>
            </w:pPr>
          </w:p>
        </w:tc>
        <w:tc>
          <w:tcPr>
            <w:tcW w:w="2515" w:type="dxa"/>
            <w:vAlign w:val="center"/>
          </w:tcPr>
          <w:p w14:paraId="4E52F244" w14:textId="77777777" w:rsidR="00316911" w:rsidRPr="00707DF8" w:rsidRDefault="00316911" w:rsidP="00F06BE8">
            <w:pPr>
              <w:jc w:val="right"/>
              <w:rPr>
                <w:color w:val="000000" w:themeColor="text1"/>
                <w:szCs w:val="24"/>
              </w:rPr>
            </w:pPr>
          </w:p>
        </w:tc>
      </w:tr>
      <w:tr w:rsidR="00707DF8" w:rsidRPr="00707DF8" w14:paraId="695CA9CE" w14:textId="77777777" w:rsidTr="00F06BE8">
        <w:tc>
          <w:tcPr>
            <w:tcW w:w="3325" w:type="dxa"/>
          </w:tcPr>
          <w:p w14:paraId="26C0B5F0" w14:textId="77777777" w:rsidR="00316911" w:rsidRPr="00707DF8" w:rsidRDefault="00316911" w:rsidP="00F06BE8">
            <w:pPr>
              <w:ind w:left="180"/>
              <w:contextualSpacing/>
              <w:rPr>
                <w:color w:val="000000" w:themeColor="text1"/>
              </w:rPr>
            </w:pPr>
            <w:r w:rsidRPr="00707DF8">
              <w:rPr>
                <w:color w:val="000000" w:themeColor="text1"/>
              </w:rPr>
              <w:t>Some high school</w:t>
            </w:r>
          </w:p>
        </w:tc>
        <w:tc>
          <w:tcPr>
            <w:tcW w:w="877" w:type="dxa"/>
          </w:tcPr>
          <w:p w14:paraId="4A1088F6" w14:textId="77777777" w:rsidR="00316911" w:rsidRPr="00707DF8" w:rsidRDefault="00316911" w:rsidP="00F06BE8">
            <w:pPr>
              <w:jc w:val="right"/>
              <w:rPr>
                <w:color w:val="000000" w:themeColor="text1"/>
                <w:szCs w:val="24"/>
              </w:rPr>
            </w:pPr>
          </w:p>
        </w:tc>
        <w:tc>
          <w:tcPr>
            <w:tcW w:w="878" w:type="dxa"/>
          </w:tcPr>
          <w:p w14:paraId="776317DC" w14:textId="77777777" w:rsidR="00316911" w:rsidRPr="00707DF8" w:rsidRDefault="00316911" w:rsidP="00F06BE8">
            <w:pPr>
              <w:jc w:val="right"/>
              <w:rPr>
                <w:color w:val="000000" w:themeColor="text1"/>
                <w:szCs w:val="24"/>
              </w:rPr>
            </w:pPr>
            <w:r w:rsidRPr="00707DF8">
              <w:rPr>
                <w:color w:val="000000" w:themeColor="text1"/>
                <w:szCs w:val="24"/>
              </w:rPr>
              <w:t>4.8</w:t>
            </w:r>
          </w:p>
        </w:tc>
        <w:tc>
          <w:tcPr>
            <w:tcW w:w="877" w:type="dxa"/>
          </w:tcPr>
          <w:p w14:paraId="2F97529A" w14:textId="77777777" w:rsidR="00316911" w:rsidRPr="00707DF8" w:rsidRDefault="00316911" w:rsidP="00F06BE8">
            <w:pPr>
              <w:jc w:val="right"/>
              <w:rPr>
                <w:color w:val="000000" w:themeColor="text1"/>
                <w:szCs w:val="24"/>
              </w:rPr>
            </w:pPr>
          </w:p>
        </w:tc>
        <w:tc>
          <w:tcPr>
            <w:tcW w:w="878" w:type="dxa"/>
          </w:tcPr>
          <w:p w14:paraId="5B48A533" w14:textId="77777777" w:rsidR="00316911" w:rsidRPr="00707DF8" w:rsidRDefault="00316911" w:rsidP="00F06BE8">
            <w:pPr>
              <w:jc w:val="right"/>
              <w:rPr>
                <w:color w:val="000000" w:themeColor="text1"/>
                <w:szCs w:val="24"/>
              </w:rPr>
            </w:pPr>
            <w:r w:rsidRPr="00707DF8">
              <w:rPr>
                <w:color w:val="000000" w:themeColor="text1"/>
                <w:szCs w:val="24"/>
              </w:rPr>
              <w:t>0.0</w:t>
            </w:r>
          </w:p>
        </w:tc>
        <w:tc>
          <w:tcPr>
            <w:tcW w:w="2515" w:type="dxa"/>
            <w:vAlign w:val="center"/>
          </w:tcPr>
          <w:p w14:paraId="0CF68BC5" w14:textId="37371BCF" w:rsidR="00316911" w:rsidRPr="00707DF8" w:rsidRDefault="00316911" w:rsidP="0063668E">
            <w:pPr>
              <w:jc w:val="right"/>
              <w:rPr>
                <w:color w:val="000000" w:themeColor="text1"/>
                <w:szCs w:val="24"/>
              </w:rPr>
            </w:pPr>
            <w:r w:rsidRPr="00707DF8">
              <w:rPr>
                <w:i/>
                <w:color w:val="000000" w:themeColor="text1"/>
              </w:rPr>
              <w:t>χ</w:t>
            </w:r>
            <w:r w:rsidRPr="00707DF8">
              <w:rPr>
                <w:color w:val="000000" w:themeColor="text1"/>
                <w:vertAlign w:val="superscript"/>
              </w:rPr>
              <w:t>2</w:t>
            </w:r>
            <w:r w:rsidRPr="00707DF8">
              <w:rPr>
                <w:color w:val="000000" w:themeColor="text1"/>
              </w:rPr>
              <w:t xml:space="preserve">[4,138]=1.67, </w:t>
            </w:r>
            <w:r w:rsidRPr="00707DF8">
              <w:rPr>
                <w:i/>
                <w:color w:val="000000" w:themeColor="text1"/>
              </w:rPr>
              <w:t>p</w:t>
            </w:r>
            <w:r w:rsidRPr="00707DF8">
              <w:rPr>
                <w:color w:val="000000" w:themeColor="text1"/>
              </w:rPr>
              <w:t>=.799</w:t>
            </w:r>
          </w:p>
        </w:tc>
      </w:tr>
      <w:tr w:rsidR="00707DF8" w:rsidRPr="00707DF8" w14:paraId="2E3453EC" w14:textId="77777777" w:rsidTr="00F06BE8">
        <w:tc>
          <w:tcPr>
            <w:tcW w:w="3325" w:type="dxa"/>
          </w:tcPr>
          <w:p w14:paraId="22EB283E" w14:textId="77777777" w:rsidR="00316911" w:rsidRPr="00707DF8" w:rsidRDefault="00316911" w:rsidP="00F06BE8">
            <w:pPr>
              <w:ind w:left="180"/>
              <w:contextualSpacing/>
              <w:rPr>
                <w:color w:val="000000" w:themeColor="text1"/>
              </w:rPr>
            </w:pPr>
            <w:r w:rsidRPr="00707DF8">
              <w:rPr>
                <w:color w:val="000000" w:themeColor="text1"/>
              </w:rPr>
              <w:t xml:space="preserve">High school graduate </w:t>
            </w:r>
          </w:p>
        </w:tc>
        <w:tc>
          <w:tcPr>
            <w:tcW w:w="877" w:type="dxa"/>
          </w:tcPr>
          <w:p w14:paraId="32739549" w14:textId="77777777" w:rsidR="00316911" w:rsidRPr="00707DF8" w:rsidRDefault="00316911" w:rsidP="00F06BE8">
            <w:pPr>
              <w:jc w:val="right"/>
              <w:rPr>
                <w:color w:val="000000" w:themeColor="text1"/>
                <w:szCs w:val="24"/>
              </w:rPr>
            </w:pPr>
          </w:p>
        </w:tc>
        <w:tc>
          <w:tcPr>
            <w:tcW w:w="878" w:type="dxa"/>
          </w:tcPr>
          <w:p w14:paraId="1732E54B" w14:textId="77777777" w:rsidR="00316911" w:rsidRPr="00707DF8" w:rsidRDefault="00316911" w:rsidP="00F06BE8">
            <w:pPr>
              <w:jc w:val="right"/>
              <w:rPr>
                <w:color w:val="000000" w:themeColor="text1"/>
                <w:szCs w:val="24"/>
              </w:rPr>
            </w:pPr>
            <w:r w:rsidRPr="00707DF8">
              <w:rPr>
                <w:color w:val="000000" w:themeColor="text1"/>
                <w:szCs w:val="24"/>
              </w:rPr>
              <w:t>5.6</w:t>
            </w:r>
          </w:p>
        </w:tc>
        <w:tc>
          <w:tcPr>
            <w:tcW w:w="877" w:type="dxa"/>
          </w:tcPr>
          <w:p w14:paraId="16932492" w14:textId="77777777" w:rsidR="00316911" w:rsidRPr="00707DF8" w:rsidRDefault="00316911" w:rsidP="00F06BE8">
            <w:pPr>
              <w:jc w:val="right"/>
              <w:rPr>
                <w:color w:val="000000" w:themeColor="text1"/>
                <w:szCs w:val="24"/>
              </w:rPr>
            </w:pPr>
          </w:p>
        </w:tc>
        <w:tc>
          <w:tcPr>
            <w:tcW w:w="878" w:type="dxa"/>
          </w:tcPr>
          <w:p w14:paraId="25EEC2F7" w14:textId="77777777" w:rsidR="00316911" w:rsidRPr="00707DF8" w:rsidRDefault="00316911" w:rsidP="00F06BE8">
            <w:pPr>
              <w:jc w:val="right"/>
              <w:rPr>
                <w:color w:val="000000" w:themeColor="text1"/>
                <w:szCs w:val="24"/>
              </w:rPr>
            </w:pPr>
            <w:r w:rsidRPr="00707DF8">
              <w:rPr>
                <w:color w:val="000000" w:themeColor="text1"/>
                <w:szCs w:val="24"/>
              </w:rPr>
              <w:t>0.0</w:t>
            </w:r>
          </w:p>
        </w:tc>
        <w:tc>
          <w:tcPr>
            <w:tcW w:w="2515" w:type="dxa"/>
            <w:vAlign w:val="center"/>
          </w:tcPr>
          <w:p w14:paraId="53BA53F9" w14:textId="77777777" w:rsidR="00316911" w:rsidRPr="00707DF8" w:rsidRDefault="00316911" w:rsidP="00F06BE8">
            <w:pPr>
              <w:jc w:val="right"/>
              <w:rPr>
                <w:color w:val="000000" w:themeColor="text1"/>
                <w:szCs w:val="24"/>
              </w:rPr>
            </w:pPr>
          </w:p>
        </w:tc>
      </w:tr>
      <w:tr w:rsidR="00707DF8" w:rsidRPr="00707DF8" w14:paraId="61C24127" w14:textId="77777777" w:rsidTr="00F06BE8">
        <w:tc>
          <w:tcPr>
            <w:tcW w:w="3325" w:type="dxa"/>
          </w:tcPr>
          <w:p w14:paraId="28843DC2" w14:textId="77777777" w:rsidR="00316911" w:rsidRPr="00707DF8" w:rsidRDefault="00316911" w:rsidP="00F06BE8">
            <w:pPr>
              <w:ind w:left="180"/>
              <w:contextualSpacing/>
              <w:rPr>
                <w:color w:val="000000" w:themeColor="text1"/>
              </w:rPr>
            </w:pPr>
            <w:r w:rsidRPr="00707DF8">
              <w:rPr>
                <w:color w:val="000000" w:themeColor="text1"/>
              </w:rPr>
              <w:t>Some college</w:t>
            </w:r>
          </w:p>
        </w:tc>
        <w:tc>
          <w:tcPr>
            <w:tcW w:w="877" w:type="dxa"/>
          </w:tcPr>
          <w:p w14:paraId="7441F7B7" w14:textId="77777777" w:rsidR="00316911" w:rsidRPr="00707DF8" w:rsidRDefault="00316911" w:rsidP="00F06BE8">
            <w:pPr>
              <w:jc w:val="right"/>
              <w:rPr>
                <w:color w:val="000000" w:themeColor="text1"/>
                <w:szCs w:val="24"/>
              </w:rPr>
            </w:pPr>
          </w:p>
        </w:tc>
        <w:tc>
          <w:tcPr>
            <w:tcW w:w="878" w:type="dxa"/>
          </w:tcPr>
          <w:p w14:paraId="21C9292F" w14:textId="77777777" w:rsidR="00316911" w:rsidRPr="00707DF8" w:rsidRDefault="00316911" w:rsidP="00F06BE8">
            <w:pPr>
              <w:jc w:val="right"/>
              <w:rPr>
                <w:color w:val="000000" w:themeColor="text1"/>
                <w:szCs w:val="24"/>
              </w:rPr>
            </w:pPr>
            <w:r w:rsidRPr="00707DF8">
              <w:rPr>
                <w:color w:val="000000" w:themeColor="text1"/>
                <w:szCs w:val="24"/>
              </w:rPr>
              <w:t>15.2</w:t>
            </w:r>
          </w:p>
        </w:tc>
        <w:tc>
          <w:tcPr>
            <w:tcW w:w="877" w:type="dxa"/>
          </w:tcPr>
          <w:p w14:paraId="3D3DB3BC" w14:textId="77777777" w:rsidR="00316911" w:rsidRPr="00707DF8" w:rsidRDefault="00316911" w:rsidP="00F06BE8">
            <w:pPr>
              <w:jc w:val="right"/>
              <w:rPr>
                <w:color w:val="000000" w:themeColor="text1"/>
                <w:szCs w:val="24"/>
              </w:rPr>
            </w:pPr>
          </w:p>
        </w:tc>
        <w:tc>
          <w:tcPr>
            <w:tcW w:w="878" w:type="dxa"/>
          </w:tcPr>
          <w:p w14:paraId="03250DF7" w14:textId="77777777" w:rsidR="00316911" w:rsidRPr="00707DF8" w:rsidRDefault="00316911" w:rsidP="00F06BE8">
            <w:pPr>
              <w:jc w:val="right"/>
              <w:rPr>
                <w:color w:val="000000" w:themeColor="text1"/>
                <w:szCs w:val="24"/>
              </w:rPr>
            </w:pPr>
            <w:r w:rsidRPr="00707DF8">
              <w:rPr>
                <w:color w:val="000000" w:themeColor="text1"/>
                <w:szCs w:val="24"/>
              </w:rPr>
              <w:t>15.4</w:t>
            </w:r>
          </w:p>
        </w:tc>
        <w:tc>
          <w:tcPr>
            <w:tcW w:w="2515" w:type="dxa"/>
            <w:vAlign w:val="center"/>
          </w:tcPr>
          <w:p w14:paraId="3F9567F7" w14:textId="77777777" w:rsidR="00316911" w:rsidRPr="00707DF8" w:rsidRDefault="00316911" w:rsidP="00F06BE8">
            <w:pPr>
              <w:jc w:val="right"/>
              <w:rPr>
                <w:color w:val="000000" w:themeColor="text1"/>
                <w:szCs w:val="24"/>
              </w:rPr>
            </w:pPr>
          </w:p>
        </w:tc>
      </w:tr>
      <w:tr w:rsidR="00707DF8" w:rsidRPr="00707DF8" w14:paraId="17B896C9" w14:textId="77777777" w:rsidTr="00F06BE8">
        <w:tc>
          <w:tcPr>
            <w:tcW w:w="3325" w:type="dxa"/>
          </w:tcPr>
          <w:p w14:paraId="744A5E84" w14:textId="77777777" w:rsidR="00316911" w:rsidRPr="00707DF8" w:rsidRDefault="00316911" w:rsidP="00F06BE8">
            <w:pPr>
              <w:tabs>
                <w:tab w:val="left" w:pos="360"/>
              </w:tabs>
              <w:ind w:left="180"/>
              <w:contextualSpacing/>
              <w:rPr>
                <w:color w:val="000000" w:themeColor="text1"/>
              </w:rPr>
            </w:pPr>
            <w:r w:rsidRPr="00707DF8">
              <w:rPr>
                <w:color w:val="000000" w:themeColor="text1"/>
              </w:rPr>
              <w:t>College graduate</w:t>
            </w:r>
          </w:p>
        </w:tc>
        <w:tc>
          <w:tcPr>
            <w:tcW w:w="877" w:type="dxa"/>
          </w:tcPr>
          <w:p w14:paraId="6418D6A0" w14:textId="77777777" w:rsidR="00316911" w:rsidRPr="00707DF8" w:rsidRDefault="00316911" w:rsidP="00F06BE8">
            <w:pPr>
              <w:jc w:val="right"/>
              <w:rPr>
                <w:color w:val="000000" w:themeColor="text1"/>
                <w:szCs w:val="24"/>
              </w:rPr>
            </w:pPr>
          </w:p>
        </w:tc>
        <w:tc>
          <w:tcPr>
            <w:tcW w:w="878" w:type="dxa"/>
          </w:tcPr>
          <w:p w14:paraId="27EEAEE3" w14:textId="77777777" w:rsidR="00316911" w:rsidRPr="00707DF8" w:rsidRDefault="00316911" w:rsidP="00F06BE8">
            <w:pPr>
              <w:jc w:val="right"/>
              <w:rPr>
                <w:color w:val="000000" w:themeColor="text1"/>
                <w:szCs w:val="24"/>
              </w:rPr>
            </w:pPr>
            <w:r w:rsidRPr="00707DF8">
              <w:rPr>
                <w:color w:val="000000" w:themeColor="text1"/>
                <w:szCs w:val="24"/>
              </w:rPr>
              <w:t>31.2</w:t>
            </w:r>
          </w:p>
        </w:tc>
        <w:tc>
          <w:tcPr>
            <w:tcW w:w="877" w:type="dxa"/>
          </w:tcPr>
          <w:p w14:paraId="0AB8107C" w14:textId="77777777" w:rsidR="00316911" w:rsidRPr="00707DF8" w:rsidRDefault="00316911" w:rsidP="00F06BE8">
            <w:pPr>
              <w:jc w:val="right"/>
              <w:rPr>
                <w:color w:val="000000" w:themeColor="text1"/>
                <w:szCs w:val="24"/>
              </w:rPr>
            </w:pPr>
          </w:p>
        </w:tc>
        <w:tc>
          <w:tcPr>
            <w:tcW w:w="878" w:type="dxa"/>
          </w:tcPr>
          <w:p w14:paraId="525D2C9A" w14:textId="77777777" w:rsidR="00316911" w:rsidRPr="00707DF8" w:rsidRDefault="00316911" w:rsidP="00F06BE8">
            <w:pPr>
              <w:jc w:val="right"/>
              <w:rPr>
                <w:color w:val="000000" w:themeColor="text1"/>
                <w:szCs w:val="24"/>
              </w:rPr>
            </w:pPr>
            <w:r w:rsidRPr="00707DF8">
              <w:rPr>
                <w:color w:val="000000" w:themeColor="text1"/>
                <w:szCs w:val="24"/>
              </w:rPr>
              <w:t>30.8</w:t>
            </w:r>
          </w:p>
        </w:tc>
        <w:tc>
          <w:tcPr>
            <w:tcW w:w="2515" w:type="dxa"/>
            <w:vAlign w:val="center"/>
          </w:tcPr>
          <w:p w14:paraId="5B84FBB1" w14:textId="77777777" w:rsidR="00316911" w:rsidRPr="00707DF8" w:rsidRDefault="00316911" w:rsidP="00F06BE8">
            <w:pPr>
              <w:jc w:val="right"/>
              <w:rPr>
                <w:color w:val="000000" w:themeColor="text1"/>
                <w:szCs w:val="24"/>
              </w:rPr>
            </w:pPr>
          </w:p>
        </w:tc>
      </w:tr>
      <w:tr w:rsidR="00707DF8" w:rsidRPr="00707DF8" w14:paraId="6CC55767" w14:textId="77777777" w:rsidTr="00F06BE8">
        <w:tc>
          <w:tcPr>
            <w:tcW w:w="3325" w:type="dxa"/>
          </w:tcPr>
          <w:p w14:paraId="1F7D5C90" w14:textId="77777777" w:rsidR="00316911" w:rsidRPr="00707DF8" w:rsidRDefault="00316911" w:rsidP="00F06BE8">
            <w:pPr>
              <w:tabs>
                <w:tab w:val="left" w:pos="360"/>
              </w:tabs>
              <w:ind w:left="180"/>
              <w:contextualSpacing/>
              <w:rPr>
                <w:color w:val="000000" w:themeColor="text1"/>
              </w:rPr>
            </w:pPr>
            <w:r w:rsidRPr="00707DF8">
              <w:rPr>
                <w:color w:val="000000" w:themeColor="text1"/>
              </w:rPr>
              <w:t>Advanced degree</w:t>
            </w:r>
          </w:p>
        </w:tc>
        <w:tc>
          <w:tcPr>
            <w:tcW w:w="877" w:type="dxa"/>
          </w:tcPr>
          <w:p w14:paraId="2754B4FD" w14:textId="77777777" w:rsidR="00316911" w:rsidRPr="00707DF8" w:rsidRDefault="00316911" w:rsidP="00F06BE8">
            <w:pPr>
              <w:jc w:val="right"/>
              <w:rPr>
                <w:color w:val="000000" w:themeColor="text1"/>
                <w:szCs w:val="24"/>
              </w:rPr>
            </w:pPr>
          </w:p>
        </w:tc>
        <w:tc>
          <w:tcPr>
            <w:tcW w:w="878" w:type="dxa"/>
          </w:tcPr>
          <w:p w14:paraId="77B01BFB" w14:textId="77777777" w:rsidR="00316911" w:rsidRPr="00707DF8" w:rsidRDefault="00316911" w:rsidP="00F06BE8">
            <w:pPr>
              <w:jc w:val="right"/>
              <w:rPr>
                <w:color w:val="000000" w:themeColor="text1"/>
                <w:szCs w:val="24"/>
              </w:rPr>
            </w:pPr>
            <w:r w:rsidRPr="00707DF8">
              <w:rPr>
                <w:color w:val="000000" w:themeColor="text1"/>
                <w:szCs w:val="24"/>
              </w:rPr>
              <w:t>43.2</w:t>
            </w:r>
          </w:p>
        </w:tc>
        <w:tc>
          <w:tcPr>
            <w:tcW w:w="877" w:type="dxa"/>
          </w:tcPr>
          <w:p w14:paraId="3A2E76BA" w14:textId="77777777" w:rsidR="00316911" w:rsidRPr="00707DF8" w:rsidRDefault="00316911" w:rsidP="00F06BE8">
            <w:pPr>
              <w:jc w:val="right"/>
              <w:rPr>
                <w:color w:val="000000" w:themeColor="text1"/>
                <w:szCs w:val="24"/>
              </w:rPr>
            </w:pPr>
          </w:p>
        </w:tc>
        <w:tc>
          <w:tcPr>
            <w:tcW w:w="878" w:type="dxa"/>
          </w:tcPr>
          <w:p w14:paraId="238D91DE" w14:textId="77777777" w:rsidR="00316911" w:rsidRPr="00707DF8" w:rsidRDefault="00316911" w:rsidP="00F06BE8">
            <w:pPr>
              <w:jc w:val="right"/>
              <w:rPr>
                <w:color w:val="000000" w:themeColor="text1"/>
                <w:szCs w:val="24"/>
              </w:rPr>
            </w:pPr>
            <w:r w:rsidRPr="00707DF8">
              <w:rPr>
                <w:color w:val="000000" w:themeColor="text1"/>
                <w:szCs w:val="24"/>
              </w:rPr>
              <w:t>53.8</w:t>
            </w:r>
          </w:p>
        </w:tc>
        <w:tc>
          <w:tcPr>
            <w:tcW w:w="2515" w:type="dxa"/>
            <w:vAlign w:val="center"/>
          </w:tcPr>
          <w:p w14:paraId="0921B264" w14:textId="77777777" w:rsidR="00316911" w:rsidRPr="00707DF8" w:rsidRDefault="00316911" w:rsidP="00F06BE8">
            <w:pPr>
              <w:jc w:val="right"/>
              <w:rPr>
                <w:color w:val="000000" w:themeColor="text1"/>
                <w:szCs w:val="24"/>
              </w:rPr>
            </w:pPr>
          </w:p>
        </w:tc>
      </w:tr>
      <w:tr w:rsidR="00707DF8" w:rsidRPr="00707DF8" w14:paraId="40AE0594" w14:textId="77777777" w:rsidTr="00F06BE8">
        <w:tc>
          <w:tcPr>
            <w:tcW w:w="3325" w:type="dxa"/>
          </w:tcPr>
          <w:p w14:paraId="69B709A5" w14:textId="77777777" w:rsidR="00316911" w:rsidRPr="00707DF8" w:rsidRDefault="00316911" w:rsidP="00F06BE8">
            <w:pPr>
              <w:rPr>
                <w:color w:val="000000" w:themeColor="text1"/>
                <w:szCs w:val="24"/>
              </w:rPr>
            </w:pPr>
            <w:r w:rsidRPr="00707DF8">
              <w:rPr>
                <w:color w:val="000000" w:themeColor="text1"/>
                <w:szCs w:val="24"/>
              </w:rPr>
              <w:t xml:space="preserve">Baseline outcomes </w:t>
            </w:r>
            <w:r w:rsidRPr="00707DF8">
              <w:rPr>
                <w:color w:val="000000" w:themeColor="text1"/>
              </w:rPr>
              <w:t>[</w:t>
            </w:r>
            <w:r w:rsidRPr="00707DF8">
              <w:rPr>
                <w:i/>
                <w:color w:val="000000" w:themeColor="text1"/>
              </w:rPr>
              <w:t>Mean</w:t>
            </w:r>
            <w:r w:rsidRPr="00707DF8">
              <w:rPr>
                <w:color w:val="000000" w:themeColor="text1"/>
              </w:rPr>
              <w:t>, (</w:t>
            </w:r>
            <w:r w:rsidRPr="00707DF8">
              <w:rPr>
                <w:i/>
                <w:color w:val="000000" w:themeColor="text1"/>
              </w:rPr>
              <w:t>SD</w:t>
            </w:r>
            <w:r w:rsidRPr="00707DF8">
              <w:rPr>
                <w:color w:val="000000" w:themeColor="text1"/>
              </w:rPr>
              <w:t>)]</w:t>
            </w:r>
          </w:p>
        </w:tc>
        <w:tc>
          <w:tcPr>
            <w:tcW w:w="877" w:type="dxa"/>
          </w:tcPr>
          <w:p w14:paraId="2DF9E944" w14:textId="77777777" w:rsidR="00316911" w:rsidRPr="00707DF8" w:rsidRDefault="00316911" w:rsidP="00F06BE8">
            <w:pPr>
              <w:jc w:val="right"/>
              <w:rPr>
                <w:color w:val="000000" w:themeColor="text1"/>
                <w:szCs w:val="24"/>
              </w:rPr>
            </w:pPr>
          </w:p>
        </w:tc>
        <w:tc>
          <w:tcPr>
            <w:tcW w:w="878" w:type="dxa"/>
          </w:tcPr>
          <w:p w14:paraId="6776A5E0" w14:textId="77777777" w:rsidR="00316911" w:rsidRPr="00707DF8" w:rsidRDefault="00316911" w:rsidP="00F06BE8">
            <w:pPr>
              <w:jc w:val="right"/>
              <w:rPr>
                <w:color w:val="000000" w:themeColor="text1"/>
                <w:szCs w:val="24"/>
              </w:rPr>
            </w:pPr>
          </w:p>
        </w:tc>
        <w:tc>
          <w:tcPr>
            <w:tcW w:w="877" w:type="dxa"/>
          </w:tcPr>
          <w:p w14:paraId="4DC669DA" w14:textId="77777777" w:rsidR="00316911" w:rsidRPr="00707DF8" w:rsidRDefault="00316911" w:rsidP="00F06BE8">
            <w:pPr>
              <w:jc w:val="right"/>
              <w:rPr>
                <w:color w:val="000000" w:themeColor="text1"/>
                <w:szCs w:val="24"/>
              </w:rPr>
            </w:pPr>
          </w:p>
        </w:tc>
        <w:tc>
          <w:tcPr>
            <w:tcW w:w="878" w:type="dxa"/>
          </w:tcPr>
          <w:p w14:paraId="4FD7A41D" w14:textId="77777777" w:rsidR="00316911" w:rsidRPr="00707DF8" w:rsidRDefault="00316911" w:rsidP="00F06BE8">
            <w:pPr>
              <w:jc w:val="right"/>
              <w:rPr>
                <w:color w:val="000000" w:themeColor="text1"/>
                <w:szCs w:val="24"/>
              </w:rPr>
            </w:pPr>
          </w:p>
        </w:tc>
        <w:tc>
          <w:tcPr>
            <w:tcW w:w="2515" w:type="dxa"/>
            <w:vAlign w:val="center"/>
          </w:tcPr>
          <w:p w14:paraId="1EBFD729" w14:textId="77777777" w:rsidR="00316911" w:rsidRPr="00707DF8" w:rsidRDefault="00316911" w:rsidP="00F06BE8">
            <w:pPr>
              <w:jc w:val="right"/>
              <w:rPr>
                <w:color w:val="000000" w:themeColor="text1"/>
                <w:szCs w:val="24"/>
              </w:rPr>
            </w:pPr>
          </w:p>
        </w:tc>
      </w:tr>
      <w:tr w:rsidR="00707DF8" w:rsidRPr="00707DF8" w14:paraId="7CB09982" w14:textId="77777777" w:rsidTr="00F06BE8">
        <w:tc>
          <w:tcPr>
            <w:tcW w:w="3325" w:type="dxa"/>
          </w:tcPr>
          <w:p w14:paraId="6F18D5C1" w14:textId="77777777" w:rsidR="00316911" w:rsidRPr="00707DF8" w:rsidRDefault="00316911" w:rsidP="00F06BE8">
            <w:pPr>
              <w:ind w:left="157"/>
              <w:rPr>
                <w:color w:val="000000" w:themeColor="text1"/>
                <w:szCs w:val="24"/>
              </w:rPr>
            </w:pPr>
            <w:r w:rsidRPr="00707DF8">
              <w:rPr>
                <w:color w:val="000000" w:themeColor="text1"/>
                <w:szCs w:val="24"/>
              </w:rPr>
              <w:t>Eating disorder symptoms</w:t>
            </w:r>
          </w:p>
        </w:tc>
        <w:tc>
          <w:tcPr>
            <w:tcW w:w="877" w:type="dxa"/>
          </w:tcPr>
          <w:p w14:paraId="26CD48E6" w14:textId="77777777" w:rsidR="00316911" w:rsidRPr="00707DF8" w:rsidRDefault="00316911" w:rsidP="00F06BE8">
            <w:pPr>
              <w:jc w:val="right"/>
              <w:rPr>
                <w:color w:val="000000" w:themeColor="text1"/>
                <w:szCs w:val="24"/>
              </w:rPr>
            </w:pPr>
            <w:r w:rsidRPr="00707DF8">
              <w:rPr>
                <w:color w:val="000000" w:themeColor="text1"/>
                <w:szCs w:val="24"/>
              </w:rPr>
              <w:t>42.0</w:t>
            </w:r>
          </w:p>
        </w:tc>
        <w:tc>
          <w:tcPr>
            <w:tcW w:w="878" w:type="dxa"/>
          </w:tcPr>
          <w:p w14:paraId="2C7255BB" w14:textId="77777777" w:rsidR="00316911" w:rsidRPr="00707DF8" w:rsidRDefault="00316911" w:rsidP="00F06BE8">
            <w:pPr>
              <w:jc w:val="right"/>
              <w:rPr>
                <w:color w:val="000000" w:themeColor="text1"/>
                <w:szCs w:val="24"/>
              </w:rPr>
            </w:pPr>
            <w:r w:rsidRPr="00707DF8">
              <w:rPr>
                <w:color w:val="000000" w:themeColor="text1"/>
                <w:szCs w:val="24"/>
              </w:rPr>
              <w:t>(23.4)</w:t>
            </w:r>
          </w:p>
        </w:tc>
        <w:tc>
          <w:tcPr>
            <w:tcW w:w="877" w:type="dxa"/>
          </w:tcPr>
          <w:p w14:paraId="394FA6EC" w14:textId="77777777" w:rsidR="00316911" w:rsidRPr="00707DF8" w:rsidRDefault="00316911" w:rsidP="00F06BE8">
            <w:pPr>
              <w:jc w:val="right"/>
              <w:rPr>
                <w:color w:val="000000" w:themeColor="text1"/>
                <w:szCs w:val="24"/>
              </w:rPr>
            </w:pPr>
            <w:r w:rsidRPr="00707DF8">
              <w:rPr>
                <w:color w:val="000000" w:themeColor="text1"/>
                <w:szCs w:val="24"/>
              </w:rPr>
              <w:t>42.8</w:t>
            </w:r>
          </w:p>
        </w:tc>
        <w:tc>
          <w:tcPr>
            <w:tcW w:w="878" w:type="dxa"/>
          </w:tcPr>
          <w:p w14:paraId="3FC38A38" w14:textId="77777777" w:rsidR="00316911" w:rsidRPr="00707DF8" w:rsidRDefault="00316911" w:rsidP="00F06BE8">
            <w:pPr>
              <w:jc w:val="right"/>
              <w:rPr>
                <w:color w:val="000000" w:themeColor="text1"/>
                <w:szCs w:val="24"/>
              </w:rPr>
            </w:pPr>
            <w:r w:rsidRPr="00707DF8">
              <w:rPr>
                <w:color w:val="000000" w:themeColor="text1"/>
                <w:szCs w:val="24"/>
              </w:rPr>
              <w:t>(20.6)</w:t>
            </w:r>
          </w:p>
        </w:tc>
        <w:tc>
          <w:tcPr>
            <w:tcW w:w="2515" w:type="dxa"/>
            <w:vAlign w:val="center"/>
          </w:tcPr>
          <w:p w14:paraId="4B9A620E" w14:textId="44E50539"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[136]=0.12, </w:t>
            </w:r>
            <w:r w:rsidRPr="00707DF8">
              <w:rPr>
                <w:i/>
                <w:color w:val="000000" w:themeColor="text1"/>
              </w:rPr>
              <w:t>p</w:t>
            </w:r>
            <w:r w:rsidRPr="00707DF8">
              <w:rPr>
                <w:color w:val="000000" w:themeColor="text1"/>
              </w:rPr>
              <w:t>=906</w:t>
            </w:r>
          </w:p>
        </w:tc>
      </w:tr>
      <w:tr w:rsidR="00707DF8" w:rsidRPr="00707DF8" w14:paraId="4E7EE0D1" w14:textId="77777777" w:rsidTr="00F06BE8">
        <w:tc>
          <w:tcPr>
            <w:tcW w:w="3325" w:type="dxa"/>
          </w:tcPr>
          <w:p w14:paraId="1DFE1C0C" w14:textId="54620855" w:rsidR="00316911" w:rsidRPr="00707DF8" w:rsidRDefault="00316911" w:rsidP="00F06BE8">
            <w:pPr>
              <w:ind w:left="157"/>
              <w:rPr>
                <w:color w:val="000000" w:themeColor="text1"/>
                <w:szCs w:val="24"/>
              </w:rPr>
            </w:pPr>
            <w:r w:rsidRPr="00707DF8">
              <w:rPr>
                <w:color w:val="000000" w:themeColor="text1"/>
                <w:szCs w:val="24"/>
              </w:rPr>
              <w:t>Thin</w:t>
            </w:r>
            <w:r w:rsidR="00EC35D7" w:rsidRPr="00707DF8">
              <w:rPr>
                <w:color w:val="000000" w:themeColor="text1"/>
                <w:szCs w:val="24"/>
              </w:rPr>
              <w:t>-</w:t>
            </w:r>
            <w:r w:rsidRPr="00707DF8">
              <w:rPr>
                <w:color w:val="000000" w:themeColor="text1"/>
                <w:szCs w:val="24"/>
              </w:rPr>
              <w:t>ideal internalization</w:t>
            </w:r>
          </w:p>
        </w:tc>
        <w:tc>
          <w:tcPr>
            <w:tcW w:w="877" w:type="dxa"/>
          </w:tcPr>
          <w:p w14:paraId="3886A9BD" w14:textId="77777777" w:rsidR="00316911" w:rsidRPr="00707DF8" w:rsidRDefault="00316911" w:rsidP="00F06BE8">
            <w:pPr>
              <w:jc w:val="right"/>
              <w:rPr>
                <w:color w:val="000000" w:themeColor="text1"/>
                <w:szCs w:val="24"/>
              </w:rPr>
            </w:pPr>
            <w:r w:rsidRPr="00707DF8">
              <w:rPr>
                <w:color w:val="000000" w:themeColor="text1"/>
                <w:szCs w:val="24"/>
              </w:rPr>
              <w:t>3.7</w:t>
            </w:r>
          </w:p>
        </w:tc>
        <w:tc>
          <w:tcPr>
            <w:tcW w:w="878" w:type="dxa"/>
          </w:tcPr>
          <w:p w14:paraId="212A860A" w14:textId="77777777" w:rsidR="00316911" w:rsidRPr="00707DF8" w:rsidRDefault="00316911" w:rsidP="00F06BE8">
            <w:pPr>
              <w:jc w:val="right"/>
              <w:rPr>
                <w:color w:val="000000" w:themeColor="text1"/>
                <w:szCs w:val="24"/>
              </w:rPr>
            </w:pPr>
            <w:r w:rsidRPr="00707DF8">
              <w:rPr>
                <w:color w:val="000000" w:themeColor="text1"/>
                <w:szCs w:val="24"/>
              </w:rPr>
              <w:t>(0.4)</w:t>
            </w:r>
          </w:p>
        </w:tc>
        <w:tc>
          <w:tcPr>
            <w:tcW w:w="877" w:type="dxa"/>
          </w:tcPr>
          <w:p w14:paraId="7764E0F5" w14:textId="77777777" w:rsidR="00316911" w:rsidRPr="00707DF8" w:rsidRDefault="00316911" w:rsidP="00F06BE8">
            <w:pPr>
              <w:jc w:val="right"/>
              <w:rPr>
                <w:color w:val="000000" w:themeColor="text1"/>
                <w:szCs w:val="24"/>
              </w:rPr>
            </w:pPr>
            <w:r w:rsidRPr="00707DF8">
              <w:rPr>
                <w:color w:val="000000" w:themeColor="text1"/>
                <w:szCs w:val="24"/>
              </w:rPr>
              <w:t>3.7</w:t>
            </w:r>
          </w:p>
        </w:tc>
        <w:tc>
          <w:tcPr>
            <w:tcW w:w="878" w:type="dxa"/>
          </w:tcPr>
          <w:p w14:paraId="74170119" w14:textId="77777777" w:rsidR="00316911" w:rsidRPr="00707DF8" w:rsidRDefault="00316911" w:rsidP="00F06BE8">
            <w:pPr>
              <w:jc w:val="right"/>
              <w:rPr>
                <w:color w:val="000000" w:themeColor="text1"/>
                <w:szCs w:val="24"/>
              </w:rPr>
            </w:pPr>
            <w:r w:rsidRPr="00707DF8">
              <w:rPr>
                <w:color w:val="000000" w:themeColor="text1"/>
                <w:szCs w:val="24"/>
              </w:rPr>
              <w:t>(0.4)</w:t>
            </w:r>
          </w:p>
        </w:tc>
        <w:tc>
          <w:tcPr>
            <w:tcW w:w="2515" w:type="dxa"/>
            <w:vAlign w:val="center"/>
          </w:tcPr>
          <w:p w14:paraId="31922414" w14:textId="0A599DA6"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[134]=0.48, </w:t>
            </w:r>
            <w:r w:rsidRPr="00707DF8">
              <w:rPr>
                <w:i/>
                <w:color w:val="000000" w:themeColor="text1"/>
              </w:rPr>
              <w:t>p</w:t>
            </w:r>
            <w:r w:rsidRPr="00707DF8">
              <w:rPr>
                <w:color w:val="000000" w:themeColor="text1"/>
              </w:rPr>
              <w:t>=.635</w:t>
            </w:r>
          </w:p>
        </w:tc>
      </w:tr>
      <w:tr w:rsidR="00707DF8" w:rsidRPr="00707DF8" w14:paraId="49E755CE" w14:textId="77777777" w:rsidTr="00F06BE8">
        <w:tc>
          <w:tcPr>
            <w:tcW w:w="3325" w:type="dxa"/>
          </w:tcPr>
          <w:p w14:paraId="74838BB0" w14:textId="77777777" w:rsidR="00316911" w:rsidRPr="00707DF8" w:rsidRDefault="00316911" w:rsidP="00F06BE8">
            <w:pPr>
              <w:ind w:left="157"/>
              <w:rPr>
                <w:color w:val="000000" w:themeColor="text1"/>
                <w:szCs w:val="24"/>
              </w:rPr>
            </w:pPr>
            <w:r w:rsidRPr="00707DF8">
              <w:rPr>
                <w:color w:val="000000" w:themeColor="text1"/>
                <w:szCs w:val="24"/>
              </w:rPr>
              <w:t>Body dissatisfaction</w:t>
            </w:r>
          </w:p>
        </w:tc>
        <w:tc>
          <w:tcPr>
            <w:tcW w:w="877" w:type="dxa"/>
          </w:tcPr>
          <w:p w14:paraId="7592D000" w14:textId="77777777" w:rsidR="00316911" w:rsidRPr="00707DF8" w:rsidRDefault="00316911" w:rsidP="00F06BE8">
            <w:pPr>
              <w:jc w:val="right"/>
              <w:rPr>
                <w:color w:val="000000" w:themeColor="text1"/>
                <w:szCs w:val="24"/>
              </w:rPr>
            </w:pPr>
            <w:r w:rsidRPr="00707DF8">
              <w:rPr>
                <w:color w:val="000000" w:themeColor="text1"/>
                <w:szCs w:val="24"/>
              </w:rPr>
              <w:t>4.1</w:t>
            </w:r>
          </w:p>
        </w:tc>
        <w:tc>
          <w:tcPr>
            <w:tcW w:w="878" w:type="dxa"/>
          </w:tcPr>
          <w:p w14:paraId="1C4293F4" w14:textId="77777777" w:rsidR="00316911" w:rsidRPr="00707DF8" w:rsidRDefault="00316911" w:rsidP="00F06BE8">
            <w:pPr>
              <w:jc w:val="right"/>
              <w:rPr>
                <w:color w:val="000000" w:themeColor="text1"/>
                <w:szCs w:val="24"/>
              </w:rPr>
            </w:pPr>
            <w:r w:rsidRPr="00707DF8">
              <w:rPr>
                <w:color w:val="000000" w:themeColor="text1"/>
                <w:szCs w:val="24"/>
              </w:rPr>
              <w:t>(0.7)</w:t>
            </w:r>
          </w:p>
        </w:tc>
        <w:tc>
          <w:tcPr>
            <w:tcW w:w="877" w:type="dxa"/>
          </w:tcPr>
          <w:p w14:paraId="4132A62C" w14:textId="77777777" w:rsidR="00316911" w:rsidRPr="00707DF8" w:rsidRDefault="00316911" w:rsidP="00F06BE8">
            <w:pPr>
              <w:jc w:val="right"/>
              <w:rPr>
                <w:color w:val="000000" w:themeColor="text1"/>
                <w:szCs w:val="24"/>
              </w:rPr>
            </w:pPr>
            <w:r w:rsidRPr="00707DF8">
              <w:rPr>
                <w:color w:val="000000" w:themeColor="text1"/>
                <w:szCs w:val="24"/>
              </w:rPr>
              <w:t>4.0</w:t>
            </w:r>
          </w:p>
        </w:tc>
        <w:tc>
          <w:tcPr>
            <w:tcW w:w="878" w:type="dxa"/>
          </w:tcPr>
          <w:p w14:paraId="4F1DB81B" w14:textId="77777777" w:rsidR="00316911" w:rsidRPr="00707DF8" w:rsidRDefault="00316911" w:rsidP="00F06BE8">
            <w:pPr>
              <w:jc w:val="right"/>
              <w:rPr>
                <w:color w:val="000000" w:themeColor="text1"/>
                <w:szCs w:val="24"/>
              </w:rPr>
            </w:pPr>
            <w:r w:rsidRPr="00707DF8">
              <w:rPr>
                <w:color w:val="000000" w:themeColor="text1"/>
                <w:szCs w:val="24"/>
              </w:rPr>
              <w:t>(0.5)</w:t>
            </w:r>
          </w:p>
        </w:tc>
        <w:tc>
          <w:tcPr>
            <w:tcW w:w="2515" w:type="dxa"/>
            <w:vAlign w:val="center"/>
          </w:tcPr>
          <w:p w14:paraId="422CC0A5" w14:textId="62E5BA15"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[136]=-0.39, </w:t>
            </w:r>
            <w:r w:rsidRPr="00707DF8">
              <w:rPr>
                <w:i/>
                <w:color w:val="000000" w:themeColor="text1"/>
              </w:rPr>
              <w:t>p</w:t>
            </w:r>
            <w:r w:rsidRPr="00707DF8">
              <w:rPr>
                <w:color w:val="000000" w:themeColor="text1"/>
              </w:rPr>
              <w:t>=.698</w:t>
            </w:r>
          </w:p>
        </w:tc>
      </w:tr>
      <w:tr w:rsidR="00707DF8" w:rsidRPr="00707DF8" w14:paraId="236C01BD" w14:textId="77777777" w:rsidTr="00F06BE8">
        <w:tc>
          <w:tcPr>
            <w:tcW w:w="3325" w:type="dxa"/>
          </w:tcPr>
          <w:p w14:paraId="4AD38DD6" w14:textId="77777777" w:rsidR="00316911" w:rsidRPr="00707DF8" w:rsidRDefault="00316911" w:rsidP="00F06BE8">
            <w:pPr>
              <w:ind w:left="157"/>
              <w:rPr>
                <w:color w:val="000000" w:themeColor="text1"/>
                <w:szCs w:val="24"/>
              </w:rPr>
            </w:pPr>
            <w:r w:rsidRPr="00707DF8">
              <w:rPr>
                <w:color w:val="000000" w:themeColor="text1"/>
                <w:szCs w:val="24"/>
              </w:rPr>
              <w:t>Negative affect</w:t>
            </w:r>
          </w:p>
        </w:tc>
        <w:tc>
          <w:tcPr>
            <w:tcW w:w="877" w:type="dxa"/>
          </w:tcPr>
          <w:p w14:paraId="30F527F4" w14:textId="77777777" w:rsidR="00316911" w:rsidRPr="00707DF8" w:rsidRDefault="00316911" w:rsidP="00F06BE8">
            <w:pPr>
              <w:jc w:val="right"/>
              <w:rPr>
                <w:color w:val="000000" w:themeColor="text1"/>
                <w:szCs w:val="24"/>
              </w:rPr>
            </w:pPr>
            <w:r w:rsidRPr="00707DF8">
              <w:rPr>
                <w:color w:val="000000" w:themeColor="text1"/>
                <w:szCs w:val="24"/>
              </w:rPr>
              <w:t>3.4</w:t>
            </w:r>
          </w:p>
        </w:tc>
        <w:tc>
          <w:tcPr>
            <w:tcW w:w="878" w:type="dxa"/>
          </w:tcPr>
          <w:p w14:paraId="480A93FB" w14:textId="77777777" w:rsidR="00316911" w:rsidRPr="00707DF8" w:rsidRDefault="00316911" w:rsidP="00F06BE8">
            <w:pPr>
              <w:jc w:val="right"/>
              <w:rPr>
                <w:color w:val="000000" w:themeColor="text1"/>
                <w:szCs w:val="24"/>
              </w:rPr>
            </w:pPr>
            <w:r w:rsidRPr="00707DF8">
              <w:rPr>
                <w:color w:val="000000" w:themeColor="text1"/>
                <w:szCs w:val="24"/>
              </w:rPr>
              <w:t>(0.8)</w:t>
            </w:r>
          </w:p>
        </w:tc>
        <w:tc>
          <w:tcPr>
            <w:tcW w:w="877" w:type="dxa"/>
          </w:tcPr>
          <w:p w14:paraId="58DBE3F1" w14:textId="77777777" w:rsidR="00316911" w:rsidRPr="00707DF8" w:rsidRDefault="00316911" w:rsidP="00F06BE8">
            <w:pPr>
              <w:jc w:val="right"/>
              <w:rPr>
                <w:color w:val="000000" w:themeColor="text1"/>
                <w:szCs w:val="24"/>
              </w:rPr>
            </w:pPr>
            <w:r w:rsidRPr="00707DF8">
              <w:rPr>
                <w:color w:val="000000" w:themeColor="text1"/>
                <w:szCs w:val="24"/>
              </w:rPr>
              <w:t>3.5</w:t>
            </w:r>
          </w:p>
        </w:tc>
        <w:tc>
          <w:tcPr>
            <w:tcW w:w="878" w:type="dxa"/>
          </w:tcPr>
          <w:p w14:paraId="06C473A3" w14:textId="77777777" w:rsidR="00316911" w:rsidRPr="00707DF8" w:rsidRDefault="00316911" w:rsidP="00F06BE8">
            <w:pPr>
              <w:jc w:val="right"/>
              <w:rPr>
                <w:color w:val="000000" w:themeColor="text1"/>
                <w:szCs w:val="24"/>
              </w:rPr>
            </w:pPr>
            <w:r w:rsidRPr="00707DF8">
              <w:rPr>
                <w:color w:val="000000" w:themeColor="text1"/>
                <w:szCs w:val="24"/>
              </w:rPr>
              <w:t>(0.6)</w:t>
            </w:r>
          </w:p>
        </w:tc>
        <w:tc>
          <w:tcPr>
            <w:tcW w:w="2515" w:type="dxa"/>
            <w:vAlign w:val="center"/>
          </w:tcPr>
          <w:p w14:paraId="3994FAF3" w14:textId="4E0993E9"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[136]=0.31, </w:t>
            </w:r>
            <w:r w:rsidRPr="00707DF8">
              <w:rPr>
                <w:i/>
                <w:color w:val="000000" w:themeColor="text1"/>
              </w:rPr>
              <w:t>p</w:t>
            </w:r>
            <w:r w:rsidRPr="00707DF8">
              <w:rPr>
                <w:color w:val="000000" w:themeColor="text1"/>
              </w:rPr>
              <w:t>=.759</w:t>
            </w:r>
          </w:p>
        </w:tc>
      </w:tr>
      <w:tr w:rsidR="00707DF8" w:rsidRPr="00707DF8" w14:paraId="319573CF" w14:textId="77777777" w:rsidTr="00F06BE8">
        <w:tc>
          <w:tcPr>
            <w:tcW w:w="3325" w:type="dxa"/>
          </w:tcPr>
          <w:p w14:paraId="018B71C0" w14:textId="7D61046F" w:rsidR="00316911" w:rsidRPr="00707DF8" w:rsidRDefault="00316911" w:rsidP="00F06BE8">
            <w:pPr>
              <w:ind w:left="157"/>
              <w:rPr>
                <w:color w:val="000000" w:themeColor="text1"/>
                <w:szCs w:val="24"/>
              </w:rPr>
            </w:pPr>
            <w:r w:rsidRPr="00707DF8">
              <w:rPr>
                <w:color w:val="000000" w:themeColor="text1"/>
                <w:szCs w:val="24"/>
              </w:rPr>
              <w:t>Palatability high calorie</w:t>
            </w:r>
            <w:r w:rsidR="00F822AD" w:rsidRPr="00707DF8">
              <w:rPr>
                <w:color w:val="000000" w:themeColor="text1"/>
                <w:szCs w:val="24"/>
              </w:rPr>
              <w:t xml:space="preserve"> </w:t>
            </w:r>
            <w:r w:rsidRPr="00707DF8">
              <w:rPr>
                <w:color w:val="000000" w:themeColor="text1"/>
                <w:szCs w:val="24"/>
              </w:rPr>
              <w:t>foods</w:t>
            </w:r>
          </w:p>
        </w:tc>
        <w:tc>
          <w:tcPr>
            <w:tcW w:w="877" w:type="dxa"/>
          </w:tcPr>
          <w:p w14:paraId="5D978E2B" w14:textId="77777777" w:rsidR="00316911" w:rsidRPr="00707DF8" w:rsidRDefault="00316911" w:rsidP="00F06BE8">
            <w:pPr>
              <w:jc w:val="right"/>
              <w:rPr>
                <w:color w:val="000000" w:themeColor="text1"/>
                <w:szCs w:val="24"/>
              </w:rPr>
            </w:pPr>
            <w:r w:rsidRPr="00707DF8">
              <w:rPr>
                <w:color w:val="000000" w:themeColor="text1"/>
                <w:szCs w:val="24"/>
              </w:rPr>
              <w:t>5.7</w:t>
            </w:r>
          </w:p>
        </w:tc>
        <w:tc>
          <w:tcPr>
            <w:tcW w:w="878" w:type="dxa"/>
          </w:tcPr>
          <w:p w14:paraId="1A35E30A" w14:textId="77777777" w:rsidR="00316911" w:rsidRPr="00707DF8" w:rsidRDefault="00316911" w:rsidP="00F06BE8">
            <w:pPr>
              <w:jc w:val="right"/>
              <w:rPr>
                <w:color w:val="000000" w:themeColor="text1"/>
                <w:szCs w:val="24"/>
              </w:rPr>
            </w:pPr>
            <w:r w:rsidRPr="00707DF8">
              <w:rPr>
                <w:color w:val="000000" w:themeColor="text1"/>
                <w:szCs w:val="24"/>
              </w:rPr>
              <w:t>(1.4)</w:t>
            </w:r>
          </w:p>
        </w:tc>
        <w:tc>
          <w:tcPr>
            <w:tcW w:w="877" w:type="dxa"/>
          </w:tcPr>
          <w:p w14:paraId="2053A64A" w14:textId="77777777" w:rsidR="00316911" w:rsidRPr="00707DF8" w:rsidRDefault="00316911" w:rsidP="00F06BE8">
            <w:pPr>
              <w:jc w:val="right"/>
              <w:rPr>
                <w:color w:val="000000" w:themeColor="text1"/>
                <w:szCs w:val="24"/>
              </w:rPr>
            </w:pPr>
            <w:r w:rsidRPr="00707DF8">
              <w:rPr>
                <w:color w:val="000000" w:themeColor="text1"/>
                <w:szCs w:val="24"/>
              </w:rPr>
              <w:t>6.4</w:t>
            </w:r>
          </w:p>
        </w:tc>
        <w:tc>
          <w:tcPr>
            <w:tcW w:w="878" w:type="dxa"/>
          </w:tcPr>
          <w:p w14:paraId="441F2C70" w14:textId="77777777" w:rsidR="00316911" w:rsidRPr="00707DF8" w:rsidRDefault="00316911" w:rsidP="00F06BE8">
            <w:pPr>
              <w:jc w:val="right"/>
              <w:rPr>
                <w:color w:val="000000" w:themeColor="text1"/>
                <w:szCs w:val="24"/>
              </w:rPr>
            </w:pPr>
            <w:r w:rsidRPr="00707DF8">
              <w:rPr>
                <w:color w:val="000000" w:themeColor="text1"/>
                <w:szCs w:val="24"/>
              </w:rPr>
              <w:t>(1.0)</w:t>
            </w:r>
          </w:p>
        </w:tc>
        <w:tc>
          <w:tcPr>
            <w:tcW w:w="2515" w:type="dxa"/>
            <w:vAlign w:val="center"/>
          </w:tcPr>
          <w:p w14:paraId="7AF8B06E" w14:textId="13056F41"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[122]=1.56, </w:t>
            </w:r>
            <w:r w:rsidRPr="00707DF8">
              <w:rPr>
                <w:i/>
                <w:color w:val="000000" w:themeColor="text1"/>
              </w:rPr>
              <w:t>p</w:t>
            </w:r>
            <w:r w:rsidRPr="00707DF8">
              <w:rPr>
                <w:color w:val="000000" w:themeColor="text1"/>
              </w:rPr>
              <w:t>=.121</w:t>
            </w:r>
          </w:p>
        </w:tc>
      </w:tr>
      <w:tr w:rsidR="00707DF8" w:rsidRPr="00707DF8" w14:paraId="39E98909" w14:textId="77777777" w:rsidTr="00F06BE8">
        <w:tc>
          <w:tcPr>
            <w:tcW w:w="3325" w:type="dxa"/>
          </w:tcPr>
          <w:p w14:paraId="4D888BD0" w14:textId="6184D252" w:rsidR="00316911" w:rsidRPr="00707DF8" w:rsidRDefault="00316911" w:rsidP="00F06BE8">
            <w:pPr>
              <w:ind w:left="157"/>
              <w:rPr>
                <w:color w:val="000000" w:themeColor="text1"/>
                <w:szCs w:val="24"/>
              </w:rPr>
            </w:pPr>
            <w:r w:rsidRPr="00707DF8">
              <w:rPr>
                <w:color w:val="000000" w:themeColor="text1"/>
                <w:szCs w:val="24"/>
              </w:rPr>
              <w:t>Palatability low calorie foods</w:t>
            </w:r>
          </w:p>
        </w:tc>
        <w:tc>
          <w:tcPr>
            <w:tcW w:w="877" w:type="dxa"/>
          </w:tcPr>
          <w:p w14:paraId="0A688C93" w14:textId="77777777" w:rsidR="00316911" w:rsidRPr="00707DF8" w:rsidRDefault="00316911" w:rsidP="00F06BE8">
            <w:pPr>
              <w:jc w:val="right"/>
              <w:rPr>
                <w:color w:val="000000" w:themeColor="text1"/>
                <w:szCs w:val="24"/>
              </w:rPr>
            </w:pPr>
            <w:r w:rsidRPr="00707DF8">
              <w:rPr>
                <w:color w:val="000000" w:themeColor="text1"/>
                <w:szCs w:val="24"/>
              </w:rPr>
              <w:t>5.2</w:t>
            </w:r>
          </w:p>
        </w:tc>
        <w:tc>
          <w:tcPr>
            <w:tcW w:w="878" w:type="dxa"/>
          </w:tcPr>
          <w:p w14:paraId="67E586FE" w14:textId="77777777" w:rsidR="00316911" w:rsidRPr="00707DF8" w:rsidRDefault="00316911" w:rsidP="00F06BE8">
            <w:pPr>
              <w:jc w:val="right"/>
              <w:rPr>
                <w:color w:val="000000" w:themeColor="text1"/>
                <w:szCs w:val="24"/>
              </w:rPr>
            </w:pPr>
            <w:r w:rsidRPr="00707DF8">
              <w:rPr>
                <w:color w:val="000000" w:themeColor="text1"/>
                <w:szCs w:val="24"/>
              </w:rPr>
              <w:t>(1.2)</w:t>
            </w:r>
          </w:p>
        </w:tc>
        <w:tc>
          <w:tcPr>
            <w:tcW w:w="877" w:type="dxa"/>
          </w:tcPr>
          <w:p w14:paraId="6B78A2D3" w14:textId="77777777" w:rsidR="00316911" w:rsidRPr="00707DF8" w:rsidRDefault="00316911" w:rsidP="00F06BE8">
            <w:pPr>
              <w:jc w:val="right"/>
              <w:rPr>
                <w:color w:val="000000" w:themeColor="text1"/>
                <w:szCs w:val="24"/>
              </w:rPr>
            </w:pPr>
            <w:r w:rsidRPr="00707DF8">
              <w:rPr>
                <w:color w:val="000000" w:themeColor="text1"/>
                <w:szCs w:val="24"/>
              </w:rPr>
              <w:t>4.7</w:t>
            </w:r>
          </w:p>
        </w:tc>
        <w:tc>
          <w:tcPr>
            <w:tcW w:w="878" w:type="dxa"/>
          </w:tcPr>
          <w:p w14:paraId="0E0B6FB7" w14:textId="77777777" w:rsidR="00316911" w:rsidRPr="00707DF8" w:rsidRDefault="00316911" w:rsidP="00F06BE8">
            <w:pPr>
              <w:jc w:val="right"/>
              <w:rPr>
                <w:color w:val="000000" w:themeColor="text1"/>
                <w:szCs w:val="24"/>
              </w:rPr>
            </w:pPr>
            <w:r w:rsidRPr="00707DF8">
              <w:rPr>
                <w:color w:val="000000" w:themeColor="text1"/>
                <w:szCs w:val="24"/>
              </w:rPr>
              <w:t>(1.1)</w:t>
            </w:r>
          </w:p>
        </w:tc>
        <w:tc>
          <w:tcPr>
            <w:tcW w:w="2515" w:type="dxa"/>
            <w:vAlign w:val="center"/>
          </w:tcPr>
          <w:p w14:paraId="67C98B15" w14:textId="0FB05AFA"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[122]=-1.19, </w:t>
            </w:r>
            <w:r w:rsidRPr="00707DF8">
              <w:rPr>
                <w:i/>
                <w:color w:val="000000" w:themeColor="text1"/>
              </w:rPr>
              <w:t>p</w:t>
            </w:r>
            <w:r w:rsidRPr="00707DF8">
              <w:rPr>
                <w:color w:val="000000" w:themeColor="text1"/>
              </w:rPr>
              <w:t>=.233</w:t>
            </w:r>
          </w:p>
        </w:tc>
      </w:tr>
      <w:tr w:rsidR="00707DF8" w:rsidRPr="00707DF8" w14:paraId="73C0D368" w14:textId="77777777" w:rsidTr="00F06BE8">
        <w:tc>
          <w:tcPr>
            <w:tcW w:w="3325" w:type="dxa"/>
          </w:tcPr>
          <w:p w14:paraId="4F3AE108" w14:textId="0DF3FF9A" w:rsidR="00316911" w:rsidRPr="00707DF8" w:rsidRDefault="00316911" w:rsidP="00F06BE8">
            <w:pPr>
              <w:ind w:left="157"/>
              <w:rPr>
                <w:color w:val="000000" w:themeColor="text1"/>
                <w:szCs w:val="24"/>
              </w:rPr>
            </w:pPr>
            <w:r w:rsidRPr="00707DF8">
              <w:rPr>
                <w:color w:val="000000" w:themeColor="text1"/>
                <w:szCs w:val="24"/>
              </w:rPr>
              <w:t>Monetary value high-calorie foods</w:t>
            </w:r>
          </w:p>
        </w:tc>
        <w:tc>
          <w:tcPr>
            <w:tcW w:w="877" w:type="dxa"/>
          </w:tcPr>
          <w:p w14:paraId="20D7C3AE" w14:textId="77777777" w:rsidR="00316911" w:rsidRPr="00707DF8" w:rsidRDefault="00316911" w:rsidP="00F06BE8">
            <w:pPr>
              <w:jc w:val="right"/>
              <w:rPr>
                <w:color w:val="000000" w:themeColor="text1"/>
                <w:szCs w:val="24"/>
              </w:rPr>
            </w:pPr>
            <w:r w:rsidRPr="00707DF8">
              <w:rPr>
                <w:color w:val="000000" w:themeColor="text1"/>
                <w:szCs w:val="24"/>
              </w:rPr>
              <w:t>4.1</w:t>
            </w:r>
          </w:p>
        </w:tc>
        <w:tc>
          <w:tcPr>
            <w:tcW w:w="878" w:type="dxa"/>
          </w:tcPr>
          <w:p w14:paraId="107AA08A" w14:textId="77777777" w:rsidR="00316911" w:rsidRPr="00707DF8" w:rsidRDefault="00316911" w:rsidP="00F06BE8">
            <w:pPr>
              <w:jc w:val="right"/>
              <w:rPr>
                <w:color w:val="000000" w:themeColor="text1"/>
                <w:szCs w:val="24"/>
              </w:rPr>
            </w:pPr>
            <w:r w:rsidRPr="00707DF8">
              <w:rPr>
                <w:color w:val="000000" w:themeColor="text1"/>
                <w:szCs w:val="24"/>
              </w:rPr>
              <w:t>(1.6)</w:t>
            </w:r>
          </w:p>
        </w:tc>
        <w:tc>
          <w:tcPr>
            <w:tcW w:w="877" w:type="dxa"/>
          </w:tcPr>
          <w:p w14:paraId="4B6D75B2" w14:textId="77777777" w:rsidR="00316911" w:rsidRPr="00707DF8" w:rsidRDefault="00316911" w:rsidP="00F06BE8">
            <w:pPr>
              <w:jc w:val="right"/>
              <w:rPr>
                <w:color w:val="000000" w:themeColor="text1"/>
                <w:szCs w:val="24"/>
              </w:rPr>
            </w:pPr>
            <w:r w:rsidRPr="00707DF8">
              <w:rPr>
                <w:color w:val="000000" w:themeColor="text1"/>
                <w:szCs w:val="24"/>
              </w:rPr>
              <w:t>5.1</w:t>
            </w:r>
          </w:p>
        </w:tc>
        <w:tc>
          <w:tcPr>
            <w:tcW w:w="878" w:type="dxa"/>
          </w:tcPr>
          <w:p w14:paraId="414903E8" w14:textId="77777777" w:rsidR="00316911" w:rsidRPr="00707DF8" w:rsidRDefault="00316911" w:rsidP="00F06BE8">
            <w:pPr>
              <w:jc w:val="right"/>
              <w:rPr>
                <w:color w:val="000000" w:themeColor="text1"/>
                <w:szCs w:val="24"/>
              </w:rPr>
            </w:pPr>
            <w:r w:rsidRPr="00707DF8">
              <w:rPr>
                <w:color w:val="000000" w:themeColor="text1"/>
                <w:szCs w:val="24"/>
              </w:rPr>
              <w:t>(1.5)</w:t>
            </w:r>
          </w:p>
        </w:tc>
        <w:tc>
          <w:tcPr>
            <w:tcW w:w="2515" w:type="dxa"/>
            <w:vAlign w:val="center"/>
          </w:tcPr>
          <w:p w14:paraId="2927B7BF" w14:textId="756C44B9"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[134]=2.07, </w:t>
            </w:r>
            <w:r w:rsidRPr="00707DF8">
              <w:rPr>
                <w:i/>
                <w:color w:val="000000" w:themeColor="text1"/>
              </w:rPr>
              <w:t>p</w:t>
            </w:r>
            <w:r w:rsidRPr="00707DF8">
              <w:rPr>
                <w:color w:val="000000" w:themeColor="text1"/>
              </w:rPr>
              <w:t>=.041</w:t>
            </w:r>
          </w:p>
        </w:tc>
      </w:tr>
      <w:tr w:rsidR="00707DF8" w:rsidRPr="00707DF8" w14:paraId="5E504E36" w14:textId="77777777" w:rsidTr="00F06BE8">
        <w:tc>
          <w:tcPr>
            <w:tcW w:w="3325" w:type="dxa"/>
          </w:tcPr>
          <w:p w14:paraId="477B1F63" w14:textId="64A1725D" w:rsidR="00316911" w:rsidRPr="00707DF8" w:rsidRDefault="00316911" w:rsidP="00F06BE8">
            <w:pPr>
              <w:ind w:left="157"/>
              <w:rPr>
                <w:color w:val="000000" w:themeColor="text1"/>
                <w:szCs w:val="24"/>
              </w:rPr>
            </w:pPr>
            <w:r w:rsidRPr="00707DF8">
              <w:rPr>
                <w:color w:val="000000" w:themeColor="text1"/>
                <w:szCs w:val="24"/>
              </w:rPr>
              <w:t>Monetary value low-calorie foods</w:t>
            </w:r>
          </w:p>
        </w:tc>
        <w:tc>
          <w:tcPr>
            <w:tcW w:w="877" w:type="dxa"/>
          </w:tcPr>
          <w:p w14:paraId="596FF44D" w14:textId="77777777" w:rsidR="00316911" w:rsidRPr="00707DF8" w:rsidRDefault="00316911" w:rsidP="00F06BE8">
            <w:pPr>
              <w:jc w:val="right"/>
              <w:rPr>
                <w:color w:val="000000" w:themeColor="text1"/>
                <w:szCs w:val="24"/>
              </w:rPr>
            </w:pPr>
            <w:r w:rsidRPr="00707DF8">
              <w:rPr>
                <w:color w:val="000000" w:themeColor="text1"/>
                <w:szCs w:val="24"/>
              </w:rPr>
              <w:t>4.3</w:t>
            </w:r>
          </w:p>
        </w:tc>
        <w:tc>
          <w:tcPr>
            <w:tcW w:w="878" w:type="dxa"/>
          </w:tcPr>
          <w:p w14:paraId="36FC17EC" w14:textId="77777777" w:rsidR="00316911" w:rsidRPr="00707DF8" w:rsidRDefault="00316911" w:rsidP="00F06BE8">
            <w:pPr>
              <w:jc w:val="right"/>
              <w:rPr>
                <w:color w:val="000000" w:themeColor="text1"/>
                <w:szCs w:val="24"/>
              </w:rPr>
            </w:pPr>
            <w:r w:rsidRPr="00707DF8">
              <w:rPr>
                <w:color w:val="000000" w:themeColor="text1"/>
                <w:szCs w:val="24"/>
              </w:rPr>
              <w:t>(1.3)</w:t>
            </w:r>
          </w:p>
        </w:tc>
        <w:tc>
          <w:tcPr>
            <w:tcW w:w="877" w:type="dxa"/>
          </w:tcPr>
          <w:p w14:paraId="002E8C6F" w14:textId="77777777" w:rsidR="00316911" w:rsidRPr="00707DF8" w:rsidRDefault="00316911" w:rsidP="00F06BE8">
            <w:pPr>
              <w:jc w:val="right"/>
              <w:rPr>
                <w:color w:val="000000" w:themeColor="text1"/>
                <w:szCs w:val="24"/>
              </w:rPr>
            </w:pPr>
            <w:r w:rsidRPr="00707DF8">
              <w:rPr>
                <w:color w:val="000000" w:themeColor="text1"/>
                <w:szCs w:val="24"/>
              </w:rPr>
              <w:t>4.5</w:t>
            </w:r>
          </w:p>
        </w:tc>
        <w:tc>
          <w:tcPr>
            <w:tcW w:w="878" w:type="dxa"/>
          </w:tcPr>
          <w:p w14:paraId="14CE2DAF" w14:textId="77777777" w:rsidR="00316911" w:rsidRPr="00707DF8" w:rsidRDefault="00316911" w:rsidP="00F06BE8">
            <w:pPr>
              <w:jc w:val="right"/>
              <w:rPr>
                <w:color w:val="000000" w:themeColor="text1"/>
                <w:szCs w:val="24"/>
              </w:rPr>
            </w:pPr>
            <w:r w:rsidRPr="00707DF8">
              <w:rPr>
                <w:color w:val="000000" w:themeColor="text1"/>
                <w:szCs w:val="24"/>
              </w:rPr>
              <w:t>(1.4)</w:t>
            </w:r>
          </w:p>
        </w:tc>
        <w:tc>
          <w:tcPr>
            <w:tcW w:w="2515" w:type="dxa"/>
            <w:vAlign w:val="center"/>
          </w:tcPr>
          <w:p w14:paraId="44BB3E42" w14:textId="08A250A4"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[134]=0.72, </w:t>
            </w:r>
            <w:r w:rsidRPr="00707DF8">
              <w:rPr>
                <w:i/>
                <w:color w:val="000000" w:themeColor="text1"/>
              </w:rPr>
              <w:t>p</w:t>
            </w:r>
            <w:r w:rsidRPr="00707DF8">
              <w:rPr>
                <w:color w:val="000000" w:themeColor="text1"/>
              </w:rPr>
              <w:t>=.471</w:t>
            </w:r>
          </w:p>
        </w:tc>
      </w:tr>
      <w:tr w:rsidR="00707DF8" w:rsidRPr="00707DF8" w14:paraId="2A7765AC" w14:textId="77777777" w:rsidTr="00F06BE8">
        <w:tc>
          <w:tcPr>
            <w:tcW w:w="3325" w:type="dxa"/>
          </w:tcPr>
          <w:p w14:paraId="49D550AC" w14:textId="77777777" w:rsidR="00316911" w:rsidRPr="00707DF8" w:rsidRDefault="00316911" w:rsidP="00F06BE8">
            <w:pPr>
              <w:ind w:left="157"/>
              <w:rPr>
                <w:color w:val="000000" w:themeColor="text1"/>
                <w:szCs w:val="24"/>
              </w:rPr>
            </w:pPr>
            <w:r w:rsidRPr="00707DF8">
              <w:rPr>
                <w:color w:val="000000" w:themeColor="text1"/>
                <w:szCs w:val="24"/>
              </w:rPr>
              <w:t>Attractiveness thin models</w:t>
            </w:r>
          </w:p>
        </w:tc>
        <w:tc>
          <w:tcPr>
            <w:tcW w:w="877" w:type="dxa"/>
          </w:tcPr>
          <w:p w14:paraId="1784B545" w14:textId="77777777" w:rsidR="00316911" w:rsidRPr="00707DF8" w:rsidRDefault="00316911" w:rsidP="00F06BE8">
            <w:pPr>
              <w:jc w:val="right"/>
              <w:rPr>
                <w:color w:val="000000" w:themeColor="text1"/>
                <w:szCs w:val="24"/>
              </w:rPr>
            </w:pPr>
            <w:r w:rsidRPr="00707DF8">
              <w:rPr>
                <w:color w:val="000000" w:themeColor="text1"/>
                <w:szCs w:val="24"/>
              </w:rPr>
              <w:t>6.4</w:t>
            </w:r>
          </w:p>
        </w:tc>
        <w:tc>
          <w:tcPr>
            <w:tcW w:w="878" w:type="dxa"/>
          </w:tcPr>
          <w:p w14:paraId="592AE94A" w14:textId="77777777" w:rsidR="00316911" w:rsidRPr="00707DF8" w:rsidRDefault="00316911" w:rsidP="00F06BE8">
            <w:pPr>
              <w:jc w:val="right"/>
              <w:rPr>
                <w:color w:val="000000" w:themeColor="text1"/>
                <w:szCs w:val="24"/>
              </w:rPr>
            </w:pPr>
            <w:r w:rsidRPr="00707DF8">
              <w:rPr>
                <w:color w:val="000000" w:themeColor="text1"/>
                <w:szCs w:val="24"/>
              </w:rPr>
              <w:t>(1.4)</w:t>
            </w:r>
          </w:p>
        </w:tc>
        <w:tc>
          <w:tcPr>
            <w:tcW w:w="877" w:type="dxa"/>
          </w:tcPr>
          <w:p w14:paraId="5E4491D3" w14:textId="77777777" w:rsidR="00316911" w:rsidRPr="00707DF8" w:rsidRDefault="00316911" w:rsidP="00F06BE8">
            <w:pPr>
              <w:jc w:val="right"/>
              <w:rPr>
                <w:color w:val="000000" w:themeColor="text1"/>
                <w:szCs w:val="24"/>
              </w:rPr>
            </w:pPr>
            <w:r w:rsidRPr="00707DF8">
              <w:rPr>
                <w:color w:val="000000" w:themeColor="text1"/>
                <w:szCs w:val="24"/>
              </w:rPr>
              <w:t>6.6</w:t>
            </w:r>
          </w:p>
        </w:tc>
        <w:tc>
          <w:tcPr>
            <w:tcW w:w="878" w:type="dxa"/>
          </w:tcPr>
          <w:p w14:paraId="079B329C" w14:textId="77777777" w:rsidR="00316911" w:rsidRPr="00707DF8" w:rsidRDefault="00316911" w:rsidP="00F06BE8">
            <w:pPr>
              <w:jc w:val="right"/>
              <w:rPr>
                <w:color w:val="000000" w:themeColor="text1"/>
                <w:szCs w:val="24"/>
              </w:rPr>
            </w:pPr>
            <w:r w:rsidRPr="00707DF8">
              <w:rPr>
                <w:color w:val="000000" w:themeColor="text1"/>
                <w:szCs w:val="24"/>
              </w:rPr>
              <w:t>(0.9)</w:t>
            </w:r>
          </w:p>
        </w:tc>
        <w:tc>
          <w:tcPr>
            <w:tcW w:w="2515" w:type="dxa"/>
            <w:vAlign w:val="center"/>
          </w:tcPr>
          <w:p w14:paraId="67F12DD0" w14:textId="35846475"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[134]=0.40, </w:t>
            </w:r>
            <w:r w:rsidRPr="00707DF8">
              <w:rPr>
                <w:i/>
                <w:color w:val="000000" w:themeColor="text1"/>
              </w:rPr>
              <w:t>p</w:t>
            </w:r>
            <w:r w:rsidRPr="00707DF8">
              <w:rPr>
                <w:color w:val="000000" w:themeColor="text1"/>
              </w:rPr>
              <w:t>=.688</w:t>
            </w:r>
          </w:p>
        </w:tc>
      </w:tr>
      <w:tr w:rsidR="00707DF8" w:rsidRPr="00707DF8" w14:paraId="4F501A44" w14:textId="77777777" w:rsidTr="00F06BE8">
        <w:tc>
          <w:tcPr>
            <w:tcW w:w="3325" w:type="dxa"/>
          </w:tcPr>
          <w:p w14:paraId="41843A8C" w14:textId="77777777" w:rsidR="00316911" w:rsidRPr="00707DF8" w:rsidRDefault="00316911" w:rsidP="00F06BE8">
            <w:pPr>
              <w:ind w:left="157"/>
              <w:rPr>
                <w:color w:val="000000" w:themeColor="text1"/>
                <w:szCs w:val="24"/>
              </w:rPr>
            </w:pPr>
            <w:r w:rsidRPr="00707DF8">
              <w:rPr>
                <w:color w:val="000000" w:themeColor="text1"/>
                <w:szCs w:val="24"/>
              </w:rPr>
              <w:t>Attractiveness average-weight models</w:t>
            </w:r>
          </w:p>
        </w:tc>
        <w:tc>
          <w:tcPr>
            <w:tcW w:w="877" w:type="dxa"/>
          </w:tcPr>
          <w:p w14:paraId="08C6D625" w14:textId="77777777" w:rsidR="00316911" w:rsidRPr="00707DF8" w:rsidRDefault="00316911" w:rsidP="00F06BE8">
            <w:pPr>
              <w:jc w:val="right"/>
              <w:rPr>
                <w:color w:val="000000" w:themeColor="text1"/>
                <w:szCs w:val="24"/>
              </w:rPr>
            </w:pPr>
            <w:r w:rsidRPr="00707DF8">
              <w:rPr>
                <w:color w:val="000000" w:themeColor="text1"/>
                <w:szCs w:val="24"/>
              </w:rPr>
              <w:t>4.9</w:t>
            </w:r>
          </w:p>
        </w:tc>
        <w:tc>
          <w:tcPr>
            <w:tcW w:w="878" w:type="dxa"/>
          </w:tcPr>
          <w:p w14:paraId="4F11EF48" w14:textId="77777777" w:rsidR="00316911" w:rsidRPr="00707DF8" w:rsidRDefault="00316911" w:rsidP="00F06BE8">
            <w:pPr>
              <w:jc w:val="right"/>
              <w:rPr>
                <w:color w:val="000000" w:themeColor="text1"/>
                <w:szCs w:val="24"/>
              </w:rPr>
            </w:pPr>
            <w:r w:rsidRPr="00707DF8">
              <w:rPr>
                <w:color w:val="000000" w:themeColor="text1"/>
                <w:szCs w:val="24"/>
              </w:rPr>
              <w:t>(1.5)</w:t>
            </w:r>
          </w:p>
        </w:tc>
        <w:tc>
          <w:tcPr>
            <w:tcW w:w="877" w:type="dxa"/>
          </w:tcPr>
          <w:p w14:paraId="7E156C94" w14:textId="77777777" w:rsidR="00316911" w:rsidRPr="00707DF8" w:rsidRDefault="00316911" w:rsidP="00F06BE8">
            <w:pPr>
              <w:jc w:val="right"/>
              <w:rPr>
                <w:color w:val="000000" w:themeColor="text1"/>
                <w:szCs w:val="24"/>
              </w:rPr>
            </w:pPr>
            <w:r w:rsidRPr="00707DF8">
              <w:rPr>
                <w:color w:val="000000" w:themeColor="text1"/>
                <w:szCs w:val="24"/>
              </w:rPr>
              <w:t>5.2</w:t>
            </w:r>
          </w:p>
        </w:tc>
        <w:tc>
          <w:tcPr>
            <w:tcW w:w="878" w:type="dxa"/>
          </w:tcPr>
          <w:p w14:paraId="16F3584A" w14:textId="77777777" w:rsidR="00316911" w:rsidRPr="00707DF8" w:rsidRDefault="00316911" w:rsidP="00F06BE8">
            <w:pPr>
              <w:jc w:val="right"/>
              <w:rPr>
                <w:color w:val="000000" w:themeColor="text1"/>
                <w:szCs w:val="24"/>
              </w:rPr>
            </w:pPr>
            <w:r w:rsidRPr="00707DF8">
              <w:rPr>
                <w:color w:val="000000" w:themeColor="text1"/>
                <w:szCs w:val="24"/>
              </w:rPr>
              <w:t>(1.8)</w:t>
            </w:r>
          </w:p>
        </w:tc>
        <w:tc>
          <w:tcPr>
            <w:tcW w:w="2515" w:type="dxa"/>
            <w:vAlign w:val="center"/>
          </w:tcPr>
          <w:p w14:paraId="108EBF5D" w14:textId="071320E3" w:rsidR="00316911" w:rsidRPr="00707DF8" w:rsidRDefault="00316911" w:rsidP="0063668E">
            <w:pPr>
              <w:contextualSpacing/>
              <w:jc w:val="right"/>
              <w:rPr>
                <w:color w:val="000000" w:themeColor="text1"/>
              </w:rPr>
            </w:pPr>
            <w:r w:rsidRPr="00707DF8">
              <w:rPr>
                <w:i/>
                <w:color w:val="000000" w:themeColor="text1"/>
              </w:rPr>
              <w:t>t</w:t>
            </w:r>
            <w:r w:rsidRPr="00707DF8">
              <w:rPr>
                <w:color w:val="000000" w:themeColor="text1"/>
              </w:rPr>
              <w:t xml:space="preserve">[120]=0.59, </w:t>
            </w:r>
            <w:r w:rsidRPr="00707DF8">
              <w:rPr>
                <w:i/>
                <w:color w:val="000000" w:themeColor="text1"/>
              </w:rPr>
              <w:t>p</w:t>
            </w:r>
            <w:r w:rsidRPr="00707DF8">
              <w:rPr>
                <w:color w:val="000000" w:themeColor="text1"/>
              </w:rPr>
              <w:t>=.571</w:t>
            </w:r>
          </w:p>
        </w:tc>
      </w:tr>
      <w:tr w:rsidR="006E5E1A" w:rsidRPr="00707DF8" w14:paraId="3348B85F" w14:textId="77777777" w:rsidTr="00F06BE8">
        <w:tc>
          <w:tcPr>
            <w:tcW w:w="3325" w:type="dxa"/>
            <w:tcBorders>
              <w:bottom w:val="single" w:sz="4" w:space="0" w:color="auto"/>
            </w:tcBorders>
          </w:tcPr>
          <w:p w14:paraId="4F0C877B" w14:textId="77777777" w:rsidR="00316911" w:rsidRPr="00707DF8" w:rsidRDefault="00316911" w:rsidP="00F06BE8">
            <w:pPr>
              <w:ind w:left="157"/>
              <w:rPr>
                <w:color w:val="000000" w:themeColor="text1"/>
                <w:szCs w:val="24"/>
              </w:rPr>
            </w:pPr>
            <w:r w:rsidRPr="00707DF8">
              <w:rPr>
                <w:color w:val="000000" w:themeColor="text1"/>
                <w:szCs w:val="24"/>
              </w:rPr>
              <w:t>Abstinence from binges, vomiting, and laxative/diuretic use (</w:t>
            </w:r>
            <w:r w:rsidRPr="00707DF8">
              <w:rPr>
                <w:i/>
                <w:color w:val="000000" w:themeColor="text1"/>
                <w:szCs w:val="24"/>
              </w:rPr>
              <w:t>%</w:t>
            </w:r>
            <w:r w:rsidRPr="00707DF8">
              <w:rPr>
                <w:color w:val="000000" w:themeColor="text1"/>
                <w:szCs w:val="24"/>
              </w:rPr>
              <w:t>)</w:t>
            </w:r>
          </w:p>
        </w:tc>
        <w:tc>
          <w:tcPr>
            <w:tcW w:w="877" w:type="dxa"/>
            <w:tcBorders>
              <w:bottom w:val="single" w:sz="4" w:space="0" w:color="auto"/>
            </w:tcBorders>
          </w:tcPr>
          <w:p w14:paraId="2EB65F4A" w14:textId="77777777" w:rsidR="00316911" w:rsidRPr="00707DF8" w:rsidRDefault="00316911" w:rsidP="00F06BE8">
            <w:pPr>
              <w:jc w:val="right"/>
              <w:rPr>
                <w:color w:val="000000" w:themeColor="text1"/>
                <w:szCs w:val="24"/>
              </w:rPr>
            </w:pPr>
          </w:p>
        </w:tc>
        <w:tc>
          <w:tcPr>
            <w:tcW w:w="878" w:type="dxa"/>
            <w:tcBorders>
              <w:bottom w:val="single" w:sz="4" w:space="0" w:color="auto"/>
            </w:tcBorders>
          </w:tcPr>
          <w:p w14:paraId="2572590D" w14:textId="77777777" w:rsidR="00316911" w:rsidRPr="00707DF8" w:rsidRDefault="00316911" w:rsidP="00F06BE8">
            <w:pPr>
              <w:jc w:val="right"/>
              <w:rPr>
                <w:color w:val="000000" w:themeColor="text1"/>
                <w:szCs w:val="24"/>
              </w:rPr>
            </w:pPr>
            <w:r w:rsidRPr="00707DF8">
              <w:rPr>
                <w:color w:val="000000" w:themeColor="text1"/>
                <w:szCs w:val="24"/>
              </w:rPr>
              <w:t>7.2</w:t>
            </w:r>
          </w:p>
        </w:tc>
        <w:tc>
          <w:tcPr>
            <w:tcW w:w="877" w:type="dxa"/>
            <w:tcBorders>
              <w:bottom w:val="single" w:sz="4" w:space="0" w:color="auto"/>
            </w:tcBorders>
          </w:tcPr>
          <w:p w14:paraId="2ECEFFEC" w14:textId="77777777" w:rsidR="00316911" w:rsidRPr="00707DF8" w:rsidRDefault="00316911" w:rsidP="00F06BE8">
            <w:pPr>
              <w:jc w:val="right"/>
              <w:rPr>
                <w:color w:val="000000" w:themeColor="text1"/>
                <w:szCs w:val="24"/>
              </w:rPr>
            </w:pPr>
          </w:p>
        </w:tc>
        <w:tc>
          <w:tcPr>
            <w:tcW w:w="878" w:type="dxa"/>
            <w:tcBorders>
              <w:bottom w:val="single" w:sz="4" w:space="0" w:color="auto"/>
            </w:tcBorders>
          </w:tcPr>
          <w:p w14:paraId="563CBD0D" w14:textId="77777777" w:rsidR="00316911" w:rsidRPr="00707DF8" w:rsidRDefault="00316911" w:rsidP="00F06BE8">
            <w:pPr>
              <w:jc w:val="right"/>
              <w:rPr>
                <w:color w:val="000000" w:themeColor="text1"/>
                <w:szCs w:val="24"/>
              </w:rPr>
            </w:pPr>
            <w:r w:rsidRPr="00707DF8">
              <w:rPr>
                <w:color w:val="000000" w:themeColor="text1"/>
                <w:szCs w:val="24"/>
              </w:rPr>
              <w:t>0.0</w:t>
            </w:r>
          </w:p>
        </w:tc>
        <w:tc>
          <w:tcPr>
            <w:tcW w:w="2515" w:type="dxa"/>
            <w:tcBorders>
              <w:bottom w:val="single" w:sz="4" w:space="0" w:color="auto"/>
            </w:tcBorders>
            <w:vAlign w:val="center"/>
          </w:tcPr>
          <w:p w14:paraId="732D7E07" w14:textId="4A982DA9" w:rsidR="00316911" w:rsidRPr="00707DF8" w:rsidRDefault="00316911" w:rsidP="0063668E">
            <w:pPr>
              <w:contextualSpacing/>
              <w:jc w:val="right"/>
              <w:rPr>
                <w:color w:val="000000" w:themeColor="text1"/>
              </w:rPr>
            </w:pPr>
            <w:r w:rsidRPr="00707DF8">
              <w:rPr>
                <w:i/>
                <w:color w:val="000000" w:themeColor="text1"/>
              </w:rPr>
              <w:t>χ</w:t>
            </w:r>
            <w:r w:rsidRPr="00707DF8">
              <w:rPr>
                <w:color w:val="000000" w:themeColor="text1"/>
                <w:vertAlign w:val="superscript"/>
              </w:rPr>
              <w:t>2</w:t>
            </w:r>
            <w:r w:rsidRPr="00707DF8">
              <w:rPr>
                <w:color w:val="000000" w:themeColor="text1"/>
              </w:rPr>
              <w:t xml:space="preserve">[1,138]=1.00, </w:t>
            </w:r>
            <w:r w:rsidRPr="00707DF8">
              <w:rPr>
                <w:i/>
                <w:color w:val="000000" w:themeColor="text1"/>
              </w:rPr>
              <w:t>p</w:t>
            </w:r>
            <w:r w:rsidRPr="00707DF8">
              <w:rPr>
                <w:color w:val="000000" w:themeColor="text1"/>
              </w:rPr>
              <w:t>=.317</w:t>
            </w:r>
          </w:p>
        </w:tc>
      </w:tr>
    </w:tbl>
    <w:p w14:paraId="344B4E32" w14:textId="45365057" w:rsidR="00316911" w:rsidRPr="00707DF8" w:rsidRDefault="00316911" w:rsidP="00316911">
      <w:pPr>
        <w:rPr>
          <w:color w:val="000000" w:themeColor="text1"/>
          <w:szCs w:val="24"/>
        </w:rPr>
      </w:pPr>
    </w:p>
    <w:p w14:paraId="4803B3D9" w14:textId="77777777" w:rsidR="00316911" w:rsidRPr="00707DF8" w:rsidRDefault="00316911" w:rsidP="00316911">
      <w:pPr>
        <w:rPr>
          <w:color w:val="000000" w:themeColor="text1"/>
          <w:szCs w:val="24"/>
        </w:rPr>
      </w:pPr>
      <w:r w:rsidRPr="00707DF8">
        <w:rPr>
          <w:color w:val="000000" w:themeColor="text1"/>
          <w:szCs w:val="24"/>
        </w:rPr>
        <w:lastRenderedPageBreak/>
        <w:t>Table 2S</w:t>
      </w:r>
    </w:p>
    <w:p w14:paraId="511763F2" w14:textId="77777777" w:rsidR="00316911" w:rsidRPr="00707DF8" w:rsidRDefault="00316911" w:rsidP="00316911">
      <w:pPr>
        <w:rPr>
          <w:i/>
          <w:color w:val="000000" w:themeColor="text1"/>
          <w:szCs w:val="24"/>
        </w:rPr>
      </w:pPr>
      <w:r w:rsidRPr="00707DF8">
        <w:rPr>
          <w:i/>
          <w:color w:val="000000" w:themeColor="text1"/>
          <w:szCs w:val="24"/>
        </w:rPr>
        <w:t>Results of Condition × Time × Baseline Eating Disorder Symptoms Effects from Mixed Effects Growth Models Comparing Combined BPT (n=83) and Waitlist Control Participants (n=55)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260"/>
        <w:gridCol w:w="1260"/>
        <w:gridCol w:w="1260"/>
        <w:gridCol w:w="1250"/>
        <w:gridCol w:w="10"/>
      </w:tblGrid>
      <w:tr w:rsidR="00707DF8" w:rsidRPr="00707DF8" w14:paraId="6D36727D" w14:textId="77777777" w:rsidTr="00F06BE8">
        <w:tc>
          <w:tcPr>
            <w:tcW w:w="4320" w:type="dxa"/>
            <w:tcBorders>
              <w:top w:val="single" w:sz="4" w:space="0" w:color="auto"/>
              <w:bottom w:val="single" w:sz="4" w:space="0" w:color="auto"/>
            </w:tcBorders>
          </w:tcPr>
          <w:p w14:paraId="09622C22" w14:textId="77777777" w:rsidR="00316911" w:rsidRPr="00707DF8" w:rsidRDefault="00316911" w:rsidP="00F06BE8">
            <w:pPr>
              <w:jc w:val="center"/>
              <w:rPr>
                <w:color w:val="000000" w:themeColor="text1"/>
                <w:szCs w:val="24"/>
              </w:rPr>
            </w:pPr>
            <w:r w:rsidRPr="00707DF8">
              <w:rPr>
                <w:color w:val="000000" w:themeColor="text1"/>
                <w:szCs w:val="24"/>
              </w:rPr>
              <w:t>Outcome</w:t>
            </w:r>
          </w:p>
        </w:tc>
        <w:tc>
          <w:tcPr>
            <w:tcW w:w="1260" w:type="dxa"/>
            <w:tcBorders>
              <w:top w:val="single" w:sz="4" w:space="0" w:color="auto"/>
              <w:bottom w:val="single" w:sz="4" w:space="0" w:color="auto"/>
            </w:tcBorders>
          </w:tcPr>
          <w:p w14:paraId="1643D970" w14:textId="77777777" w:rsidR="00316911" w:rsidRPr="00707DF8" w:rsidRDefault="00316911" w:rsidP="00F06BE8">
            <w:pPr>
              <w:jc w:val="right"/>
              <w:rPr>
                <w:color w:val="000000" w:themeColor="text1"/>
                <w:szCs w:val="24"/>
              </w:rPr>
            </w:pPr>
            <w:r w:rsidRPr="00707DF8">
              <w:rPr>
                <w:color w:val="000000" w:themeColor="text1"/>
                <w:szCs w:val="24"/>
              </w:rPr>
              <w:t>Estimate</w:t>
            </w:r>
          </w:p>
        </w:tc>
        <w:tc>
          <w:tcPr>
            <w:tcW w:w="1260" w:type="dxa"/>
            <w:tcBorders>
              <w:top w:val="single" w:sz="4" w:space="0" w:color="auto"/>
              <w:bottom w:val="single" w:sz="4" w:space="0" w:color="auto"/>
            </w:tcBorders>
          </w:tcPr>
          <w:p w14:paraId="43F9634C" w14:textId="77777777" w:rsidR="00316911" w:rsidRPr="00707DF8" w:rsidRDefault="00316911" w:rsidP="00F06BE8">
            <w:pPr>
              <w:jc w:val="right"/>
              <w:rPr>
                <w:i/>
                <w:color w:val="000000" w:themeColor="text1"/>
                <w:szCs w:val="24"/>
              </w:rPr>
            </w:pPr>
            <w:r w:rsidRPr="00707DF8">
              <w:rPr>
                <w:i/>
                <w:color w:val="000000" w:themeColor="text1"/>
                <w:szCs w:val="24"/>
              </w:rPr>
              <w:t>SE</w:t>
            </w:r>
          </w:p>
        </w:tc>
        <w:tc>
          <w:tcPr>
            <w:tcW w:w="1260" w:type="dxa"/>
            <w:tcBorders>
              <w:top w:val="single" w:sz="4" w:space="0" w:color="auto"/>
              <w:bottom w:val="single" w:sz="4" w:space="0" w:color="auto"/>
            </w:tcBorders>
          </w:tcPr>
          <w:p w14:paraId="51632AA2" w14:textId="77777777" w:rsidR="00316911" w:rsidRPr="00707DF8" w:rsidRDefault="00316911" w:rsidP="00F06BE8">
            <w:pPr>
              <w:jc w:val="right"/>
              <w:rPr>
                <w:color w:val="000000" w:themeColor="text1"/>
                <w:szCs w:val="24"/>
              </w:rPr>
            </w:pPr>
            <w:r w:rsidRPr="00707DF8">
              <w:rPr>
                <w:i/>
                <w:color w:val="000000" w:themeColor="text1"/>
                <w:szCs w:val="24"/>
              </w:rPr>
              <w:t>t</w:t>
            </w:r>
            <w:r w:rsidRPr="00707DF8">
              <w:rPr>
                <w:color w:val="000000" w:themeColor="text1"/>
                <w:szCs w:val="24"/>
              </w:rPr>
              <w:t>-value</w:t>
            </w:r>
          </w:p>
        </w:tc>
        <w:tc>
          <w:tcPr>
            <w:tcW w:w="1260" w:type="dxa"/>
            <w:gridSpan w:val="2"/>
            <w:tcBorders>
              <w:top w:val="single" w:sz="4" w:space="0" w:color="auto"/>
              <w:bottom w:val="single" w:sz="4" w:space="0" w:color="auto"/>
            </w:tcBorders>
          </w:tcPr>
          <w:p w14:paraId="64676264" w14:textId="77777777" w:rsidR="00316911" w:rsidRPr="00707DF8" w:rsidRDefault="00316911" w:rsidP="00F06BE8">
            <w:pPr>
              <w:jc w:val="right"/>
              <w:rPr>
                <w:color w:val="000000" w:themeColor="text1"/>
                <w:szCs w:val="24"/>
              </w:rPr>
            </w:pPr>
            <w:r w:rsidRPr="00707DF8">
              <w:rPr>
                <w:i/>
                <w:color w:val="000000" w:themeColor="text1"/>
                <w:szCs w:val="24"/>
              </w:rPr>
              <w:t>p</w:t>
            </w:r>
            <w:r w:rsidRPr="00707DF8">
              <w:rPr>
                <w:color w:val="000000" w:themeColor="text1"/>
                <w:szCs w:val="24"/>
              </w:rPr>
              <w:t>-value</w:t>
            </w:r>
          </w:p>
        </w:tc>
      </w:tr>
      <w:tr w:rsidR="00707DF8" w:rsidRPr="00707DF8" w14:paraId="09C2089B" w14:textId="77777777" w:rsidTr="00F06BE8">
        <w:tc>
          <w:tcPr>
            <w:tcW w:w="4320" w:type="dxa"/>
            <w:tcBorders>
              <w:top w:val="single" w:sz="4" w:space="0" w:color="auto"/>
            </w:tcBorders>
          </w:tcPr>
          <w:p w14:paraId="5CD30F48" w14:textId="77777777" w:rsidR="00316911" w:rsidRPr="00707DF8" w:rsidRDefault="00316911" w:rsidP="00F06BE8">
            <w:pPr>
              <w:rPr>
                <w:color w:val="000000" w:themeColor="text1"/>
                <w:szCs w:val="24"/>
              </w:rPr>
            </w:pPr>
            <w:r w:rsidRPr="00707DF8">
              <w:rPr>
                <w:color w:val="000000" w:themeColor="text1"/>
                <w:szCs w:val="24"/>
              </w:rPr>
              <w:t>Eating disorder symptoms</w:t>
            </w:r>
          </w:p>
        </w:tc>
        <w:tc>
          <w:tcPr>
            <w:tcW w:w="1260" w:type="dxa"/>
            <w:tcBorders>
              <w:top w:val="single" w:sz="4" w:space="0" w:color="auto"/>
            </w:tcBorders>
          </w:tcPr>
          <w:p w14:paraId="27FE3053" w14:textId="77777777" w:rsidR="00316911" w:rsidRPr="00707DF8" w:rsidRDefault="00316911" w:rsidP="00F06BE8">
            <w:pPr>
              <w:jc w:val="right"/>
              <w:rPr>
                <w:color w:val="000000" w:themeColor="text1"/>
                <w:szCs w:val="24"/>
              </w:rPr>
            </w:pPr>
            <w:r w:rsidRPr="00707DF8">
              <w:rPr>
                <w:color w:val="000000" w:themeColor="text1"/>
                <w:szCs w:val="24"/>
              </w:rPr>
              <w:t>0.12</w:t>
            </w:r>
          </w:p>
        </w:tc>
        <w:tc>
          <w:tcPr>
            <w:tcW w:w="1260" w:type="dxa"/>
            <w:tcBorders>
              <w:top w:val="single" w:sz="4" w:space="0" w:color="auto"/>
            </w:tcBorders>
          </w:tcPr>
          <w:p w14:paraId="5D909A98" w14:textId="77777777" w:rsidR="00316911" w:rsidRPr="00707DF8" w:rsidRDefault="00316911" w:rsidP="00F06BE8">
            <w:pPr>
              <w:jc w:val="right"/>
              <w:rPr>
                <w:color w:val="000000" w:themeColor="text1"/>
                <w:szCs w:val="24"/>
              </w:rPr>
            </w:pPr>
            <w:r w:rsidRPr="00707DF8">
              <w:rPr>
                <w:color w:val="000000" w:themeColor="text1"/>
                <w:szCs w:val="24"/>
              </w:rPr>
              <w:t>0.12</w:t>
            </w:r>
          </w:p>
        </w:tc>
        <w:tc>
          <w:tcPr>
            <w:tcW w:w="1260" w:type="dxa"/>
            <w:tcBorders>
              <w:top w:val="single" w:sz="4" w:space="0" w:color="auto"/>
            </w:tcBorders>
          </w:tcPr>
          <w:p w14:paraId="0F87AD23" w14:textId="77777777" w:rsidR="00316911" w:rsidRPr="00707DF8" w:rsidRDefault="00316911" w:rsidP="00F06BE8">
            <w:pPr>
              <w:jc w:val="right"/>
              <w:rPr>
                <w:color w:val="000000" w:themeColor="text1"/>
                <w:szCs w:val="24"/>
              </w:rPr>
            </w:pPr>
            <w:r w:rsidRPr="00707DF8">
              <w:rPr>
                <w:color w:val="000000" w:themeColor="text1"/>
                <w:szCs w:val="24"/>
              </w:rPr>
              <w:t>1.03</w:t>
            </w:r>
          </w:p>
        </w:tc>
        <w:tc>
          <w:tcPr>
            <w:tcW w:w="1260" w:type="dxa"/>
            <w:gridSpan w:val="2"/>
            <w:tcBorders>
              <w:top w:val="single" w:sz="4" w:space="0" w:color="auto"/>
            </w:tcBorders>
          </w:tcPr>
          <w:p w14:paraId="6309CB1D" w14:textId="77777777" w:rsidR="00316911" w:rsidRPr="00707DF8" w:rsidRDefault="00316911" w:rsidP="00F06BE8">
            <w:pPr>
              <w:jc w:val="right"/>
              <w:rPr>
                <w:color w:val="000000" w:themeColor="text1"/>
                <w:szCs w:val="24"/>
              </w:rPr>
            </w:pPr>
            <w:r w:rsidRPr="00707DF8">
              <w:rPr>
                <w:color w:val="000000" w:themeColor="text1"/>
                <w:szCs w:val="24"/>
              </w:rPr>
              <w:t>.305</w:t>
            </w:r>
          </w:p>
        </w:tc>
      </w:tr>
      <w:tr w:rsidR="00707DF8" w:rsidRPr="00707DF8" w14:paraId="29345A73" w14:textId="77777777" w:rsidTr="00F06BE8">
        <w:tc>
          <w:tcPr>
            <w:tcW w:w="4320" w:type="dxa"/>
          </w:tcPr>
          <w:p w14:paraId="73D0D974" w14:textId="2FDEB015" w:rsidR="00316911" w:rsidRPr="00707DF8" w:rsidRDefault="00316911" w:rsidP="00F06BE8">
            <w:pPr>
              <w:rPr>
                <w:color w:val="000000" w:themeColor="text1"/>
                <w:szCs w:val="24"/>
              </w:rPr>
            </w:pPr>
            <w:r w:rsidRPr="00707DF8">
              <w:rPr>
                <w:color w:val="000000" w:themeColor="text1"/>
                <w:szCs w:val="24"/>
              </w:rPr>
              <w:t>Thin</w:t>
            </w:r>
            <w:r w:rsidR="00F822AD" w:rsidRPr="00707DF8">
              <w:rPr>
                <w:color w:val="000000" w:themeColor="text1"/>
                <w:szCs w:val="24"/>
              </w:rPr>
              <w:t>-</w:t>
            </w:r>
            <w:r w:rsidRPr="00707DF8">
              <w:rPr>
                <w:color w:val="000000" w:themeColor="text1"/>
                <w:szCs w:val="24"/>
              </w:rPr>
              <w:t>ideal internalization</w:t>
            </w:r>
          </w:p>
        </w:tc>
        <w:tc>
          <w:tcPr>
            <w:tcW w:w="1260" w:type="dxa"/>
          </w:tcPr>
          <w:p w14:paraId="2E332B5B" w14:textId="77777777" w:rsidR="00316911" w:rsidRPr="00707DF8" w:rsidRDefault="00316911" w:rsidP="00F06BE8">
            <w:pPr>
              <w:jc w:val="right"/>
              <w:rPr>
                <w:color w:val="000000" w:themeColor="text1"/>
                <w:szCs w:val="24"/>
              </w:rPr>
            </w:pPr>
            <w:r w:rsidRPr="00707DF8">
              <w:rPr>
                <w:color w:val="000000" w:themeColor="text1"/>
                <w:szCs w:val="24"/>
              </w:rPr>
              <w:t>-0.01</w:t>
            </w:r>
          </w:p>
        </w:tc>
        <w:tc>
          <w:tcPr>
            <w:tcW w:w="1260" w:type="dxa"/>
          </w:tcPr>
          <w:p w14:paraId="7C131168" w14:textId="77777777" w:rsidR="00316911" w:rsidRPr="00707DF8" w:rsidRDefault="00316911" w:rsidP="00F06BE8">
            <w:pPr>
              <w:jc w:val="right"/>
              <w:rPr>
                <w:color w:val="000000" w:themeColor="text1"/>
                <w:szCs w:val="24"/>
              </w:rPr>
            </w:pPr>
            <w:r w:rsidRPr="00707DF8">
              <w:rPr>
                <w:color w:val="000000" w:themeColor="text1"/>
                <w:szCs w:val="24"/>
              </w:rPr>
              <w:t>0.07</w:t>
            </w:r>
          </w:p>
        </w:tc>
        <w:tc>
          <w:tcPr>
            <w:tcW w:w="1260" w:type="dxa"/>
          </w:tcPr>
          <w:p w14:paraId="028FAA56" w14:textId="77777777" w:rsidR="00316911" w:rsidRPr="00707DF8" w:rsidRDefault="00316911" w:rsidP="00F06BE8">
            <w:pPr>
              <w:jc w:val="right"/>
              <w:rPr>
                <w:color w:val="000000" w:themeColor="text1"/>
                <w:szCs w:val="24"/>
              </w:rPr>
            </w:pPr>
            <w:r w:rsidRPr="00707DF8">
              <w:rPr>
                <w:color w:val="000000" w:themeColor="text1"/>
                <w:szCs w:val="24"/>
              </w:rPr>
              <w:t>-0.09</w:t>
            </w:r>
          </w:p>
        </w:tc>
        <w:tc>
          <w:tcPr>
            <w:tcW w:w="1260" w:type="dxa"/>
            <w:gridSpan w:val="2"/>
          </w:tcPr>
          <w:p w14:paraId="5C8659EA" w14:textId="77777777" w:rsidR="00316911" w:rsidRPr="00707DF8" w:rsidRDefault="00316911" w:rsidP="00F06BE8">
            <w:pPr>
              <w:jc w:val="right"/>
              <w:rPr>
                <w:color w:val="000000" w:themeColor="text1"/>
                <w:szCs w:val="24"/>
              </w:rPr>
            </w:pPr>
            <w:r w:rsidRPr="00707DF8">
              <w:rPr>
                <w:color w:val="000000" w:themeColor="text1"/>
                <w:szCs w:val="24"/>
              </w:rPr>
              <w:t>.926</w:t>
            </w:r>
          </w:p>
        </w:tc>
      </w:tr>
      <w:tr w:rsidR="00707DF8" w:rsidRPr="00707DF8" w14:paraId="3DF3478C" w14:textId="77777777" w:rsidTr="00F06BE8">
        <w:tc>
          <w:tcPr>
            <w:tcW w:w="4320" w:type="dxa"/>
          </w:tcPr>
          <w:p w14:paraId="587EC298" w14:textId="77777777" w:rsidR="00316911" w:rsidRPr="00707DF8" w:rsidRDefault="00316911" w:rsidP="00F06BE8">
            <w:pPr>
              <w:rPr>
                <w:color w:val="000000" w:themeColor="text1"/>
                <w:szCs w:val="24"/>
              </w:rPr>
            </w:pPr>
            <w:r w:rsidRPr="00707DF8">
              <w:rPr>
                <w:color w:val="000000" w:themeColor="text1"/>
                <w:szCs w:val="24"/>
              </w:rPr>
              <w:t>Body dissatisfaction</w:t>
            </w:r>
          </w:p>
        </w:tc>
        <w:tc>
          <w:tcPr>
            <w:tcW w:w="1260" w:type="dxa"/>
          </w:tcPr>
          <w:p w14:paraId="11FC32BD" w14:textId="77777777" w:rsidR="00316911" w:rsidRPr="00707DF8" w:rsidRDefault="00316911" w:rsidP="00F06BE8">
            <w:pPr>
              <w:jc w:val="right"/>
              <w:rPr>
                <w:color w:val="000000" w:themeColor="text1"/>
                <w:szCs w:val="24"/>
              </w:rPr>
            </w:pPr>
            <w:r w:rsidRPr="00707DF8">
              <w:rPr>
                <w:color w:val="000000" w:themeColor="text1"/>
                <w:szCs w:val="24"/>
              </w:rPr>
              <w:t>0.11</w:t>
            </w:r>
          </w:p>
        </w:tc>
        <w:tc>
          <w:tcPr>
            <w:tcW w:w="1260" w:type="dxa"/>
          </w:tcPr>
          <w:p w14:paraId="13333742" w14:textId="77777777" w:rsidR="00316911" w:rsidRPr="00707DF8" w:rsidRDefault="00316911" w:rsidP="00F06BE8">
            <w:pPr>
              <w:jc w:val="right"/>
              <w:rPr>
                <w:color w:val="000000" w:themeColor="text1"/>
                <w:szCs w:val="24"/>
              </w:rPr>
            </w:pPr>
            <w:r w:rsidRPr="00707DF8">
              <w:rPr>
                <w:color w:val="000000" w:themeColor="text1"/>
                <w:szCs w:val="24"/>
              </w:rPr>
              <w:t>0.14</w:t>
            </w:r>
          </w:p>
        </w:tc>
        <w:tc>
          <w:tcPr>
            <w:tcW w:w="1260" w:type="dxa"/>
          </w:tcPr>
          <w:p w14:paraId="2EDB941A" w14:textId="77777777" w:rsidR="00316911" w:rsidRPr="00707DF8" w:rsidRDefault="00316911" w:rsidP="00F06BE8">
            <w:pPr>
              <w:jc w:val="right"/>
              <w:rPr>
                <w:color w:val="000000" w:themeColor="text1"/>
                <w:szCs w:val="24"/>
              </w:rPr>
            </w:pPr>
            <w:r w:rsidRPr="00707DF8">
              <w:rPr>
                <w:color w:val="000000" w:themeColor="text1"/>
                <w:szCs w:val="24"/>
              </w:rPr>
              <w:t>0.81</w:t>
            </w:r>
          </w:p>
        </w:tc>
        <w:tc>
          <w:tcPr>
            <w:tcW w:w="1260" w:type="dxa"/>
            <w:gridSpan w:val="2"/>
          </w:tcPr>
          <w:p w14:paraId="38CD7AF8" w14:textId="77777777" w:rsidR="00316911" w:rsidRPr="00707DF8" w:rsidRDefault="00316911" w:rsidP="00F06BE8">
            <w:pPr>
              <w:jc w:val="right"/>
              <w:rPr>
                <w:color w:val="000000" w:themeColor="text1"/>
                <w:szCs w:val="24"/>
              </w:rPr>
            </w:pPr>
            <w:r w:rsidRPr="00707DF8">
              <w:rPr>
                <w:color w:val="000000" w:themeColor="text1"/>
                <w:szCs w:val="24"/>
              </w:rPr>
              <w:t>.416</w:t>
            </w:r>
          </w:p>
        </w:tc>
      </w:tr>
      <w:tr w:rsidR="00707DF8" w:rsidRPr="00707DF8" w14:paraId="38037EEE" w14:textId="77777777" w:rsidTr="00F06BE8">
        <w:tc>
          <w:tcPr>
            <w:tcW w:w="4320" w:type="dxa"/>
          </w:tcPr>
          <w:p w14:paraId="390C9C54" w14:textId="77777777" w:rsidR="00316911" w:rsidRPr="00707DF8" w:rsidRDefault="00316911" w:rsidP="00F06BE8">
            <w:pPr>
              <w:rPr>
                <w:color w:val="000000" w:themeColor="text1"/>
                <w:szCs w:val="24"/>
              </w:rPr>
            </w:pPr>
            <w:r w:rsidRPr="00707DF8">
              <w:rPr>
                <w:color w:val="000000" w:themeColor="text1"/>
                <w:szCs w:val="24"/>
              </w:rPr>
              <w:t>Negative affect</w:t>
            </w:r>
          </w:p>
        </w:tc>
        <w:tc>
          <w:tcPr>
            <w:tcW w:w="1260" w:type="dxa"/>
          </w:tcPr>
          <w:p w14:paraId="33D60D85" w14:textId="77777777" w:rsidR="00316911" w:rsidRPr="00707DF8" w:rsidRDefault="00316911" w:rsidP="00F06BE8">
            <w:pPr>
              <w:jc w:val="right"/>
              <w:rPr>
                <w:color w:val="000000" w:themeColor="text1"/>
                <w:szCs w:val="24"/>
              </w:rPr>
            </w:pPr>
            <w:r w:rsidRPr="00707DF8">
              <w:rPr>
                <w:color w:val="000000" w:themeColor="text1"/>
                <w:szCs w:val="24"/>
              </w:rPr>
              <w:t>-0.10</w:t>
            </w:r>
          </w:p>
        </w:tc>
        <w:tc>
          <w:tcPr>
            <w:tcW w:w="1260" w:type="dxa"/>
          </w:tcPr>
          <w:p w14:paraId="35D17A57" w14:textId="77777777" w:rsidR="00316911" w:rsidRPr="00707DF8" w:rsidRDefault="00316911" w:rsidP="00F06BE8">
            <w:pPr>
              <w:jc w:val="right"/>
              <w:rPr>
                <w:color w:val="000000" w:themeColor="text1"/>
                <w:szCs w:val="24"/>
              </w:rPr>
            </w:pPr>
            <w:r w:rsidRPr="00707DF8">
              <w:rPr>
                <w:color w:val="000000" w:themeColor="text1"/>
                <w:szCs w:val="24"/>
              </w:rPr>
              <w:t>0.14</w:t>
            </w:r>
          </w:p>
        </w:tc>
        <w:tc>
          <w:tcPr>
            <w:tcW w:w="1260" w:type="dxa"/>
          </w:tcPr>
          <w:p w14:paraId="404F18F9" w14:textId="77777777" w:rsidR="00316911" w:rsidRPr="00707DF8" w:rsidRDefault="00316911" w:rsidP="00F06BE8">
            <w:pPr>
              <w:jc w:val="right"/>
              <w:rPr>
                <w:color w:val="000000" w:themeColor="text1"/>
                <w:szCs w:val="24"/>
              </w:rPr>
            </w:pPr>
            <w:r w:rsidRPr="00707DF8">
              <w:rPr>
                <w:color w:val="000000" w:themeColor="text1"/>
                <w:szCs w:val="24"/>
              </w:rPr>
              <w:t>-0.69</w:t>
            </w:r>
          </w:p>
        </w:tc>
        <w:tc>
          <w:tcPr>
            <w:tcW w:w="1260" w:type="dxa"/>
            <w:gridSpan w:val="2"/>
          </w:tcPr>
          <w:p w14:paraId="357DD93B" w14:textId="77777777" w:rsidR="00316911" w:rsidRPr="00707DF8" w:rsidRDefault="00316911" w:rsidP="00F06BE8">
            <w:pPr>
              <w:jc w:val="right"/>
              <w:rPr>
                <w:color w:val="000000" w:themeColor="text1"/>
                <w:szCs w:val="24"/>
              </w:rPr>
            </w:pPr>
            <w:r w:rsidRPr="00707DF8">
              <w:rPr>
                <w:color w:val="000000" w:themeColor="text1"/>
                <w:szCs w:val="24"/>
              </w:rPr>
              <w:t>.488</w:t>
            </w:r>
          </w:p>
        </w:tc>
      </w:tr>
      <w:tr w:rsidR="00707DF8" w:rsidRPr="00707DF8" w14:paraId="70FCC625" w14:textId="77777777" w:rsidTr="00F06BE8">
        <w:tc>
          <w:tcPr>
            <w:tcW w:w="4320" w:type="dxa"/>
          </w:tcPr>
          <w:p w14:paraId="792949C6" w14:textId="5A982399" w:rsidR="00316911" w:rsidRPr="00707DF8" w:rsidRDefault="00316911" w:rsidP="00F06BE8">
            <w:pPr>
              <w:rPr>
                <w:color w:val="000000" w:themeColor="text1"/>
                <w:szCs w:val="24"/>
              </w:rPr>
            </w:pPr>
            <w:r w:rsidRPr="00707DF8">
              <w:rPr>
                <w:color w:val="000000" w:themeColor="text1"/>
                <w:szCs w:val="24"/>
              </w:rPr>
              <w:t>Palatability high calorie foods</w:t>
            </w:r>
          </w:p>
        </w:tc>
        <w:tc>
          <w:tcPr>
            <w:tcW w:w="1260" w:type="dxa"/>
            <w:vAlign w:val="bottom"/>
          </w:tcPr>
          <w:p w14:paraId="40001E8D" w14:textId="77777777" w:rsidR="00316911" w:rsidRPr="00707DF8" w:rsidRDefault="00316911" w:rsidP="00F06BE8">
            <w:pPr>
              <w:jc w:val="right"/>
              <w:rPr>
                <w:color w:val="000000" w:themeColor="text1"/>
                <w:szCs w:val="24"/>
              </w:rPr>
            </w:pPr>
            <w:r w:rsidRPr="00707DF8">
              <w:rPr>
                <w:color w:val="000000" w:themeColor="text1"/>
                <w:szCs w:val="24"/>
              </w:rPr>
              <w:t>0.01</w:t>
            </w:r>
          </w:p>
        </w:tc>
        <w:tc>
          <w:tcPr>
            <w:tcW w:w="1260" w:type="dxa"/>
            <w:vAlign w:val="bottom"/>
          </w:tcPr>
          <w:p w14:paraId="5FA0D72B" w14:textId="77777777" w:rsidR="00316911" w:rsidRPr="00707DF8" w:rsidRDefault="00316911" w:rsidP="00F06BE8">
            <w:pPr>
              <w:jc w:val="right"/>
              <w:rPr>
                <w:color w:val="000000" w:themeColor="text1"/>
                <w:szCs w:val="24"/>
              </w:rPr>
            </w:pPr>
            <w:r w:rsidRPr="00707DF8">
              <w:rPr>
                <w:color w:val="000000" w:themeColor="text1"/>
                <w:szCs w:val="24"/>
              </w:rPr>
              <w:t>0.27</w:t>
            </w:r>
          </w:p>
        </w:tc>
        <w:tc>
          <w:tcPr>
            <w:tcW w:w="1260" w:type="dxa"/>
            <w:vAlign w:val="bottom"/>
          </w:tcPr>
          <w:p w14:paraId="386B858E" w14:textId="77777777" w:rsidR="00316911" w:rsidRPr="00707DF8" w:rsidRDefault="00316911" w:rsidP="00F06BE8">
            <w:pPr>
              <w:jc w:val="right"/>
              <w:rPr>
                <w:color w:val="000000" w:themeColor="text1"/>
                <w:szCs w:val="24"/>
              </w:rPr>
            </w:pPr>
            <w:r w:rsidRPr="00707DF8">
              <w:rPr>
                <w:color w:val="000000" w:themeColor="text1"/>
                <w:szCs w:val="24"/>
              </w:rPr>
              <w:t>0.04</w:t>
            </w:r>
          </w:p>
        </w:tc>
        <w:tc>
          <w:tcPr>
            <w:tcW w:w="1260" w:type="dxa"/>
            <w:gridSpan w:val="2"/>
            <w:vAlign w:val="bottom"/>
          </w:tcPr>
          <w:p w14:paraId="0FEF78DF" w14:textId="77777777" w:rsidR="00316911" w:rsidRPr="00707DF8" w:rsidRDefault="00316911" w:rsidP="00F06BE8">
            <w:pPr>
              <w:jc w:val="right"/>
              <w:rPr>
                <w:color w:val="000000" w:themeColor="text1"/>
                <w:szCs w:val="24"/>
              </w:rPr>
            </w:pPr>
            <w:r w:rsidRPr="00707DF8">
              <w:rPr>
                <w:color w:val="000000" w:themeColor="text1"/>
                <w:szCs w:val="24"/>
              </w:rPr>
              <w:t>.965</w:t>
            </w:r>
          </w:p>
        </w:tc>
      </w:tr>
      <w:tr w:rsidR="00707DF8" w:rsidRPr="00707DF8" w14:paraId="764C01F9" w14:textId="77777777" w:rsidTr="00F06BE8">
        <w:tc>
          <w:tcPr>
            <w:tcW w:w="4320" w:type="dxa"/>
          </w:tcPr>
          <w:p w14:paraId="2C4A700E" w14:textId="00C73A5B" w:rsidR="00316911" w:rsidRPr="00707DF8" w:rsidRDefault="00316911" w:rsidP="00F06BE8">
            <w:pPr>
              <w:rPr>
                <w:color w:val="000000" w:themeColor="text1"/>
                <w:szCs w:val="24"/>
              </w:rPr>
            </w:pPr>
            <w:r w:rsidRPr="00707DF8">
              <w:rPr>
                <w:color w:val="000000" w:themeColor="text1"/>
                <w:szCs w:val="24"/>
              </w:rPr>
              <w:t>Palatability low calorie foods</w:t>
            </w:r>
          </w:p>
        </w:tc>
        <w:tc>
          <w:tcPr>
            <w:tcW w:w="1260" w:type="dxa"/>
            <w:vAlign w:val="bottom"/>
          </w:tcPr>
          <w:p w14:paraId="3EB9913E" w14:textId="77777777" w:rsidR="00316911" w:rsidRPr="00707DF8" w:rsidRDefault="00316911" w:rsidP="00F06BE8">
            <w:pPr>
              <w:jc w:val="right"/>
              <w:rPr>
                <w:color w:val="000000" w:themeColor="text1"/>
                <w:szCs w:val="24"/>
              </w:rPr>
            </w:pPr>
            <w:r w:rsidRPr="00707DF8">
              <w:rPr>
                <w:color w:val="000000" w:themeColor="text1"/>
                <w:szCs w:val="24"/>
              </w:rPr>
              <w:t>-0.06</w:t>
            </w:r>
          </w:p>
        </w:tc>
        <w:tc>
          <w:tcPr>
            <w:tcW w:w="1260" w:type="dxa"/>
            <w:vAlign w:val="bottom"/>
          </w:tcPr>
          <w:p w14:paraId="7005CE4A" w14:textId="77777777" w:rsidR="00316911" w:rsidRPr="00707DF8" w:rsidRDefault="00316911" w:rsidP="00F06BE8">
            <w:pPr>
              <w:jc w:val="right"/>
              <w:rPr>
                <w:color w:val="000000" w:themeColor="text1"/>
                <w:szCs w:val="24"/>
              </w:rPr>
            </w:pPr>
            <w:r w:rsidRPr="00707DF8">
              <w:rPr>
                <w:color w:val="000000" w:themeColor="text1"/>
                <w:szCs w:val="24"/>
              </w:rPr>
              <w:t>0.21</w:t>
            </w:r>
          </w:p>
        </w:tc>
        <w:tc>
          <w:tcPr>
            <w:tcW w:w="1260" w:type="dxa"/>
            <w:vAlign w:val="bottom"/>
          </w:tcPr>
          <w:p w14:paraId="29C7D3C3" w14:textId="77777777" w:rsidR="00316911" w:rsidRPr="00707DF8" w:rsidRDefault="00316911" w:rsidP="00F06BE8">
            <w:pPr>
              <w:jc w:val="right"/>
              <w:rPr>
                <w:color w:val="000000" w:themeColor="text1"/>
                <w:szCs w:val="24"/>
              </w:rPr>
            </w:pPr>
            <w:r w:rsidRPr="00707DF8">
              <w:rPr>
                <w:color w:val="000000" w:themeColor="text1"/>
                <w:szCs w:val="24"/>
              </w:rPr>
              <w:t>-0.28</w:t>
            </w:r>
          </w:p>
        </w:tc>
        <w:tc>
          <w:tcPr>
            <w:tcW w:w="1260" w:type="dxa"/>
            <w:gridSpan w:val="2"/>
            <w:vAlign w:val="bottom"/>
          </w:tcPr>
          <w:p w14:paraId="7213A273" w14:textId="77777777" w:rsidR="00316911" w:rsidRPr="00707DF8" w:rsidRDefault="00316911" w:rsidP="00F06BE8">
            <w:pPr>
              <w:jc w:val="right"/>
              <w:rPr>
                <w:color w:val="000000" w:themeColor="text1"/>
                <w:szCs w:val="24"/>
              </w:rPr>
            </w:pPr>
            <w:r w:rsidRPr="00707DF8">
              <w:rPr>
                <w:color w:val="000000" w:themeColor="text1"/>
                <w:szCs w:val="24"/>
              </w:rPr>
              <w:t>.787</w:t>
            </w:r>
          </w:p>
        </w:tc>
      </w:tr>
      <w:tr w:rsidR="00707DF8" w:rsidRPr="00707DF8" w14:paraId="22808BE3" w14:textId="77777777" w:rsidTr="00F06BE8">
        <w:tc>
          <w:tcPr>
            <w:tcW w:w="4320" w:type="dxa"/>
          </w:tcPr>
          <w:p w14:paraId="5CF49262" w14:textId="43CBAD71" w:rsidR="00316911" w:rsidRPr="00707DF8" w:rsidRDefault="00316911" w:rsidP="00F06BE8">
            <w:pPr>
              <w:rPr>
                <w:color w:val="000000" w:themeColor="text1"/>
                <w:szCs w:val="24"/>
              </w:rPr>
            </w:pPr>
            <w:r w:rsidRPr="00707DF8">
              <w:rPr>
                <w:color w:val="000000" w:themeColor="text1"/>
                <w:szCs w:val="24"/>
              </w:rPr>
              <w:t>Monetary value high-calorie food</w:t>
            </w:r>
            <w:r w:rsidR="00566405" w:rsidRPr="00707DF8">
              <w:rPr>
                <w:color w:val="000000" w:themeColor="text1"/>
                <w:szCs w:val="24"/>
              </w:rPr>
              <w:t>s</w:t>
            </w:r>
          </w:p>
        </w:tc>
        <w:tc>
          <w:tcPr>
            <w:tcW w:w="1260" w:type="dxa"/>
            <w:vAlign w:val="bottom"/>
          </w:tcPr>
          <w:p w14:paraId="2DA0AD38" w14:textId="77777777" w:rsidR="00316911" w:rsidRPr="00707DF8" w:rsidRDefault="00316911" w:rsidP="00F06BE8">
            <w:pPr>
              <w:jc w:val="right"/>
              <w:rPr>
                <w:color w:val="000000" w:themeColor="text1"/>
                <w:szCs w:val="24"/>
              </w:rPr>
            </w:pPr>
            <w:r w:rsidRPr="00707DF8">
              <w:rPr>
                <w:color w:val="000000" w:themeColor="text1"/>
                <w:szCs w:val="24"/>
              </w:rPr>
              <w:t>-0.07</w:t>
            </w:r>
          </w:p>
        </w:tc>
        <w:tc>
          <w:tcPr>
            <w:tcW w:w="1260" w:type="dxa"/>
            <w:vAlign w:val="bottom"/>
          </w:tcPr>
          <w:p w14:paraId="0821FB3D" w14:textId="77777777" w:rsidR="00316911" w:rsidRPr="00707DF8" w:rsidRDefault="00316911" w:rsidP="00F06BE8">
            <w:pPr>
              <w:jc w:val="right"/>
              <w:rPr>
                <w:color w:val="000000" w:themeColor="text1"/>
                <w:szCs w:val="24"/>
              </w:rPr>
            </w:pPr>
            <w:r w:rsidRPr="00707DF8">
              <w:rPr>
                <w:color w:val="000000" w:themeColor="text1"/>
                <w:szCs w:val="24"/>
              </w:rPr>
              <w:t>0.24</w:t>
            </w:r>
          </w:p>
        </w:tc>
        <w:tc>
          <w:tcPr>
            <w:tcW w:w="1260" w:type="dxa"/>
            <w:vAlign w:val="bottom"/>
          </w:tcPr>
          <w:p w14:paraId="1AB007FD" w14:textId="77777777" w:rsidR="00316911" w:rsidRPr="00707DF8" w:rsidRDefault="00316911" w:rsidP="00F06BE8">
            <w:pPr>
              <w:jc w:val="right"/>
              <w:rPr>
                <w:color w:val="000000" w:themeColor="text1"/>
                <w:szCs w:val="24"/>
              </w:rPr>
            </w:pPr>
            <w:r w:rsidRPr="00707DF8">
              <w:rPr>
                <w:color w:val="000000" w:themeColor="text1"/>
                <w:szCs w:val="24"/>
              </w:rPr>
              <w:t>-0.31</w:t>
            </w:r>
          </w:p>
        </w:tc>
        <w:tc>
          <w:tcPr>
            <w:tcW w:w="1260" w:type="dxa"/>
            <w:gridSpan w:val="2"/>
            <w:vAlign w:val="bottom"/>
          </w:tcPr>
          <w:p w14:paraId="6E2F2A8E" w14:textId="77777777" w:rsidR="00316911" w:rsidRPr="00707DF8" w:rsidRDefault="00316911" w:rsidP="00F06BE8">
            <w:pPr>
              <w:jc w:val="right"/>
              <w:rPr>
                <w:color w:val="000000" w:themeColor="text1"/>
                <w:szCs w:val="24"/>
              </w:rPr>
            </w:pPr>
            <w:r w:rsidRPr="00707DF8">
              <w:rPr>
                <w:color w:val="000000" w:themeColor="text1"/>
                <w:szCs w:val="24"/>
              </w:rPr>
              <w:t>.759</w:t>
            </w:r>
          </w:p>
        </w:tc>
      </w:tr>
      <w:tr w:rsidR="00707DF8" w:rsidRPr="00707DF8" w14:paraId="46F1E434" w14:textId="77777777" w:rsidTr="00F06BE8">
        <w:tc>
          <w:tcPr>
            <w:tcW w:w="4320" w:type="dxa"/>
          </w:tcPr>
          <w:p w14:paraId="38835882" w14:textId="4846D8A9" w:rsidR="00316911" w:rsidRPr="00707DF8" w:rsidRDefault="00316911" w:rsidP="00F06BE8">
            <w:pPr>
              <w:rPr>
                <w:color w:val="000000" w:themeColor="text1"/>
                <w:szCs w:val="24"/>
              </w:rPr>
            </w:pPr>
            <w:r w:rsidRPr="00707DF8">
              <w:rPr>
                <w:color w:val="000000" w:themeColor="text1"/>
                <w:szCs w:val="24"/>
              </w:rPr>
              <w:t xml:space="preserve">Monetary value low-calorie foods </w:t>
            </w:r>
          </w:p>
        </w:tc>
        <w:tc>
          <w:tcPr>
            <w:tcW w:w="1260" w:type="dxa"/>
            <w:vAlign w:val="bottom"/>
          </w:tcPr>
          <w:p w14:paraId="21E75349" w14:textId="77777777" w:rsidR="00316911" w:rsidRPr="00707DF8" w:rsidRDefault="00316911" w:rsidP="00F06BE8">
            <w:pPr>
              <w:jc w:val="right"/>
              <w:rPr>
                <w:color w:val="000000" w:themeColor="text1"/>
                <w:szCs w:val="24"/>
              </w:rPr>
            </w:pPr>
            <w:r w:rsidRPr="00707DF8">
              <w:rPr>
                <w:color w:val="000000" w:themeColor="text1"/>
                <w:szCs w:val="24"/>
              </w:rPr>
              <w:t>-0.15</w:t>
            </w:r>
          </w:p>
        </w:tc>
        <w:tc>
          <w:tcPr>
            <w:tcW w:w="1260" w:type="dxa"/>
            <w:vAlign w:val="bottom"/>
          </w:tcPr>
          <w:p w14:paraId="4272EC1D" w14:textId="77777777" w:rsidR="00316911" w:rsidRPr="00707DF8" w:rsidRDefault="00316911" w:rsidP="00F06BE8">
            <w:pPr>
              <w:jc w:val="right"/>
              <w:rPr>
                <w:color w:val="000000" w:themeColor="text1"/>
                <w:szCs w:val="24"/>
              </w:rPr>
            </w:pPr>
            <w:r w:rsidRPr="00707DF8">
              <w:rPr>
                <w:color w:val="000000" w:themeColor="text1"/>
                <w:szCs w:val="24"/>
              </w:rPr>
              <w:t>0.22</w:t>
            </w:r>
          </w:p>
        </w:tc>
        <w:tc>
          <w:tcPr>
            <w:tcW w:w="1260" w:type="dxa"/>
            <w:vAlign w:val="bottom"/>
          </w:tcPr>
          <w:p w14:paraId="4DD8F125" w14:textId="77777777" w:rsidR="00316911" w:rsidRPr="00707DF8" w:rsidRDefault="00316911" w:rsidP="00F06BE8">
            <w:pPr>
              <w:jc w:val="right"/>
              <w:rPr>
                <w:color w:val="000000" w:themeColor="text1"/>
                <w:szCs w:val="24"/>
              </w:rPr>
            </w:pPr>
            <w:r w:rsidRPr="00707DF8">
              <w:rPr>
                <w:color w:val="000000" w:themeColor="text1"/>
                <w:szCs w:val="24"/>
              </w:rPr>
              <w:t>-0.69</w:t>
            </w:r>
          </w:p>
        </w:tc>
        <w:tc>
          <w:tcPr>
            <w:tcW w:w="1260" w:type="dxa"/>
            <w:gridSpan w:val="2"/>
            <w:vAlign w:val="bottom"/>
          </w:tcPr>
          <w:p w14:paraId="16A805C4" w14:textId="77777777" w:rsidR="00316911" w:rsidRPr="00707DF8" w:rsidRDefault="00316911" w:rsidP="00F06BE8">
            <w:pPr>
              <w:jc w:val="right"/>
              <w:rPr>
                <w:color w:val="000000" w:themeColor="text1"/>
                <w:szCs w:val="24"/>
              </w:rPr>
            </w:pPr>
            <w:r w:rsidRPr="00707DF8">
              <w:rPr>
                <w:color w:val="000000" w:themeColor="text1"/>
                <w:szCs w:val="24"/>
              </w:rPr>
              <w:t>.491</w:t>
            </w:r>
          </w:p>
        </w:tc>
      </w:tr>
      <w:tr w:rsidR="00707DF8" w:rsidRPr="00707DF8" w14:paraId="7166E551" w14:textId="77777777" w:rsidTr="00F06BE8">
        <w:tc>
          <w:tcPr>
            <w:tcW w:w="4320" w:type="dxa"/>
          </w:tcPr>
          <w:p w14:paraId="48CC7AFA" w14:textId="77777777" w:rsidR="00316911" w:rsidRPr="00707DF8" w:rsidRDefault="00316911" w:rsidP="00F06BE8">
            <w:pPr>
              <w:rPr>
                <w:color w:val="000000" w:themeColor="text1"/>
                <w:szCs w:val="24"/>
              </w:rPr>
            </w:pPr>
            <w:r w:rsidRPr="00707DF8">
              <w:rPr>
                <w:color w:val="000000" w:themeColor="text1"/>
                <w:szCs w:val="24"/>
              </w:rPr>
              <w:t xml:space="preserve">Attractiveness thin models </w:t>
            </w:r>
          </w:p>
        </w:tc>
        <w:tc>
          <w:tcPr>
            <w:tcW w:w="1260" w:type="dxa"/>
            <w:vAlign w:val="bottom"/>
          </w:tcPr>
          <w:p w14:paraId="6796ABB9" w14:textId="77777777" w:rsidR="00316911" w:rsidRPr="00707DF8" w:rsidRDefault="00316911" w:rsidP="00F06BE8">
            <w:pPr>
              <w:jc w:val="right"/>
              <w:rPr>
                <w:color w:val="000000" w:themeColor="text1"/>
                <w:szCs w:val="24"/>
              </w:rPr>
            </w:pPr>
            <w:r w:rsidRPr="00707DF8">
              <w:rPr>
                <w:color w:val="000000" w:themeColor="text1"/>
                <w:szCs w:val="24"/>
              </w:rPr>
              <w:t>-0.14</w:t>
            </w:r>
          </w:p>
        </w:tc>
        <w:tc>
          <w:tcPr>
            <w:tcW w:w="1260" w:type="dxa"/>
            <w:vAlign w:val="bottom"/>
          </w:tcPr>
          <w:p w14:paraId="1A46CF6C" w14:textId="77777777" w:rsidR="00316911" w:rsidRPr="00707DF8" w:rsidRDefault="00316911" w:rsidP="00F06BE8">
            <w:pPr>
              <w:jc w:val="right"/>
              <w:rPr>
                <w:color w:val="000000" w:themeColor="text1"/>
                <w:szCs w:val="24"/>
              </w:rPr>
            </w:pPr>
            <w:r w:rsidRPr="00707DF8">
              <w:rPr>
                <w:color w:val="000000" w:themeColor="text1"/>
                <w:szCs w:val="24"/>
              </w:rPr>
              <w:t>0.23</w:t>
            </w:r>
          </w:p>
        </w:tc>
        <w:tc>
          <w:tcPr>
            <w:tcW w:w="1260" w:type="dxa"/>
            <w:vAlign w:val="bottom"/>
          </w:tcPr>
          <w:p w14:paraId="29901556" w14:textId="77777777" w:rsidR="00316911" w:rsidRPr="00707DF8" w:rsidRDefault="00316911" w:rsidP="00F06BE8">
            <w:pPr>
              <w:jc w:val="right"/>
              <w:rPr>
                <w:color w:val="000000" w:themeColor="text1"/>
                <w:szCs w:val="24"/>
              </w:rPr>
            </w:pPr>
            <w:r w:rsidRPr="00707DF8">
              <w:rPr>
                <w:color w:val="000000" w:themeColor="text1"/>
                <w:szCs w:val="24"/>
              </w:rPr>
              <w:t>-0.61</w:t>
            </w:r>
          </w:p>
        </w:tc>
        <w:tc>
          <w:tcPr>
            <w:tcW w:w="1260" w:type="dxa"/>
            <w:gridSpan w:val="2"/>
            <w:vAlign w:val="bottom"/>
          </w:tcPr>
          <w:p w14:paraId="178F5970" w14:textId="77777777" w:rsidR="00316911" w:rsidRPr="00707DF8" w:rsidRDefault="00316911" w:rsidP="00F06BE8">
            <w:pPr>
              <w:jc w:val="right"/>
              <w:rPr>
                <w:color w:val="000000" w:themeColor="text1"/>
                <w:szCs w:val="24"/>
              </w:rPr>
            </w:pPr>
            <w:r w:rsidRPr="00707DF8">
              <w:rPr>
                <w:color w:val="000000" w:themeColor="text1"/>
                <w:szCs w:val="24"/>
              </w:rPr>
              <w:t>.545</w:t>
            </w:r>
          </w:p>
        </w:tc>
      </w:tr>
      <w:tr w:rsidR="00707DF8" w:rsidRPr="00707DF8" w14:paraId="47105644" w14:textId="77777777" w:rsidTr="00F06BE8">
        <w:tc>
          <w:tcPr>
            <w:tcW w:w="4320" w:type="dxa"/>
            <w:tcBorders>
              <w:bottom w:val="single" w:sz="4" w:space="0" w:color="auto"/>
            </w:tcBorders>
          </w:tcPr>
          <w:p w14:paraId="13784725" w14:textId="77777777" w:rsidR="00316911" w:rsidRPr="00707DF8" w:rsidRDefault="00316911" w:rsidP="00F06BE8">
            <w:pPr>
              <w:rPr>
                <w:color w:val="000000" w:themeColor="text1"/>
                <w:szCs w:val="24"/>
              </w:rPr>
            </w:pPr>
            <w:r w:rsidRPr="00707DF8">
              <w:rPr>
                <w:color w:val="000000" w:themeColor="text1"/>
                <w:szCs w:val="24"/>
              </w:rPr>
              <w:t>Attractiveness average-weight models</w:t>
            </w:r>
          </w:p>
        </w:tc>
        <w:tc>
          <w:tcPr>
            <w:tcW w:w="1260" w:type="dxa"/>
            <w:tcBorders>
              <w:bottom w:val="single" w:sz="4" w:space="0" w:color="auto"/>
            </w:tcBorders>
            <w:vAlign w:val="bottom"/>
          </w:tcPr>
          <w:p w14:paraId="084E0D84" w14:textId="77777777" w:rsidR="00316911" w:rsidRPr="00707DF8" w:rsidRDefault="00316911" w:rsidP="00F06BE8">
            <w:pPr>
              <w:jc w:val="right"/>
              <w:rPr>
                <w:color w:val="000000" w:themeColor="text1"/>
                <w:szCs w:val="24"/>
              </w:rPr>
            </w:pPr>
            <w:r w:rsidRPr="00707DF8">
              <w:rPr>
                <w:color w:val="000000" w:themeColor="text1"/>
                <w:szCs w:val="24"/>
              </w:rPr>
              <w:t>-0.17</w:t>
            </w:r>
          </w:p>
        </w:tc>
        <w:tc>
          <w:tcPr>
            <w:tcW w:w="1260" w:type="dxa"/>
            <w:tcBorders>
              <w:bottom w:val="single" w:sz="4" w:space="0" w:color="auto"/>
            </w:tcBorders>
            <w:vAlign w:val="bottom"/>
          </w:tcPr>
          <w:p w14:paraId="356947D6" w14:textId="77777777" w:rsidR="00316911" w:rsidRPr="00707DF8" w:rsidRDefault="00316911" w:rsidP="00F06BE8">
            <w:pPr>
              <w:jc w:val="right"/>
              <w:rPr>
                <w:color w:val="000000" w:themeColor="text1"/>
                <w:szCs w:val="24"/>
              </w:rPr>
            </w:pPr>
            <w:r w:rsidRPr="00707DF8">
              <w:rPr>
                <w:color w:val="000000" w:themeColor="text1"/>
                <w:szCs w:val="24"/>
              </w:rPr>
              <w:t>0.24</w:t>
            </w:r>
          </w:p>
        </w:tc>
        <w:tc>
          <w:tcPr>
            <w:tcW w:w="1260" w:type="dxa"/>
            <w:tcBorders>
              <w:bottom w:val="single" w:sz="4" w:space="0" w:color="auto"/>
            </w:tcBorders>
            <w:vAlign w:val="bottom"/>
          </w:tcPr>
          <w:p w14:paraId="22F5B024" w14:textId="77777777" w:rsidR="00316911" w:rsidRPr="00707DF8" w:rsidRDefault="00316911" w:rsidP="00F06BE8">
            <w:pPr>
              <w:jc w:val="right"/>
              <w:rPr>
                <w:color w:val="000000" w:themeColor="text1"/>
                <w:szCs w:val="24"/>
              </w:rPr>
            </w:pPr>
            <w:r w:rsidRPr="00707DF8">
              <w:rPr>
                <w:color w:val="000000" w:themeColor="text1"/>
                <w:szCs w:val="24"/>
              </w:rPr>
              <w:t>-0.73</w:t>
            </w:r>
          </w:p>
        </w:tc>
        <w:tc>
          <w:tcPr>
            <w:tcW w:w="1260" w:type="dxa"/>
            <w:gridSpan w:val="2"/>
            <w:tcBorders>
              <w:bottom w:val="single" w:sz="4" w:space="0" w:color="auto"/>
            </w:tcBorders>
            <w:vAlign w:val="bottom"/>
          </w:tcPr>
          <w:p w14:paraId="46730EEC" w14:textId="77777777" w:rsidR="00316911" w:rsidRPr="00707DF8" w:rsidRDefault="00316911" w:rsidP="00F06BE8">
            <w:pPr>
              <w:jc w:val="right"/>
              <w:rPr>
                <w:color w:val="000000" w:themeColor="text1"/>
                <w:szCs w:val="24"/>
              </w:rPr>
            </w:pPr>
            <w:r w:rsidRPr="00707DF8">
              <w:rPr>
                <w:color w:val="000000" w:themeColor="text1"/>
                <w:szCs w:val="24"/>
              </w:rPr>
              <w:t>.467</w:t>
            </w:r>
          </w:p>
        </w:tc>
      </w:tr>
      <w:tr w:rsidR="006E5E1A" w:rsidRPr="00707DF8" w14:paraId="48D6EEFE" w14:textId="77777777" w:rsidTr="00F06BE8">
        <w:trPr>
          <w:gridAfter w:val="1"/>
          <w:wAfter w:w="10" w:type="dxa"/>
        </w:trPr>
        <w:tc>
          <w:tcPr>
            <w:tcW w:w="9350" w:type="dxa"/>
            <w:gridSpan w:val="5"/>
            <w:tcBorders>
              <w:top w:val="single" w:sz="4" w:space="0" w:color="auto"/>
            </w:tcBorders>
          </w:tcPr>
          <w:p w14:paraId="58CA4312" w14:textId="77777777" w:rsidR="00316911" w:rsidRPr="00707DF8" w:rsidRDefault="00316911" w:rsidP="00F06BE8">
            <w:pPr>
              <w:spacing w:after="100"/>
              <w:contextualSpacing/>
              <w:rPr>
                <w:color w:val="000000" w:themeColor="text1"/>
                <w:szCs w:val="24"/>
              </w:rPr>
            </w:pPr>
            <w:r w:rsidRPr="00707DF8">
              <w:rPr>
                <w:i/>
                <w:color w:val="000000" w:themeColor="text1"/>
                <w:szCs w:val="24"/>
              </w:rPr>
              <w:t>SE</w:t>
            </w:r>
            <w:r w:rsidRPr="00707DF8">
              <w:rPr>
                <w:color w:val="000000" w:themeColor="text1"/>
                <w:szCs w:val="24"/>
              </w:rPr>
              <w:t xml:space="preserve">=standard error. </w:t>
            </w:r>
          </w:p>
          <w:p w14:paraId="627BF79B" w14:textId="77777777" w:rsidR="00316911" w:rsidRPr="00707DF8" w:rsidRDefault="00316911" w:rsidP="00F06BE8">
            <w:pPr>
              <w:spacing w:after="100"/>
              <w:contextualSpacing/>
              <w:rPr>
                <w:color w:val="000000" w:themeColor="text1"/>
                <w:szCs w:val="24"/>
              </w:rPr>
            </w:pPr>
            <w:r w:rsidRPr="00707DF8">
              <w:rPr>
                <w:color w:val="000000" w:themeColor="text1"/>
                <w:szCs w:val="24"/>
                <w:u w:val="single"/>
              </w:rPr>
              <w:t>Note</w:t>
            </w:r>
            <w:r w:rsidRPr="00707DF8">
              <w:rPr>
                <w:color w:val="000000" w:themeColor="text1"/>
                <w:szCs w:val="24"/>
              </w:rPr>
              <w:t>. The waitlist control is the reference category (i.e., dummy coded 0)</w:t>
            </w:r>
          </w:p>
        </w:tc>
      </w:tr>
    </w:tbl>
    <w:p w14:paraId="760FF9FF" w14:textId="789B5F83"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7BAC0B3D" w14:textId="12381DAC"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0DD7025D" w14:textId="0C826A14"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022C2EE7" w14:textId="740FF8C8"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23C7F896" w14:textId="49985A7F"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74D4A954" w14:textId="1D70EAA3"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0FE63114" w14:textId="0CF59925"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4500E1DB" w14:textId="4DE557FD"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726D5F0C" w14:textId="68E43CE7"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17015957" w14:textId="29CD15E7"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3BCE1AB5" w14:textId="6CE358C9"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68D1F859" w14:textId="5A316CBC"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3525528C" w14:textId="73DC8E10"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6F42E768" w14:textId="74B47AB0"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4AD3A028" w14:textId="77777777" w:rsidR="00316911" w:rsidRPr="00707DF8" w:rsidRDefault="00316911" w:rsidP="004701AF">
      <w:pPr>
        <w:tabs>
          <w:tab w:val="left" w:pos="360"/>
        </w:tabs>
        <w:spacing w:line="480" w:lineRule="auto"/>
        <w:outlineLvl w:val="0"/>
        <w:rPr>
          <w:rFonts w:eastAsia="Calibri" w:cstheme="majorHAnsi"/>
          <w:color w:val="000000" w:themeColor="text1"/>
          <w:szCs w:val="24"/>
        </w:rPr>
      </w:pPr>
    </w:p>
    <w:p w14:paraId="6A9E8EA5" w14:textId="77777777" w:rsidR="003F568E" w:rsidRPr="00707DF8" w:rsidRDefault="003F568E" w:rsidP="005E24F2">
      <w:pPr>
        <w:tabs>
          <w:tab w:val="left" w:pos="360"/>
        </w:tabs>
        <w:spacing w:line="480" w:lineRule="auto"/>
        <w:jc w:val="center"/>
        <w:outlineLvl w:val="0"/>
        <w:rPr>
          <w:rFonts w:eastAsia="Calibri" w:cstheme="majorHAnsi"/>
          <w:b/>
          <w:color w:val="000000" w:themeColor="text1"/>
          <w:szCs w:val="24"/>
        </w:rPr>
      </w:pPr>
      <w:r w:rsidRPr="00707DF8">
        <w:rPr>
          <w:rFonts w:eastAsia="Calibri" w:cstheme="majorHAnsi"/>
          <w:b/>
          <w:color w:val="000000" w:themeColor="text1"/>
          <w:szCs w:val="24"/>
        </w:rPr>
        <w:lastRenderedPageBreak/>
        <w:t>Supplemental References</w:t>
      </w:r>
    </w:p>
    <w:p w14:paraId="5FD34EB8" w14:textId="3D4C736F" w:rsidR="00080E2B" w:rsidRPr="00707DF8" w:rsidRDefault="00080E2B" w:rsidP="00080E2B">
      <w:pPr>
        <w:pStyle w:val="EndNoteBibliography"/>
        <w:spacing w:line="480" w:lineRule="auto"/>
        <w:ind w:left="720" w:hanging="720"/>
        <w:jc w:val="left"/>
        <w:rPr>
          <w:color w:val="000000" w:themeColor="text1"/>
        </w:rPr>
      </w:pPr>
      <w:r w:rsidRPr="00707DF8">
        <w:rPr>
          <w:color w:val="000000" w:themeColor="text1"/>
        </w:rPr>
        <w:t>Ashburner, J. (2007). A fast diffeomorphic image registration algorithm.</w:t>
      </w:r>
      <w:r w:rsidR="00EE7458" w:rsidRPr="00707DF8">
        <w:rPr>
          <w:i/>
          <w:color w:val="000000" w:themeColor="text1"/>
        </w:rPr>
        <w:t xml:space="preserve"> NeuroImage</w:t>
      </w:r>
      <w:r w:rsidRPr="00707DF8">
        <w:rPr>
          <w:i/>
          <w:color w:val="000000" w:themeColor="text1"/>
        </w:rPr>
        <w:t>, 38</w:t>
      </w:r>
      <w:r w:rsidRPr="00707DF8">
        <w:rPr>
          <w:color w:val="000000" w:themeColor="text1"/>
        </w:rPr>
        <w:t xml:space="preserve">(1), 95-113. </w:t>
      </w:r>
    </w:p>
    <w:p w14:paraId="487FCF92" w14:textId="62F7F092" w:rsidR="00080E2B" w:rsidRPr="00707DF8" w:rsidRDefault="00080E2B" w:rsidP="00080E2B">
      <w:pPr>
        <w:pStyle w:val="EndNoteBibliography"/>
        <w:spacing w:line="480" w:lineRule="auto"/>
        <w:ind w:left="720" w:hanging="720"/>
        <w:jc w:val="left"/>
        <w:rPr>
          <w:color w:val="000000" w:themeColor="text1"/>
        </w:rPr>
      </w:pPr>
      <w:r w:rsidRPr="00707DF8">
        <w:rPr>
          <w:color w:val="000000" w:themeColor="text1"/>
        </w:rPr>
        <w:t>Ashburner, J., &amp; Friston, K. J. (2005). Unified segmentation.</w:t>
      </w:r>
      <w:r w:rsidR="00EE7458" w:rsidRPr="00707DF8">
        <w:rPr>
          <w:i/>
          <w:color w:val="000000" w:themeColor="text1"/>
        </w:rPr>
        <w:t xml:space="preserve"> NeuroImage</w:t>
      </w:r>
      <w:r w:rsidRPr="00707DF8">
        <w:rPr>
          <w:i/>
          <w:color w:val="000000" w:themeColor="text1"/>
        </w:rPr>
        <w:t>, 26</w:t>
      </w:r>
      <w:r w:rsidRPr="00707DF8">
        <w:rPr>
          <w:color w:val="000000" w:themeColor="text1"/>
        </w:rPr>
        <w:t xml:space="preserve">(3), 839-851. </w:t>
      </w:r>
    </w:p>
    <w:p w14:paraId="6A4AEF00" w14:textId="77777777" w:rsidR="00080E2B" w:rsidRPr="00707DF8" w:rsidRDefault="00080E2B" w:rsidP="00080E2B">
      <w:pPr>
        <w:pStyle w:val="EndNoteBibliography"/>
        <w:spacing w:line="480" w:lineRule="auto"/>
        <w:ind w:left="720" w:hanging="720"/>
        <w:jc w:val="left"/>
        <w:rPr>
          <w:color w:val="000000" w:themeColor="text1"/>
        </w:rPr>
      </w:pPr>
      <w:r w:rsidRPr="00707DF8">
        <w:rPr>
          <w:color w:val="000000" w:themeColor="text1"/>
        </w:rPr>
        <w:t xml:space="preserve">Hare, T. A., Camerer, C. F., &amp; Rangel, A. (2009). Self-control in decision-making involves modulation of the vmPFC valuation system. </w:t>
      </w:r>
      <w:r w:rsidRPr="00707DF8">
        <w:rPr>
          <w:i/>
          <w:color w:val="000000" w:themeColor="text1"/>
        </w:rPr>
        <w:t>Science, 324</w:t>
      </w:r>
      <w:r w:rsidRPr="00707DF8">
        <w:rPr>
          <w:color w:val="000000" w:themeColor="text1"/>
        </w:rPr>
        <w:t xml:space="preserve">(5927), 646-648. </w:t>
      </w:r>
    </w:p>
    <w:p w14:paraId="57BFC078" w14:textId="4607E9EA" w:rsidR="00080E2B" w:rsidRPr="00707DF8" w:rsidRDefault="00080E2B" w:rsidP="00080E2B">
      <w:pPr>
        <w:pStyle w:val="EndNoteBibliography"/>
        <w:spacing w:line="480" w:lineRule="auto"/>
        <w:ind w:left="720" w:hanging="720"/>
        <w:jc w:val="left"/>
        <w:rPr>
          <w:color w:val="000000" w:themeColor="text1"/>
        </w:rPr>
      </w:pPr>
      <w:r w:rsidRPr="00707DF8">
        <w:rPr>
          <w:color w:val="000000" w:themeColor="text1"/>
        </w:rPr>
        <w:t>Smith, D. V., Hayden, B. Y., Truong, T. K., Song, A. W., Platt, M. L., &amp; Huettel, S. A. (2010). Distinct value signals in anterior and posterior ventromedial prefrontal cortex.</w:t>
      </w:r>
      <w:r w:rsidR="00EE7458" w:rsidRPr="00707DF8">
        <w:rPr>
          <w:i/>
          <w:color w:val="000000" w:themeColor="text1"/>
        </w:rPr>
        <w:t xml:space="preserve"> Journal of Neuroscience</w:t>
      </w:r>
      <w:r w:rsidRPr="00707DF8">
        <w:rPr>
          <w:i/>
          <w:color w:val="000000" w:themeColor="text1"/>
        </w:rPr>
        <w:t>, 30</w:t>
      </w:r>
      <w:r w:rsidRPr="00707DF8">
        <w:rPr>
          <w:color w:val="000000" w:themeColor="text1"/>
        </w:rPr>
        <w:t xml:space="preserve">(7), 2490-2495. </w:t>
      </w:r>
    </w:p>
    <w:p w14:paraId="7247A3E4" w14:textId="225D4730" w:rsidR="00080E2B" w:rsidRPr="00707DF8" w:rsidRDefault="00080E2B" w:rsidP="00080E2B">
      <w:pPr>
        <w:pStyle w:val="EndNoteBibliography"/>
        <w:spacing w:line="480" w:lineRule="auto"/>
        <w:ind w:left="720" w:hanging="720"/>
        <w:jc w:val="left"/>
        <w:rPr>
          <w:color w:val="000000" w:themeColor="text1"/>
        </w:rPr>
      </w:pPr>
      <w:r w:rsidRPr="00707DF8">
        <w:rPr>
          <w:color w:val="000000" w:themeColor="text1"/>
        </w:rPr>
        <w:t>Stice, E., Gau, J. M., Rohde, P., &amp; Shaw, H. (2017). Risk factors that predict future onset of each DSM-5 eating disorder: Predictive specificity in high-risk adolescent females.</w:t>
      </w:r>
      <w:r w:rsidR="00EE7458" w:rsidRPr="00707DF8">
        <w:rPr>
          <w:i/>
          <w:color w:val="000000" w:themeColor="text1"/>
        </w:rPr>
        <w:t xml:space="preserve"> Journal of Abnormal Psychology</w:t>
      </w:r>
      <w:r w:rsidRPr="00707DF8">
        <w:rPr>
          <w:i/>
          <w:color w:val="000000" w:themeColor="text1"/>
        </w:rPr>
        <w:t>, 126</w:t>
      </w:r>
      <w:r w:rsidRPr="00707DF8">
        <w:rPr>
          <w:color w:val="000000" w:themeColor="text1"/>
        </w:rPr>
        <w:t xml:space="preserve">(1), 38-51. </w:t>
      </w:r>
    </w:p>
    <w:p w14:paraId="41675C09" w14:textId="19C88A08" w:rsidR="00080E2B" w:rsidRPr="00707DF8" w:rsidRDefault="00080E2B" w:rsidP="00080E2B">
      <w:pPr>
        <w:pStyle w:val="EndNoteBibliography"/>
        <w:spacing w:line="480" w:lineRule="auto"/>
        <w:ind w:left="720" w:hanging="720"/>
        <w:jc w:val="left"/>
        <w:rPr>
          <w:color w:val="000000" w:themeColor="text1"/>
        </w:rPr>
      </w:pPr>
      <w:r w:rsidRPr="00707DF8">
        <w:rPr>
          <w:color w:val="000000" w:themeColor="text1"/>
        </w:rPr>
        <w:t>Stice, E., Yokum, S., Rohde, P., Shaw, H., Gau, J. M., Johnson, S., &amp; Johns, A. (2019). Randomized trial of a dissonance-based transdiagnostic group treatment for eating disorders: An evaluation of target engagement.</w:t>
      </w:r>
      <w:r w:rsidR="00EE7458" w:rsidRPr="00707DF8">
        <w:rPr>
          <w:i/>
          <w:color w:val="000000" w:themeColor="text1"/>
        </w:rPr>
        <w:t xml:space="preserve"> Journal of Consulting and Clinical Psychology</w:t>
      </w:r>
      <w:r w:rsidRPr="00707DF8">
        <w:rPr>
          <w:i/>
          <w:color w:val="000000" w:themeColor="text1"/>
        </w:rPr>
        <w:t>, 87</w:t>
      </w:r>
      <w:r w:rsidRPr="00707DF8">
        <w:rPr>
          <w:color w:val="000000" w:themeColor="text1"/>
        </w:rPr>
        <w:t>(9), 772-786.</w:t>
      </w:r>
    </w:p>
    <w:p w14:paraId="3542A900" w14:textId="77777777" w:rsidR="00080E2B" w:rsidRPr="00707DF8" w:rsidRDefault="00080E2B" w:rsidP="00080E2B">
      <w:pPr>
        <w:pStyle w:val="EndNoteBibliography"/>
        <w:spacing w:line="480" w:lineRule="auto"/>
        <w:ind w:left="720" w:hanging="720"/>
        <w:jc w:val="left"/>
        <w:rPr>
          <w:color w:val="000000" w:themeColor="text1"/>
        </w:rPr>
      </w:pPr>
      <w:r w:rsidRPr="00707DF8">
        <w:rPr>
          <w:color w:val="000000" w:themeColor="text1"/>
        </w:rPr>
        <w:t xml:space="preserve">Stice, E., Yokum, S., &amp; Waters, A. (2015). Dissonance-Based Eating Disorder Prevention Program Reduces Reward Region Response to Thin Models; How Actions Shape Valuation. </w:t>
      </w:r>
      <w:r w:rsidRPr="00707DF8">
        <w:rPr>
          <w:i/>
          <w:color w:val="000000" w:themeColor="text1"/>
        </w:rPr>
        <w:t>PLoS One, 10</w:t>
      </w:r>
      <w:r w:rsidRPr="00707DF8">
        <w:rPr>
          <w:color w:val="000000" w:themeColor="text1"/>
        </w:rPr>
        <w:t xml:space="preserve">(12), e0144530. </w:t>
      </w:r>
    </w:p>
    <w:p w14:paraId="595A35C5" w14:textId="740299C1" w:rsidR="00080E2B" w:rsidRPr="00707DF8" w:rsidRDefault="00080E2B" w:rsidP="00080E2B">
      <w:pPr>
        <w:pStyle w:val="EndNoteBibliography"/>
        <w:spacing w:line="480" w:lineRule="auto"/>
        <w:ind w:left="720" w:hanging="720"/>
        <w:jc w:val="left"/>
        <w:rPr>
          <w:color w:val="000000" w:themeColor="text1"/>
        </w:rPr>
      </w:pPr>
      <w:r w:rsidRPr="00707DF8">
        <w:rPr>
          <w:color w:val="000000" w:themeColor="text1"/>
        </w:rPr>
        <w:t>Watson, D., &amp; Clark, L. . (1992). Affects separable and inseparable: On the hierarchical arrangement of the negative affects.</w:t>
      </w:r>
      <w:r w:rsidR="00EE7458" w:rsidRPr="00707DF8">
        <w:rPr>
          <w:i/>
          <w:color w:val="000000" w:themeColor="text1"/>
        </w:rPr>
        <w:t xml:space="preserve"> Journal of Personality and Social Psychology</w:t>
      </w:r>
      <w:r w:rsidRPr="00707DF8">
        <w:rPr>
          <w:i/>
          <w:color w:val="000000" w:themeColor="text1"/>
        </w:rPr>
        <w:t>, 62</w:t>
      </w:r>
      <w:r w:rsidRPr="00707DF8">
        <w:rPr>
          <w:color w:val="000000" w:themeColor="text1"/>
        </w:rPr>
        <w:t xml:space="preserve">(3), 489-505. </w:t>
      </w:r>
    </w:p>
    <w:p w14:paraId="74CDBF6C" w14:textId="77777777" w:rsidR="00080E2B" w:rsidRPr="00707DF8" w:rsidRDefault="00080E2B" w:rsidP="00080E2B">
      <w:pPr>
        <w:pStyle w:val="EndNoteBibliography"/>
        <w:spacing w:line="480" w:lineRule="auto"/>
        <w:ind w:left="720" w:hanging="720"/>
        <w:jc w:val="left"/>
        <w:rPr>
          <w:color w:val="000000" w:themeColor="text1"/>
        </w:rPr>
      </w:pPr>
      <w:r w:rsidRPr="00707DF8">
        <w:rPr>
          <w:color w:val="000000" w:themeColor="text1"/>
        </w:rPr>
        <w:lastRenderedPageBreak/>
        <w:t xml:space="preserve">Winston, J. S., O'Doherty, J., Kilner, J. M., Perrett, D. I., &amp; Dolan, R. J. (2007). Brain systems for assessing facial attractiveness. </w:t>
      </w:r>
      <w:r w:rsidRPr="00707DF8">
        <w:rPr>
          <w:i/>
          <w:color w:val="000000" w:themeColor="text1"/>
        </w:rPr>
        <w:t>Neuropsychologia, 45</w:t>
      </w:r>
      <w:r w:rsidRPr="00707DF8">
        <w:rPr>
          <w:color w:val="000000" w:themeColor="text1"/>
        </w:rPr>
        <w:t xml:space="preserve">(1), 195-206. </w:t>
      </w:r>
    </w:p>
    <w:p w14:paraId="143591EA" w14:textId="77777777" w:rsidR="003F568E" w:rsidRPr="00707DF8" w:rsidRDefault="003F568E" w:rsidP="005E24F2">
      <w:pPr>
        <w:tabs>
          <w:tab w:val="left" w:pos="360"/>
        </w:tabs>
        <w:spacing w:line="480" w:lineRule="auto"/>
        <w:outlineLvl w:val="0"/>
        <w:rPr>
          <w:rFonts w:cstheme="majorHAnsi"/>
          <w:color w:val="000000" w:themeColor="text1"/>
          <w:szCs w:val="24"/>
        </w:rPr>
      </w:pPr>
    </w:p>
    <w:p w14:paraId="662B8543" w14:textId="77777777" w:rsidR="003F568E" w:rsidRPr="00707DF8" w:rsidRDefault="003F568E" w:rsidP="004701AF">
      <w:pPr>
        <w:rPr>
          <w:color w:val="000000" w:themeColor="text1"/>
        </w:rPr>
      </w:pPr>
    </w:p>
    <w:p w14:paraId="2EA45194" w14:textId="77777777" w:rsidR="003F568E" w:rsidRPr="00707DF8" w:rsidRDefault="003F568E" w:rsidP="00630160">
      <w:pPr>
        <w:jc w:val="center"/>
        <w:rPr>
          <w:color w:val="000000" w:themeColor="text1"/>
        </w:rPr>
      </w:pPr>
    </w:p>
    <w:p w14:paraId="70DA665E" w14:textId="77777777" w:rsidR="003F568E" w:rsidRPr="00707DF8" w:rsidRDefault="003F568E" w:rsidP="00630160">
      <w:pPr>
        <w:jc w:val="center"/>
        <w:rPr>
          <w:color w:val="000000" w:themeColor="text1"/>
        </w:rPr>
      </w:pPr>
    </w:p>
    <w:p w14:paraId="0596088E" w14:textId="77777777" w:rsidR="003F568E" w:rsidRPr="00707DF8" w:rsidRDefault="003F568E" w:rsidP="00630160">
      <w:pPr>
        <w:jc w:val="center"/>
        <w:rPr>
          <w:color w:val="000000" w:themeColor="text1"/>
        </w:rPr>
      </w:pPr>
    </w:p>
    <w:p w14:paraId="67D2F258" w14:textId="77777777" w:rsidR="003F568E" w:rsidRPr="00707DF8" w:rsidRDefault="003F568E" w:rsidP="00630160">
      <w:pPr>
        <w:jc w:val="center"/>
        <w:rPr>
          <w:color w:val="000000" w:themeColor="text1"/>
        </w:rPr>
      </w:pPr>
    </w:p>
    <w:p w14:paraId="22A8141B" w14:textId="77777777" w:rsidR="003F568E" w:rsidRPr="00707DF8" w:rsidRDefault="003F568E" w:rsidP="00630160">
      <w:pPr>
        <w:jc w:val="center"/>
        <w:rPr>
          <w:color w:val="000000" w:themeColor="text1"/>
        </w:rPr>
      </w:pPr>
    </w:p>
    <w:p w14:paraId="25180622" w14:textId="77777777" w:rsidR="003F568E" w:rsidRPr="00707DF8" w:rsidRDefault="003F568E" w:rsidP="00630160">
      <w:pPr>
        <w:jc w:val="center"/>
        <w:rPr>
          <w:color w:val="000000" w:themeColor="text1"/>
        </w:rPr>
      </w:pPr>
    </w:p>
    <w:p w14:paraId="25B01447" w14:textId="77777777" w:rsidR="003F568E" w:rsidRPr="00707DF8" w:rsidRDefault="003F568E" w:rsidP="00630160">
      <w:pPr>
        <w:jc w:val="center"/>
        <w:rPr>
          <w:color w:val="000000" w:themeColor="text1"/>
        </w:rPr>
      </w:pPr>
    </w:p>
    <w:p w14:paraId="6F06BE08" w14:textId="77777777" w:rsidR="003F568E" w:rsidRPr="00707DF8" w:rsidRDefault="003F568E" w:rsidP="00630160">
      <w:pPr>
        <w:jc w:val="center"/>
        <w:rPr>
          <w:color w:val="000000" w:themeColor="text1"/>
        </w:rPr>
      </w:pPr>
    </w:p>
    <w:p w14:paraId="70B53BBA" w14:textId="77777777" w:rsidR="003F568E" w:rsidRPr="00707DF8" w:rsidRDefault="003F568E" w:rsidP="00630160">
      <w:pPr>
        <w:jc w:val="center"/>
        <w:rPr>
          <w:color w:val="000000" w:themeColor="text1"/>
        </w:rPr>
      </w:pPr>
    </w:p>
    <w:p w14:paraId="73C15477" w14:textId="77777777" w:rsidR="003F568E" w:rsidRPr="00707DF8" w:rsidRDefault="003F568E" w:rsidP="00630160">
      <w:pPr>
        <w:jc w:val="center"/>
        <w:rPr>
          <w:color w:val="000000" w:themeColor="text1"/>
        </w:rPr>
      </w:pPr>
    </w:p>
    <w:p w14:paraId="5AD249D9" w14:textId="77777777" w:rsidR="003F568E" w:rsidRPr="00707DF8" w:rsidRDefault="003F568E" w:rsidP="00630160">
      <w:pPr>
        <w:jc w:val="center"/>
        <w:rPr>
          <w:color w:val="000000" w:themeColor="text1"/>
        </w:rPr>
      </w:pPr>
    </w:p>
    <w:p w14:paraId="5067E3F8" w14:textId="77777777" w:rsidR="003F568E" w:rsidRPr="00707DF8" w:rsidRDefault="003F568E" w:rsidP="00630160">
      <w:pPr>
        <w:jc w:val="center"/>
        <w:rPr>
          <w:color w:val="000000" w:themeColor="text1"/>
        </w:rPr>
      </w:pPr>
    </w:p>
    <w:p w14:paraId="3CA18EA4" w14:textId="77777777" w:rsidR="003F568E" w:rsidRPr="00707DF8" w:rsidRDefault="003F568E" w:rsidP="00630160">
      <w:pPr>
        <w:jc w:val="center"/>
        <w:rPr>
          <w:color w:val="000000" w:themeColor="text1"/>
        </w:rPr>
      </w:pPr>
    </w:p>
    <w:p w14:paraId="1CE9F27C" w14:textId="77777777" w:rsidR="0026077D" w:rsidRPr="00707DF8" w:rsidRDefault="0026077D">
      <w:pPr>
        <w:rPr>
          <w:color w:val="000000" w:themeColor="text1"/>
        </w:rPr>
      </w:pPr>
    </w:p>
    <w:sectPr w:rsidR="0026077D" w:rsidRPr="00707DF8" w:rsidSect="001175F2">
      <w:headerReference w:type="default" r:id="rId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A88EF" w14:textId="77777777" w:rsidR="00BA19DD" w:rsidRDefault="00BA19DD">
      <w:r>
        <w:separator/>
      </w:r>
    </w:p>
  </w:endnote>
  <w:endnote w:type="continuationSeparator" w:id="0">
    <w:p w14:paraId="10F8A188" w14:textId="77777777" w:rsidR="00BA19DD" w:rsidRDefault="00BA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E2F0" w14:textId="77777777" w:rsidR="00BA19DD" w:rsidRDefault="00BA19DD">
      <w:r>
        <w:separator/>
      </w:r>
    </w:p>
  </w:footnote>
  <w:footnote w:type="continuationSeparator" w:id="0">
    <w:p w14:paraId="7AF93E3F" w14:textId="77777777" w:rsidR="00BA19DD" w:rsidRDefault="00BA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27120"/>
      <w:docPartObj>
        <w:docPartGallery w:val="Page Numbers (Top of Page)"/>
        <w:docPartUnique/>
      </w:docPartObj>
    </w:sdtPr>
    <w:sdtEndPr>
      <w:rPr>
        <w:noProof/>
      </w:rPr>
    </w:sdtEndPr>
    <w:sdtContent>
      <w:p w14:paraId="3B9A722A" w14:textId="69C107EC" w:rsidR="006F37C5" w:rsidRDefault="006F37C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4EB8B354" w14:textId="74033F25" w:rsidR="00B24006" w:rsidRPr="00D64B59" w:rsidRDefault="006F37C5" w:rsidP="00B24006">
    <w:pPr>
      <w:pStyle w:val="Header"/>
      <w:jc w:val="right"/>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F568E"/>
    <w:rsid w:val="00014CA4"/>
    <w:rsid w:val="00073591"/>
    <w:rsid w:val="00080E2B"/>
    <w:rsid w:val="000D0564"/>
    <w:rsid w:val="0026077D"/>
    <w:rsid w:val="002E66FE"/>
    <w:rsid w:val="00316911"/>
    <w:rsid w:val="00326CA8"/>
    <w:rsid w:val="003501BB"/>
    <w:rsid w:val="003B501C"/>
    <w:rsid w:val="003F568E"/>
    <w:rsid w:val="00403392"/>
    <w:rsid w:val="00425744"/>
    <w:rsid w:val="00455A4C"/>
    <w:rsid w:val="00463FE2"/>
    <w:rsid w:val="00473D19"/>
    <w:rsid w:val="00506F49"/>
    <w:rsid w:val="00566405"/>
    <w:rsid w:val="005A2BF9"/>
    <w:rsid w:val="0063668E"/>
    <w:rsid w:val="006A7BB4"/>
    <w:rsid w:val="006E5E1A"/>
    <w:rsid w:val="006F37C5"/>
    <w:rsid w:val="00707DF8"/>
    <w:rsid w:val="007901F5"/>
    <w:rsid w:val="007E5F74"/>
    <w:rsid w:val="007F27B6"/>
    <w:rsid w:val="00833790"/>
    <w:rsid w:val="008D375D"/>
    <w:rsid w:val="008F55F7"/>
    <w:rsid w:val="00A24994"/>
    <w:rsid w:val="00A94C25"/>
    <w:rsid w:val="00BA19DD"/>
    <w:rsid w:val="00BA413B"/>
    <w:rsid w:val="00C8258B"/>
    <w:rsid w:val="00CD4501"/>
    <w:rsid w:val="00D6606E"/>
    <w:rsid w:val="00E978CE"/>
    <w:rsid w:val="00EC35D7"/>
    <w:rsid w:val="00EE7458"/>
    <w:rsid w:val="00F20329"/>
    <w:rsid w:val="00F20F4D"/>
    <w:rsid w:val="00F822AD"/>
    <w:rsid w:val="00FD3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866C"/>
  <w15:chartTrackingRefBased/>
  <w15:docId w15:val="{1697F556-66FF-4937-B181-2C698243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8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568E"/>
    <w:pPr>
      <w:keepNext/>
      <w:tabs>
        <w:tab w:val="left" w:pos="360"/>
      </w:tabs>
      <w:spacing w:line="480" w:lineRule="auto"/>
      <w:ind w:right="360"/>
      <w:outlineLvl w:val="0"/>
    </w:pPr>
    <w:rPr>
      <w:u w:val="single"/>
    </w:rPr>
  </w:style>
  <w:style w:type="paragraph" w:styleId="Heading2">
    <w:name w:val="heading 2"/>
    <w:basedOn w:val="Normal"/>
    <w:next w:val="Normal"/>
    <w:link w:val="Heading2Char"/>
    <w:qFormat/>
    <w:rsid w:val="003F568E"/>
    <w:pPr>
      <w:keepNext/>
      <w:tabs>
        <w:tab w:val="left" w:pos="360"/>
      </w:tabs>
      <w:spacing w:line="480" w:lineRule="auto"/>
      <w:outlineLvl w:val="1"/>
    </w:pPr>
    <w:rPr>
      <w:u w:val="single"/>
    </w:rPr>
  </w:style>
  <w:style w:type="paragraph" w:styleId="Heading3">
    <w:name w:val="heading 3"/>
    <w:basedOn w:val="Normal"/>
    <w:next w:val="Normal"/>
    <w:link w:val="Heading3Char"/>
    <w:qFormat/>
    <w:rsid w:val="003F568E"/>
    <w:pPr>
      <w:keepNext/>
      <w:tabs>
        <w:tab w:val="left" w:pos="360"/>
        <w:tab w:val="decimal" w:pos="3240"/>
        <w:tab w:val="decimal" w:pos="4860"/>
        <w:tab w:val="decimal" w:pos="6480"/>
        <w:tab w:val="left" w:pos="9360"/>
      </w:tabs>
      <w:outlineLvl w:val="2"/>
    </w:pPr>
    <w:rPr>
      <w:b/>
    </w:rPr>
  </w:style>
  <w:style w:type="paragraph" w:styleId="Heading4">
    <w:name w:val="heading 4"/>
    <w:basedOn w:val="Normal"/>
    <w:next w:val="Normal"/>
    <w:link w:val="Heading4Char"/>
    <w:qFormat/>
    <w:rsid w:val="003F568E"/>
    <w:pPr>
      <w:keepNext/>
      <w:tabs>
        <w:tab w:val="left" w:pos="360"/>
      </w:tabs>
      <w:spacing w:line="480" w:lineRule="auto"/>
      <w:ind w:right="360"/>
      <w:outlineLvl w:val="3"/>
    </w:pPr>
    <w:rPr>
      <w:color w:val="0000FF"/>
      <w:u w:val="single"/>
    </w:rPr>
  </w:style>
  <w:style w:type="paragraph" w:styleId="Heading5">
    <w:name w:val="heading 5"/>
    <w:basedOn w:val="Normal"/>
    <w:next w:val="Normal"/>
    <w:link w:val="Heading5Char"/>
    <w:qFormat/>
    <w:rsid w:val="003F568E"/>
    <w:pPr>
      <w:keepNext/>
      <w:tabs>
        <w:tab w:val="left" w:pos="360"/>
      </w:tabs>
      <w:spacing w:line="480" w:lineRule="auto"/>
      <w:ind w:right="360"/>
      <w:outlineLvl w:val="4"/>
    </w:pPr>
    <w:rPr>
      <w:i/>
      <w:color w:val="0000FF"/>
    </w:rPr>
  </w:style>
  <w:style w:type="paragraph" w:styleId="Heading6">
    <w:name w:val="heading 6"/>
    <w:basedOn w:val="Normal"/>
    <w:next w:val="Normal"/>
    <w:link w:val="Heading6Char"/>
    <w:qFormat/>
    <w:rsid w:val="003F568E"/>
    <w:pPr>
      <w:keepNext/>
      <w:outlineLvl w:val="5"/>
    </w:pPr>
    <w:rPr>
      <w:u w:val="single"/>
    </w:rPr>
  </w:style>
  <w:style w:type="paragraph" w:styleId="Heading7">
    <w:name w:val="heading 7"/>
    <w:basedOn w:val="Normal"/>
    <w:next w:val="Normal"/>
    <w:link w:val="Heading7Char"/>
    <w:qFormat/>
    <w:rsid w:val="003F568E"/>
    <w:pPr>
      <w:keepNext/>
      <w:tabs>
        <w:tab w:val="left" w:pos="360"/>
      </w:tabs>
      <w:spacing w:line="480" w:lineRule="auto"/>
      <w:ind w:right="360"/>
      <w:outlineLvl w:val="6"/>
    </w:pPr>
    <w:rPr>
      <w:i/>
    </w:rPr>
  </w:style>
  <w:style w:type="paragraph" w:styleId="Heading8">
    <w:name w:val="heading 8"/>
    <w:basedOn w:val="Normal"/>
    <w:next w:val="Normal"/>
    <w:link w:val="Heading8Char"/>
    <w:qFormat/>
    <w:rsid w:val="003F568E"/>
    <w:pPr>
      <w:keepNext/>
      <w:tabs>
        <w:tab w:val="left" w:pos="360"/>
      </w:tabs>
      <w:spacing w:line="480" w:lineRule="auto"/>
      <w:outlineLvl w:val="7"/>
    </w:pPr>
    <w:rPr>
      <w:i/>
      <w:color w:val="0000FF"/>
    </w:rPr>
  </w:style>
  <w:style w:type="paragraph" w:styleId="Heading9">
    <w:name w:val="heading 9"/>
    <w:basedOn w:val="Normal"/>
    <w:next w:val="Normal"/>
    <w:link w:val="Heading9Char"/>
    <w:qFormat/>
    <w:rsid w:val="003F568E"/>
    <w:pPr>
      <w:keepNext/>
      <w:tabs>
        <w:tab w:val="left" w:pos="360"/>
        <w:tab w:val="decimal" w:pos="3600"/>
        <w:tab w:val="decimal" w:pos="5760"/>
        <w:tab w:val="decimal" w:pos="7920"/>
        <w:tab w:val="decimal" w:pos="10080"/>
      </w:tabs>
      <w:spacing w:line="320" w:lineRule="exact"/>
      <w:ind w:right="187"/>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68E"/>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3F568E"/>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3F568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F568E"/>
    <w:rPr>
      <w:rFonts w:ascii="Times New Roman" w:eastAsia="Times New Roman" w:hAnsi="Times New Roman" w:cs="Times New Roman"/>
      <w:color w:val="0000FF"/>
      <w:sz w:val="24"/>
      <w:szCs w:val="20"/>
      <w:u w:val="single"/>
    </w:rPr>
  </w:style>
  <w:style w:type="character" w:customStyle="1" w:styleId="Heading5Char">
    <w:name w:val="Heading 5 Char"/>
    <w:basedOn w:val="DefaultParagraphFont"/>
    <w:link w:val="Heading5"/>
    <w:rsid w:val="003F568E"/>
    <w:rPr>
      <w:rFonts w:ascii="Times New Roman" w:eastAsia="Times New Roman" w:hAnsi="Times New Roman" w:cs="Times New Roman"/>
      <w:i/>
      <w:color w:val="0000FF"/>
      <w:sz w:val="24"/>
      <w:szCs w:val="20"/>
    </w:rPr>
  </w:style>
  <w:style w:type="character" w:customStyle="1" w:styleId="Heading6Char">
    <w:name w:val="Heading 6 Char"/>
    <w:basedOn w:val="DefaultParagraphFont"/>
    <w:link w:val="Heading6"/>
    <w:rsid w:val="003F568E"/>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rsid w:val="003F568E"/>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3F568E"/>
    <w:rPr>
      <w:rFonts w:ascii="Times New Roman" w:eastAsia="Times New Roman" w:hAnsi="Times New Roman" w:cs="Times New Roman"/>
      <w:i/>
      <w:color w:val="0000FF"/>
      <w:sz w:val="24"/>
      <w:szCs w:val="20"/>
    </w:rPr>
  </w:style>
  <w:style w:type="character" w:customStyle="1" w:styleId="Heading9Char">
    <w:name w:val="Heading 9 Char"/>
    <w:basedOn w:val="DefaultParagraphFont"/>
    <w:link w:val="Heading9"/>
    <w:rsid w:val="003F568E"/>
    <w:rPr>
      <w:rFonts w:ascii="Times New Roman" w:eastAsia="Times New Roman" w:hAnsi="Times New Roman" w:cs="Times New Roman"/>
      <w:sz w:val="24"/>
      <w:szCs w:val="20"/>
      <w:u w:val="single"/>
    </w:rPr>
  </w:style>
  <w:style w:type="paragraph" w:styleId="Title">
    <w:name w:val="Title"/>
    <w:basedOn w:val="Normal"/>
    <w:link w:val="TitleChar"/>
    <w:qFormat/>
    <w:rsid w:val="003F568E"/>
    <w:pPr>
      <w:jc w:val="center"/>
    </w:pPr>
    <w:rPr>
      <w:rFonts w:eastAsia="Times"/>
      <w:b/>
      <w:lang w:val="x-none" w:eastAsia="x-none"/>
    </w:rPr>
  </w:style>
  <w:style w:type="character" w:customStyle="1" w:styleId="TitleChar">
    <w:name w:val="Title Char"/>
    <w:basedOn w:val="DefaultParagraphFont"/>
    <w:link w:val="Title"/>
    <w:rsid w:val="003F568E"/>
    <w:rPr>
      <w:rFonts w:ascii="Times New Roman" w:eastAsia="Times" w:hAnsi="Times New Roman" w:cs="Times New Roman"/>
      <w:b/>
      <w:sz w:val="24"/>
      <w:szCs w:val="20"/>
      <w:lang w:val="x-none" w:eastAsia="x-none"/>
    </w:rPr>
  </w:style>
  <w:style w:type="character" w:styleId="Emphasis">
    <w:name w:val="Emphasis"/>
    <w:uiPriority w:val="20"/>
    <w:qFormat/>
    <w:rsid w:val="003F568E"/>
    <w:rPr>
      <w:i/>
      <w:iCs/>
    </w:rPr>
  </w:style>
  <w:style w:type="table" w:styleId="TableGrid">
    <w:name w:val="Table Grid"/>
    <w:basedOn w:val="TableNormal"/>
    <w:uiPriority w:val="39"/>
    <w:rsid w:val="003F56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568E"/>
    <w:pPr>
      <w:tabs>
        <w:tab w:val="center" w:pos="4680"/>
        <w:tab w:val="right" w:pos="9360"/>
      </w:tabs>
    </w:pPr>
  </w:style>
  <w:style w:type="character" w:customStyle="1" w:styleId="HeaderChar">
    <w:name w:val="Header Char"/>
    <w:basedOn w:val="DefaultParagraphFont"/>
    <w:link w:val="Header"/>
    <w:uiPriority w:val="99"/>
    <w:rsid w:val="003F568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F568E"/>
    <w:pPr>
      <w:tabs>
        <w:tab w:val="center" w:pos="4680"/>
        <w:tab w:val="right" w:pos="9360"/>
      </w:tabs>
    </w:pPr>
  </w:style>
  <w:style w:type="character" w:customStyle="1" w:styleId="FooterChar">
    <w:name w:val="Footer Char"/>
    <w:basedOn w:val="DefaultParagraphFont"/>
    <w:link w:val="Footer"/>
    <w:uiPriority w:val="99"/>
    <w:rsid w:val="003F568E"/>
    <w:rPr>
      <w:rFonts w:ascii="Times New Roman" w:eastAsia="Times New Roman" w:hAnsi="Times New Roman" w:cs="Times New Roman"/>
      <w:sz w:val="24"/>
      <w:szCs w:val="20"/>
    </w:rPr>
  </w:style>
  <w:style w:type="paragraph" w:styleId="BodyText">
    <w:name w:val="Body Text"/>
    <w:basedOn w:val="Normal"/>
    <w:link w:val="BodyTextChar"/>
    <w:uiPriority w:val="99"/>
    <w:rsid w:val="003F568E"/>
    <w:rPr>
      <w:rFonts w:ascii="Arial" w:hAnsi="Arial"/>
      <w:sz w:val="20"/>
      <w:lang w:val="x-none" w:eastAsia="x-none"/>
    </w:rPr>
  </w:style>
  <w:style w:type="character" w:customStyle="1" w:styleId="BodyTextChar">
    <w:name w:val="Body Text Char"/>
    <w:basedOn w:val="DefaultParagraphFont"/>
    <w:link w:val="BodyText"/>
    <w:uiPriority w:val="99"/>
    <w:rsid w:val="003F568E"/>
    <w:rPr>
      <w:rFonts w:ascii="Arial" w:eastAsia="Times New Roman" w:hAnsi="Arial" w:cs="Times New Roman"/>
      <w:sz w:val="20"/>
      <w:szCs w:val="20"/>
      <w:lang w:val="x-none" w:eastAsia="x-none"/>
    </w:rPr>
  </w:style>
  <w:style w:type="character" w:styleId="Hyperlink">
    <w:name w:val="Hyperlink"/>
    <w:rsid w:val="003F568E"/>
    <w:rPr>
      <w:color w:val="0000FF"/>
      <w:u w:val="single"/>
    </w:rPr>
  </w:style>
  <w:style w:type="character" w:styleId="CommentReference">
    <w:name w:val="annotation reference"/>
    <w:uiPriority w:val="99"/>
    <w:rsid w:val="003F568E"/>
    <w:rPr>
      <w:sz w:val="18"/>
      <w:szCs w:val="18"/>
    </w:rPr>
  </w:style>
  <w:style w:type="paragraph" w:styleId="CommentText">
    <w:name w:val="annotation text"/>
    <w:basedOn w:val="Normal"/>
    <w:link w:val="CommentTextChar"/>
    <w:uiPriority w:val="99"/>
    <w:rsid w:val="003F568E"/>
    <w:rPr>
      <w:rFonts w:ascii="Times" w:hAnsi="Times"/>
      <w:szCs w:val="24"/>
      <w:lang w:val="x-none" w:eastAsia="x-none"/>
    </w:rPr>
  </w:style>
  <w:style w:type="character" w:customStyle="1" w:styleId="CommentTextChar">
    <w:name w:val="Comment Text Char"/>
    <w:basedOn w:val="DefaultParagraphFont"/>
    <w:link w:val="CommentText"/>
    <w:uiPriority w:val="99"/>
    <w:rsid w:val="003F568E"/>
    <w:rPr>
      <w:rFonts w:ascii="Times" w:eastAsia="Times New Roman" w:hAnsi="Times" w:cs="Times New Roman"/>
      <w:sz w:val="24"/>
      <w:szCs w:val="24"/>
      <w:lang w:val="x-none" w:eastAsia="x-none"/>
    </w:rPr>
  </w:style>
  <w:style w:type="paragraph" w:styleId="BalloonText">
    <w:name w:val="Balloon Text"/>
    <w:basedOn w:val="Normal"/>
    <w:link w:val="BalloonTextChar"/>
    <w:uiPriority w:val="99"/>
    <w:semiHidden/>
    <w:unhideWhenUsed/>
    <w:rsid w:val="003F5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68E"/>
    <w:rPr>
      <w:rFonts w:ascii="Segoe UI" w:eastAsia="Times New Roman" w:hAnsi="Segoe UI" w:cs="Segoe UI"/>
      <w:sz w:val="18"/>
      <w:szCs w:val="18"/>
    </w:rPr>
  </w:style>
  <w:style w:type="character" w:styleId="LineNumber">
    <w:name w:val="line number"/>
    <w:uiPriority w:val="99"/>
    <w:unhideWhenUsed/>
    <w:rsid w:val="003F568E"/>
    <w:rPr>
      <w:rFonts w:ascii="Arial" w:hAnsi="Arial"/>
      <w:sz w:val="22"/>
    </w:rPr>
  </w:style>
  <w:style w:type="paragraph" w:styleId="CommentSubject">
    <w:name w:val="annotation subject"/>
    <w:basedOn w:val="CommentText"/>
    <w:next w:val="CommentText"/>
    <w:link w:val="CommentSubjectChar"/>
    <w:uiPriority w:val="99"/>
    <w:semiHidden/>
    <w:unhideWhenUsed/>
    <w:rsid w:val="003F568E"/>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3F568E"/>
    <w:rPr>
      <w:rFonts w:ascii="Times New Roman" w:eastAsia="Times New Roman" w:hAnsi="Times New Roman" w:cs="Times New Roman"/>
      <w:b/>
      <w:bCs/>
      <w:sz w:val="20"/>
      <w:szCs w:val="20"/>
      <w:lang w:val="x-none" w:eastAsia="x-none"/>
    </w:rPr>
  </w:style>
  <w:style w:type="paragraph" w:customStyle="1" w:styleId="EndNoteBibliographyTitle">
    <w:name w:val="EndNote Bibliography Title"/>
    <w:basedOn w:val="Normal"/>
    <w:link w:val="EndNoteBibliographyTitleChar"/>
    <w:rsid w:val="003F568E"/>
    <w:pPr>
      <w:jc w:val="center"/>
    </w:pPr>
    <w:rPr>
      <w:noProof/>
    </w:rPr>
  </w:style>
  <w:style w:type="character" w:customStyle="1" w:styleId="EndNoteBibliographyTitleChar">
    <w:name w:val="EndNote Bibliography Title Char"/>
    <w:basedOn w:val="DefaultParagraphFont"/>
    <w:link w:val="EndNoteBibliographyTitle"/>
    <w:rsid w:val="003F568E"/>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3F568E"/>
    <w:pPr>
      <w:jc w:val="center"/>
    </w:pPr>
    <w:rPr>
      <w:noProof/>
    </w:rPr>
  </w:style>
  <w:style w:type="character" w:customStyle="1" w:styleId="EndNoteBibliographyChar">
    <w:name w:val="EndNote Bibliography Char"/>
    <w:basedOn w:val="DefaultParagraphFont"/>
    <w:link w:val="EndNoteBibliography"/>
    <w:rsid w:val="003F568E"/>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l.ion.ucl.ac.uk/sp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ORI</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Yokum</dc:creator>
  <cp:keywords/>
  <dc:description/>
  <cp:lastModifiedBy>Sonja Yokum</cp:lastModifiedBy>
  <cp:revision>6</cp:revision>
  <dcterms:created xsi:type="dcterms:W3CDTF">2021-06-30T20:27:00Z</dcterms:created>
  <dcterms:modified xsi:type="dcterms:W3CDTF">2021-08-26T18:29:00Z</dcterms:modified>
</cp:coreProperties>
</file>