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4211" w14:textId="77777777" w:rsidR="00F87A56" w:rsidRPr="00C034E2" w:rsidRDefault="00F87A56" w:rsidP="00F87A56">
      <w:pPr>
        <w:jc w:val="center"/>
        <w:rPr>
          <w:rFonts w:ascii="Calibri" w:hAnsi="Calibri" w:cs="Calibri"/>
          <w:b/>
          <w:sz w:val="24"/>
          <w:szCs w:val="24"/>
        </w:rPr>
      </w:pPr>
      <w:r w:rsidRPr="00C034E2">
        <w:rPr>
          <w:rFonts w:ascii="Calibri" w:hAnsi="Calibri" w:cs="Calibri"/>
          <w:b/>
          <w:sz w:val="24"/>
          <w:szCs w:val="24"/>
        </w:rPr>
        <w:t xml:space="preserve">Supplementary </w:t>
      </w:r>
      <w:r w:rsidR="00E555B3" w:rsidRPr="00C034E2">
        <w:rPr>
          <w:rFonts w:ascii="Calibri" w:hAnsi="Calibri" w:cs="Calibri"/>
          <w:b/>
          <w:sz w:val="24"/>
          <w:szCs w:val="24"/>
        </w:rPr>
        <w:t>Information</w:t>
      </w:r>
    </w:p>
    <w:p w14:paraId="0CAC7D51" w14:textId="77777777" w:rsidR="009423AA" w:rsidRPr="00C034E2" w:rsidRDefault="009423AA" w:rsidP="00F87A56">
      <w:pPr>
        <w:spacing w:before="240" w:line="480" w:lineRule="auto"/>
        <w:contextualSpacing/>
        <w:rPr>
          <w:rFonts w:ascii="Calibri" w:hAnsi="Calibri" w:cs="Calibri"/>
          <w:b/>
          <w:sz w:val="24"/>
          <w:szCs w:val="24"/>
        </w:rPr>
      </w:pPr>
      <w:r w:rsidRPr="00C034E2">
        <w:rPr>
          <w:rFonts w:ascii="Calibri" w:hAnsi="Calibri" w:cs="Calibri"/>
          <w:b/>
          <w:sz w:val="24"/>
          <w:szCs w:val="24"/>
        </w:rPr>
        <w:t>Exclusion criteria</w:t>
      </w:r>
    </w:p>
    <w:p w14:paraId="505038B5" w14:textId="77777777" w:rsidR="00070336" w:rsidRPr="00EA326E" w:rsidRDefault="009423AA" w:rsidP="00EA326E">
      <w:pPr>
        <w:spacing w:before="240"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Exclusion criteria included being less than 18 years old or older than 30 years of age, current cold symptoms, restricted fluid intake for any reason, present or history of medical illness, present psychiatric diagnosis, present use of medications (e.g., SSRIs), breastfeeding, pregnancy, metal implants, smoking &gt;15 cigarettes per day, drug use, and pregnancy. Participants were asked to refrain from using alcohol or medication for 24 hours, caffeine for 4 hours, and food or drinks (except water) for 2 hours preceding the experiment.</w:t>
      </w:r>
    </w:p>
    <w:p w14:paraId="309C5F02" w14:textId="77777777" w:rsidR="009423AA" w:rsidRPr="00C034E2" w:rsidRDefault="009423AA" w:rsidP="009423AA">
      <w:pPr>
        <w:spacing w:before="240" w:line="480" w:lineRule="auto"/>
        <w:contextualSpacing/>
        <w:rPr>
          <w:rFonts w:ascii="Calibri" w:hAnsi="Calibri" w:cs="Calibri"/>
          <w:b/>
          <w:sz w:val="24"/>
          <w:szCs w:val="24"/>
        </w:rPr>
      </w:pPr>
      <w:r w:rsidRPr="00C034E2">
        <w:rPr>
          <w:rFonts w:ascii="Calibri" w:hAnsi="Calibri" w:cs="Calibri"/>
          <w:b/>
          <w:sz w:val="24"/>
          <w:szCs w:val="24"/>
        </w:rPr>
        <w:t>Procedure</w:t>
      </w:r>
    </w:p>
    <w:p w14:paraId="79F58EBD" w14:textId="59786EE1" w:rsidR="009423AA" w:rsidRPr="00C034E2" w:rsidRDefault="009423AA" w:rsidP="009423AA">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 xml:space="preserve">During </w:t>
      </w:r>
      <w:r w:rsidR="00F557C6" w:rsidRPr="00C034E2">
        <w:rPr>
          <w:rFonts w:ascii="Calibri" w:eastAsia="Times New Roman" w:hAnsi="Calibri" w:cs="Calibri"/>
          <w:sz w:val="24"/>
          <w:szCs w:val="24"/>
        </w:rPr>
        <w:t>the</w:t>
      </w:r>
      <w:r w:rsidRPr="00C034E2">
        <w:rPr>
          <w:rFonts w:ascii="Calibri" w:eastAsia="Times New Roman" w:hAnsi="Calibri" w:cs="Calibri"/>
          <w:sz w:val="24"/>
          <w:szCs w:val="24"/>
        </w:rPr>
        <w:t xml:space="preserve"> </w:t>
      </w:r>
      <w:r w:rsidR="00F557C6" w:rsidRPr="00C034E2">
        <w:rPr>
          <w:rFonts w:ascii="Calibri" w:eastAsia="Times New Roman" w:hAnsi="Calibri" w:cs="Calibri"/>
          <w:sz w:val="24"/>
          <w:szCs w:val="24"/>
        </w:rPr>
        <w:t>drug administration session</w:t>
      </w:r>
      <w:r w:rsidRPr="00C034E2">
        <w:rPr>
          <w:rFonts w:ascii="Calibri" w:eastAsia="Times New Roman" w:hAnsi="Calibri" w:cs="Calibri"/>
          <w:sz w:val="24"/>
          <w:szCs w:val="24"/>
        </w:rPr>
        <w:t xml:space="preserve">, participants first completed questionnaires including measures assessing state anxiety and positive/negative affect (see Supplementary Measures), </w:t>
      </w:r>
      <w:proofErr w:type="gramStart"/>
      <w:r w:rsidRPr="00C034E2">
        <w:rPr>
          <w:rFonts w:ascii="Calibri" w:eastAsia="Times New Roman" w:hAnsi="Calibri" w:cs="Calibri"/>
          <w:sz w:val="24"/>
          <w:szCs w:val="24"/>
        </w:rPr>
        <w:t>and also</w:t>
      </w:r>
      <w:proofErr w:type="gramEnd"/>
      <w:r w:rsidRPr="00C034E2">
        <w:rPr>
          <w:rFonts w:ascii="Calibri" w:eastAsia="Times New Roman" w:hAnsi="Calibri" w:cs="Calibri"/>
          <w:sz w:val="24"/>
          <w:szCs w:val="24"/>
        </w:rPr>
        <w:t xml:space="preserve"> provided a urine sample for drug and pregnancy testing. Nurses then checked the temperature, heart rate, and blood pressure of each participant to ensure that they were in the accepted limits: elevated blood pressure (&gt;135/90), low blood pressure (&lt;85/55), or body temperature (&gt;100.1 Fahrenheit). If any of their vital signs were outside of the accepted range, participants rested for 10-15 </w:t>
      </w:r>
      <w:r w:rsidR="00863FD5" w:rsidRPr="00C034E2">
        <w:rPr>
          <w:rFonts w:ascii="Calibri" w:eastAsia="Times New Roman" w:hAnsi="Calibri" w:cs="Calibri"/>
          <w:sz w:val="24"/>
          <w:szCs w:val="24"/>
        </w:rPr>
        <w:t>minutes,</w:t>
      </w:r>
      <w:r w:rsidRPr="00C034E2">
        <w:rPr>
          <w:rFonts w:ascii="Calibri" w:eastAsia="Times New Roman" w:hAnsi="Calibri" w:cs="Calibri"/>
          <w:sz w:val="24"/>
          <w:szCs w:val="24"/>
        </w:rPr>
        <w:t xml:space="preserve"> and measurements were repeated until readings were within acceptable limits.</w:t>
      </w:r>
    </w:p>
    <w:p w14:paraId="5C71DFA5" w14:textId="77777777" w:rsidR="009423AA" w:rsidRPr="00C034E2" w:rsidRDefault="009423AA" w:rsidP="009423AA">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Prior to each session involving drug administration, a third-party research coordinator used an online random number generator (</w:t>
      </w:r>
      <w:hyperlink r:id="rId8">
        <w:r w:rsidRPr="00C034E2">
          <w:rPr>
            <w:rFonts w:ascii="Calibri" w:eastAsia="Times New Roman" w:hAnsi="Calibri" w:cs="Calibri"/>
            <w:color w:val="1155CC"/>
            <w:sz w:val="24"/>
            <w:szCs w:val="24"/>
            <w:u w:val="single"/>
          </w:rPr>
          <w:t>www.random.org</w:t>
        </w:r>
      </w:hyperlink>
      <w:r w:rsidRPr="00C034E2">
        <w:rPr>
          <w:rFonts w:ascii="Calibri" w:eastAsia="Times New Roman" w:hAnsi="Calibri" w:cs="Calibri"/>
          <w:sz w:val="24"/>
          <w:szCs w:val="24"/>
        </w:rPr>
        <w:t>) to randomly assign participants to receive either OT, AVP, or the placebo condition (blocked on gender) and communicated this information to the UCLA pharmacy. Participants then received one of the study drugs or placebo using a randomized, double-blind, placebo-controlled, between-subjects procedure. Substances were delivered using sterile 6</w:t>
      </w:r>
      <w:r w:rsidR="00173A9D" w:rsidRPr="00C034E2">
        <w:rPr>
          <w:rFonts w:ascii="Calibri" w:eastAsia="Times New Roman" w:hAnsi="Calibri" w:cs="Calibri"/>
          <w:sz w:val="24"/>
          <w:szCs w:val="24"/>
        </w:rPr>
        <w:t xml:space="preserve"> </w:t>
      </w:r>
      <w:r w:rsidRPr="00C034E2">
        <w:rPr>
          <w:rFonts w:ascii="Calibri" w:eastAsia="Times New Roman" w:hAnsi="Calibri" w:cs="Calibri"/>
          <w:sz w:val="24"/>
          <w:szCs w:val="24"/>
        </w:rPr>
        <w:t xml:space="preserve">ml amber glass bottles with metered nasal pumps </w:t>
      </w:r>
      <w:r w:rsidRPr="00C034E2">
        <w:rPr>
          <w:rFonts w:ascii="Calibri" w:eastAsia="Times New Roman" w:hAnsi="Calibri" w:cs="Calibri"/>
          <w:sz w:val="24"/>
          <w:szCs w:val="24"/>
        </w:rPr>
        <w:lastRenderedPageBreak/>
        <w:t xml:space="preserve">from Advantage Pharmaceuticals, Inc. Participants received instructions on how to use the nasal sprays and were then instructed to deliver one spray per nostril in an alternating fashion when prompted (every 30 seconds). </w:t>
      </w:r>
    </w:p>
    <w:p w14:paraId="179DA7DE" w14:textId="77777777" w:rsidR="009423AA" w:rsidRPr="00C034E2" w:rsidRDefault="009423AA" w:rsidP="009423AA">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OT (</w:t>
      </w:r>
      <w:proofErr w:type="spellStart"/>
      <w:r w:rsidRPr="00C034E2">
        <w:rPr>
          <w:rFonts w:ascii="Calibri" w:eastAsia="Times New Roman" w:hAnsi="Calibri" w:cs="Calibri"/>
          <w:sz w:val="24"/>
          <w:szCs w:val="24"/>
        </w:rPr>
        <w:t>Syntocinin</w:t>
      </w:r>
      <w:proofErr w:type="spellEnd"/>
      <w:r w:rsidRPr="00C034E2">
        <w:rPr>
          <w:rFonts w:ascii="Calibri" w:eastAsia="Times New Roman" w:hAnsi="Calibri" w:cs="Calibri"/>
          <w:sz w:val="24"/>
          <w:szCs w:val="24"/>
        </w:rPr>
        <w:t xml:space="preserve">) was provided by Novartis Pharmaceuticals, Switzerland. OT (24 IU/ml) was transferred into the bottles with attached intranasal applicators (1 puff=0.1ml). Participants self-administered 5 puffs per nostril (2.4 IU/puff) for a total dose of 24 IU. AVP was provided by American Regent Laboratories, Shirley, NY, USA. The pharmacist transferred AVP (20 IU/ml) into the bottles with attached intranasal applicators. Participants self-administered 5 puffs per nostril (2 IU/puff) for a total dose of 20 IU. Placebo </w:t>
      </w:r>
      <w:r w:rsidR="00E13D56" w:rsidRPr="00C034E2">
        <w:rPr>
          <w:rFonts w:ascii="Calibri" w:eastAsia="Times New Roman" w:hAnsi="Calibri" w:cs="Calibri"/>
          <w:noProof/>
          <w:sz w:val="24"/>
          <w:szCs w:val="24"/>
        </w:rPr>
        <w:t>(</w:t>
      </w:r>
      <w:r w:rsidR="00E4112F">
        <w:rPr>
          <w:rFonts w:ascii="Calibri" w:eastAsia="Times New Roman" w:hAnsi="Calibri" w:cs="Calibri"/>
          <w:noProof/>
          <w:sz w:val="24"/>
          <w:szCs w:val="24"/>
        </w:rPr>
        <w:t xml:space="preserve">used previously by </w:t>
      </w:r>
      <w:r w:rsidR="00E13D56" w:rsidRPr="00C034E2">
        <w:rPr>
          <w:rFonts w:ascii="Calibri" w:eastAsia="Times New Roman" w:hAnsi="Calibri" w:cs="Calibri"/>
          <w:noProof/>
          <w:sz w:val="24"/>
          <w:szCs w:val="24"/>
        </w:rPr>
        <w:t>Tabak et al., 2016)</w:t>
      </w:r>
      <w:r w:rsidRPr="00C034E2">
        <w:rPr>
          <w:rFonts w:ascii="Calibri" w:eastAsia="Times New Roman" w:hAnsi="Calibri" w:cs="Calibri"/>
          <w:sz w:val="24"/>
          <w:szCs w:val="24"/>
        </w:rPr>
        <w:t xml:space="preserve"> consisted of 2</w:t>
      </w:r>
      <w:r w:rsidR="00173A9D"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mls</w:t>
      </w:r>
      <w:proofErr w:type="spellEnd"/>
      <w:r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glycerine</w:t>
      </w:r>
      <w:proofErr w:type="spellEnd"/>
      <w:r w:rsidRPr="00C034E2">
        <w:rPr>
          <w:rFonts w:ascii="Calibri" w:eastAsia="Times New Roman" w:hAnsi="Calibri" w:cs="Calibri"/>
          <w:sz w:val="24"/>
          <w:szCs w:val="24"/>
        </w:rPr>
        <w:t xml:space="preserve"> and 3</w:t>
      </w:r>
      <w:r w:rsidR="00173A9D"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mls</w:t>
      </w:r>
      <w:proofErr w:type="spellEnd"/>
      <w:r w:rsidRPr="00C034E2">
        <w:rPr>
          <w:rFonts w:ascii="Calibri" w:eastAsia="Times New Roman" w:hAnsi="Calibri" w:cs="Calibri"/>
          <w:sz w:val="24"/>
          <w:szCs w:val="24"/>
        </w:rPr>
        <w:t xml:space="preserve"> purified water (methylparaben and propylparaben mixed according to purified water formula) for a total of 5 ml. This was filtered with a </w:t>
      </w:r>
      <w:proofErr w:type="gramStart"/>
      <w:r w:rsidRPr="00C034E2">
        <w:rPr>
          <w:rFonts w:ascii="Calibri" w:eastAsia="Times New Roman" w:hAnsi="Calibri" w:cs="Calibri"/>
          <w:sz w:val="24"/>
          <w:szCs w:val="24"/>
        </w:rPr>
        <w:t>5</w:t>
      </w:r>
      <w:r w:rsidR="00173A9D" w:rsidRPr="00C034E2">
        <w:rPr>
          <w:rFonts w:ascii="Calibri" w:eastAsia="Times New Roman" w:hAnsi="Calibri" w:cs="Calibri"/>
          <w:sz w:val="24"/>
          <w:szCs w:val="24"/>
        </w:rPr>
        <w:t xml:space="preserve"> </w:t>
      </w:r>
      <w:r w:rsidRPr="00C034E2">
        <w:rPr>
          <w:rFonts w:ascii="Calibri" w:eastAsia="Times New Roman" w:hAnsi="Calibri" w:cs="Calibri"/>
          <w:sz w:val="24"/>
          <w:szCs w:val="24"/>
        </w:rPr>
        <w:t>mu</w:t>
      </w:r>
      <w:proofErr w:type="gramEnd"/>
      <w:r w:rsidRPr="00C034E2">
        <w:rPr>
          <w:rFonts w:ascii="Calibri" w:eastAsia="Times New Roman" w:hAnsi="Calibri" w:cs="Calibri"/>
          <w:sz w:val="24"/>
          <w:szCs w:val="24"/>
        </w:rPr>
        <w:t xml:space="preserve"> filter and transferred to the bottles with attached intranasal applicators.</w:t>
      </w:r>
    </w:p>
    <w:p w14:paraId="163DAAD8" w14:textId="77777777" w:rsidR="009423AA" w:rsidRPr="00C034E2" w:rsidRDefault="009423AA" w:rsidP="009423AA">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As in previous research</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(Tabak et al., 2015, 2016)</w:t>
      </w:r>
      <w:r w:rsidRPr="00C034E2">
        <w:rPr>
          <w:rFonts w:ascii="Calibri" w:eastAsia="Times New Roman" w:hAnsi="Calibri" w:cs="Calibri"/>
          <w:sz w:val="24"/>
          <w:szCs w:val="24"/>
        </w:rPr>
        <w:t>, participants waited approximately 40 minutes following completion of administration before beginning the tasks. During this time, the experimenter provided instructions for the tasks that the participants would be completing in the scanner. Following approximately 10 minutes of instructions, participants were asked to sit quietly and read from a stack of outdated magazines (e.g., Newsweek). After the incubation period, participants once again completed measures of state anxiety and positive/negative affect (see Supplementary Measures).</w:t>
      </w:r>
      <w:r w:rsidR="002C24BB" w:rsidRPr="00C034E2">
        <w:rPr>
          <w:rFonts w:ascii="Calibri" w:eastAsia="Times New Roman" w:hAnsi="Calibri" w:cs="Calibri"/>
          <w:sz w:val="24"/>
          <w:szCs w:val="24"/>
        </w:rPr>
        <w:t xml:space="preserve"> No adverse effects were reported following drug administration.</w:t>
      </w:r>
      <w:r w:rsidR="000D0006" w:rsidRPr="00C034E2">
        <w:rPr>
          <w:rFonts w:ascii="Calibri" w:eastAsia="Times New Roman" w:hAnsi="Calibri" w:cs="Calibri"/>
          <w:sz w:val="24"/>
          <w:szCs w:val="24"/>
        </w:rPr>
        <w:t xml:space="preserve"> Following the 40-minute incubation period, participants prepared for the fMRI session, which included placing MRI-safe pads on either side of participants’ heads to reduce head motion.</w:t>
      </w:r>
    </w:p>
    <w:p w14:paraId="56CFE6FA" w14:textId="77777777" w:rsidR="009423AA" w:rsidRPr="00C034E2" w:rsidRDefault="009423AA" w:rsidP="00F87A56">
      <w:pPr>
        <w:spacing w:before="240" w:line="480" w:lineRule="auto"/>
        <w:contextualSpacing/>
        <w:rPr>
          <w:rFonts w:ascii="Calibri" w:hAnsi="Calibri" w:cs="Calibri"/>
          <w:b/>
          <w:sz w:val="24"/>
          <w:szCs w:val="24"/>
        </w:rPr>
      </w:pPr>
      <w:r w:rsidRPr="00C034E2">
        <w:rPr>
          <w:rFonts w:ascii="Calibri" w:hAnsi="Calibri" w:cs="Calibri"/>
          <w:b/>
          <w:sz w:val="24"/>
          <w:szCs w:val="24"/>
        </w:rPr>
        <w:lastRenderedPageBreak/>
        <w:t>Additional information on Why/How Task</w:t>
      </w:r>
    </w:p>
    <w:p w14:paraId="00DCDBBE" w14:textId="63FE52A3" w:rsidR="009423AA" w:rsidRPr="00C034E2" w:rsidRDefault="009423AA" w:rsidP="00F87A56">
      <w:pPr>
        <w:spacing w:before="240" w:line="480" w:lineRule="auto"/>
        <w:contextualSpacing/>
        <w:rPr>
          <w:rFonts w:ascii="Calibri" w:eastAsia="Times New Roman" w:hAnsi="Calibri" w:cs="Calibri"/>
          <w:sz w:val="24"/>
          <w:szCs w:val="24"/>
        </w:rPr>
      </w:pPr>
      <w:r w:rsidRPr="00C034E2">
        <w:rPr>
          <w:rFonts w:ascii="Calibri" w:hAnsi="Calibri" w:cs="Calibri"/>
          <w:b/>
          <w:sz w:val="24"/>
          <w:szCs w:val="24"/>
        </w:rPr>
        <w:tab/>
      </w:r>
      <w:r w:rsidRPr="00C034E2">
        <w:rPr>
          <w:rFonts w:ascii="Calibri" w:eastAsia="Times New Roman" w:hAnsi="Calibri" w:cs="Calibri"/>
          <w:sz w:val="24"/>
          <w:szCs w:val="24"/>
        </w:rPr>
        <w:t>The Why questions require mentalizing about other’s actions, while the How questions require action representation or mirror neuron activity. Each experimental block started with either a Why or How prompt question followed by eight images in a row. The Why prompts described either intentions inferred from a person’s bodily actions (e.g., “competing against others,” “concerned with their health,” “helping someone,” and “protecting themselves”) or emotional states inferred from facial expressions (e.g., “admiring someone,” “expressing self-doubt,” “in an argument,” and “proud of themselves”). The How prompts described the physical mechanics of body actions (e.g., “lifting something,” “pressing a button,” “reaching for something,” and “using both hands”) or facial orientations (e.g., “smiling,” “looking at the camera,” “looking to their side,” and “opening their mouth”). The start of the next block began at a predetermined jitter time of around nine seconds. Participants were given one of four possible orders and timing sequences previously determined in Spunt and Adolphs</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(Spunt &amp; Adolphs, 2014)</w:t>
      </w:r>
      <w:r w:rsidRPr="00C034E2">
        <w:rPr>
          <w:rFonts w:ascii="Calibri" w:eastAsia="Times New Roman" w:hAnsi="Calibri" w:cs="Calibri"/>
          <w:sz w:val="24"/>
          <w:szCs w:val="24"/>
        </w:rPr>
        <w:t xml:space="preserve"> to provide the best BOLD signal-to-noise ratio.</w:t>
      </w:r>
    </w:p>
    <w:p w14:paraId="33E6B01C" w14:textId="77777777" w:rsidR="009423AA" w:rsidRPr="00C034E2" w:rsidRDefault="009423AA" w:rsidP="009423AA">
      <w:pPr>
        <w:spacing w:before="240"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Importantly, the Why/How Task uses different instructional prompts for the same set of photographs</w:t>
      </w:r>
      <w:r w:rsidR="00177282" w:rsidRPr="00C034E2">
        <w:rPr>
          <w:rFonts w:ascii="Calibri" w:eastAsia="Times New Roman" w:hAnsi="Calibri" w:cs="Calibri"/>
          <w:sz w:val="24"/>
          <w:szCs w:val="24"/>
        </w:rPr>
        <w:t>. This helps control for possible lower-level visual confounds</w:t>
      </w:r>
      <w:r w:rsidRPr="00C034E2">
        <w:rPr>
          <w:rFonts w:ascii="Calibri" w:eastAsia="Times New Roman" w:hAnsi="Calibri" w:cs="Calibri"/>
          <w:sz w:val="24"/>
          <w:szCs w:val="24"/>
        </w:rPr>
        <w:t xml:space="preserve"> </w:t>
      </w:r>
      <w:r w:rsidR="00177282" w:rsidRPr="00C034E2">
        <w:rPr>
          <w:rFonts w:ascii="Calibri" w:eastAsia="Times New Roman" w:hAnsi="Calibri" w:cs="Calibri"/>
          <w:sz w:val="24"/>
          <w:szCs w:val="24"/>
        </w:rPr>
        <w:t>enabling direct</w:t>
      </w:r>
      <w:r w:rsidRPr="00C034E2">
        <w:rPr>
          <w:rFonts w:ascii="Calibri" w:eastAsia="Times New Roman" w:hAnsi="Calibri" w:cs="Calibri"/>
          <w:sz w:val="24"/>
          <w:szCs w:val="24"/>
        </w:rPr>
        <w:t xml:space="preserve"> contrast</w:t>
      </w:r>
      <w:r w:rsidR="00177282" w:rsidRPr="00C034E2">
        <w:rPr>
          <w:rFonts w:ascii="Calibri" w:eastAsia="Times New Roman" w:hAnsi="Calibri" w:cs="Calibri"/>
          <w:sz w:val="24"/>
          <w:szCs w:val="24"/>
        </w:rPr>
        <w:t xml:space="preserve"> of</w:t>
      </w:r>
      <w:r w:rsidRPr="00C034E2">
        <w:rPr>
          <w:rFonts w:ascii="Calibri" w:eastAsia="Times New Roman" w:hAnsi="Calibri" w:cs="Calibri"/>
          <w:sz w:val="24"/>
          <w:szCs w:val="24"/>
        </w:rPr>
        <w:t xml:space="preserve"> identification of the intentions of depicted actions and meaning of emotionally expressive scenes (Why) against identification of the procedural mechanics that produce the action or emotional expression (How). Critically, this allows for isolation of neural activation related to the mentalizing network from that of the mirror network that associates the observation of an action with a motor representation</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(Iacoboni, 2009; Niedenthal, Mermillod, Maringer, &amp; Hess, 201</w:t>
      </w:r>
      <w:r w:rsidR="005504EC">
        <w:rPr>
          <w:rFonts w:ascii="Calibri" w:eastAsia="Times New Roman" w:hAnsi="Calibri" w:cs="Calibri"/>
          <w:noProof/>
          <w:sz w:val="24"/>
          <w:szCs w:val="24"/>
        </w:rPr>
        <w:t>0</w:t>
      </w:r>
      <w:r w:rsidR="00447193" w:rsidRPr="00C034E2">
        <w:rPr>
          <w:rFonts w:ascii="Calibri" w:eastAsia="Times New Roman" w:hAnsi="Calibri" w:cs="Calibri"/>
          <w:noProof/>
          <w:sz w:val="24"/>
          <w:szCs w:val="24"/>
        </w:rPr>
        <w:t>)</w:t>
      </w:r>
      <w:r w:rsidRPr="00C034E2">
        <w:rPr>
          <w:rFonts w:ascii="Calibri" w:eastAsia="Times New Roman" w:hAnsi="Calibri" w:cs="Calibri"/>
          <w:sz w:val="24"/>
          <w:szCs w:val="24"/>
        </w:rPr>
        <w:t xml:space="preserve"> and allows for mimicry of actions and emotional expressions even in </w:t>
      </w:r>
      <w:r w:rsidRPr="00C034E2">
        <w:rPr>
          <w:rFonts w:ascii="Calibri" w:eastAsia="Times New Roman" w:hAnsi="Calibri" w:cs="Calibri"/>
          <w:sz w:val="24"/>
          <w:szCs w:val="24"/>
        </w:rPr>
        <w:lastRenderedPageBreak/>
        <w:t>the absence of an explicit representation of the mental state producing the action or expression</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(Preston &amp; de Waal, 2002)</w:t>
      </w:r>
      <w:r w:rsidRPr="00C034E2">
        <w:rPr>
          <w:rFonts w:ascii="Calibri" w:eastAsia="Times New Roman" w:hAnsi="Calibri" w:cs="Calibri"/>
          <w:sz w:val="24"/>
          <w:szCs w:val="24"/>
        </w:rPr>
        <w:t xml:space="preserve">. </w:t>
      </w:r>
    </w:p>
    <w:p w14:paraId="33FF02D5" w14:textId="77777777" w:rsidR="00F87A56" w:rsidRPr="00C034E2" w:rsidRDefault="00F87A56" w:rsidP="00F87A56">
      <w:pPr>
        <w:spacing w:before="240" w:line="480" w:lineRule="auto"/>
        <w:contextualSpacing/>
        <w:rPr>
          <w:rFonts w:ascii="Calibri" w:eastAsia="Times New Roman" w:hAnsi="Calibri" w:cs="Calibri"/>
          <w:b/>
          <w:sz w:val="24"/>
          <w:szCs w:val="24"/>
        </w:rPr>
      </w:pPr>
      <w:r w:rsidRPr="00C034E2">
        <w:rPr>
          <w:rFonts w:ascii="Calibri" w:eastAsia="Times New Roman" w:hAnsi="Calibri" w:cs="Calibri"/>
          <w:b/>
          <w:sz w:val="24"/>
          <w:szCs w:val="24"/>
        </w:rPr>
        <w:t>Rationale for choosing self-report measures for exploratory moderation analyses</w:t>
      </w:r>
    </w:p>
    <w:p w14:paraId="591C707E" w14:textId="77777777" w:rsidR="009423AA" w:rsidRPr="00C034E2" w:rsidRDefault="005A72DB" w:rsidP="009423AA">
      <w:pPr>
        <w:spacing w:before="240"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Based</w:t>
      </w:r>
      <w:r w:rsidR="009423AA" w:rsidRPr="00C034E2">
        <w:rPr>
          <w:rFonts w:ascii="Calibri" w:eastAsia="Times New Roman" w:hAnsi="Calibri" w:cs="Calibri"/>
          <w:sz w:val="24"/>
          <w:szCs w:val="24"/>
        </w:rPr>
        <w:t xml:space="preserve"> on studies showing interaction effects of OT on social cognitive processes</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(Bartz, Nitschke, Krol, &amp; Tellier, 2019; Feeser et al., 2015)</w:t>
      </w:r>
      <w:r w:rsidR="009423AA" w:rsidRPr="00C034E2">
        <w:rPr>
          <w:rFonts w:ascii="Calibri" w:eastAsia="Times New Roman" w:hAnsi="Calibri" w:cs="Calibri"/>
          <w:sz w:val="24"/>
          <w:szCs w:val="24"/>
        </w:rPr>
        <w:t>, we conducted several exploratory analyses including relevant moderators. We analyzed these effects using a whole-brain approach as well as a more focused contrast of ROIs comparing mentalizing with the mirror networks for the Why versus How conditions. We hypothesized that OT and AVP would modulate activation in, and connectivity between, neural regions in the mentalizing network. In particular, we hypothesized that OT and AVP would increase activation in the MPFC and PCC, two regions previously observed to be affected by these neuropeptides in relevant social cognition tasks</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(Brunnlieb, Münte, Tempelmann, &amp; Heldmann, 2013; Chen, Gautam, Haroon, &amp; Rilling, 2017; Feng et al., 2015; Geng et al., 2018; Teed, Han, Rakic, Mark, &amp; Krawczyk, 2019; Zhao et al., 2016)</w:t>
      </w:r>
      <w:r w:rsidR="009423AA" w:rsidRPr="00C034E2">
        <w:rPr>
          <w:rFonts w:ascii="Calibri" w:eastAsia="Times New Roman" w:hAnsi="Calibri" w:cs="Calibri"/>
          <w:sz w:val="24"/>
          <w:szCs w:val="24"/>
        </w:rPr>
        <w:t xml:space="preserve">. </w:t>
      </w:r>
    </w:p>
    <w:p w14:paraId="3314826E" w14:textId="628CF3BD" w:rsidR="00F87A56" w:rsidRPr="00C034E2" w:rsidRDefault="00F87A56" w:rsidP="00F87A56">
      <w:pPr>
        <w:spacing w:before="240" w:line="480" w:lineRule="auto"/>
        <w:ind w:firstLine="720"/>
        <w:contextualSpacing/>
        <w:rPr>
          <w:rFonts w:ascii="Calibri" w:eastAsia="Times New Roman" w:hAnsi="Calibri" w:cs="Calibri"/>
          <w:sz w:val="24"/>
          <w:szCs w:val="24"/>
        </w:rPr>
      </w:pPr>
      <w:proofErr w:type="spellStart"/>
      <w:r w:rsidRPr="00C034E2">
        <w:rPr>
          <w:rFonts w:ascii="Calibri" w:eastAsia="Times New Roman" w:hAnsi="Calibri" w:cs="Calibri"/>
          <w:sz w:val="24"/>
          <w:szCs w:val="24"/>
        </w:rPr>
        <w:t>Bartz</w:t>
      </w:r>
      <w:proofErr w:type="spellEnd"/>
      <w:r w:rsidRPr="00C034E2">
        <w:rPr>
          <w:rFonts w:ascii="Calibri" w:eastAsia="Times New Roman" w:hAnsi="Calibri" w:cs="Calibri"/>
          <w:sz w:val="24"/>
          <w:szCs w:val="24"/>
        </w:rPr>
        <w:t xml:space="preserve"> and colleagues</w:t>
      </w:r>
      <w:r w:rsidR="00E13D56" w:rsidRPr="00C034E2">
        <w:rPr>
          <w:rFonts w:ascii="Calibri" w:eastAsia="Times New Roman" w:hAnsi="Calibri" w:cs="Calibri"/>
          <w:sz w:val="24"/>
          <w:szCs w:val="24"/>
        </w:rPr>
        <w:t xml:space="preserve"> </w:t>
      </w:r>
      <w:r w:rsidR="00E13D56" w:rsidRPr="00C034E2">
        <w:rPr>
          <w:rFonts w:ascii="Calibri" w:eastAsia="Times New Roman" w:hAnsi="Calibri" w:cs="Calibri"/>
          <w:noProof/>
          <w:sz w:val="24"/>
          <w:szCs w:val="24"/>
        </w:rPr>
        <w:t>(Bartz et al., 2019, 2010)</w:t>
      </w:r>
      <w:r w:rsidRPr="00C034E2">
        <w:rPr>
          <w:rFonts w:ascii="Calibri" w:eastAsia="Times New Roman" w:hAnsi="Calibri" w:cs="Calibri"/>
          <w:sz w:val="24"/>
          <w:szCs w:val="24"/>
        </w:rPr>
        <w:t xml:space="preserve"> found a moderated effect of OT on empathic accuracy among individuals with greater social cognitive impairment based on scores from the Autism </w:t>
      </w:r>
      <w:r w:rsidR="0003708C" w:rsidRPr="00C034E2">
        <w:rPr>
          <w:rFonts w:ascii="Calibri" w:eastAsia="Times New Roman" w:hAnsi="Calibri" w:cs="Calibri"/>
          <w:sz w:val="24"/>
          <w:szCs w:val="24"/>
        </w:rPr>
        <w:t xml:space="preserve">Spectrum </w:t>
      </w:r>
      <w:r w:rsidRPr="00C034E2">
        <w:rPr>
          <w:rFonts w:ascii="Calibri" w:eastAsia="Times New Roman" w:hAnsi="Calibri" w:cs="Calibri"/>
          <w:sz w:val="24"/>
          <w:szCs w:val="24"/>
        </w:rPr>
        <w:t xml:space="preserve">Quotient (AQ; </w:t>
      </w:r>
      <w:r w:rsidR="00E13D56" w:rsidRPr="00C034E2">
        <w:rPr>
          <w:rFonts w:ascii="Calibri" w:eastAsia="Times New Roman" w:hAnsi="Calibri" w:cs="Calibri"/>
          <w:noProof/>
          <w:sz w:val="24"/>
          <w:szCs w:val="24"/>
        </w:rPr>
        <w:t>Baron-Cohen et al., 2001)</w:t>
      </w:r>
      <w:r w:rsidRPr="00C034E2">
        <w:rPr>
          <w:rFonts w:ascii="Calibri" w:eastAsia="Times New Roman" w:hAnsi="Calibri" w:cs="Calibri"/>
          <w:sz w:val="24"/>
          <w:szCs w:val="24"/>
        </w:rPr>
        <w:t xml:space="preserve">. Similarly, </w:t>
      </w:r>
      <w:proofErr w:type="spellStart"/>
      <w:r w:rsidRPr="00C034E2">
        <w:rPr>
          <w:rFonts w:ascii="Calibri" w:eastAsia="Times New Roman" w:hAnsi="Calibri" w:cs="Calibri"/>
          <w:sz w:val="24"/>
          <w:szCs w:val="24"/>
        </w:rPr>
        <w:t>Feeser</w:t>
      </w:r>
      <w:proofErr w:type="spellEnd"/>
      <w:r w:rsidRPr="00C034E2">
        <w:rPr>
          <w:rFonts w:ascii="Calibri" w:eastAsia="Times New Roman" w:hAnsi="Calibri" w:cs="Calibri"/>
          <w:sz w:val="24"/>
          <w:szCs w:val="24"/>
        </w:rPr>
        <w:t xml:space="preserve"> and colleagues</w:t>
      </w:r>
      <w:r w:rsidR="00E13D56" w:rsidRPr="00C034E2">
        <w:rPr>
          <w:rFonts w:ascii="Calibri" w:eastAsia="Times New Roman" w:hAnsi="Calibri" w:cs="Calibri"/>
          <w:sz w:val="24"/>
          <w:szCs w:val="24"/>
        </w:rPr>
        <w:t xml:space="preserve"> </w:t>
      </w:r>
      <w:r w:rsidR="00E13D56" w:rsidRPr="00C034E2">
        <w:rPr>
          <w:rFonts w:ascii="Calibri" w:eastAsia="Times New Roman" w:hAnsi="Calibri" w:cs="Calibri"/>
          <w:noProof/>
          <w:sz w:val="24"/>
          <w:szCs w:val="24"/>
        </w:rPr>
        <w:t>(Feeser et al., 2015)</w:t>
      </w:r>
      <w:r w:rsidRPr="00C034E2">
        <w:rPr>
          <w:rFonts w:ascii="Calibri" w:eastAsia="Times New Roman" w:hAnsi="Calibri" w:cs="Calibri"/>
          <w:sz w:val="24"/>
          <w:szCs w:val="24"/>
        </w:rPr>
        <w:t xml:space="preserve"> found that OT increased mentalizing ability among individuals with lower levels of dispositional empathy as measured by the Empathy Quotient (EQ; </w:t>
      </w:r>
      <w:r w:rsidR="00E13D56" w:rsidRPr="00C034E2">
        <w:rPr>
          <w:rFonts w:ascii="Calibri" w:eastAsia="Times New Roman" w:hAnsi="Calibri" w:cs="Calibri"/>
          <w:noProof/>
          <w:sz w:val="24"/>
          <w:szCs w:val="24"/>
        </w:rPr>
        <w:t>Baron-Cohen and Wheelwright, 2004</w:t>
      </w:r>
      <w:r w:rsidRPr="00C034E2">
        <w:rPr>
          <w:rFonts w:ascii="Calibri" w:eastAsia="Times New Roman" w:hAnsi="Calibri" w:cs="Calibri"/>
          <w:sz w:val="24"/>
          <w:szCs w:val="24"/>
        </w:rPr>
        <w:t>), and Radke and de Bruijn</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(Radke &amp; de Bruijn, 2015)</w:t>
      </w:r>
      <w:r w:rsidRPr="00C034E2">
        <w:rPr>
          <w:rFonts w:ascii="Calibri" w:eastAsia="Times New Roman" w:hAnsi="Calibri" w:cs="Calibri"/>
          <w:sz w:val="24"/>
          <w:szCs w:val="24"/>
        </w:rPr>
        <w:t xml:space="preserve"> found results when examining the moderating role of the empathic concern subscale of the Interpersonal Reactivity Index (IRI</w:t>
      </w:r>
      <w:r w:rsidR="00E13D56" w:rsidRPr="00C034E2">
        <w:rPr>
          <w:rFonts w:ascii="Calibri" w:eastAsia="Times New Roman" w:hAnsi="Calibri" w:cs="Calibri"/>
          <w:sz w:val="24"/>
          <w:szCs w:val="24"/>
        </w:rPr>
        <w:t xml:space="preserve">; </w:t>
      </w:r>
      <w:r w:rsidR="00E13D56" w:rsidRPr="00C034E2">
        <w:rPr>
          <w:rFonts w:ascii="Calibri" w:eastAsia="Times New Roman" w:hAnsi="Calibri" w:cs="Calibri"/>
          <w:noProof/>
          <w:sz w:val="24"/>
          <w:szCs w:val="24"/>
        </w:rPr>
        <w:t>Davis, 1983)</w:t>
      </w:r>
      <w:r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Luminet</w:t>
      </w:r>
      <w:proofErr w:type="spellEnd"/>
      <w:r w:rsidRPr="00C034E2">
        <w:rPr>
          <w:rFonts w:ascii="Calibri" w:eastAsia="Times New Roman" w:hAnsi="Calibri" w:cs="Calibri"/>
          <w:sz w:val="24"/>
          <w:szCs w:val="24"/>
        </w:rPr>
        <w:t xml:space="preserve"> and colleagues </w:t>
      </w:r>
      <w:r w:rsidR="00447193" w:rsidRPr="00C034E2">
        <w:rPr>
          <w:rFonts w:ascii="Calibri" w:eastAsia="Times New Roman" w:hAnsi="Calibri" w:cs="Calibri"/>
          <w:noProof/>
          <w:sz w:val="24"/>
          <w:szCs w:val="24"/>
        </w:rPr>
        <w:t xml:space="preserve">(Luminet, Grynberg, </w:t>
      </w:r>
      <w:r w:rsidR="00447193" w:rsidRPr="00C034E2">
        <w:rPr>
          <w:rFonts w:ascii="Calibri" w:eastAsia="Times New Roman" w:hAnsi="Calibri" w:cs="Calibri"/>
          <w:noProof/>
          <w:sz w:val="24"/>
          <w:szCs w:val="24"/>
        </w:rPr>
        <w:lastRenderedPageBreak/>
        <w:t>Ruzette, &amp; Mikolajczak, 2011)</w:t>
      </w:r>
      <w:r w:rsidRPr="00C034E2">
        <w:rPr>
          <w:rFonts w:ascii="Calibri" w:eastAsia="Times New Roman" w:hAnsi="Calibri" w:cs="Calibri"/>
          <w:sz w:val="24"/>
          <w:szCs w:val="24"/>
        </w:rPr>
        <w:t xml:space="preserve"> also found increased mentalizing ability following OT administration among individuals with higher levels of alexithymia. Most recently, a study by </w:t>
      </w:r>
      <w:proofErr w:type="spellStart"/>
      <w:r w:rsidRPr="00C034E2">
        <w:rPr>
          <w:rFonts w:ascii="Calibri" w:eastAsia="Times New Roman" w:hAnsi="Calibri" w:cs="Calibri"/>
          <w:sz w:val="24"/>
          <w:szCs w:val="24"/>
        </w:rPr>
        <w:t>Tomova</w:t>
      </w:r>
      <w:proofErr w:type="spellEnd"/>
      <w:r w:rsidRPr="00C034E2">
        <w:rPr>
          <w:rFonts w:ascii="Calibri" w:eastAsia="Times New Roman" w:hAnsi="Calibri" w:cs="Calibri"/>
          <w:sz w:val="24"/>
          <w:szCs w:val="24"/>
        </w:rPr>
        <w:t xml:space="preserve">, Heinrichs, and </w:t>
      </w:r>
      <w:proofErr w:type="spellStart"/>
      <w:r w:rsidRPr="00C034E2">
        <w:rPr>
          <w:rFonts w:ascii="Calibri" w:eastAsia="Times New Roman" w:hAnsi="Calibri" w:cs="Calibri"/>
          <w:sz w:val="24"/>
          <w:szCs w:val="24"/>
        </w:rPr>
        <w:t>Lamm</w:t>
      </w:r>
      <w:proofErr w:type="spellEnd"/>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(Tomova, Heinrichs, &amp; Lamm, 2019)</w:t>
      </w:r>
      <w:r w:rsidRPr="00C034E2">
        <w:rPr>
          <w:rFonts w:ascii="Calibri" w:eastAsia="Times New Roman" w:hAnsi="Calibri" w:cs="Calibri"/>
          <w:sz w:val="24"/>
          <w:szCs w:val="24"/>
        </w:rPr>
        <w:t xml:space="preserve"> found that OT increased visual perspective taking when engaged in a behavioral task suggesting that individual differences in perspective taking could be a potential moderator of OT’s effects.</w:t>
      </w:r>
    </w:p>
    <w:p w14:paraId="34DC804A" w14:textId="7C42827B" w:rsidR="00F87A56" w:rsidRPr="00C034E2" w:rsidRDefault="00F87A56" w:rsidP="00F87A56">
      <w:pPr>
        <w:spacing w:line="480" w:lineRule="auto"/>
        <w:ind w:firstLine="720"/>
        <w:rPr>
          <w:rFonts w:ascii="Calibri" w:eastAsia="Times New Roman" w:hAnsi="Calibri" w:cs="Calibri"/>
          <w:sz w:val="24"/>
          <w:szCs w:val="24"/>
        </w:rPr>
      </w:pPr>
      <w:r w:rsidRPr="00C034E2">
        <w:rPr>
          <w:rFonts w:ascii="Calibri" w:eastAsia="Times New Roman" w:hAnsi="Calibri" w:cs="Calibri"/>
          <w:sz w:val="24"/>
          <w:szCs w:val="24"/>
        </w:rPr>
        <w:t>The moderating role of personality traits including extraversion and agreeableness have also been associated with altered effects of OT on social processes including prosocial behavior</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(Human, Thorson, &amp; Mendes, 2016)</w:t>
      </w:r>
      <w:r w:rsidRPr="00C034E2">
        <w:rPr>
          <w:rFonts w:ascii="Calibri" w:eastAsia="Times New Roman" w:hAnsi="Calibri" w:cs="Calibri"/>
          <w:sz w:val="24"/>
          <w:szCs w:val="24"/>
        </w:rPr>
        <w:t xml:space="preserve"> and social reward</w:t>
      </w:r>
      <w:r w:rsidR="00E13D56" w:rsidRPr="00C034E2">
        <w:rPr>
          <w:rFonts w:ascii="Calibri" w:eastAsia="Times New Roman" w:hAnsi="Calibri" w:cs="Calibri"/>
          <w:sz w:val="24"/>
          <w:szCs w:val="24"/>
        </w:rPr>
        <w:t xml:space="preserve"> </w:t>
      </w:r>
      <w:r w:rsidR="00E13D56" w:rsidRPr="00C034E2">
        <w:rPr>
          <w:rFonts w:ascii="Calibri" w:eastAsia="Times New Roman" w:hAnsi="Calibri" w:cs="Calibri"/>
          <w:noProof/>
          <w:sz w:val="24"/>
          <w:szCs w:val="24"/>
        </w:rPr>
        <w:t>(Groppe et al., 2013)</w:t>
      </w:r>
      <w:r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Riem</w:t>
      </w:r>
      <w:proofErr w:type="spellEnd"/>
      <w:r w:rsidRPr="00C034E2">
        <w:rPr>
          <w:rFonts w:ascii="Calibri" w:eastAsia="Times New Roman" w:hAnsi="Calibri" w:cs="Calibri"/>
          <w:sz w:val="24"/>
          <w:szCs w:val="24"/>
        </w:rPr>
        <w:t xml:space="preserve"> and colleagues </w:t>
      </w:r>
      <w:r w:rsidR="00447193" w:rsidRPr="00C034E2">
        <w:rPr>
          <w:rFonts w:ascii="Calibri" w:eastAsia="Times New Roman" w:hAnsi="Calibri" w:cs="Calibri"/>
          <w:noProof/>
          <w:sz w:val="24"/>
          <w:szCs w:val="24"/>
        </w:rPr>
        <w:t>(2014)</w:t>
      </w:r>
      <w:r w:rsidRPr="00C034E2">
        <w:rPr>
          <w:rFonts w:ascii="Calibri" w:eastAsia="Times New Roman" w:hAnsi="Calibri" w:cs="Calibri"/>
          <w:sz w:val="24"/>
          <w:szCs w:val="24"/>
        </w:rPr>
        <w:t xml:space="preserve"> found moderated effects of OT on mentalizing among individuals who experienced higher levels of maternal love withdrawal which led us to examine retrospective perceptions of mothers and fathers during childhood through the Parental Bonding Instrument</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(Parker, Tupling, &amp; Brown, 1979)</w:t>
      </w:r>
      <w:r w:rsidRPr="00C034E2">
        <w:rPr>
          <w:rFonts w:ascii="Calibri" w:eastAsia="Times New Roman" w:hAnsi="Calibri" w:cs="Calibri"/>
          <w:sz w:val="24"/>
          <w:szCs w:val="24"/>
        </w:rPr>
        <w:t>. Relatedly, participants who experienced greater early life adversity showed increased emotion recognition ability following OT</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(Schwaiger, Heinrichs, &amp; Kumsta, 2019)</w:t>
      </w:r>
      <w:r w:rsidRPr="00C034E2">
        <w:rPr>
          <w:rFonts w:ascii="Calibri" w:eastAsia="Times New Roman" w:hAnsi="Calibri" w:cs="Calibri"/>
          <w:sz w:val="24"/>
          <w:szCs w:val="24"/>
        </w:rPr>
        <w:t>, which led us to include the Risky Families Questionnaire</w:t>
      </w:r>
      <w:r w:rsidR="00E13D56" w:rsidRPr="00C034E2">
        <w:rPr>
          <w:rFonts w:ascii="Calibri" w:eastAsia="Times New Roman" w:hAnsi="Calibri" w:cs="Calibri"/>
          <w:sz w:val="24"/>
          <w:szCs w:val="24"/>
        </w:rPr>
        <w:t xml:space="preserve"> </w:t>
      </w:r>
      <w:r w:rsidR="00447193" w:rsidRPr="00C034E2">
        <w:rPr>
          <w:rFonts w:ascii="Calibri" w:eastAsia="Times New Roman" w:hAnsi="Calibri" w:cs="Calibri"/>
          <w:noProof/>
          <w:sz w:val="24"/>
          <w:szCs w:val="24"/>
        </w:rPr>
        <w:t>(Taylor, Lerner, Sage, Lehman, &amp; Seeman, 2004)</w:t>
      </w:r>
      <w:r w:rsidRPr="00C034E2">
        <w:rPr>
          <w:rFonts w:ascii="Calibri" w:eastAsia="Times New Roman" w:hAnsi="Calibri" w:cs="Calibri"/>
          <w:sz w:val="24"/>
          <w:szCs w:val="24"/>
        </w:rPr>
        <w:t>. Last, based on previous evidence that OT decreased social working memory accuracy in individuals with higher levels of social anxiety</w:t>
      </w:r>
      <w:r w:rsidR="00E13D56" w:rsidRPr="00C034E2">
        <w:rPr>
          <w:rFonts w:ascii="Calibri" w:eastAsia="Times New Roman" w:hAnsi="Calibri" w:cs="Calibri"/>
          <w:sz w:val="24"/>
          <w:szCs w:val="24"/>
        </w:rPr>
        <w:t xml:space="preserve"> </w:t>
      </w:r>
      <w:r w:rsidR="00E13D56" w:rsidRPr="00C034E2">
        <w:rPr>
          <w:rFonts w:ascii="Calibri" w:eastAsia="Times New Roman" w:hAnsi="Calibri" w:cs="Calibri"/>
          <w:noProof/>
          <w:sz w:val="24"/>
          <w:szCs w:val="24"/>
        </w:rPr>
        <w:t>(Tabak et al., 2016)</w:t>
      </w:r>
      <w:r w:rsidRPr="00C034E2">
        <w:rPr>
          <w:rFonts w:ascii="Calibri" w:eastAsia="Times New Roman" w:hAnsi="Calibri" w:cs="Calibri"/>
          <w:sz w:val="24"/>
          <w:szCs w:val="24"/>
        </w:rPr>
        <w:t>, we included a composite measure of social anxiety as we have in our previous research. Thus, we examined the following moderators: AQ, EQ, alexithymia, extraversion, agreeableness, empathic concern, perspective taking, perceptions of early maternal and paternal care, early life adversity, and social anxiety.</w:t>
      </w:r>
    </w:p>
    <w:p w14:paraId="0A3277EB" w14:textId="77777777" w:rsidR="00F87A56" w:rsidRPr="00C034E2" w:rsidRDefault="00F87A56" w:rsidP="00F87A56">
      <w:pPr>
        <w:rPr>
          <w:rFonts w:ascii="Calibri" w:hAnsi="Calibri" w:cs="Calibri"/>
          <w:b/>
          <w:sz w:val="24"/>
          <w:szCs w:val="24"/>
        </w:rPr>
      </w:pPr>
      <w:r w:rsidRPr="00C034E2">
        <w:rPr>
          <w:rFonts w:ascii="Calibri" w:hAnsi="Calibri" w:cs="Calibri"/>
          <w:b/>
          <w:sz w:val="24"/>
          <w:szCs w:val="24"/>
        </w:rPr>
        <w:t>Measures</w:t>
      </w:r>
    </w:p>
    <w:p w14:paraId="4D2F2E77" w14:textId="77777777" w:rsidR="00F87A56" w:rsidRPr="00C034E2" w:rsidRDefault="00F87A56" w:rsidP="00F87A56">
      <w:pPr>
        <w:rPr>
          <w:rFonts w:ascii="Calibri" w:hAnsi="Calibri" w:cs="Calibri"/>
          <w:b/>
          <w:sz w:val="24"/>
          <w:szCs w:val="24"/>
        </w:rPr>
      </w:pPr>
    </w:p>
    <w:p w14:paraId="261658A2" w14:textId="77777777" w:rsidR="00F87A56" w:rsidRPr="00C034E2" w:rsidRDefault="00F87A56" w:rsidP="00F87A56">
      <w:pPr>
        <w:spacing w:line="480" w:lineRule="auto"/>
        <w:contextualSpacing/>
        <w:rPr>
          <w:rFonts w:ascii="Calibri" w:eastAsia="Times New Roman" w:hAnsi="Calibri" w:cs="Calibri"/>
          <w:sz w:val="24"/>
          <w:szCs w:val="24"/>
        </w:rPr>
      </w:pPr>
      <w:proofErr w:type="gramStart"/>
      <w:r w:rsidRPr="00C034E2">
        <w:rPr>
          <w:rFonts w:ascii="Calibri" w:eastAsia="Times New Roman" w:hAnsi="Calibri" w:cs="Calibri"/>
          <w:b/>
          <w:i/>
          <w:sz w:val="24"/>
          <w:szCs w:val="24"/>
        </w:rPr>
        <w:t>Pre-post administration</w:t>
      </w:r>
      <w:proofErr w:type="gramEnd"/>
      <w:r w:rsidRPr="00C034E2">
        <w:rPr>
          <w:rFonts w:ascii="Calibri" w:eastAsia="Times New Roman" w:hAnsi="Calibri" w:cs="Calibri"/>
          <w:b/>
          <w:i/>
          <w:sz w:val="24"/>
          <w:szCs w:val="24"/>
        </w:rPr>
        <w:t xml:space="preserve"> questionnaires</w:t>
      </w:r>
    </w:p>
    <w:p w14:paraId="42530AAE" w14:textId="77777777" w:rsidR="00BD2638" w:rsidRPr="00C034E2" w:rsidRDefault="00BD2638" w:rsidP="00F87A56">
      <w:pPr>
        <w:spacing w:line="480" w:lineRule="auto"/>
        <w:ind w:firstLine="720"/>
        <w:contextualSpacing/>
        <w:rPr>
          <w:rFonts w:ascii="Calibri" w:eastAsia="Times New Roman" w:hAnsi="Calibri" w:cs="Calibri"/>
          <w:i/>
          <w:sz w:val="24"/>
          <w:szCs w:val="24"/>
        </w:rPr>
      </w:pPr>
      <w:r w:rsidRPr="00C034E2">
        <w:rPr>
          <w:rFonts w:ascii="Calibri" w:eastAsia="Times New Roman" w:hAnsi="Calibri" w:cs="Calibri"/>
          <w:sz w:val="24"/>
          <w:szCs w:val="24"/>
        </w:rPr>
        <w:lastRenderedPageBreak/>
        <w:t xml:space="preserve">To measure non-specific effects of OT or AVP, we administered several questionnaires before neuropeptide/placebo administration (i.e., pre-administration), and again after the incubation period before participants entered the scanner (i.e., post-administration). </w:t>
      </w:r>
    </w:p>
    <w:p w14:paraId="06CD8829" w14:textId="2EB51EC4" w:rsidR="00F87A56" w:rsidRPr="00C034E2" w:rsidRDefault="00F87A56" w:rsidP="00F87A56">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i/>
          <w:sz w:val="24"/>
          <w:szCs w:val="24"/>
        </w:rPr>
        <w:t xml:space="preserve">State Anxiety. </w:t>
      </w:r>
      <w:r w:rsidR="00BD2638" w:rsidRPr="00C034E2">
        <w:rPr>
          <w:rFonts w:ascii="Calibri" w:eastAsia="Times New Roman" w:hAnsi="Calibri" w:cs="Calibri"/>
          <w:sz w:val="24"/>
          <w:szCs w:val="24"/>
        </w:rPr>
        <w:t>W</w:t>
      </w:r>
      <w:r w:rsidRPr="00C034E2">
        <w:rPr>
          <w:rFonts w:ascii="Calibri" w:eastAsia="Times New Roman" w:hAnsi="Calibri" w:cs="Calibri"/>
          <w:sz w:val="24"/>
          <w:szCs w:val="24"/>
        </w:rPr>
        <w:t xml:space="preserve">e first measured state anxiety using the state version of the State Trait Anxiety Inventory (STAI; </w:t>
      </w:r>
      <w:r w:rsidR="00E13D56" w:rsidRPr="00C034E2">
        <w:rPr>
          <w:rFonts w:ascii="Calibri" w:eastAsia="Times New Roman" w:hAnsi="Calibri" w:cs="Calibri"/>
          <w:noProof/>
          <w:sz w:val="24"/>
          <w:szCs w:val="24"/>
        </w:rPr>
        <w:t>Spielberger</w:t>
      </w:r>
      <w:r w:rsidR="006C51B2">
        <w:rPr>
          <w:rFonts w:ascii="Calibri" w:eastAsia="Times New Roman" w:hAnsi="Calibri" w:cs="Calibri"/>
          <w:noProof/>
          <w:sz w:val="24"/>
          <w:szCs w:val="24"/>
        </w:rPr>
        <w:t xml:space="preserve"> et al.</w:t>
      </w:r>
      <w:r w:rsidR="00E13D56" w:rsidRPr="00C034E2">
        <w:rPr>
          <w:rFonts w:ascii="Calibri" w:eastAsia="Times New Roman" w:hAnsi="Calibri" w:cs="Calibri"/>
          <w:noProof/>
          <w:sz w:val="24"/>
          <w:szCs w:val="24"/>
        </w:rPr>
        <w:t>, 1983</w:t>
      </w:r>
      <w:r w:rsidRPr="00C034E2">
        <w:rPr>
          <w:rFonts w:ascii="Calibri" w:eastAsia="Times New Roman" w:hAnsi="Calibri" w:cs="Calibri"/>
          <w:sz w:val="24"/>
          <w:szCs w:val="24"/>
        </w:rPr>
        <w:t>). Items on the STAI were rated using a 4-point Likert-type scale (1=not at all; 4=very much). A mean composite was created for the STAI pre-administration (α=.89) and post-administration (α=.88). A change score was then computed (pre-administration - post-administration) to examine differences in state anxiety before and after drug-administration.</w:t>
      </w:r>
    </w:p>
    <w:p w14:paraId="15ED434C" w14:textId="77777777" w:rsidR="00F87A56" w:rsidRPr="00C034E2" w:rsidRDefault="00F87A56" w:rsidP="00F87A56">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i/>
          <w:sz w:val="24"/>
          <w:szCs w:val="24"/>
        </w:rPr>
        <w:t xml:space="preserve">State Positive and Negative Affect. </w:t>
      </w:r>
      <w:r w:rsidRPr="00C034E2">
        <w:rPr>
          <w:rFonts w:ascii="Calibri" w:eastAsia="Times New Roman" w:hAnsi="Calibri" w:cs="Calibri"/>
          <w:sz w:val="24"/>
          <w:szCs w:val="24"/>
        </w:rPr>
        <w:t xml:space="preserve">We also measured positive and negative affect using the 10-item PANAS </w:t>
      </w:r>
      <w:r w:rsidR="00E13D56" w:rsidRPr="00C034E2">
        <w:rPr>
          <w:rFonts w:ascii="Calibri" w:eastAsia="Times New Roman" w:hAnsi="Calibri" w:cs="Calibri"/>
          <w:noProof/>
          <w:sz w:val="24"/>
          <w:szCs w:val="24"/>
        </w:rPr>
        <w:t>(Thompson, 2007)</w:t>
      </w:r>
      <w:r w:rsidRPr="00C034E2">
        <w:rPr>
          <w:rFonts w:ascii="Calibri" w:eastAsia="Times New Roman" w:hAnsi="Calibri" w:cs="Calibri"/>
          <w:sz w:val="24"/>
          <w:szCs w:val="24"/>
        </w:rPr>
        <w:t xml:space="preserve">. Items on the PANAS were rated using a 5-point Likert-type scale (1=not at all; 5=extremely). Mean composites were created to represent positive affect (pre-administration α=.74; post-administration α=.80) and negative affect (pre-administration α=.58; post-administration α=.55). Change scores (pre-administration - post-administration) were then computed to examine differences in positive and negative affect before and after drug-administration. </w:t>
      </w:r>
    </w:p>
    <w:p w14:paraId="4A3B6924" w14:textId="77777777" w:rsidR="002C057C" w:rsidRPr="00C034E2" w:rsidRDefault="002C057C" w:rsidP="002C057C">
      <w:pPr>
        <w:spacing w:line="480" w:lineRule="auto"/>
        <w:contextualSpacing/>
        <w:rPr>
          <w:rFonts w:ascii="Calibri" w:hAnsi="Calibri" w:cs="Calibri"/>
          <w:b/>
          <w:sz w:val="24"/>
          <w:szCs w:val="24"/>
        </w:rPr>
      </w:pPr>
      <w:r w:rsidRPr="00C034E2">
        <w:rPr>
          <w:rFonts w:ascii="Calibri" w:hAnsi="Calibri" w:cs="Calibri"/>
          <w:b/>
          <w:sz w:val="24"/>
          <w:szCs w:val="24"/>
        </w:rPr>
        <w:t>fMRI Image Processing</w:t>
      </w:r>
    </w:p>
    <w:p w14:paraId="643D5C33" w14:textId="77777777" w:rsidR="002C057C" w:rsidRPr="00C034E2" w:rsidRDefault="002C057C" w:rsidP="007F1475">
      <w:pPr>
        <w:spacing w:line="480" w:lineRule="auto"/>
        <w:contextualSpacing/>
        <w:rPr>
          <w:rFonts w:ascii="Calibri" w:hAnsi="Calibri" w:cs="Calibri"/>
          <w:bCs/>
          <w:sz w:val="24"/>
          <w:szCs w:val="24"/>
        </w:rPr>
      </w:pPr>
      <w:r w:rsidRPr="00C034E2">
        <w:rPr>
          <w:rFonts w:ascii="Calibri" w:hAnsi="Calibri" w:cs="Calibri"/>
          <w:bCs/>
          <w:sz w:val="24"/>
          <w:szCs w:val="24"/>
        </w:rPr>
        <w:tab/>
      </w:r>
      <w:r w:rsidRPr="00C034E2">
        <w:rPr>
          <w:rFonts w:ascii="Calibri" w:eastAsia="Times New Roman" w:hAnsi="Calibri" w:cs="Calibri"/>
          <w:bCs/>
          <w:sz w:val="24"/>
          <w:szCs w:val="24"/>
        </w:rPr>
        <w:t xml:space="preserve">For quality control purposes, </w:t>
      </w:r>
      <w:r w:rsidR="000742EF" w:rsidRPr="00C034E2">
        <w:rPr>
          <w:rFonts w:ascii="Calibri" w:eastAsia="Times New Roman" w:hAnsi="Calibri" w:cs="Calibri"/>
          <w:bCs/>
          <w:sz w:val="24"/>
          <w:szCs w:val="24"/>
        </w:rPr>
        <w:t xml:space="preserve">we compared the default </w:t>
      </w:r>
      <w:proofErr w:type="spellStart"/>
      <w:r w:rsidR="000742EF" w:rsidRPr="00C034E2">
        <w:rPr>
          <w:rFonts w:ascii="Calibri" w:eastAsia="Times New Roman" w:hAnsi="Calibri" w:cs="Calibri"/>
          <w:bCs/>
          <w:sz w:val="24"/>
          <w:szCs w:val="24"/>
        </w:rPr>
        <w:t>C</w:t>
      </w:r>
      <w:r w:rsidR="000742EF" w:rsidRPr="00C034E2">
        <w:rPr>
          <w:rFonts w:ascii="Calibri" w:hAnsi="Calibri" w:cs="Calibri"/>
          <w:bCs/>
          <w:sz w:val="24"/>
          <w:szCs w:val="24"/>
        </w:rPr>
        <w:t>ompCor</w:t>
      </w:r>
      <w:proofErr w:type="spellEnd"/>
      <w:r w:rsidR="000742EF" w:rsidRPr="00C034E2">
        <w:rPr>
          <w:rFonts w:ascii="Calibri" w:hAnsi="Calibri" w:cs="Calibri"/>
          <w:bCs/>
          <w:sz w:val="24"/>
          <w:szCs w:val="24"/>
        </w:rPr>
        <w:t xml:space="preserve"> noise reduction method in the CONN toolbox to an alternative method of </w:t>
      </w:r>
      <w:r w:rsidRPr="00C034E2">
        <w:rPr>
          <w:rFonts w:ascii="Calibri" w:eastAsia="Times New Roman" w:hAnsi="Calibri" w:cs="Calibri"/>
          <w:bCs/>
          <w:sz w:val="24"/>
          <w:szCs w:val="24"/>
        </w:rPr>
        <w:t>explicitly controlling for mean signal, white matter signal, ventricles signal, head movement, and first derivatives of head movement. Both methods provided similar results.</w:t>
      </w:r>
    </w:p>
    <w:p w14:paraId="2106ED5E" w14:textId="77777777" w:rsidR="00F87A56" w:rsidRPr="00C034E2" w:rsidRDefault="00F87A56" w:rsidP="00F87A56">
      <w:pPr>
        <w:spacing w:line="480" w:lineRule="auto"/>
        <w:rPr>
          <w:rFonts w:ascii="Calibri" w:eastAsia="Times New Roman" w:hAnsi="Calibri" w:cs="Calibri"/>
          <w:b/>
          <w:sz w:val="24"/>
          <w:szCs w:val="24"/>
        </w:rPr>
      </w:pPr>
      <w:r w:rsidRPr="00C034E2">
        <w:rPr>
          <w:rFonts w:ascii="Calibri" w:eastAsia="Times New Roman" w:hAnsi="Calibri" w:cs="Calibri"/>
          <w:b/>
          <w:sz w:val="24"/>
          <w:szCs w:val="24"/>
        </w:rPr>
        <w:t>Results</w:t>
      </w:r>
    </w:p>
    <w:p w14:paraId="21CCE4A6" w14:textId="77777777" w:rsidR="00924A57" w:rsidRPr="00C034E2" w:rsidRDefault="00924A57" w:rsidP="00347C2B">
      <w:pPr>
        <w:spacing w:line="480" w:lineRule="auto"/>
        <w:contextualSpacing/>
        <w:rPr>
          <w:rFonts w:ascii="Calibri" w:eastAsia="Times New Roman" w:hAnsi="Calibri" w:cs="Calibri"/>
          <w:b/>
          <w:i/>
          <w:sz w:val="24"/>
          <w:szCs w:val="24"/>
        </w:rPr>
      </w:pPr>
      <w:r w:rsidRPr="00C034E2">
        <w:rPr>
          <w:rFonts w:ascii="Calibri" w:eastAsia="Times New Roman" w:hAnsi="Calibri" w:cs="Calibri"/>
          <w:b/>
          <w:i/>
          <w:sz w:val="24"/>
          <w:szCs w:val="24"/>
        </w:rPr>
        <w:lastRenderedPageBreak/>
        <w:t>Accuracy</w:t>
      </w:r>
    </w:p>
    <w:p w14:paraId="4C6C824E" w14:textId="4720D5FB" w:rsidR="00924A57" w:rsidRPr="00C034E2" w:rsidRDefault="00924A57" w:rsidP="00347C2B">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sz w:val="24"/>
          <w:szCs w:val="24"/>
        </w:rPr>
        <w:t xml:space="preserve">We first examined the effect of either neuropeptide on accuracy during Why trials (e.g., “Is the person helping someone”) and How trials (e.g., “Is the person reaching”). </w:t>
      </w:r>
      <w:r w:rsidRPr="00C034E2">
        <w:rPr>
          <w:rFonts w:ascii="Calibri" w:hAnsi="Calibri" w:cs="Calibri"/>
          <w:sz w:val="24"/>
          <w:szCs w:val="24"/>
        </w:rPr>
        <w:t>Th</w:t>
      </w:r>
      <w:r w:rsidR="00401E5B" w:rsidRPr="00C034E2">
        <w:rPr>
          <w:rFonts w:ascii="Calibri" w:hAnsi="Calibri" w:cs="Calibri"/>
          <w:sz w:val="24"/>
          <w:szCs w:val="24"/>
        </w:rPr>
        <w:t>ese</w:t>
      </w:r>
      <w:r w:rsidRPr="00C034E2">
        <w:rPr>
          <w:rFonts w:ascii="Calibri" w:hAnsi="Calibri" w:cs="Calibri"/>
          <w:sz w:val="24"/>
          <w:szCs w:val="24"/>
        </w:rPr>
        <w:t xml:space="preserve"> data were not normally distributed. </w:t>
      </w:r>
      <w:r w:rsidRPr="00C034E2">
        <w:rPr>
          <w:rFonts w:ascii="Calibri" w:eastAsia="Times New Roman" w:hAnsi="Calibri" w:cs="Calibri"/>
          <w:bCs/>
          <w:iCs/>
          <w:sz w:val="24"/>
          <w:szCs w:val="24"/>
        </w:rPr>
        <w:t>Five participants (two OT, one AVP, and two placebo) had accuracy more than 2.5 standard deviations below the mean (i.e.</w:t>
      </w:r>
      <w:r w:rsidR="00863FD5">
        <w:rPr>
          <w:rFonts w:ascii="Calibri" w:eastAsia="Times New Roman" w:hAnsi="Calibri" w:cs="Calibri"/>
          <w:bCs/>
          <w:iCs/>
          <w:sz w:val="24"/>
          <w:szCs w:val="24"/>
        </w:rPr>
        <w:t xml:space="preserve">, </w:t>
      </w:r>
      <w:r w:rsidRPr="00C034E2">
        <w:rPr>
          <w:rFonts w:ascii="Calibri" w:eastAsia="Times New Roman" w:hAnsi="Calibri" w:cs="Calibri"/>
          <w:bCs/>
          <w:iCs/>
          <w:sz w:val="24"/>
          <w:szCs w:val="24"/>
        </w:rPr>
        <w:t>accuracy below 76%). Excluding these participants did not change these results</w:t>
      </w:r>
      <w:r w:rsidRPr="00C034E2">
        <w:rPr>
          <w:rFonts w:ascii="Calibri" w:hAnsi="Calibri" w:cs="Calibri"/>
          <w:sz w:val="24"/>
          <w:szCs w:val="24"/>
        </w:rPr>
        <w:t>, and we report results without exclusions.</w:t>
      </w:r>
      <w:r w:rsidRPr="00C034E2">
        <w:rPr>
          <w:rFonts w:ascii="Calibri" w:eastAsia="Times New Roman" w:hAnsi="Calibri" w:cs="Calibri"/>
          <w:sz w:val="28"/>
          <w:szCs w:val="28"/>
        </w:rPr>
        <w:t xml:space="preserve"> </w:t>
      </w:r>
      <w:r w:rsidRPr="00C034E2">
        <w:rPr>
          <w:rFonts w:ascii="Calibri" w:eastAsia="Times New Roman" w:hAnsi="Calibri" w:cs="Calibri"/>
          <w:sz w:val="24"/>
          <w:szCs w:val="24"/>
        </w:rPr>
        <w:t>No significant differences were found for mentalizing (i.e., Why task) for OT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=90.6%, </w:t>
      </w:r>
      <w:r w:rsidRPr="00C034E2">
        <w:rPr>
          <w:rFonts w:ascii="Calibri" w:eastAsia="Times New Roman" w:hAnsi="Calibri" w:cs="Calibri"/>
          <w:i/>
          <w:sz w:val="24"/>
          <w:szCs w:val="24"/>
        </w:rPr>
        <w:t>SD</w:t>
      </w:r>
      <w:r w:rsidRPr="00C034E2">
        <w:rPr>
          <w:rFonts w:ascii="Calibri" w:eastAsia="Times New Roman" w:hAnsi="Calibri" w:cs="Calibri"/>
          <w:sz w:val="24"/>
          <w:szCs w:val="24"/>
        </w:rPr>
        <w:t>=8.6%) compared to placebo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=91.5%, </w:t>
      </w:r>
      <w:r w:rsidRPr="00C034E2">
        <w:rPr>
          <w:rFonts w:ascii="Calibri" w:eastAsia="Times New Roman" w:hAnsi="Calibri" w:cs="Calibri"/>
          <w:i/>
          <w:sz w:val="24"/>
          <w:szCs w:val="24"/>
        </w:rPr>
        <w:t>SD</w:t>
      </w:r>
      <w:r w:rsidRPr="00C034E2">
        <w:rPr>
          <w:rFonts w:ascii="Calibri" w:eastAsia="Times New Roman" w:hAnsi="Calibri" w:cs="Calibri"/>
          <w:sz w:val="24"/>
          <w:szCs w:val="24"/>
        </w:rPr>
        <w:t>=6.5%)(</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153</w:t>
      </w:r>
      <w:r w:rsidRPr="00C034E2">
        <w:rPr>
          <w:rFonts w:ascii="Calibri" w:eastAsia="Times New Roman" w:hAnsi="Calibri" w:cs="Calibri"/>
          <w:sz w:val="24"/>
          <w:szCs w:val="24"/>
        </w:rPr>
        <w:t xml:space="preserve">=0.77, </w:t>
      </w:r>
      <w:r w:rsidRPr="00C034E2">
        <w:rPr>
          <w:rFonts w:ascii="Calibri" w:eastAsia="Times New Roman" w:hAnsi="Calibri" w:cs="Calibri"/>
          <w:i/>
          <w:sz w:val="24"/>
          <w:szCs w:val="24"/>
        </w:rPr>
        <w:t>p</w:t>
      </w:r>
      <w:r w:rsidRPr="00C034E2">
        <w:rPr>
          <w:rFonts w:ascii="Calibri" w:eastAsia="Times New Roman" w:hAnsi="Calibri" w:cs="Calibri"/>
          <w:sz w:val="24"/>
          <w:szCs w:val="24"/>
        </w:rPr>
        <w:t>=.443, 95% CI [-</w:t>
      </w:r>
      <w:r w:rsidR="005C048F" w:rsidRPr="00C034E2">
        <w:rPr>
          <w:rFonts w:ascii="Calibri" w:eastAsia="Times New Roman" w:hAnsi="Calibri" w:cs="Calibri"/>
          <w:sz w:val="24"/>
          <w:szCs w:val="24"/>
        </w:rPr>
        <w:t xml:space="preserve">1.47%, </w:t>
      </w:r>
      <w:r w:rsidRPr="00C034E2">
        <w:rPr>
          <w:rFonts w:ascii="Calibri" w:eastAsia="Times New Roman" w:hAnsi="Calibri" w:cs="Calibri"/>
          <w:sz w:val="24"/>
          <w:szCs w:val="24"/>
        </w:rPr>
        <w:t xml:space="preserve">3.34%],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=0.124), or for AVP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=91.0%, </w:t>
      </w:r>
      <w:r w:rsidRPr="00C034E2">
        <w:rPr>
          <w:rFonts w:ascii="Calibri" w:eastAsia="Times New Roman" w:hAnsi="Calibri" w:cs="Calibri"/>
          <w:i/>
          <w:sz w:val="24"/>
          <w:szCs w:val="24"/>
        </w:rPr>
        <w:t>SD</w:t>
      </w:r>
      <w:r w:rsidRPr="00C034E2">
        <w:rPr>
          <w:rFonts w:ascii="Calibri" w:eastAsia="Times New Roman" w:hAnsi="Calibri" w:cs="Calibri"/>
          <w:sz w:val="24"/>
          <w:szCs w:val="24"/>
        </w:rPr>
        <w:t>=5.5%) compared to placebo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113</w:t>
      </w:r>
      <w:r w:rsidRPr="00C034E2">
        <w:rPr>
          <w:rFonts w:ascii="Calibri" w:eastAsia="Times New Roman" w:hAnsi="Calibri" w:cs="Calibri"/>
          <w:sz w:val="24"/>
          <w:szCs w:val="24"/>
        </w:rPr>
        <w:t xml:space="preserve">=0.41, </w:t>
      </w:r>
      <w:r w:rsidRPr="00C034E2">
        <w:rPr>
          <w:rFonts w:ascii="Calibri" w:eastAsia="Times New Roman" w:hAnsi="Calibri" w:cs="Calibri"/>
          <w:i/>
          <w:sz w:val="24"/>
          <w:szCs w:val="24"/>
        </w:rPr>
        <w:t>p</w:t>
      </w:r>
      <w:r w:rsidRPr="00C034E2">
        <w:rPr>
          <w:rFonts w:ascii="Calibri" w:eastAsia="Times New Roman" w:hAnsi="Calibri" w:cs="Calibri"/>
          <w:sz w:val="24"/>
          <w:szCs w:val="24"/>
        </w:rPr>
        <w:t>=.683, 95% CI [-</w:t>
      </w:r>
      <w:r w:rsidR="005C048F" w:rsidRPr="00C034E2">
        <w:rPr>
          <w:rFonts w:ascii="Calibri" w:eastAsia="Times New Roman" w:hAnsi="Calibri" w:cs="Calibri"/>
          <w:sz w:val="24"/>
          <w:szCs w:val="24"/>
        </w:rPr>
        <w:t>2.07%</w:t>
      </w:r>
      <w:r w:rsidR="00092986" w:rsidRPr="00C034E2">
        <w:rPr>
          <w:rFonts w:ascii="Calibri" w:eastAsia="Times New Roman" w:hAnsi="Calibri" w:cs="Calibri"/>
          <w:sz w:val="24"/>
          <w:szCs w:val="24"/>
        </w:rPr>
        <w:t xml:space="preserve">, </w:t>
      </w:r>
      <w:r w:rsidRPr="00C034E2">
        <w:rPr>
          <w:rFonts w:ascii="Calibri" w:eastAsia="Times New Roman" w:hAnsi="Calibri" w:cs="Calibri"/>
          <w:sz w:val="24"/>
          <w:szCs w:val="24"/>
        </w:rPr>
        <w:t>3.15%],</w:t>
      </w:r>
      <w:r w:rsidRPr="00C034E2">
        <w:rPr>
          <w:rFonts w:ascii="Calibri" w:eastAsia="Times New Roman" w:hAnsi="Calibri" w:cs="Calibri"/>
          <w:i/>
          <w:sz w:val="24"/>
          <w:szCs w:val="24"/>
        </w:rPr>
        <w:t xml:space="preserve"> Cohen’s d</w:t>
      </w:r>
      <w:r w:rsidRPr="00C034E2">
        <w:rPr>
          <w:rFonts w:ascii="Calibri" w:eastAsia="Times New Roman" w:hAnsi="Calibri" w:cs="Calibri"/>
          <w:sz w:val="24"/>
          <w:szCs w:val="24"/>
        </w:rPr>
        <w:t>=0.086). Similarly, when engaged in action understanding (i.e., How task), no significant differences were found for OT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92.8%, </w:t>
      </w:r>
      <w:r w:rsidRPr="00C034E2">
        <w:rPr>
          <w:rFonts w:ascii="Calibri" w:eastAsia="Times New Roman" w:hAnsi="Calibri" w:cs="Calibri"/>
          <w:i/>
          <w:sz w:val="24"/>
          <w:szCs w:val="24"/>
        </w:rPr>
        <w:t>SD=</w:t>
      </w:r>
      <w:r w:rsidRPr="00C034E2">
        <w:rPr>
          <w:rFonts w:ascii="Calibri" w:eastAsia="Times New Roman" w:hAnsi="Calibri" w:cs="Calibri"/>
          <w:sz w:val="24"/>
          <w:szCs w:val="24"/>
        </w:rPr>
        <w:t>6.5%) compared to placebo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92.8%, </w:t>
      </w:r>
      <w:r w:rsidRPr="00C034E2">
        <w:rPr>
          <w:rFonts w:ascii="Calibri" w:eastAsia="Times New Roman" w:hAnsi="Calibri" w:cs="Calibri"/>
          <w:i/>
          <w:sz w:val="24"/>
          <w:szCs w:val="24"/>
        </w:rPr>
        <w:t>SD=</w:t>
      </w:r>
      <w:r w:rsidRPr="00C034E2">
        <w:rPr>
          <w:rFonts w:ascii="Calibri" w:eastAsia="Times New Roman" w:hAnsi="Calibri" w:cs="Calibri"/>
          <w:sz w:val="24"/>
          <w:szCs w:val="24"/>
        </w:rPr>
        <w:t>6.1%)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153</w:t>
      </w:r>
      <w:r w:rsidRPr="00C034E2">
        <w:rPr>
          <w:rFonts w:ascii="Calibri" w:eastAsia="Times New Roman" w:hAnsi="Calibri" w:cs="Calibri"/>
          <w:sz w:val="24"/>
          <w:szCs w:val="24"/>
        </w:rPr>
        <w:t xml:space="preserve">=0.003,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=.998, 95% CI [-2.01%, 2.02%],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=0.000), or for AVP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=93.3%, </w:t>
      </w:r>
      <w:r w:rsidRPr="00C034E2">
        <w:rPr>
          <w:rFonts w:ascii="Calibri" w:eastAsia="Times New Roman" w:hAnsi="Calibri" w:cs="Calibri"/>
          <w:i/>
          <w:sz w:val="24"/>
          <w:szCs w:val="24"/>
        </w:rPr>
        <w:t>SD</w:t>
      </w:r>
      <w:r w:rsidRPr="00C034E2">
        <w:rPr>
          <w:rFonts w:ascii="Calibri" w:eastAsia="Times New Roman" w:hAnsi="Calibri" w:cs="Calibri"/>
          <w:sz w:val="24"/>
          <w:szCs w:val="24"/>
        </w:rPr>
        <w:t xml:space="preserve">=4.5%) compared to placebo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113</w:t>
      </w:r>
      <w:r w:rsidRPr="00C034E2">
        <w:rPr>
          <w:rFonts w:ascii="Calibri" w:eastAsia="Times New Roman" w:hAnsi="Calibri" w:cs="Calibri"/>
          <w:sz w:val="24"/>
          <w:szCs w:val="24"/>
        </w:rPr>
        <w:t xml:space="preserve">=0.409,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=.683, 95% CI [-1.90%, 2.89%],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=0.086).</w:t>
      </w:r>
    </w:p>
    <w:p w14:paraId="79CFC78B" w14:textId="77777777" w:rsidR="00924A57" w:rsidRPr="00C034E2" w:rsidRDefault="00924A57" w:rsidP="00924A57">
      <w:pPr>
        <w:spacing w:line="480" w:lineRule="auto"/>
        <w:contextualSpacing/>
        <w:rPr>
          <w:rFonts w:ascii="Calibri" w:eastAsia="Times New Roman" w:hAnsi="Calibri" w:cs="Calibri"/>
          <w:b/>
          <w:i/>
          <w:sz w:val="24"/>
          <w:szCs w:val="24"/>
        </w:rPr>
      </w:pPr>
      <w:r w:rsidRPr="00C034E2">
        <w:rPr>
          <w:rFonts w:ascii="Calibri" w:eastAsia="Times New Roman" w:hAnsi="Calibri" w:cs="Calibri"/>
          <w:b/>
          <w:i/>
          <w:sz w:val="24"/>
          <w:szCs w:val="24"/>
        </w:rPr>
        <w:t>Reaction time</w:t>
      </w:r>
    </w:p>
    <w:p w14:paraId="33271E33" w14:textId="77777777" w:rsidR="00924A57" w:rsidRPr="00C034E2" w:rsidRDefault="00924A57" w:rsidP="00347C2B">
      <w:pPr>
        <w:spacing w:line="480" w:lineRule="auto"/>
        <w:ind w:firstLine="720"/>
        <w:contextualSpacing/>
        <w:rPr>
          <w:rFonts w:ascii="Calibri" w:eastAsia="Times New Roman" w:hAnsi="Calibri" w:cs="Calibri"/>
          <w:sz w:val="24"/>
          <w:szCs w:val="24"/>
        </w:rPr>
      </w:pPr>
      <w:r w:rsidRPr="00C034E2">
        <w:rPr>
          <w:rFonts w:ascii="Calibri" w:eastAsia="Times New Roman" w:hAnsi="Calibri" w:cs="Calibri"/>
          <w:b/>
          <w:i/>
          <w:sz w:val="24"/>
          <w:szCs w:val="24"/>
        </w:rPr>
        <w:t xml:space="preserve"> </w:t>
      </w:r>
      <w:r w:rsidR="00BE0CF3" w:rsidRPr="00C034E2">
        <w:rPr>
          <w:rFonts w:ascii="Calibri" w:eastAsia="Times New Roman" w:hAnsi="Calibri" w:cs="Calibri"/>
          <w:sz w:val="24"/>
          <w:szCs w:val="24"/>
        </w:rPr>
        <w:t xml:space="preserve">Based on results showing differences in reaction time between Why and How tasks (Spunt &amp; Adolphs, 2014), we </w:t>
      </w:r>
      <w:r w:rsidRPr="00C034E2">
        <w:rPr>
          <w:rFonts w:ascii="Calibri" w:eastAsia="Times New Roman" w:hAnsi="Calibri" w:cs="Calibri"/>
          <w:sz w:val="24"/>
          <w:szCs w:val="24"/>
        </w:rPr>
        <w:t xml:space="preserve">examined whether either neuropeptide had an effect on reaction time when mentalizing or when engaged in action understanding. </w:t>
      </w:r>
      <w:r w:rsidR="00BE0CF3" w:rsidRPr="00C034E2">
        <w:rPr>
          <w:rFonts w:ascii="Calibri" w:eastAsia="Times New Roman" w:hAnsi="Calibri" w:cs="Calibri"/>
          <w:sz w:val="24"/>
          <w:szCs w:val="24"/>
        </w:rPr>
        <w:t xml:space="preserve">Analyses included both “correct” and “incorrect” trials. </w:t>
      </w:r>
      <w:r w:rsidRPr="00C034E2">
        <w:rPr>
          <w:rFonts w:ascii="Calibri" w:eastAsia="Times New Roman" w:hAnsi="Calibri" w:cs="Calibri"/>
          <w:sz w:val="24"/>
          <w:szCs w:val="24"/>
        </w:rPr>
        <w:t>No significant differences were found in reaction time when mentalizing (i.e., Why task) for OT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=0.852 s, </w:t>
      </w:r>
      <w:r w:rsidRPr="00C034E2">
        <w:rPr>
          <w:rFonts w:ascii="Calibri" w:eastAsia="Times New Roman" w:hAnsi="Calibri" w:cs="Calibri"/>
          <w:i/>
          <w:sz w:val="24"/>
          <w:szCs w:val="24"/>
        </w:rPr>
        <w:t>SD</w:t>
      </w:r>
      <w:r w:rsidRPr="00C034E2">
        <w:rPr>
          <w:rFonts w:ascii="Calibri" w:eastAsia="Times New Roman" w:hAnsi="Calibri" w:cs="Calibri"/>
          <w:sz w:val="24"/>
          <w:szCs w:val="24"/>
        </w:rPr>
        <w:t>=0.138 s) compared to placebo (</w:t>
      </w:r>
      <w:r w:rsidRPr="00C034E2">
        <w:rPr>
          <w:rFonts w:ascii="Calibri" w:eastAsia="Times New Roman" w:hAnsi="Calibri" w:cs="Calibri"/>
          <w:i/>
          <w:sz w:val="24"/>
          <w:szCs w:val="24"/>
        </w:rPr>
        <w:t>M</w:t>
      </w:r>
      <w:r w:rsidRPr="00C034E2">
        <w:rPr>
          <w:rFonts w:ascii="Calibri" w:eastAsia="Times New Roman" w:hAnsi="Calibri" w:cs="Calibri"/>
          <w:sz w:val="24"/>
          <w:szCs w:val="24"/>
        </w:rPr>
        <w:t>=0.835 s,</w:t>
      </w:r>
      <w:r w:rsidRPr="00C034E2">
        <w:rPr>
          <w:rFonts w:ascii="Calibri" w:eastAsia="Times New Roman" w:hAnsi="Calibri" w:cs="Calibri"/>
          <w:i/>
          <w:sz w:val="24"/>
          <w:szCs w:val="24"/>
        </w:rPr>
        <w:t xml:space="preserve"> SD</w:t>
      </w:r>
      <w:r w:rsidRPr="00C034E2">
        <w:rPr>
          <w:rFonts w:ascii="Calibri" w:eastAsia="Times New Roman" w:hAnsi="Calibri" w:cs="Calibri"/>
          <w:sz w:val="24"/>
          <w:szCs w:val="24"/>
        </w:rPr>
        <w:t>=0.125 s)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153</w:t>
      </w:r>
      <w:r w:rsidRPr="00C034E2">
        <w:rPr>
          <w:rFonts w:ascii="Calibri" w:eastAsia="Times New Roman" w:hAnsi="Calibri" w:cs="Calibri"/>
          <w:sz w:val="24"/>
          <w:szCs w:val="24"/>
        </w:rPr>
        <w:t xml:space="preserve">=0.818,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=.415, 95% CI [-0.024 s, 0.059 s],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=0.132), or AVP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=0.874 s, </w:t>
      </w:r>
      <w:r w:rsidRPr="00C034E2">
        <w:rPr>
          <w:rFonts w:ascii="Calibri" w:eastAsia="Times New Roman" w:hAnsi="Calibri" w:cs="Calibri"/>
          <w:i/>
          <w:sz w:val="24"/>
          <w:szCs w:val="24"/>
        </w:rPr>
        <w:t>SD</w:t>
      </w:r>
      <w:r w:rsidRPr="00C034E2">
        <w:rPr>
          <w:rFonts w:ascii="Calibri" w:eastAsia="Times New Roman" w:hAnsi="Calibri" w:cs="Calibri"/>
          <w:sz w:val="24"/>
          <w:szCs w:val="24"/>
        </w:rPr>
        <w:t>=0.224 s) compared to placebo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113</w:t>
      </w:r>
      <w:r w:rsidRPr="00C034E2">
        <w:rPr>
          <w:rFonts w:ascii="Calibri" w:eastAsia="Times New Roman" w:hAnsi="Calibri" w:cs="Calibri"/>
          <w:i/>
          <w:sz w:val="24"/>
          <w:szCs w:val="24"/>
        </w:rPr>
        <w:t>=</w:t>
      </w:r>
      <w:r w:rsidRPr="00C034E2">
        <w:rPr>
          <w:rFonts w:ascii="Calibri" w:eastAsia="Times New Roman" w:hAnsi="Calibri" w:cs="Calibri"/>
          <w:sz w:val="24"/>
          <w:szCs w:val="24"/>
        </w:rPr>
        <w:t>1.188</w:t>
      </w:r>
      <w:r w:rsidRPr="00C034E2">
        <w:rPr>
          <w:rFonts w:ascii="Calibri" w:eastAsia="Times New Roman" w:hAnsi="Calibri" w:cs="Calibri"/>
          <w:i/>
          <w:sz w:val="24"/>
          <w:szCs w:val="24"/>
        </w:rPr>
        <w:t>, p=</w:t>
      </w:r>
      <w:r w:rsidRPr="00C034E2">
        <w:rPr>
          <w:rFonts w:ascii="Calibri" w:eastAsia="Times New Roman" w:hAnsi="Calibri" w:cs="Calibri"/>
          <w:sz w:val="24"/>
          <w:szCs w:val="24"/>
        </w:rPr>
        <w:t>.237</w:t>
      </w:r>
      <w:r w:rsidRPr="00C034E2">
        <w:rPr>
          <w:rFonts w:ascii="Calibri" w:eastAsia="Times New Roman" w:hAnsi="Calibri" w:cs="Calibri"/>
          <w:i/>
          <w:sz w:val="24"/>
          <w:szCs w:val="24"/>
        </w:rPr>
        <w:t xml:space="preserve">, </w:t>
      </w:r>
      <w:r w:rsidRPr="00C034E2">
        <w:rPr>
          <w:rFonts w:ascii="Calibri" w:eastAsia="Times New Roman" w:hAnsi="Calibri" w:cs="Calibri"/>
          <w:sz w:val="24"/>
          <w:szCs w:val="24"/>
        </w:rPr>
        <w:t>95% CI [-0.026 s ,0.105 s],</w:t>
      </w:r>
      <w:r w:rsidRPr="00C034E2">
        <w:rPr>
          <w:rFonts w:ascii="Calibri" w:eastAsia="Times New Roman" w:hAnsi="Calibri" w:cs="Calibri"/>
          <w:i/>
          <w:sz w:val="24"/>
          <w:szCs w:val="24"/>
        </w:rPr>
        <w:t xml:space="preserve"> Cohen’s </w:t>
      </w:r>
      <w:r w:rsidRPr="00C034E2">
        <w:rPr>
          <w:rFonts w:ascii="Calibri" w:eastAsia="Times New Roman" w:hAnsi="Calibri" w:cs="Calibri"/>
          <w:i/>
          <w:sz w:val="24"/>
          <w:szCs w:val="24"/>
        </w:rPr>
        <w:lastRenderedPageBreak/>
        <w:t>d=</w:t>
      </w:r>
      <w:r w:rsidRPr="00C034E2">
        <w:rPr>
          <w:rFonts w:ascii="Calibri" w:eastAsia="Times New Roman" w:hAnsi="Calibri" w:cs="Calibri"/>
          <w:sz w:val="24"/>
          <w:szCs w:val="24"/>
        </w:rPr>
        <w:t>0.250). In addition, no significant differences were found in reaction time when engaged in action understanding (i.e., How task) for OT (</w:t>
      </w:r>
      <w:r w:rsidRPr="00C034E2">
        <w:rPr>
          <w:rFonts w:ascii="Calibri" w:eastAsia="Times New Roman" w:hAnsi="Calibri" w:cs="Calibri"/>
          <w:i/>
          <w:sz w:val="24"/>
          <w:szCs w:val="24"/>
        </w:rPr>
        <w:t>M</w:t>
      </w:r>
      <w:r w:rsidRPr="00C034E2">
        <w:rPr>
          <w:rFonts w:ascii="Calibri" w:eastAsia="Times New Roman" w:hAnsi="Calibri" w:cs="Calibri"/>
          <w:sz w:val="24"/>
          <w:szCs w:val="24"/>
        </w:rPr>
        <w:t xml:space="preserve">=0.776 s, </w:t>
      </w:r>
      <w:r w:rsidRPr="00C034E2">
        <w:rPr>
          <w:rFonts w:ascii="Calibri" w:eastAsia="Times New Roman" w:hAnsi="Calibri" w:cs="Calibri"/>
          <w:i/>
          <w:sz w:val="24"/>
          <w:szCs w:val="24"/>
        </w:rPr>
        <w:t>SD</w:t>
      </w:r>
      <w:r w:rsidRPr="00C034E2">
        <w:rPr>
          <w:rFonts w:ascii="Calibri" w:eastAsia="Times New Roman" w:hAnsi="Calibri" w:cs="Calibri"/>
          <w:sz w:val="24"/>
          <w:szCs w:val="24"/>
        </w:rPr>
        <w:t>=0.124 s) compared to placebo (</w:t>
      </w:r>
      <w:r w:rsidRPr="00C034E2">
        <w:rPr>
          <w:rFonts w:ascii="Calibri" w:eastAsia="Times New Roman" w:hAnsi="Calibri" w:cs="Calibri"/>
          <w:i/>
          <w:sz w:val="24"/>
          <w:szCs w:val="24"/>
        </w:rPr>
        <w:t>M</w:t>
      </w:r>
      <w:r w:rsidRPr="00C034E2">
        <w:rPr>
          <w:rFonts w:ascii="Calibri" w:eastAsia="Times New Roman" w:hAnsi="Calibri" w:cs="Calibri"/>
          <w:sz w:val="24"/>
          <w:szCs w:val="24"/>
        </w:rPr>
        <w:t>=0.758 s,</w:t>
      </w:r>
      <w:r w:rsidRPr="00C034E2">
        <w:rPr>
          <w:rFonts w:ascii="Calibri" w:eastAsia="Times New Roman" w:hAnsi="Calibri" w:cs="Calibri"/>
          <w:i/>
          <w:sz w:val="24"/>
          <w:szCs w:val="24"/>
        </w:rPr>
        <w:t xml:space="preserve"> SD</w:t>
      </w:r>
      <w:r w:rsidRPr="00C034E2">
        <w:rPr>
          <w:rFonts w:ascii="Calibri" w:eastAsia="Times New Roman" w:hAnsi="Calibri" w:cs="Calibri"/>
          <w:sz w:val="24"/>
          <w:szCs w:val="24"/>
        </w:rPr>
        <w:t>=0.103 s)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153</w:t>
      </w:r>
      <w:r w:rsidRPr="00C034E2">
        <w:rPr>
          <w:rFonts w:ascii="Calibri" w:eastAsia="Times New Roman" w:hAnsi="Calibri" w:cs="Calibri"/>
          <w:sz w:val="24"/>
          <w:szCs w:val="24"/>
        </w:rPr>
        <w:t xml:space="preserve">=1.005, </w:t>
      </w:r>
      <w:r w:rsidRPr="00C034E2">
        <w:rPr>
          <w:rFonts w:ascii="Calibri" w:eastAsia="Times New Roman" w:hAnsi="Calibri" w:cs="Calibri"/>
          <w:i/>
          <w:sz w:val="24"/>
          <w:szCs w:val="24"/>
        </w:rPr>
        <w:t>p</w:t>
      </w:r>
      <w:r w:rsidRPr="00C034E2">
        <w:rPr>
          <w:rFonts w:ascii="Calibri" w:eastAsia="Times New Roman" w:hAnsi="Calibri" w:cs="Calibri"/>
          <w:sz w:val="24"/>
          <w:szCs w:val="24"/>
        </w:rPr>
        <w:t>=.316, 95% CI [-0.018 s ,0.054 s],</w:t>
      </w:r>
      <w:r w:rsidRPr="00C034E2">
        <w:rPr>
          <w:rFonts w:ascii="Calibri" w:eastAsia="Times New Roman" w:hAnsi="Calibri" w:cs="Calibri"/>
          <w:i/>
          <w:sz w:val="24"/>
          <w:szCs w:val="24"/>
        </w:rPr>
        <w:t xml:space="preserve"> Cohen’s d</w:t>
      </w:r>
      <w:r w:rsidRPr="00C034E2">
        <w:rPr>
          <w:rFonts w:ascii="Calibri" w:eastAsia="Times New Roman" w:hAnsi="Calibri" w:cs="Calibri"/>
          <w:sz w:val="24"/>
          <w:szCs w:val="24"/>
        </w:rPr>
        <w:t>=0.162), or AVP (</w:t>
      </w:r>
      <w:r w:rsidRPr="00C034E2">
        <w:rPr>
          <w:rFonts w:ascii="Calibri" w:eastAsia="Times New Roman" w:hAnsi="Calibri" w:cs="Calibri"/>
          <w:i/>
          <w:sz w:val="24"/>
          <w:szCs w:val="24"/>
        </w:rPr>
        <w:t>M=</w:t>
      </w:r>
      <w:r w:rsidRPr="00C034E2">
        <w:rPr>
          <w:rFonts w:ascii="Calibri" w:eastAsia="Times New Roman" w:hAnsi="Calibri" w:cs="Calibri"/>
          <w:sz w:val="24"/>
          <w:szCs w:val="24"/>
        </w:rPr>
        <w:t>0.793 s</w:t>
      </w:r>
      <w:r w:rsidRPr="00C034E2">
        <w:rPr>
          <w:rFonts w:ascii="Calibri" w:eastAsia="Times New Roman" w:hAnsi="Calibri" w:cs="Calibri"/>
          <w:i/>
          <w:sz w:val="24"/>
          <w:szCs w:val="24"/>
        </w:rPr>
        <w:t>, SD=</w:t>
      </w:r>
      <w:r w:rsidRPr="00C034E2">
        <w:rPr>
          <w:rFonts w:ascii="Calibri" w:eastAsia="Times New Roman" w:hAnsi="Calibri" w:cs="Calibri"/>
          <w:sz w:val="24"/>
          <w:szCs w:val="24"/>
        </w:rPr>
        <w:t>0.186 s) compared to placebo (</w:t>
      </w:r>
      <w:r w:rsidRPr="00C034E2">
        <w:rPr>
          <w:rFonts w:ascii="Calibri" w:eastAsia="Times New Roman" w:hAnsi="Calibri" w:cs="Calibri"/>
          <w:i/>
          <w:sz w:val="24"/>
          <w:szCs w:val="24"/>
        </w:rPr>
        <w:t>t</w:t>
      </w:r>
      <w:r w:rsidRPr="00C034E2">
        <w:rPr>
          <w:rFonts w:ascii="Calibri" w:eastAsia="Times New Roman" w:hAnsi="Calibri" w:cs="Calibri"/>
          <w:i/>
          <w:sz w:val="24"/>
          <w:szCs w:val="24"/>
          <w:vertAlign w:val="subscript"/>
        </w:rPr>
        <w:t>113</w:t>
      </w:r>
      <w:r w:rsidRPr="00C034E2">
        <w:rPr>
          <w:rFonts w:ascii="Calibri" w:eastAsia="Times New Roman" w:hAnsi="Calibri" w:cs="Calibri"/>
          <w:sz w:val="24"/>
          <w:szCs w:val="24"/>
        </w:rPr>
        <w:t xml:space="preserve">=1.271,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=.206, 95% CI [-0.019 s, 0.089 s],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=0.267).</w:t>
      </w:r>
      <w:r w:rsidR="00BE0CF3" w:rsidRPr="00C034E2">
        <w:rPr>
          <w:rFonts w:ascii="Calibri" w:eastAsia="Times New Roman" w:hAnsi="Calibri" w:cs="Calibri"/>
          <w:sz w:val="24"/>
          <w:szCs w:val="24"/>
        </w:rPr>
        <w:t xml:space="preserve"> Given that Spunt and Adolphs (2014) found evidence that faster reaction time was related to better accuracy, we re-ran analyses</w:t>
      </w:r>
      <w:r w:rsidR="00C117DB" w:rsidRPr="00C034E2">
        <w:rPr>
          <w:rFonts w:ascii="Calibri" w:eastAsia="Times New Roman" w:hAnsi="Calibri" w:cs="Calibri"/>
          <w:sz w:val="24"/>
          <w:szCs w:val="24"/>
        </w:rPr>
        <w:t xml:space="preserve"> </w:t>
      </w:r>
      <w:r w:rsidR="00BE0CF3" w:rsidRPr="00C034E2">
        <w:rPr>
          <w:rFonts w:ascii="Calibri" w:eastAsia="Times New Roman" w:hAnsi="Calibri" w:cs="Calibri"/>
          <w:sz w:val="24"/>
          <w:szCs w:val="24"/>
        </w:rPr>
        <w:t>including only “correct” trials</w:t>
      </w:r>
      <w:r w:rsidR="00C117DB" w:rsidRPr="00C034E2">
        <w:rPr>
          <w:rFonts w:ascii="Calibri" w:eastAsia="Times New Roman" w:hAnsi="Calibri" w:cs="Calibri"/>
          <w:sz w:val="24"/>
          <w:szCs w:val="24"/>
        </w:rPr>
        <w:t xml:space="preserve">. The </w:t>
      </w:r>
      <w:r w:rsidR="00BE0CF3" w:rsidRPr="00C034E2">
        <w:rPr>
          <w:rFonts w:ascii="Calibri" w:eastAsia="Times New Roman" w:hAnsi="Calibri" w:cs="Calibri"/>
          <w:sz w:val="24"/>
          <w:szCs w:val="24"/>
        </w:rPr>
        <w:t>results remained unchanged.</w:t>
      </w:r>
    </w:p>
    <w:p w14:paraId="7EBE6A5B" w14:textId="77777777" w:rsidR="00F87A56" w:rsidRPr="00C034E2" w:rsidRDefault="00F87A56" w:rsidP="00F87A56">
      <w:pPr>
        <w:spacing w:line="480" w:lineRule="auto"/>
        <w:contextualSpacing/>
        <w:rPr>
          <w:rFonts w:ascii="Calibri" w:eastAsia="Times New Roman" w:hAnsi="Calibri" w:cs="Calibri"/>
          <w:b/>
          <w:sz w:val="24"/>
          <w:szCs w:val="24"/>
        </w:rPr>
      </w:pPr>
      <w:r w:rsidRPr="00C034E2">
        <w:rPr>
          <w:rFonts w:ascii="Calibri" w:eastAsia="Times New Roman" w:hAnsi="Calibri" w:cs="Calibri"/>
          <w:b/>
          <w:i/>
          <w:sz w:val="24"/>
          <w:szCs w:val="24"/>
        </w:rPr>
        <w:t>Drug effects on changes in affect and state anxiety</w:t>
      </w:r>
      <w:r w:rsidRPr="00C034E2">
        <w:rPr>
          <w:rFonts w:ascii="Calibri" w:eastAsia="Times New Roman" w:hAnsi="Calibri" w:cs="Calibri"/>
          <w:b/>
          <w:sz w:val="24"/>
          <w:szCs w:val="24"/>
        </w:rPr>
        <w:t xml:space="preserve"> </w:t>
      </w:r>
    </w:p>
    <w:p w14:paraId="6A033179" w14:textId="77777777" w:rsidR="00F87A56" w:rsidRPr="00C034E2" w:rsidRDefault="00F87A56" w:rsidP="00F87A56">
      <w:pPr>
        <w:spacing w:line="480" w:lineRule="auto"/>
        <w:ind w:firstLine="720"/>
        <w:contextualSpacing/>
        <w:rPr>
          <w:rFonts w:ascii="Calibri" w:eastAsia="Times New Roman" w:hAnsi="Calibri" w:cs="Calibri"/>
          <w:b/>
          <w:i/>
          <w:sz w:val="24"/>
          <w:szCs w:val="24"/>
        </w:rPr>
      </w:pPr>
      <w:r w:rsidRPr="00C034E2">
        <w:rPr>
          <w:rFonts w:ascii="Calibri" w:eastAsia="Times New Roman" w:hAnsi="Calibri" w:cs="Calibri"/>
          <w:sz w:val="24"/>
          <w:szCs w:val="24"/>
        </w:rPr>
        <w:t xml:space="preserve">To examine whether any observed effects of drug condition could result from changes in affect or state anxiety, we analyzed non-specific main effects of drug condition (AVP, OT, placebo). A one-way ANOVA showed no pre-post changes in positive affect, </w:t>
      </w:r>
      <w:r w:rsidRPr="00C034E2">
        <w:rPr>
          <w:rFonts w:ascii="Calibri" w:eastAsia="Times New Roman" w:hAnsi="Calibri" w:cs="Calibri"/>
          <w:i/>
          <w:sz w:val="24"/>
          <w:szCs w:val="24"/>
        </w:rPr>
        <w:t>F</w:t>
      </w:r>
      <w:r w:rsidRPr="00C034E2">
        <w:rPr>
          <w:rFonts w:ascii="Calibri" w:eastAsia="Times New Roman" w:hAnsi="Calibri" w:cs="Calibri"/>
          <w:sz w:val="24"/>
          <w:szCs w:val="24"/>
        </w:rPr>
        <w:t xml:space="preserve"> (2, </w:t>
      </w:r>
      <w:proofErr w:type="gramStart"/>
      <w:r w:rsidRPr="00C034E2">
        <w:rPr>
          <w:rFonts w:ascii="Calibri" w:eastAsia="Times New Roman" w:hAnsi="Calibri" w:cs="Calibri"/>
          <w:sz w:val="24"/>
          <w:szCs w:val="24"/>
        </w:rPr>
        <w:t>184)=</w:t>
      </w:r>
      <w:proofErr w:type="gramEnd"/>
      <w:r w:rsidRPr="00C034E2">
        <w:rPr>
          <w:rFonts w:ascii="Calibri" w:eastAsia="Times New Roman" w:hAnsi="Calibri" w:cs="Calibri"/>
          <w:sz w:val="24"/>
          <w:szCs w:val="24"/>
        </w:rPr>
        <w:t xml:space="preserve">.47,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=.63, </w:t>
      </w:r>
      <w:r w:rsidRPr="00C034E2">
        <w:rPr>
          <w:rFonts w:ascii="Calibri" w:eastAsia="Times New Roman" w:hAnsi="Calibri" w:cs="Calibri"/>
          <w:sz w:val="24"/>
          <w:szCs w:val="24"/>
        </w:rPr>
        <w:sym w:font="Symbol" w:char="F068"/>
      </w:r>
      <w:r w:rsidRPr="00C034E2">
        <w:rPr>
          <w:rFonts w:ascii="Calibri" w:eastAsia="Times New Roman" w:hAnsi="Calibri" w:cs="Calibri"/>
          <w:sz w:val="24"/>
          <w:szCs w:val="24"/>
          <w:vertAlign w:val="subscript"/>
        </w:rPr>
        <w:t>p</w:t>
      </w:r>
      <w:r w:rsidRPr="00C034E2">
        <w:rPr>
          <w:rFonts w:ascii="Calibri" w:eastAsia="Times New Roman" w:hAnsi="Calibri" w:cs="Calibri"/>
          <w:sz w:val="24"/>
          <w:szCs w:val="24"/>
          <w:vertAlign w:val="superscript"/>
        </w:rPr>
        <w:t>2</w:t>
      </w:r>
      <w:r w:rsidRPr="00C034E2">
        <w:rPr>
          <w:rFonts w:ascii="Calibri" w:eastAsia="Times New Roman" w:hAnsi="Calibri" w:cs="Calibri"/>
          <w:sz w:val="24"/>
          <w:szCs w:val="24"/>
        </w:rPr>
        <w:t xml:space="preserve">=.005, negative affect, </w:t>
      </w:r>
      <w:r w:rsidRPr="00C034E2">
        <w:rPr>
          <w:rFonts w:ascii="Calibri" w:eastAsia="Times New Roman" w:hAnsi="Calibri" w:cs="Calibri"/>
          <w:i/>
          <w:sz w:val="24"/>
          <w:szCs w:val="24"/>
        </w:rPr>
        <w:t>F</w:t>
      </w:r>
      <w:r w:rsidRPr="00C034E2">
        <w:rPr>
          <w:rFonts w:ascii="Calibri" w:eastAsia="Times New Roman" w:hAnsi="Calibri" w:cs="Calibri"/>
          <w:sz w:val="24"/>
          <w:szCs w:val="24"/>
        </w:rPr>
        <w:t xml:space="preserve"> (2, 184)=1.08,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=.34, </w:t>
      </w:r>
      <w:r w:rsidRPr="00C034E2">
        <w:rPr>
          <w:rFonts w:ascii="Calibri" w:eastAsia="Times New Roman" w:hAnsi="Calibri" w:cs="Calibri"/>
          <w:sz w:val="24"/>
          <w:szCs w:val="24"/>
        </w:rPr>
        <w:sym w:font="Symbol" w:char="F068"/>
      </w:r>
      <w:r w:rsidRPr="00C034E2">
        <w:rPr>
          <w:rFonts w:ascii="Calibri" w:eastAsia="Times New Roman" w:hAnsi="Calibri" w:cs="Calibri"/>
          <w:sz w:val="24"/>
          <w:szCs w:val="24"/>
          <w:vertAlign w:val="subscript"/>
        </w:rPr>
        <w:t>p</w:t>
      </w:r>
      <w:r w:rsidRPr="00C034E2">
        <w:rPr>
          <w:rFonts w:ascii="Calibri" w:eastAsia="Times New Roman" w:hAnsi="Calibri" w:cs="Calibri"/>
          <w:sz w:val="24"/>
          <w:szCs w:val="24"/>
          <w:vertAlign w:val="superscript"/>
        </w:rPr>
        <w:t>2</w:t>
      </w:r>
      <w:r w:rsidRPr="00C034E2">
        <w:rPr>
          <w:rFonts w:ascii="Calibri" w:eastAsia="Times New Roman" w:hAnsi="Calibri" w:cs="Calibri"/>
          <w:sz w:val="24"/>
          <w:szCs w:val="24"/>
        </w:rPr>
        <w:t xml:space="preserve">=.012, or state anxiety </w:t>
      </w:r>
      <w:r w:rsidRPr="00C034E2">
        <w:rPr>
          <w:rFonts w:ascii="Calibri" w:eastAsia="Times New Roman" w:hAnsi="Calibri" w:cs="Calibri"/>
          <w:i/>
          <w:sz w:val="24"/>
          <w:szCs w:val="24"/>
        </w:rPr>
        <w:t>F</w:t>
      </w:r>
      <w:r w:rsidRPr="00C034E2">
        <w:rPr>
          <w:rFonts w:ascii="Calibri" w:eastAsia="Times New Roman" w:hAnsi="Calibri" w:cs="Calibri"/>
          <w:sz w:val="24"/>
          <w:szCs w:val="24"/>
        </w:rPr>
        <w:t xml:space="preserve"> (2, 184)=.34,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=.71, </w:t>
      </w:r>
      <w:r w:rsidRPr="00C034E2">
        <w:rPr>
          <w:rFonts w:ascii="Calibri" w:eastAsia="Times New Roman" w:hAnsi="Calibri" w:cs="Calibri"/>
          <w:sz w:val="24"/>
          <w:szCs w:val="24"/>
        </w:rPr>
        <w:sym w:font="Symbol" w:char="F068"/>
      </w:r>
      <w:r w:rsidRPr="00C034E2">
        <w:rPr>
          <w:rFonts w:ascii="Calibri" w:eastAsia="Times New Roman" w:hAnsi="Calibri" w:cs="Calibri"/>
          <w:sz w:val="24"/>
          <w:szCs w:val="24"/>
          <w:vertAlign w:val="subscript"/>
        </w:rPr>
        <w:t>p</w:t>
      </w:r>
      <w:r w:rsidRPr="00C034E2">
        <w:rPr>
          <w:rFonts w:ascii="Calibri" w:eastAsia="Times New Roman" w:hAnsi="Calibri" w:cs="Calibri"/>
          <w:sz w:val="24"/>
          <w:szCs w:val="24"/>
          <w:vertAlign w:val="superscript"/>
        </w:rPr>
        <w:t>2</w:t>
      </w:r>
      <w:r w:rsidRPr="00C034E2">
        <w:rPr>
          <w:rFonts w:ascii="Calibri" w:eastAsia="Times New Roman" w:hAnsi="Calibri" w:cs="Calibri"/>
          <w:sz w:val="24"/>
          <w:szCs w:val="24"/>
        </w:rPr>
        <w:t xml:space="preserve">=.004. In addition, no significant differences were found between OT vs. placebo or AVP vs. placebo. </w:t>
      </w:r>
    </w:p>
    <w:p w14:paraId="178DD816" w14:textId="77777777" w:rsidR="00F87A56" w:rsidRPr="00C034E2" w:rsidRDefault="00F87A56" w:rsidP="00F87A56">
      <w:pPr>
        <w:spacing w:line="480" w:lineRule="auto"/>
        <w:rPr>
          <w:rFonts w:ascii="Calibri" w:eastAsia="Times New Roman" w:hAnsi="Calibri" w:cs="Calibri"/>
          <w:b/>
          <w:i/>
          <w:sz w:val="24"/>
          <w:szCs w:val="24"/>
        </w:rPr>
      </w:pPr>
      <w:r w:rsidRPr="00C034E2">
        <w:rPr>
          <w:rFonts w:ascii="Calibri" w:eastAsia="Times New Roman" w:hAnsi="Calibri" w:cs="Calibri"/>
          <w:b/>
          <w:i/>
          <w:sz w:val="24"/>
          <w:szCs w:val="24"/>
        </w:rPr>
        <w:t>Exploratory neural activation analyses</w:t>
      </w:r>
    </w:p>
    <w:p w14:paraId="37A77166" w14:textId="77777777" w:rsidR="00F87A56" w:rsidRPr="00C034E2" w:rsidRDefault="00F87A56" w:rsidP="00F87A56">
      <w:pPr>
        <w:spacing w:line="480" w:lineRule="auto"/>
        <w:ind w:firstLine="720"/>
        <w:rPr>
          <w:rFonts w:ascii="Calibri" w:eastAsia="Times New Roman" w:hAnsi="Calibri" w:cs="Calibri"/>
          <w:sz w:val="24"/>
          <w:szCs w:val="24"/>
        </w:rPr>
      </w:pPr>
      <w:r w:rsidRPr="00C034E2">
        <w:rPr>
          <w:rFonts w:ascii="Calibri" w:eastAsia="Times New Roman" w:hAnsi="Calibri" w:cs="Calibri"/>
          <w:sz w:val="24"/>
          <w:szCs w:val="24"/>
        </w:rPr>
        <w:t xml:space="preserve">Though the amygdala has not been associated with the Why versus How contrast, it is the region most consistently observed </w:t>
      </w:r>
      <w:r w:rsidR="00401E5B" w:rsidRPr="00C034E2">
        <w:rPr>
          <w:rFonts w:ascii="Calibri" w:eastAsia="Times New Roman" w:hAnsi="Calibri" w:cs="Calibri"/>
          <w:sz w:val="24"/>
          <w:szCs w:val="24"/>
        </w:rPr>
        <w:t>in either</w:t>
      </w:r>
      <w:r w:rsidRPr="00C034E2">
        <w:rPr>
          <w:rFonts w:ascii="Calibri" w:eastAsia="Times New Roman" w:hAnsi="Calibri" w:cs="Calibri"/>
          <w:sz w:val="24"/>
          <w:szCs w:val="24"/>
        </w:rPr>
        <w:t xml:space="preserve"> activation or deactivation following OT administration </w:t>
      </w:r>
      <w:r w:rsidR="00447193" w:rsidRPr="00C034E2">
        <w:rPr>
          <w:rFonts w:ascii="Calibri" w:eastAsia="Times New Roman" w:hAnsi="Calibri" w:cs="Calibri"/>
          <w:noProof/>
          <w:sz w:val="24"/>
          <w:szCs w:val="24"/>
        </w:rPr>
        <w:t>(Averbeck, 2010; Bartz, Zaki, Bolger, &amp; Ochsner, 2011; Grace, Rossell, Heinrichs, Kordsachia, &amp; Labuschagne, 2018; Wang, Yan, Li, &amp; Ma, 2017; Zink &amp; Meyer-Lindenberg, 2012)</w:t>
      </w:r>
      <w:r w:rsidRPr="00C034E2">
        <w:rPr>
          <w:rFonts w:ascii="Calibri" w:eastAsia="Times New Roman" w:hAnsi="Calibri" w:cs="Calibri"/>
          <w:sz w:val="24"/>
          <w:szCs w:val="24"/>
        </w:rPr>
        <w:t xml:space="preserve">, and it hosts a high concentration of OT receptors </w:t>
      </w:r>
      <w:r w:rsidR="00447193" w:rsidRPr="00C034E2">
        <w:rPr>
          <w:rFonts w:ascii="Calibri" w:eastAsia="Times New Roman" w:hAnsi="Calibri" w:cs="Calibri"/>
          <w:noProof/>
          <w:sz w:val="24"/>
          <w:szCs w:val="24"/>
        </w:rPr>
        <w:t>(Boccia, Petrusz, Suzuki, Marson, &amp; Pedersen, 2013)</w:t>
      </w:r>
      <w:r w:rsidRPr="00C034E2">
        <w:rPr>
          <w:rFonts w:ascii="Calibri" w:eastAsia="Times New Roman" w:hAnsi="Calibri" w:cs="Calibri"/>
          <w:sz w:val="24"/>
          <w:szCs w:val="24"/>
        </w:rPr>
        <w:t xml:space="preserve">. Therefore, in an exploratory analysis, we included the amygdala as an ROI as well but </w:t>
      </w:r>
      <w:r w:rsidRPr="00C034E2">
        <w:rPr>
          <w:rFonts w:ascii="Calibri" w:eastAsia="Times New Roman" w:hAnsi="Calibri" w:cs="Calibri"/>
          <w:sz w:val="24"/>
          <w:szCs w:val="24"/>
        </w:rPr>
        <w:lastRenderedPageBreak/>
        <w:t>found no significant effect for either OT (</w:t>
      </w:r>
      <w:r w:rsidRPr="00C034E2">
        <w:rPr>
          <w:rFonts w:ascii="Calibri" w:eastAsia="Times New Roman" w:hAnsi="Calibri" w:cs="Calibri"/>
          <w:i/>
          <w:sz w:val="24"/>
          <w:szCs w:val="24"/>
        </w:rPr>
        <w:t>t</w:t>
      </w:r>
      <w:r w:rsidRPr="00C034E2">
        <w:rPr>
          <w:rFonts w:ascii="Calibri" w:eastAsia="Times New Roman" w:hAnsi="Calibri" w:cs="Calibri"/>
          <w:sz w:val="24"/>
          <w:szCs w:val="24"/>
          <w:vertAlign w:val="subscript"/>
        </w:rPr>
        <w:t>153</w:t>
      </w:r>
      <w:r w:rsidRPr="00C034E2">
        <w:rPr>
          <w:rFonts w:ascii="Calibri" w:eastAsia="Times New Roman" w:hAnsi="Calibri" w:cs="Calibri"/>
          <w:sz w:val="24"/>
          <w:szCs w:val="24"/>
        </w:rPr>
        <w:t xml:space="preserve">=0.35,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=.727,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=0.056) or AVP (</w:t>
      </w:r>
      <w:r w:rsidRPr="00C034E2">
        <w:rPr>
          <w:rFonts w:ascii="Calibri" w:eastAsia="Times New Roman" w:hAnsi="Calibri" w:cs="Calibri"/>
          <w:i/>
          <w:sz w:val="24"/>
          <w:szCs w:val="24"/>
        </w:rPr>
        <w:t>t</w:t>
      </w:r>
      <w:r w:rsidRPr="00C034E2">
        <w:rPr>
          <w:rFonts w:ascii="Calibri" w:eastAsia="Times New Roman" w:hAnsi="Calibri" w:cs="Calibri"/>
          <w:sz w:val="24"/>
          <w:szCs w:val="24"/>
          <w:vertAlign w:val="subscript"/>
        </w:rPr>
        <w:t>113</w:t>
      </w:r>
      <w:r w:rsidRPr="00C034E2">
        <w:rPr>
          <w:rFonts w:ascii="Calibri" w:eastAsia="Times New Roman" w:hAnsi="Calibri" w:cs="Calibri"/>
          <w:sz w:val="24"/>
          <w:szCs w:val="24"/>
        </w:rPr>
        <w:t xml:space="preserve">=0.368,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=.714, </w:t>
      </w:r>
      <w:r w:rsidRPr="00C034E2">
        <w:rPr>
          <w:rFonts w:ascii="Calibri" w:eastAsia="Times New Roman" w:hAnsi="Calibri" w:cs="Calibri"/>
          <w:i/>
          <w:sz w:val="24"/>
          <w:szCs w:val="24"/>
        </w:rPr>
        <w:t>Cohen’s d</w:t>
      </w:r>
      <w:r w:rsidRPr="00C034E2">
        <w:rPr>
          <w:rFonts w:ascii="Calibri" w:eastAsia="Times New Roman" w:hAnsi="Calibri" w:cs="Calibri"/>
          <w:sz w:val="24"/>
          <w:szCs w:val="24"/>
        </w:rPr>
        <w:t xml:space="preserve">=0.077) compared to placebo. </w:t>
      </w:r>
    </w:p>
    <w:p w14:paraId="2DB632BE" w14:textId="77777777" w:rsidR="006F7A79" w:rsidRPr="00C034E2" w:rsidRDefault="006F7A79">
      <w:pPr>
        <w:spacing w:after="160" w:line="259" w:lineRule="auto"/>
        <w:rPr>
          <w:rFonts w:ascii="Calibri" w:eastAsia="Times New Roman" w:hAnsi="Calibri" w:cs="Calibri"/>
          <w:sz w:val="24"/>
          <w:szCs w:val="24"/>
        </w:rPr>
      </w:pPr>
      <w:r w:rsidRPr="00C034E2">
        <w:rPr>
          <w:rFonts w:ascii="Calibri" w:eastAsia="Times New Roman" w:hAnsi="Calibri" w:cs="Calibri"/>
          <w:sz w:val="24"/>
          <w:szCs w:val="24"/>
        </w:rPr>
        <w:br w:type="page"/>
      </w:r>
    </w:p>
    <w:p w14:paraId="41C570F3" w14:textId="77777777" w:rsidR="00C9295F" w:rsidRPr="00C034E2" w:rsidRDefault="00403214" w:rsidP="00C034E2">
      <w:pPr>
        <w:jc w:val="center"/>
        <w:rPr>
          <w:rFonts w:ascii="Calibri" w:eastAsia="Times New Roman" w:hAnsi="Calibri" w:cs="Calibri"/>
          <w:b/>
          <w:sz w:val="24"/>
          <w:szCs w:val="24"/>
        </w:rPr>
      </w:pPr>
      <w:r w:rsidRPr="00C034E2">
        <w:rPr>
          <w:rFonts w:ascii="Calibri" w:eastAsia="Times New Roman" w:hAnsi="Calibri" w:cs="Calibri"/>
          <w:b/>
          <w:sz w:val="24"/>
          <w:szCs w:val="24"/>
        </w:rPr>
        <w:lastRenderedPageBreak/>
        <w:t>References</w:t>
      </w:r>
    </w:p>
    <w:p w14:paraId="4E8AF085"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Averbeck, B. B. (2010). Oxytocin and the salience of social cues. </w:t>
      </w:r>
      <w:r w:rsidRPr="00C034E2">
        <w:rPr>
          <w:rFonts w:ascii="Calibri" w:hAnsi="Calibri" w:cs="Calibri"/>
          <w:i/>
          <w:iCs/>
          <w:noProof/>
          <w:sz w:val="24"/>
        </w:rPr>
        <w:t>Proceedings of the National Academy of Sciences of the United States of America</w:t>
      </w:r>
      <w:r w:rsidRPr="00C034E2">
        <w:rPr>
          <w:rFonts w:ascii="Calibri" w:hAnsi="Calibri" w:cs="Calibri"/>
          <w:noProof/>
          <w:sz w:val="24"/>
        </w:rPr>
        <w:t xml:space="preserve">, </w:t>
      </w:r>
      <w:r w:rsidR="00070336">
        <w:rPr>
          <w:rFonts w:ascii="Calibri" w:hAnsi="Calibri" w:cs="Calibri"/>
          <w:i/>
          <w:iCs/>
          <w:noProof/>
          <w:sz w:val="24"/>
        </w:rPr>
        <w:t>107</w:t>
      </w:r>
      <w:r w:rsidR="005504EC">
        <w:rPr>
          <w:rFonts w:ascii="Calibri" w:hAnsi="Calibri" w:cs="Calibri"/>
          <w:noProof/>
          <w:sz w:val="24"/>
        </w:rPr>
        <w:t>(20)</w:t>
      </w:r>
      <w:r w:rsidRPr="00C034E2">
        <w:rPr>
          <w:rFonts w:ascii="Calibri" w:hAnsi="Calibri" w:cs="Calibri"/>
          <w:noProof/>
          <w:sz w:val="24"/>
        </w:rPr>
        <w:t>, 9033–9034. https://doi.org/10.1073/pnas.1004892107</w:t>
      </w:r>
    </w:p>
    <w:p w14:paraId="4339FAC7"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Bagby, R. M., Parker, J. D. A., &amp; Taylor, G. J. (1994). The twenty-item Toronto Alexithymia scale-I. Item selection and cross-validation of the factor structure. </w:t>
      </w:r>
      <w:r w:rsidRPr="00C034E2">
        <w:rPr>
          <w:rFonts w:ascii="Calibri" w:hAnsi="Calibri" w:cs="Calibri"/>
          <w:i/>
          <w:iCs/>
          <w:noProof/>
          <w:sz w:val="24"/>
        </w:rPr>
        <w:t>Journal of Psychosomatic Research</w:t>
      </w:r>
      <w:r w:rsidRPr="00C034E2">
        <w:rPr>
          <w:rFonts w:ascii="Calibri" w:hAnsi="Calibri" w:cs="Calibri"/>
          <w:noProof/>
          <w:sz w:val="24"/>
        </w:rPr>
        <w:t xml:space="preserve">, </w:t>
      </w:r>
      <w:r w:rsidRPr="00C034E2">
        <w:rPr>
          <w:rFonts w:ascii="Calibri" w:hAnsi="Calibri" w:cs="Calibri"/>
          <w:i/>
          <w:iCs/>
          <w:noProof/>
          <w:sz w:val="24"/>
        </w:rPr>
        <w:t>38</w:t>
      </w:r>
      <w:r w:rsidR="005504EC">
        <w:rPr>
          <w:rFonts w:ascii="Calibri" w:hAnsi="Calibri" w:cs="Calibri"/>
          <w:noProof/>
          <w:sz w:val="24"/>
        </w:rPr>
        <w:t>(1)</w:t>
      </w:r>
      <w:r w:rsidRPr="00C034E2">
        <w:rPr>
          <w:rFonts w:ascii="Calibri" w:hAnsi="Calibri" w:cs="Calibri"/>
          <w:noProof/>
          <w:sz w:val="24"/>
        </w:rPr>
        <w:t>, 23–32. https://doi.org/10.1016/0022-3999(94)90005-1</w:t>
      </w:r>
    </w:p>
    <w:p w14:paraId="225683AE"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Baron-Cohen, S., &amp; Wheelwright, S. (2004). The empathy quotient: An investigation of adults with asperger syndrome or high functioning autism, and normal sex differences. </w:t>
      </w:r>
      <w:r w:rsidRPr="00C034E2">
        <w:rPr>
          <w:rFonts w:ascii="Calibri" w:hAnsi="Calibri" w:cs="Calibri"/>
          <w:i/>
          <w:iCs/>
          <w:noProof/>
          <w:sz w:val="24"/>
        </w:rPr>
        <w:t>Journal of Autism and Developmental Disorders</w:t>
      </w:r>
      <w:r w:rsidRPr="00C034E2">
        <w:rPr>
          <w:rFonts w:ascii="Calibri" w:hAnsi="Calibri" w:cs="Calibri"/>
          <w:noProof/>
          <w:sz w:val="24"/>
        </w:rPr>
        <w:t xml:space="preserve">, </w:t>
      </w:r>
      <w:r w:rsidRPr="00070336">
        <w:rPr>
          <w:rFonts w:ascii="Calibri" w:hAnsi="Calibri" w:cs="Calibri"/>
          <w:i/>
          <w:iCs/>
          <w:noProof/>
          <w:sz w:val="24"/>
        </w:rPr>
        <w:t>34</w:t>
      </w:r>
      <w:r w:rsidR="005504EC">
        <w:rPr>
          <w:rFonts w:ascii="Calibri" w:hAnsi="Calibri" w:cs="Calibri"/>
          <w:noProof/>
          <w:sz w:val="24"/>
        </w:rPr>
        <w:t>(2)</w:t>
      </w:r>
      <w:r w:rsidRPr="00C034E2">
        <w:rPr>
          <w:rFonts w:ascii="Calibri" w:hAnsi="Calibri" w:cs="Calibri"/>
          <w:noProof/>
          <w:sz w:val="24"/>
        </w:rPr>
        <w:t>, 163–175. https://doi.org/10.1023/B:JADD.0000022607.19833.00</w:t>
      </w:r>
    </w:p>
    <w:p w14:paraId="6C06667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Baron-Cohen, S., Wheelwright, S., Skinner, R., Martin, J., &amp; Clubley, E. (2001). The autism-spectrum quotient (AQ): evidence from Asperger syndrome/high-functioning autism, males and females, scientists and mathematicians. </w:t>
      </w:r>
      <w:r w:rsidRPr="00C034E2">
        <w:rPr>
          <w:rFonts w:ascii="Calibri" w:hAnsi="Calibri" w:cs="Calibri"/>
          <w:i/>
          <w:iCs/>
          <w:noProof/>
          <w:sz w:val="24"/>
        </w:rPr>
        <w:t>Journal of Autism and Developmental Disorders</w:t>
      </w:r>
      <w:r w:rsidRPr="00C034E2">
        <w:rPr>
          <w:rFonts w:ascii="Calibri" w:hAnsi="Calibri" w:cs="Calibri"/>
          <w:noProof/>
          <w:sz w:val="24"/>
        </w:rPr>
        <w:t xml:space="preserve">, </w:t>
      </w:r>
      <w:r w:rsidRPr="00C034E2">
        <w:rPr>
          <w:rFonts w:ascii="Calibri" w:hAnsi="Calibri" w:cs="Calibri"/>
          <w:i/>
          <w:iCs/>
          <w:noProof/>
          <w:sz w:val="24"/>
        </w:rPr>
        <w:t>31</w:t>
      </w:r>
      <w:r w:rsidR="005504EC">
        <w:rPr>
          <w:rFonts w:ascii="Calibri" w:hAnsi="Calibri" w:cs="Calibri"/>
          <w:noProof/>
          <w:sz w:val="24"/>
        </w:rPr>
        <w:t>(1)</w:t>
      </w:r>
      <w:r w:rsidRPr="00C034E2">
        <w:rPr>
          <w:rFonts w:ascii="Calibri" w:hAnsi="Calibri" w:cs="Calibri"/>
          <w:noProof/>
          <w:sz w:val="24"/>
        </w:rPr>
        <w:t>, 5–17. https://doi.org/10.1023/A:1005653411471</w:t>
      </w:r>
    </w:p>
    <w:p w14:paraId="4C954B7A"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Bartz, J. A., Nitschke, J. P., Krol, S. A., &amp; Tellier, P. P. (2019). Oxytocin Selectively Improves Empathic Accuracy: A Replication in Men and Novel Insights in Women. </w:t>
      </w:r>
      <w:r w:rsidRPr="00C034E2">
        <w:rPr>
          <w:rFonts w:ascii="Calibri" w:hAnsi="Calibri" w:cs="Calibri"/>
          <w:i/>
          <w:iCs/>
          <w:noProof/>
          <w:sz w:val="24"/>
        </w:rPr>
        <w:t>Biological Psychiatry: Cognitive Neuroscience and Neuroimaging</w:t>
      </w:r>
      <w:r w:rsidRPr="00C034E2">
        <w:rPr>
          <w:rFonts w:ascii="Calibri" w:hAnsi="Calibri" w:cs="Calibri"/>
          <w:noProof/>
          <w:sz w:val="24"/>
        </w:rPr>
        <w:t xml:space="preserve">, </w:t>
      </w:r>
      <w:r w:rsidRPr="00C034E2">
        <w:rPr>
          <w:rFonts w:ascii="Calibri" w:hAnsi="Calibri" w:cs="Calibri"/>
          <w:i/>
          <w:iCs/>
          <w:noProof/>
          <w:sz w:val="24"/>
        </w:rPr>
        <w:t>4</w:t>
      </w:r>
      <w:r w:rsidR="005504EC">
        <w:rPr>
          <w:rFonts w:ascii="Calibri" w:hAnsi="Calibri" w:cs="Calibri"/>
          <w:noProof/>
          <w:sz w:val="24"/>
        </w:rPr>
        <w:t>(12)</w:t>
      </w:r>
      <w:r w:rsidRPr="00C034E2">
        <w:rPr>
          <w:rFonts w:ascii="Calibri" w:hAnsi="Calibri" w:cs="Calibri"/>
          <w:noProof/>
          <w:sz w:val="24"/>
        </w:rPr>
        <w:t>, 1042–1048. https://doi.org/10.1016/j.bpsc.2019.01.014</w:t>
      </w:r>
    </w:p>
    <w:p w14:paraId="167D7159"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Bartz, J. A., Zaki, J., Bolger, N., Hollander, E., Ludwig, N. N., Kolevzon, A., &amp; Ochsner, K. N. (2010). Oxytocin selectively improves empathic accuracy. </w:t>
      </w:r>
      <w:r w:rsidRPr="00C034E2">
        <w:rPr>
          <w:rFonts w:ascii="Calibri" w:hAnsi="Calibri" w:cs="Calibri"/>
          <w:i/>
          <w:iCs/>
          <w:noProof/>
          <w:sz w:val="24"/>
        </w:rPr>
        <w:t>Psychological Science</w:t>
      </w:r>
      <w:r w:rsidRPr="00C034E2">
        <w:rPr>
          <w:rFonts w:ascii="Calibri" w:hAnsi="Calibri" w:cs="Calibri"/>
          <w:noProof/>
          <w:sz w:val="24"/>
        </w:rPr>
        <w:t xml:space="preserve">, </w:t>
      </w:r>
      <w:r w:rsidRPr="00C034E2">
        <w:rPr>
          <w:rFonts w:ascii="Calibri" w:hAnsi="Calibri" w:cs="Calibri"/>
          <w:i/>
          <w:iCs/>
          <w:noProof/>
          <w:sz w:val="24"/>
        </w:rPr>
        <w:t>21</w:t>
      </w:r>
      <w:r w:rsidR="005504EC">
        <w:rPr>
          <w:rFonts w:ascii="Calibri" w:hAnsi="Calibri" w:cs="Calibri"/>
          <w:noProof/>
          <w:sz w:val="24"/>
        </w:rPr>
        <w:t>(10)</w:t>
      </w:r>
      <w:r w:rsidRPr="00C034E2">
        <w:rPr>
          <w:rFonts w:ascii="Calibri" w:hAnsi="Calibri" w:cs="Calibri"/>
          <w:noProof/>
          <w:sz w:val="24"/>
        </w:rPr>
        <w:t>, 1426–1428. https://doi.org/0956797610383439 [pii] 10.1177/0956797610383439</w:t>
      </w:r>
    </w:p>
    <w:p w14:paraId="657217A1"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Bartz, J. A., Zaki, J., Bolger, N., &amp; Ochsner, K. N. (2011). Social effects of oxytocin in humans: context and person matter. </w:t>
      </w:r>
      <w:r w:rsidRPr="00C034E2">
        <w:rPr>
          <w:rFonts w:ascii="Calibri" w:hAnsi="Calibri" w:cs="Calibri"/>
          <w:i/>
          <w:iCs/>
          <w:noProof/>
          <w:sz w:val="24"/>
        </w:rPr>
        <w:t>Trends in Cognitive Sciences</w:t>
      </w:r>
      <w:r w:rsidRPr="00C034E2">
        <w:rPr>
          <w:rFonts w:ascii="Calibri" w:hAnsi="Calibri" w:cs="Calibri"/>
          <w:noProof/>
          <w:sz w:val="24"/>
        </w:rPr>
        <w:t xml:space="preserve">, </w:t>
      </w:r>
      <w:r w:rsidRPr="00C034E2">
        <w:rPr>
          <w:rFonts w:ascii="Calibri" w:hAnsi="Calibri" w:cs="Calibri"/>
          <w:i/>
          <w:iCs/>
          <w:noProof/>
          <w:sz w:val="24"/>
        </w:rPr>
        <w:t>15</w:t>
      </w:r>
      <w:r w:rsidR="005504EC">
        <w:rPr>
          <w:rFonts w:ascii="Calibri" w:hAnsi="Calibri" w:cs="Calibri"/>
          <w:noProof/>
          <w:sz w:val="24"/>
        </w:rPr>
        <w:t>(7)</w:t>
      </w:r>
      <w:r w:rsidRPr="00C034E2">
        <w:rPr>
          <w:rFonts w:ascii="Calibri" w:hAnsi="Calibri" w:cs="Calibri"/>
          <w:noProof/>
          <w:sz w:val="24"/>
        </w:rPr>
        <w:t>, 301–309. https://doi.org/10.1016/j.tics.2011.05.002</w:t>
      </w:r>
    </w:p>
    <w:p w14:paraId="65017372"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Boccia, M. L., Petrusz, P., Suzuki, K., Marson, L., &amp; Pedersen, C. A. (2013). Immunohistochemical localization of oxytocin receptors in human brain. </w:t>
      </w:r>
      <w:r w:rsidRPr="00C034E2">
        <w:rPr>
          <w:rFonts w:ascii="Calibri" w:hAnsi="Calibri" w:cs="Calibri"/>
          <w:i/>
          <w:iCs/>
          <w:noProof/>
          <w:sz w:val="24"/>
        </w:rPr>
        <w:t>Neuroscience</w:t>
      </w:r>
      <w:r w:rsidRPr="00C034E2">
        <w:rPr>
          <w:rFonts w:ascii="Calibri" w:hAnsi="Calibri" w:cs="Calibri"/>
          <w:noProof/>
          <w:sz w:val="24"/>
        </w:rPr>
        <w:t xml:space="preserve">, </w:t>
      </w:r>
      <w:r w:rsidRPr="00C034E2">
        <w:rPr>
          <w:rFonts w:ascii="Calibri" w:hAnsi="Calibri" w:cs="Calibri"/>
          <w:i/>
          <w:iCs/>
          <w:noProof/>
          <w:sz w:val="24"/>
        </w:rPr>
        <w:t>253</w:t>
      </w:r>
      <w:r w:rsidRPr="00C034E2">
        <w:rPr>
          <w:rFonts w:ascii="Calibri" w:hAnsi="Calibri" w:cs="Calibri"/>
          <w:noProof/>
          <w:sz w:val="24"/>
        </w:rPr>
        <w:t>, 155–164. https://doi.org/10.1016/j.neuroscience.2013.08.048</w:t>
      </w:r>
    </w:p>
    <w:p w14:paraId="03B6D534"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Brunnlieb, C., Münte, T. F., Tempelmann, C., &amp; Heldmann, M. (2013). Vasopressin modulates neural responses related to emotional stimuli in the right amygdala. </w:t>
      </w:r>
      <w:r w:rsidRPr="00C034E2">
        <w:rPr>
          <w:rFonts w:ascii="Calibri" w:hAnsi="Calibri" w:cs="Calibri"/>
          <w:i/>
          <w:iCs/>
          <w:noProof/>
          <w:sz w:val="24"/>
        </w:rPr>
        <w:t>Brain Research</w:t>
      </w:r>
      <w:r w:rsidRPr="00C034E2">
        <w:rPr>
          <w:rFonts w:ascii="Calibri" w:hAnsi="Calibri" w:cs="Calibri"/>
          <w:noProof/>
          <w:sz w:val="24"/>
        </w:rPr>
        <w:t xml:space="preserve">, </w:t>
      </w:r>
      <w:r w:rsidRPr="00C034E2">
        <w:rPr>
          <w:rFonts w:ascii="Calibri" w:hAnsi="Calibri" w:cs="Calibri"/>
          <w:i/>
          <w:iCs/>
          <w:noProof/>
          <w:sz w:val="24"/>
        </w:rPr>
        <w:t>1499</w:t>
      </w:r>
      <w:r w:rsidRPr="00C034E2">
        <w:rPr>
          <w:rFonts w:ascii="Calibri" w:hAnsi="Calibri" w:cs="Calibri"/>
          <w:noProof/>
          <w:sz w:val="24"/>
        </w:rPr>
        <w:t>, 29–42. https://doi.org/10.1016/j.brainres.2013.01.009</w:t>
      </w:r>
    </w:p>
    <w:p w14:paraId="181DD7E0"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Chen, X., Gautam, P., Haroon, E., &amp; Rilling, J. K. (2017). Within vs. between-subject effects of intranasal oxytocin on the neural response to cooperative and non-cooperative social interactions.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78</w:t>
      </w:r>
      <w:r w:rsidRPr="00C034E2">
        <w:rPr>
          <w:rFonts w:ascii="Calibri" w:hAnsi="Calibri" w:cs="Calibri"/>
          <w:noProof/>
          <w:sz w:val="24"/>
        </w:rPr>
        <w:t>, 22–30. https://doi.org/10.1016/j.psyneuen.2017.01.006</w:t>
      </w:r>
    </w:p>
    <w:p w14:paraId="4BEF77C1"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Costa, P. T., &amp; McCrae, R. R. (1992). Revised NEO Personality Inventory (NEO-PIR) and NEO Five Factor Inventory (NEO-FFI) professional manual</w:t>
      </w:r>
      <w:r w:rsidR="005504EC">
        <w:rPr>
          <w:rFonts w:ascii="Calibri" w:hAnsi="Calibri" w:cs="Calibri"/>
          <w:noProof/>
          <w:sz w:val="24"/>
        </w:rPr>
        <w:t xml:space="preserve">. </w:t>
      </w:r>
      <w:r w:rsidRPr="00C034E2">
        <w:rPr>
          <w:rFonts w:ascii="Calibri" w:hAnsi="Calibri" w:cs="Calibri"/>
          <w:i/>
          <w:iCs/>
          <w:noProof/>
          <w:sz w:val="24"/>
        </w:rPr>
        <w:t>Psychological Assessment Resources</w:t>
      </w:r>
      <w:r w:rsidRPr="00C034E2">
        <w:rPr>
          <w:rFonts w:ascii="Calibri" w:hAnsi="Calibri" w:cs="Calibri"/>
          <w:noProof/>
          <w:sz w:val="24"/>
        </w:rPr>
        <w:t>. Odessa, FL.</w:t>
      </w:r>
    </w:p>
    <w:p w14:paraId="3CD1F69D"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Davis, M. H. (1983). Measuring individual differences in empathy: Evidence for a multidimensional approach. </w:t>
      </w:r>
      <w:r w:rsidRPr="00C034E2">
        <w:rPr>
          <w:rFonts w:ascii="Calibri" w:hAnsi="Calibri" w:cs="Calibri"/>
          <w:i/>
          <w:iCs/>
          <w:noProof/>
          <w:sz w:val="24"/>
        </w:rPr>
        <w:t>Journal of Personality and Social Psychology</w:t>
      </w:r>
      <w:r w:rsidRPr="00C034E2">
        <w:rPr>
          <w:rFonts w:ascii="Calibri" w:hAnsi="Calibri" w:cs="Calibri"/>
          <w:noProof/>
          <w:sz w:val="24"/>
        </w:rPr>
        <w:t xml:space="preserve">, </w:t>
      </w:r>
      <w:r w:rsidRPr="00C034E2">
        <w:rPr>
          <w:rFonts w:ascii="Calibri" w:hAnsi="Calibri" w:cs="Calibri"/>
          <w:i/>
          <w:iCs/>
          <w:noProof/>
          <w:sz w:val="24"/>
        </w:rPr>
        <w:t>44</w:t>
      </w:r>
      <w:r w:rsidR="005504EC">
        <w:rPr>
          <w:rFonts w:ascii="Calibri" w:hAnsi="Calibri" w:cs="Calibri"/>
          <w:noProof/>
          <w:sz w:val="24"/>
        </w:rPr>
        <w:t>(1)</w:t>
      </w:r>
      <w:r w:rsidRPr="00C034E2">
        <w:rPr>
          <w:rFonts w:ascii="Calibri" w:hAnsi="Calibri" w:cs="Calibri"/>
          <w:noProof/>
          <w:sz w:val="24"/>
        </w:rPr>
        <w:t>, 113–126. https://doi.org/10.1037/0022-3514.44.1.113</w:t>
      </w:r>
    </w:p>
    <w:p w14:paraId="5DEEB428"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Feeser, M., Fan, Y., Weigand, A., Hahn, A., Gärtner, M., Böker, H., … Bajbouj, M. (2015). Oxytocin improves mentalizing - pronounced effects for individuals with attenuated ability to empathize.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53</w:t>
      </w:r>
      <w:r w:rsidRPr="00C034E2">
        <w:rPr>
          <w:rFonts w:ascii="Calibri" w:hAnsi="Calibri" w:cs="Calibri"/>
          <w:noProof/>
          <w:sz w:val="24"/>
        </w:rPr>
        <w:t xml:space="preserve">, 223–232. </w:t>
      </w:r>
      <w:r w:rsidRPr="00C034E2">
        <w:rPr>
          <w:rFonts w:ascii="Calibri" w:hAnsi="Calibri" w:cs="Calibri"/>
          <w:noProof/>
          <w:sz w:val="24"/>
        </w:rPr>
        <w:lastRenderedPageBreak/>
        <w:t>https://doi.org/10.1016/j.psyneuen.2014.12.015</w:t>
      </w:r>
    </w:p>
    <w:p w14:paraId="29825B8B"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Feng, C., Hackett, P. D., DeMarco, A. C., Chen, X., Stair, S., Haroon, E., … Rilling, J. K. (2015). Oxytocin and vasopressin effects on the neural response to social cooperation are modulated by sex in humans. </w:t>
      </w:r>
      <w:r w:rsidRPr="00C034E2">
        <w:rPr>
          <w:rFonts w:ascii="Calibri" w:hAnsi="Calibri" w:cs="Calibri"/>
          <w:i/>
          <w:iCs/>
          <w:noProof/>
          <w:sz w:val="24"/>
        </w:rPr>
        <w:t>Brain Imaging and Behavior</w:t>
      </w:r>
      <w:r w:rsidRPr="00C034E2">
        <w:rPr>
          <w:rFonts w:ascii="Calibri" w:hAnsi="Calibri" w:cs="Calibri"/>
          <w:noProof/>
          <w:sz w:val="24"/>
        </w:rPr>
        <w:t xml:space="preserve">, </w:t>
      </w:r>
      <w:r w:rsidRPr="00C034E2">
        <w:rPr>
          <w:rFonts w:ascii="Calibri" w:hAnsi="Calibri" w:cs="Calibri"/>
          <w:i/>
          <w:iCs/>
          <w:noProof/>
          <w:sz w:val="24"/>
        </w:rPr>
        <w:t>9</w:t>
      </w:r>
      <w:r w:rsidR="005504EC">
        <w:rPr>
          <w:rFonts w:ascii="Calibri" w:hAnsi="Calibri" w:cs="Calibri"/>
          <w:noProof/>
          <w:sz w:val="24"/>
        </w:rPr>
        <w:t>(4)</w:t>
      </w:r>
      <w:r w:rsidRPr="00C034E2">
        <w:rPr>
          <w:rFonts w:ascii="Calibri" w:hAnsi="Calibri" w:cs="Calibri"/>
          <w:noProof/>
          <w:sz w:val="24"/>
        </w:rPr>
        <w:t>, 754–764. https://doi.org/10.1007/s11682-014-9333-9</w:t>
      </w:r>
    </w:p>
    <w:p w14:paraId="08FEA46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Geng, Y., Zhao, W., Zhou, F., Ma, X., Yao, S., Hurlemann, R., … Kendrick, K. M. (2018). Oxytocin Enhancement of Emotional Empathy: Generalization Across Cultures and Effects on Amygdala Activity. </w:t>
      </w:r>
      <w:r w:rsidRPr="00C034E2">
        <w:rPr>
          <w:rFonts w:ascii="Calibri" w:hAnsi="Calibri" w:cs="Calibri"/>
          <w:i/>
          <w:iCs/>
          <w:noProof/>
          <w:sz w:val="24"/>
        </w:rPr>
        <w:t>Frontiers in Neuroscience</w:t>
      </w:r>
      <w:r w:rsidRPr="00C034E2">
        <w:rPr>
          <w:rFonts w:ascii="Calibri" w:hAnsi="Calibri" w:cs="Calibri"/>
          <w:noProof/>
          <w:sz w:val="24"/>
        </w:rPr>
        <w:t xml:space="preserve">, </w:t>
      </w:r>
      <w:r w:rsidRPr="00C034E2">
        <w:rPr>
          <w:rFonts w:ascii="Calibri" w:hAnsi="Calibri" w:cs="Calibri"/>
          <w:i/>
          <w:iCs/>
          <w:noProof/>
          <w:sz w:val="24"/>
        </w:rPr>
        <w:t>12</w:t>
      </w:r>
      <w:r w:rsidR="005504EC">
        <w:rPr>
          <w:rFonts w:ascii="Calibri" w:hAnsi="Calibri" w:cs="Calibri"/>
          <w:noProof/>
          <w:sz w:val="24"/>
        </w:rPr>
        <w:t xml:space="preserve">, 512. </w:t>
      </w:r>
      <w:r w:rsidRPr="00C034E2">
        <w:rPr>
          <w:rFonts w:ascii="Calibri" w:hAnsi="Calibri" w:cs="Calibri"/>
          <w:noProof/>
          <w:sz w:val="24"/>
        </w:rPr>
        <w:t>https://doi.org/10.3389/fnins.2018.00512</w:t>
      </w:r>
    </w:p>
    <w:p w14:paraId="2BF528FB"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Grace, S. A., Rossell, S. L., Heinrichs, M., Kordsachia, C., &amp; Labuschagne, I. (2018, October). Oxytocin and brain activity in humans: A systematic review and coordinate-based meta-analysis of functional MRI studies.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070336">
        <w:rPr>
          <w:rFonts w:ascii="Calibri" w:hAnsi="Calibri" w:cs="Calibri"/>
          <w:i/>
          <w:iCs/>
          <w:noProof/>
          <w:sz w:val="24"/>
        </w:rPr>
        <w:t>96</w:t>
      </w:r>
      <w:r w:rsidRPr="00C034E2">
        <w:rPr>
          <w:rFonts w:ascii="Calibri" w:hAnsi="Calibri" w:cs="Calibri"/>
          <w:noProof/>
          <w:sz w:val="24"/>
        </w:rPr>
        <w:t>, 6–24. https://doi.org/10.1016/j.psyneuen.2018.05.031</w:t>
      </w:r>
    </w:p>
    <w:p w14:paraId="7731F5CE"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Groppe, S. E., Gossen, A., Rademacher, L., Hahn, A., Westphal, L., Gründer, G., &amp; Spreckelmeyer, K. N. (2013). Oxytocin influences processing of socially relevant cues in the ventral tegmental area of the human brain. </w:t>
      </w:r>
      <w:r w:rsidRPr="00C034E2">
        <w:rPr>
          <w:rFonts w:ascii="Calibri" w:hAnsi="Calibri" w:cs="Calibri"/>
          <w:i/>
          <w:iCs/>
          <w:noProof/>
          <w:sz w:val="24"/>
        </w:rPr>
        <w:t>Biological Psychiatry</w:t>
      </w:r>
      <w:r w:rsidRPr="00C034E2">
        <w:rPr>
          <w:rFonts w:ascii="Calibri" w:hAnsi="Calibri" w:cs="Calibri"/>
          <w:noProof/>
          <w:sz w:val="24"/>
        </w:rPr>
        <w:t xml:space="preserve">, </w:t>
      </w:r>
      <w:r w:rsidRPr="00C034E2">
        <w:rPr>
          <w:rFonts w:ascii="Calibri" w:hAnsi="Calibri" w:cs="Calibri"/>
          <w:i/>
          <w:iCs/>
          <w:noProof/>
          <w:sz w:val="24"/>
        </w:rPr>
        <w:t>74</w:t>
      </w:r>
      <w:r w:rsidR="005504EC">
        <w:rPr>
          <w:rFonts w:ascii="Calibri" w:hAnsi="Calibri" w:cs="Calibri"/>
          <w:noProof/>
          <w:sz w:val="24"/>
        </w:rPr>
        <w:t>(3)</w:t>
      </w:r>
      <w:r w:rsidRPr="00C034E2">
        <w:rPr>
          <w:rFonts w:ascii="Calibri" w:hAnsi="Calibri" w:cs="Calibri"/>
          <w:noProof/>
          <w:sz w:val="24"/>
        </w:rPr>
        <w:t>, 172–179. https://doi.org/10.1016/j.biopsych.2012.12.023</w:t>
      </w:r>
    </w:p>
    <w:p w14:paraId="52AFCAC2"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Human, L. J., Thorson, K. R., &amp; Mendes, W. B. (2016). Interactive Effects Between Extraversion and Oxytocin Administration. </w:t>
      </w:r>
      <w:r w:rsidRPr="00C034E2">
        <w:rPr>
          <w:rFonts w:ascii="Calibri" w:hAnsi="Calibri" w:cs="Calibri"/>
          <w:i/>
          <w:iCs/>
          <w:noProof/>
          <w:sz w:val="24"/>
        </w:rPr>
        <w:t>Social Psychological and Personality Science</w:t>
      </w:r>
      <w:r w:rsidRPr="00C034E2">
        <w:rPr>
          <w:rFonts w:ascii="Calibri" w:hAnsi="Calibri" w:cs="Calibri"/>
          <w:noProof/>
          <w:sz w:val="24"/>
        </w:rPr>
        <w:t xml:space="preserve">, </w:t>
      </w:r>
      <w:r w:rsidRPr="00C034E2">
        <w:rPr>
          <w:rFonts w:ascii="Calibri" w:hAnsi="Calibri" w:cs="Calibri"/>
          <w:i/>
          <w:iCs/>
          <w:noProof/>
          <w:sz w:val="24"/>
        </w:rPr>
        <w:t>7</w:t>
      </w:r>
      <w:r w:rsidR="005504EC">
        <w:rPr>
          <w:rFonts w:ascii="Calibri" w:hAnsi="Calibri" w:cs="Calibri"/>
          <w:noProof/>
          <w:sz w:val="24"/>
        </w:rPr>
        <w:t>(7)</w:t>
      </w:r>
      <w:r w:rsidRPr="00C034E2">
        <w:rPr>
          <w:rFonts w:ascii="Calibri" w:hAnsi="Calibri" w:cs="Calibri"/>
          <w:noProof/>
          <w:sz w:val="24"/>
        </w:rPr>
        <w:t>, 735–744. https://doi.org/10.1177/1948550616644964</w:t>
      </w:r>
    </w:p>
    <w:p w14:paraId="3D02561C"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Iacoboni, M. (2009). Imitation, Empathy, and Mirror Neurons. </w:t>
      </w:r>
      <w:r w:rsidRPr="00C034E2">
        <w:rPr>
          <w:rFonts w:ascii="Calibri" w:hAnsi="Calibri" w:cs="Calibri"/>
          <w:i/>
          <w:iCs/>
          <w:noProof/>
          <w:sz w:val="24"/>
        </w:rPr>
        <w:t>Annual Review of Psychology</w:t>
      </w:r>
      <w:r w:rsidRPr="00C034E2">
        <w:rPr>
          <w:rFonts w:ascii="Calibri" w:hAnsi="Calibri" w:cs="Calibri"/>
          <w:noProof/>
          <w:sz w:val="24"/>
        </w:rPr>
        <w:t xml:space="preserve">, </w:t>
      </w:r>
      <w:r w:rsidRPr="00C034E2">
        <w:rPr>
          <w:rFonts w:ascii="Calibri" w:hAnsi="Calibri" w:cs="Calibri"/>
          <w:i/>
          <w:iCs/>
          <w:noProof/>
          <w:sz w:val="24"/>
        </w:rPr>
        <w:t>60</w:t>
      </w:r>
      <w:r w:rsidRPr="00C034E2">
        <w:rPr>
          <w:rFonts w:ascii="Calibri" w:hAnsi="Calibri" w:cs="Calibri"/>
          <w:noProof/>
          <w:sz w:val="24"/>
        </w:rPr>
        <w:t>(1), 653–670. https://doi.org/10.1146/annurev.psych.60.110707.163604</w:t>
      </w:r>
    </w:p>
    <w:p w14:paraId="1DAE3DA6"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Liebowitz, M. R. (1987). Social phobia. </w:t>
      </w:r>
      <w:r w:rsidRPr="00C034E2">
        <w:rPr>
          <w:rFonts w:ascii="Calibri" w:hAnsi="Calibri" w:cs="Calibri"/>
          <w:i/>
          <w:iCs/>
          <w:noProof/>
          <w:sz w:val="24"/>
        </w:rPr>
        <w:t>Modern Problems in Pharmacopsychiatry</w:t>
      </w:r>
      <w:r w:rsidRPr="00C034E2">
        <w:rPr>
          <w:rFonts w:ascii="Calibri" w:hAnsi="Calibri" w:cs="Calibri"/>
          <w:noProof/>
          <w:sz w:val="24"/>
        </w:rPr>
        <w:t xml:space="preserve">, </w:t>
      </w:r>
      <w:r w:rsidRPr="00C034E2">
        <w:rPr>
          <w:rFonts w:ascii="Calibri" w:hAnsi="Calibri" w:cs="Calibri"/>
          <w:i/>
          <w:iCs/>
          <w:noProof/>
          <w:sz w:val="24"/>
        </w:rPr>
        <w:t>22</w:t>
      </w:r>
      <w:r w:rsidRPr="00C034E2">
        <w:rPr>
          <w:rFonts w:ascii="Calibri" w:hAnsi="Calibri" w:cs="Calibri"/>
          <w:noProof/>
          <w:sz w:val="24"/>
        </w:rPr>
        <w:t>, 141–173. https://doi.org/10.1159/000414022</w:t>
      </w:r>
    </w:p>
    <w:p w14:paraId="407FDC1A"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Luminet, O., Grynberg, D., Ruzette, N., &amp; Mikolajczak, M. (2011). Personality-dependent effects of oxytocin: Greater social benefits for high alexithymia scorers. </w:t>
      </w:r>
      <w:r w:rsidRPr="00C034E2">
        <w:rPr>
          <w:rFonts w:ascii="Calibri" w:hAnsi="Calibri" w:cs="Calibri"/>
          <w:i/>
          <w:iCs/>
          <w:noProof/>
          <w:sz w:val="24"/>
        </w:rPr>
        <w:t>Biological Psychology</w:t>
      </w:r>
      <w:r w:rsidRPr="00C034E2">
        <w:rPr>
          <w:rFonts w:ascii="Calibri" w:hAnsi="Calibri" w:cs="Calibri"/>
          <w:noProof/>
          <w:sz w:val="24"/>
        </w:rPr>
        <w:t xml:space="preserve">, </w:t>
      </w:r>
      <w:r w:rsidRPr="00C034E2">
        <w:rPr>
          <w:rFonts w:ascii="Calibri" w:hAnsi="Calibri" w:cs="Calibri"/>
          <w:i/>
          <w:iCs/>
          <w:noProof/>
          <w:sz w:val="24"/>
        </w:rPr>
        <w:t>87</w:t>
      </w:r>
      <w:r w:rsidR="005504EC">
        <w:rPr>
          <w:rFonts w:ascii="Calibri" w:hAnsi="Calibri" w:cs="Calibri"/>
          <w:noProof/>
          <w:sz w:val="24"/>
        </w:rPr>
        <w:t>(3)</w:t>
      </w:r>
      <w:r w:rsidRPr="00C034E2">
        <w:rPr>
          <w:rFonts w:ascii="Calibri" w:hAnsi="Calibri" w:cs="Calibri"/>
          <w:noProof/>
          <w:sz w:val="24"/>
        </w:rPr>
        <w:t>, 401–406. https://doi.org/10.1016/j.biopsycho.2011.05.005</w:t>
      </w:r>
    </w:p>
    <w:p w14:paraId="042BA046"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Mattick, R. P., Clark, J. C., &amp; Clarke, J. C. (1998). Development and validation of measures of social phobia scrutiny fear and social interaction anxiety. </w:t>
      </w:r>
      <w:r w:rsidRPr="00C034E2">
        <w:rPr>
          <w:rFonts w:ascii="Calibri" w:hAnsi="Calibri" w:cs="Calibri"/>
          <w:i/>
          <w:iCs/>
          <w:noProof/>
          <w:sz w:val="24"/>
        </w:rPr>
        <w:t>Behaviour Research and Therapy</w:t>
      </w:r>
      <w:r w:rsidRPr="00C034E2">
        <w:rPr>
          <w:rFonts w:ascii="Calibri" w:hAnsi="Calibri" w:cs="Calibri"/>
          <w:noProof/>
          <w:sz w:val="24"/>
        </w:rPr>
        <w:t xml:space="preserve">, </w:t>
      </w:r>
      <w:r w:rsidRPr="00C034E2">
        <w:rPr>
          <w:rFonts w:ascii="Calibri" w:hAnsi="Calibri" w:cs="Calibri"/>
          <w:i/>
          <w:iCs/>
          <w:noProof/>
          <w:sz w:val="24"/>
        </w:rPr>
        <w:t>36</w:t>
      </w:r>
      <w:r w:rsidR="005504EC">
        <w:rPr>
          <w:rFonts w:ascii="Calibri" w:hAnsi="Calibri" w:cs="Calibri"/>
          <w:noProof/>
          <w:sz w:val="24"/>
        </w:rPr>
        <w:t>(4)</w:t>
      </w:r>
      <w:r w:rsidRPr="00C034E2">
        <w:rPr>
          <w:rFonts w:ascii="Calibri" w:hAnsi="Calibri" w:cs="Calibri"/>
          <w:noProof/>
          <w:sz w:val="24"/>
        </w:rPr>
        <w:t>, 455–470. https://doi.org/10.1016/S0005-7967(97)10031-6</w:t>
      </w:r>
    </w:p>
    <w:p w14:paraId="18B05434"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Niedenthal, P. M., Mermillod, M., Maringer, M., &amp; Hess, U. (201</w:t>
      </w:r>
      <w:r w:rsidR="005504EC">
        <w:rPr>
          <w:rFonts w:ascii="Calibri" w:hAnsi="Calibri" w:cs="Calibri"/>
          <w:noProof/>
          <w:sz w:val="24"/>
        </w:rPr>
        <w:t>0</w:t>
      </w:r>
      <w:r w:rsidRPr="00C034E2">
        <w:rPr>
          <w:rFonts w:ascii="Calibri" w:hAnsi="Calibri" w:cs="Calibri"/>
          <w:noProof/>
          <w:sz w:val="24"/>
        </w:rPr>
        <w:t xml:space="preserve">). </w:t>
      </w:r>
      <w:r w:rsidRPr="00070336">
        <w:rPr>
          <w:rFonts w:ascii="Calibri" w:hAnsi="Calibri" w:cs="Calibri"/>
          <w:noProof/>
          <w:sz w:val="24"/>
        </w:rPr>
        <w:t xml:space="preserve">The Simulation of Smiles (SIMS) model: Embodied simulation and the meaning of facial expression. </w:t>
      </w:r>
      <w:r w:rsidR="00070336">
        <w:rPr>
          <w:rFonts w:ascii="Calibri" w:hAnsi="Calibri" w:cs="Calibri"/>
          <w:i/>
          <w:iCs/>
          <w:noProof/>
          <w:sz w:val="24"/>
        </w:rPr>
        <w:t>Behavioral and Brain Sciences, 33</w:t>
      </w:r>
      <w:r w:rsidR="005504EC">
        <w:rPr>
          <w:rFonts w:ascii="Calibri" w:hAnsi="Calibri" w:cs="Calibri"/>
          <w:noProof/>
          <w:sz w:val="24"/>
        </w:rPr>
        <w:t>(6)</w:t>
      </w:r>
      <w:r w:rsidR="00070336">
        <w:rPr>
          <w:rFonts w:ascii="Calibri" w:hAnsi="Calibri" w:cs="Calibri"/>
          <w:i/>
          <w:iCs/>
          <w:noProof/>
          <w:sz w:val="24"/>
        </w:rPr>
        <w:t xml:space="preserve">, </w:t>
      </w:r>
      <w:r w:rsidR="00070336">
        <w:rPr>
          <w:rFonts w:ascii="Calibri" w:hAnsi="Calibri" w:cs="Calibri"/>
          <w:noProof/>
          <w:sz w:val="24"/>
        </w:rPr>
        <w:t xml:space="preserve">417-433. </w:t>
      </w:r>
      <w:r w:rsidRPr="00C034E2">
        <w:rPr>
          <w:rFonts w:ascii="Calibri" w:hAnsi="Calibri" w:cs="Calibri"/>
          <w:noProof/>
          <w:sz w:val="24"/>
        </w:rPr>
        <w:t>https://doi.org/10.1017/S0140525X10000865</w:t>
      </w:r>
    </w:p>
    <w:p w14:paraId="3F9B204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6C51B2">
        <w:rPr>
          <w:rFonts w:ascii="Calibri" w:hAnsi="Calibri" w:cs="Calibri"/>
          <w:noProof/>
          <w:sz w:val="24"/>
        </w:rPr>
        <w:t xml:space="preserve">Parker, G., Tupling, H., &amp; Brown, L. B. (1979). A Parental Bonding Instrument. </w:t>
      </w:r>
      <w:r w:rsidRPr="006C51B2">
        <w:rPr>
          <w:rFonts w:ascii="Calibri" w:hAnsi="Calibri" w:cs="Calibri"/>
          <w:i/>
          <w:iCs/>
          <w:noProof/>
          <w:sz w:val="24"/>
        </w:rPr>
        <w:t>British Journal of Medical Psychology</w:t>
      </w:r>
      <w:r w:rsidRPr="006C51B2">
        <w:rPr>
          <w:rFonts w:ascii="Calibri" w:hAnsi="Calibri" w:cs="Calibri"/>
          <w:noProof/>
          <w:sz w:val="24"/>
        </w:rPr>
        <w:t xml:space="preserve">, </w:t>
      </w:r>
      <w:r w:rsidRPr="006C51B2">
        <w:rPr>
          <w:rFonts w:ascii="Calibri" w:hAnsi="Calibri" w:cs="Calibri"/>
          <w:i/>
          <w:iCs/>
          <w:noProof/>
          <w:sz w:val="24"/>
        </w:rPr>
        <w:t>52</w:t>
      </w:r>
      <w:r w:rsidR="006C51B2" w:rsidRPr="006C51B2">
        <w:rPr>
          <w:rFonts w:ascii="Calibri" w:hAnsi="Calibri" w:cs="Calibri"/>
          <w:noProof/>
          <w:sz w:val="24"/>
        </w:rPr>
        <w:t>(1)</w:t>
      </w:r>
      <w:r w:rsidRPr="006C51B2">
        <w:rPr>
          <w:rFonts w:ascii="Calibri" w:hAnsi="Calibri" w:cs="Calibri"/>
          <w:noProof/>
          <w:sz w:val="24"/>
        </w:rPr>
        <w:t>, 1–10</w:t>
      </w:r>
      <w:r w:rsidRPr="00C034E2">
        <w:rPr>
          <w:rFonts w:ascii="Calibri" w:hAnsi="Calibri" w:cs="Calibri"/>
          <w:noProof/>
          <w:sz w:val="24"/>
        </w:rPr>
        <w:t>. https://doi.org/10.1111/j.2044-8341.1979.tb02487.x</w:t>
      </w:r>
    </w:p>
    <w:p w14:paraId="3D318E38"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Preston, S. D., &amp; de Waal, F. B. M. (2002). Empathy: Its ultimate and proximate bases. </w:t>
      </w:r>
      <w:r w:rsidRPr="00C034E2">
        <w:rPr>
          <w:rFonts w:ascii="Calibri" w:hAnsi="Calibri" w:cs="Calibri"/>
          <w:i/>
          <w:iCs/>
          <w:noProof/>
          <w:sz w:val="24"/>
        </w:rPr>
        <w:t>Behavioral and Brain Sciences</w:t>
      </w:r>
      <w:r w:rsidRPr="00C034E2">
        <w:rPr>
          <w:rFonts w:ascii="Calibri" w:hAnsi="Calibri" w:cs="Calibri"/>
          <w:noProof/>
          <w:sz w:val="24"/>
        </w:rPr>
        <w:t xml:space="preserve">, </w:t>
      </w:r>
      <w:r w:rsidRPr="00070336">
        <w:rPr>
          <w:rFonts w:ascii="Calibri" w:hAnsi="Calibri" w:cs="Calibri"/>
          <w:i/>
          <w:iCs/>
          <w:noProof/>
          <w:sz w:val="24"/>
        </w:rPr>
        <w:t>25</w:t>
      </w:r>
      <w:r w:rsidR="006C51B2">
        <w:rPr>
          <w:rFonts w:ascii="Calibri" w:hAnsi="Calibri" w:cs="Calibri"/>
          <w:noProof/>
          <w:sz w:val="24"/>
        </w:rPr>
        <w:t>(1)</w:t>
      </w:r>
      <w:r w:rsidRPr="00C034E2">
        <w:rPr>
          <w:rFonts w:ascii="Calibri" w:hAnsi="Calibri" w:cs="Calibri"/>
          <w:noProof/>
          <w:sz w:val="24"/>
        </w:rPr>
        <w:t>, 1–20. https://doi.org/10.1017/S0140525X02000018</w:t>
      </w:r>
    </w:p>
    <w:p w14:paraId="3129D90E"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Radke, S., &amp; de Bruijn, E. R. A. (2015). Does oxytocin affect mind-reading? A replication study.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60</w:t>
      </w:r>
      <w:r w:rsidRPr="00C034E2">
        <w:rPr>
          <w:rFonts w:ascii="Calibri" w:hAnsi="Calibri" w:cs="Calibri"/>
          <w:noProof/>
          <w:sz w:val="24"/>
        </w:rPr>
        <w:t>, 75–81. https://doi.org/10.1016/j.psyneuen.2015.06.006</w:t>
      </w:r>
    </w:p>
    <w:p w14:paraId="2D78B857"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Riem, M. M. E., Bakermans-Kranenburg, M. J., Voorthuis, A., &amp; van IJzendoorn, M. H. (2014). Oxytocin effects on mind-reading are moderated by experiences of maternal love withdrawal: An fMRI study. </w:t>
      </w:r>
      <w:r w:rsidRPr="00C034E2">
        <w:rPr>
          <w:rFonts w:ascii="Calibri" w:hAnsi="Calibri" w:cs="Calibri"/>
          <w:i/>
          <w:iCs/>
          <w:noProof/>
          <w:sz w:val="24"/>
        </w:rPr>
        <w:t>Progress in Neuro-Psychopharmacology and Biological Psychiatry</w:t>
      </w:r>
      <w:r w:rsidRPr="00C034E2">
        <w:rPr>
          <w:rFonts w:ascii="Calibri" w:hAnsi="Calibri" w:cs="Calibri"/>
          <w:noProof/>
          <w:sz w:val="24"/>
        </w:rPr>
        <w:t xml:space="preserve">, </w:t>
      </w:r>
      <w:r w:rsidRPr="00C034E2">
        <w:rPr>
          <w:rFonts w:ascii="Calibri" w:hAnsi="Calibri" w:cs="Calibri"/>
          <w:i/>
          <w:iCs/>
          <w:noProof/>
          <w:sz w:val="24"/>
        </w:rPr>
        <w:t>51</w:t>
      </w:r>
      <w:r w:rsidRPr="00C034E2">
        <w:rPr>
          <w:rFonts w:ascii="Calibri" w:hAnsi="Calibri" w:cs="Calibri"/>
          <w:noProof/>
          <w:sz w:val="24"/>
        </w:rPr>
        <w:t>, 105–112. https://doi.org/10.1016/j.pnpbp.2014.01.014</w:t>
      </w:r>
    </w:p>
    <w:p w14:paraId="0B44BBAC"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Schwaiger, M., Heinrichs, M., &amp; Kumsta, R. (2019). Oxytocin administration and emotion </w:t>
      </w:r>
      <w:r w:rsidRPr="00C034E2">
        <w:rPr>
          <w:rFonts w:ascii="Calibri" w:hAnsi="Calibri" w:cs="Calibri"/>
          <w:noProof/>
          <w:sz w:val="24"/>
        </w:rPr>
        <w:lastRenderedPageBreak/>
        <w:t xml:space="preserve">recognition abilities in adults with a history of childhood adversity.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99</w:t>
      </w:r>
      <w:r w:rsidRPr="00C034E2">
        <w:rPr>
          <w:rFonts w:ascii="Calibri" w:hAnsi="Calibri" w:cs="Calibri"/>
          <w:noProof/>
          <w:sz w:val="24"/>
        </w:rPr>
        <w:t>, 66–71. https://doi.org/10.1016/j.psyneuen.2018.08.025</w:t>
      </w:r>
    </w:p>
    <w:p w14:paraId="66E075B2" w14:textId="77777777" w:rsidR="006C51B2" w:rsidRDefault="006C51B2" w:rsidP="00302232">
      <w:pPr>
        <w:widowControl w:val="0"/>
        <w:autoSpaceDE w:val="0"/>
        <w:autoSpaceDN w:val="0"/>
        <w:adjustRightInd w:val="0"/>
        <w:spacing w:line="240" w:lineRule="auto"/>
        <w:ind w:left="480" w:hanging="480"/>
        <w:rPr>
          <w:rFonts w:ascii="Calibri" w:hAnsi="Calibri" w:cs="Calibri"/>
          <w:noProof/>
          <w:sz w:val="24"/>
        </w:rPr>
      </w:pPr>
      <w:r w:rsidRPr="006C51B2">
        <w:rPr>
          <w:rFonts w:ascii="Calibri" w:hAnsi="Calibri" w:cs="Calibri"/>
          <w:noProof/>
          <w:sz w:val="24"/>
        </w:rPr>
        <w:t xml:space="preserve">Spielberger, C. D., Gorsuch, R. L., Lushene, R., Vagg, P. R., &amp; Jacobs, G. A. (1983). </w:t>
      </w:r>
      <w:r w:rsidRPr="006C51B2">
        <w:rPr>
          <w:rFonts w:ascii="Calibri" w:hAnsi="Calibri" w:cs="Calibri"/>
          <w:i/>
          <w:iCs/>
          <w:noProof/>
          <w:sz w:val="24"/>
        </w:rPr>
        <w:t>Manual for the State-Trait Anxiety Inventory.</w:t>
      </w:r>
      <w:r w:rsidRPr="006C51B2">
        <w:rPr>
          <w:rFonts w:ascii="Calibri" w:hAnsi="Calibri" w:cs="Calibri"/>
          <w:noProof/>
          <w:sz w:val="24"/>
        </w:rPr>
        <w:t xml:space="preserve"> Palo Alto, CA: Consulting Psychologists Press.</w:t>
      </w:r>
    </w:p>
    <w:p w14:paraId="4C10210E"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Spunt, R. P., &amp; Adolphs, R. (2014). Validating the Why/How contrast for functional MRI studies of Theory of Mind. </w:t>
      </w:r>
      <w:r w:rsidRPr="00C034E2">
        <w:rPr>
          <w:rFonts w:ascii="Calibri" w:hAnsi="Calibri" w:cs="Calibri"/>
          <w:i/>
          <w:iCs/>
          <w:noProof/>
          <w:sz w:val="24"/>
        </w:rPr>
        <w:t>NeuroImage</w:t>
      </w:r>
      <w:r w:rsidRPr="00C034E2">
        <w:rPr>
          <w:rFonts w:ascii="Calibri" w:hAnsi="Calibri" w:cs="Calibri"/>
          <w:noProof/>
          <w:sz w:val="24"/>
        </w:rPr>
        <w:t xml:space="preserve">, </w:t>
      </w:r>
      <w:r w:rsidRPr="00C034E2">
        <w:rPr>
          <w:rFonts w:ascii="Calibri" w:hAnsi="Calibri" w:cs="Calibri"/>
          <w:i/>
          <w:iCs/>
          <w:noProof/>
          <w:sz w:val="24"/>
        </w:rPr>
        <w:t>99</w:t>
      </w:r>
      <w:r w:rsidRPr="00C034E2">
        <w:rPr>
          <w:rFonts w:ascii="Calibri" w:hAnsi="Calibri" w:cs="Calibri"/>
          <w:noProof/>
          <w:sz w:val="24"/>
        </w:rPr>
        <w:t>, 301–311. https://doi.org/10.1016/j.neuroimage.2014.05.023</w:t>
      </w:r>
    </w:p>
    <w:p w14:paraId="21D0E570"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Tabak, B. A., Meyer, M. L., Castle, E., Dutcher, J. M., Irwin, M. R., Han, J. H., … Eisenberger, N. I. (2015). Vasopressin, but not oxytocin, increases empathic concern among individuals who received higher levels of paternal warmth: A randomized controlled trial.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51</w:t>
      </w:r>
      <w:r w:rsidRPr="00C034E2">
        <w:rPr>
          <w:rFonts w:ascii="Calibri" w:hAnsi="Calibri" w:cs="Calibri"/>
          <w:noProof/>
          <w:sz w:val="24"/>
        </w:rPr>
        <w:t>, 253–261. https://doi.org/10.1016/j.psyneuen.2014.10.006</w:t>
      </w:r>
    </w:p>
    <w:p w14:paraId="65FEBAE0"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Tabak, B. A., Meyer, M. L., Dutcher, J. M., Castle, E., Irwin, M. R., Lieberman, M. D., &amp; Eisenberger, N. I. (2016). Oxytocin, but not vasopressin, impairs social cognitive ability among individuals with higher levels of social anxiety: A randomized controlled trial. </w:t>
      </w:r>
      <w:r w:rsidRPr="00C034E2">
        <w:rPr>
          <w:rFonts w:ascii="Calibri" w:hAnsi="Calibri" w:cs="Calibri"/>
          <w:i/>
          <w:iCs/>
          <w:noProof/>
          <w:sz w:val="24"/>
        </w:rPr>
        <w:t>Social Cognitive and Affective Neuroscience</w:t>
      </w:r>
      <w:r w:rsidRPr="00C034E2">
        <w:rPr>
          <w:rFonts w:ascii="Calibri" w:hAnsi="Calibri" w:cs="Calibri"/>
          <w:noProof/>
          <w:sz w:val="24"/>
        </w:rPr>
        <w:t xml:space="preserve">, </w:t>
      </w:r>
      <w:r w:rsidRPr="00C034E2">
        <w:rPr>
          <w:rFonts w:ascii="Calibri" w:hAnsi="Calibri" w:cs="Calibri"/>
          <w:i/>
          <w:iCs/>
          <w:noProof/>
          <w:sz w:val="24"/>
        </w:rPr>
        <w:t>11</w:t>
      </w:r>
      <w:r w:rsidR="006C51B2">
        <w:rPr>
          <w:rFonts w:ascii="Calibri" w:hAnsi="Calibri" w:cs="Calibri"/>
          <w:noProof/>
          <w:sz w:val="24"/>
        </w:rPr>
        <w:t>(8)</w:t>
      </w:r>
      <w:r w:rsidRPr="00C034E2">
        <w:rPr>
          <w:rFonts w:ascii="Calibri" w:hAnsi="Calibri" w:cs="Calibri"/>
          <w:noProof/>
          <w:sz w:val="24"/>
        </w:rPr>
        <w:t>, 1272–1279. https://doi.org/10.1093/scan/nsw041</w:t>
      </w:r>
    </w:p>
    <w:p w14:paraId="7853FE4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Taylor, S. E., Lerner, J. S., Sage, R. M., Lehman, B. J., &amp; Seeman, T. E. (2004). Early environment, emotions, responses to stress, and health. </w:t>
      </w:r>
      <w:r w:rsidRPr="00C034E2">
        <w:rPr>
          <w:rFonts w:ascii="Calibri" w:hAnsi="Calibri" w:cs="Calibri"/>
          <w:i/>
          <w:iCs/>
          <w:noProof/>
          <w:sz w:val="24"/>
        </w:rPr>
        <w:t>Journal of Personality</w:t>
      </w:r>
      <w:r w:rsidRPr="00C034E2">
        <w:rPr>
          <w:rFonts w:ascii="Calibri" w:hAnsi="Calibri" w:cs="Calibri"/>
          <w:noProof/>
          <w:sz w:val="24"/>
        </w:rPr>
        <w:t xml:space="preserve">, </w:t>
      </w:r>
      <w:r w:rsidRPr="00C034E2">
        <w:rPr>
          <w:rFonts w:ascii="Calibri" w:hAnsi="Calibri" w:cs="Calibri"/>
          <w:i/>
          <w:iCs/>
          <w:noProof/>
          <w:sz w:val="24"/>
        </w:rPr>
        <w:t>72</w:t>
      </w:r>
      <w:r w:rsidR="006C51B2">
        <w:rPr>
          <w:rFonts w:ascii="Calibri" w:hAnsi="Calibri" w:cs="Calibri"/>
          <w:noProof/>
          <w:sz w:val="24"/>
        </w:rPr>
        <w:t>(4)</w:t>
      </w:r>
      <w:r w:rsidRPr="00C034E2">
        <w:rPr>
          <w:rFonts w:ascii="Calibri" w:hAnsi="Calibri" w:cs="Calibri"/>
          <w:noProof/>
          <w:sz w:val="24"/>
        </w:rPr>
        <w:t>, 1365–1393. https://doi.org/10.1111/j.1467-6494.2004.00300.x</w:t>
      </w:r>
    </w:p>
    <w:p w14:paraId="494E36D7"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Teed, A. R., Han, K., Rakic, J., Mark, D. B., &amp; Krawczyk, D. C. (2019). The influence of oxytocin and vasopressin on men’s judgments of social dominance and trustworthiness: An fMRI study of neutral faces. </w:t>
      </w:r>
      <w:r w:rsidRPr="00C034E2">
        <w:rPr>
          <w:rFonts w:ascii="Calibri" w:hAnsi="Calibri" w:cs="Calibri"/>
          <w:i/>
          <w:iCs/>
          <w:noProof/>
          <w:sz w:val="24"/>
        </w:rPr>
        <w:t>Psychoneuroendocrinology</w:t>
      </w:r>
      <w:r w:rsidRPr="00C034E2">
        <w:rPr>
          <w:rFonts w:ascii="Calibri" w:hAnsi="Calibri" w:cs="Calibri"/>
          <w:noProof/>
          <w:sz w:val="24"/>
        </w:rPr>
        <w:t xml:space="preserve">, </w:t>
      </w:r>
      <w:r w:rsidRPr="00C034E2">
        <w:rPr>
          <w:rFonts w:ascii="Calibri" w:hAnsi="Calibri" w:cs="Calibri"/>
          <w:i/>
          <w:iCs/>
          <w:noProof/>
          <w:sz w:val="24"/>
        </w:rPr>
        <w:t>106</w:t>
      </w:r>
      <w:r w:rsidRPr="00C034E2">
        <w:rPr>
          <w:rFonts w:ascii="Calibri" w:hAnsi="Calibri" w:cs="Calibri"/>
          <w:noProof/>
          <w:sz w:val="24"/>
        </w:rPr>
        <w:t>, 252–258. https://doi.org/10.1016/j.psyneuen.2019.04.014</w:t>
      </w:r>
    </w:p>
    <w:p w14:paraId="589AC287"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Thompson, E. R. (2007). Development and Validation of an Internationally Reliable Short-Form of the Positive and Negative Affect Schedule (PANAS). </w:t>
      </w:r>
      <w:r w:rsidRPr="00C034E2">
        <w:rPr>
          <w:rFonts w:ascii="Calibri" w:hAnsi="Calibri" w:cs="Calibri"/>
          <w:i/>
          <w:iCs/>
          <w:noProof/>
          <w:sz w:val="24"/>
        </w:rPr>
        <w:t>Journal of Cross-Cultural Psychology</w:t>
      </w:r>
      <w:r w:rsidRPr="00C034E2">
        <w:rPr>
          <w:rFonts w:ascii="Calibri" w:hAnsi="Calibri" w:cs="Calibri"/>
          <w:noProof/>
          <w:sz w:val="24"/>
        </w:rPr>
        <w:t xml:space="preserve">, </w:t>
      </w:r>
      <w:r w:rsidRPr="00C034E2">
        <w:rPr>
          <w:rFonts w:ascii="Calibri" w:hAnsi="Calibri" w:cs="Calibri"/>
          <w:i/>
          <w:iCs/>
          <w:noProof/>
          <w:sz w:val="24"/>
        </w:rPr>
        <w:t>38</w:t>
      </w:r>
      <w:r w:rsidR="006C51B2">
        <w:rPr>
          <w:rFonts w:ascii="Calibri" w:hAnsi="Calibri" w:cs="Calibri"/>
          <w:noProof/>
          <w:sz w:val="24"/>
        </w:rPr>
        <w:t>(2)</w:t>
      </w:r>
      <w:r w:rsidRPr="00C034E2">
        <w:rPr>
          <w:rFonts w:ascii="Calibri" w:hAnsi="Calibri" w:cs="Calibri"/>
          <w:noProof/>
          <w:sz w:val="24"/>
        </w:rPr>
        <w:t>, 227–242. https://doi.org/10.1177/0022022106297301</w:t>
      </w:r>
    </w:p>
    <w:p w14:paraId="4425888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Tomova, L., Heinrichs, M., &amp; Lamm, C. (2019). The Other and Me: Effects of oxytocin on self-other distinction. </w:t>
      </w:r>
      <w:r w:rsidRPr="00C034E2">
        <w:rPr>
          <w:rFonts w:ascii="Calibri" w:hAnsi="Calibri" w:cs="Calibri"/>
          <w:i/>
          <w:iCs/>
          <w:noProof/>
          <w:sz w:val="24"/>
        </w:rPr>
        <w:t>International Journal of Psychophysiology</w:t>
      </w:r>
      <w:r w:rsidRPr="00C034E2">
        <w:rPr>
          <w:rFonts w:ascii="Calibri" w:hAnsi="Calibri" w:cs="Calibri"/>
          <w:noProof/>
          <w:sz w:val="24"/>
        </w:rPr>
        <w:t xml:space="preserve">, </w:t>
      </w:r>
      <w:r w:rsidRPr="00C034E2">
        <w:rPr>
          <w:rFonts w:ascii="Calibri" w:hAnsi="Calibri" w:cs="Calibri"/>
          <w:i/>
          <w:iCs/>
          <w:noProof/>
          <w:sz w:val="24"/>
        </w:rPr>
        <w:t>136</w:t>
      </w:r>
      <w:r w:rsidRPr="00C034E2">
        <w:rPr>
          <w:rFonts w:ascii="Calibri" w:hAnsi="Calibri" w:cs="Calibri"/>
          <w:noProof/>
          <w:sz w:val="24"/>
        </w:rPr>
        <w:t>, 49–53. https://doi.org/10.1016/j.ijpsycho.2018.03.008</w:t>
      </w:r>
    </w:p>
    <w:p w14:paraId="6EF2F0C3"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Wakabayashi, A., Baron-Cohen, S., Wheelwright, S., Goldenfeld, N., Delaney, J., Fine, D., … Weil, L. (2006). Development of short forms of the Empathy Quotient (EQ-Short) and the Systemizing Quotient (SQ-Short). </w:t>
      </w:r>
      <w:r w:rsidRPr="00C034E2">
        <w:rPr>
          <w:rFonts w:ascii="Calibri" w:hAnsi="Calibri" w:cs="Calibri"/>
          <w:i/>
          <w:iCs/>
          <w:noProof/>
          <w:sz w:val="24"/>
        </w:rPr>
        <w:t>Personality and Individual Differences</w:t>
      </w:r>
      <w:r w:rsidRPr="00C034E2">
        <w:rPr>
          <w:rFonts w:ascii="Calibri" w:hAnsi="Calibri" w:cs="Calibri"/>
          <w:noProof/>
          <w:sz w:val="24"/>
        </w:rPr>
        <w:t xml:space="preserve">, </w:t>
      </w:r>
      <w:r w:rsidRPr="00C034E2">
        <w:rPr>
          <w:rFonts w:ascii="Calibri" w:hAnsi="Calibri" w:cs="Calibri"/>
          <w:i/>
          <w:iCs/>
          <w:noProof/>
          <w:sz w:val="24"/>
        </w:rPr>
        <w:t>41</w:t>
      </w:r>
      <w:r w:rsidR="006C51B2">
        <w:rPr>
          <w:rFonts w:ascii="Calibri" w:hAnsi="Calibri" w:cs="Calibri"/>
          <w:noProof/>
          <w:sz w:val="24"/>
        </w:rPr>
        <w:t>(5)</w:t>
      </w:r>
      <w:r w:rsidRPr="00C034E2">
        <w:rPr>
          <w:rFonts w:ascii="Calibri" w:hAnsi="Calibri" w:cs="Calibri"/>
          <w:noProof/>
          <w:sz w:val="24"/>
        </w:rPr>
        <w:t>, 929–940. https://doi.org/10.1016/j.paid.2006.03.017</w:t>
      </w:r>
    </w:p>
    <w:p w14:paraId="790B6D9C"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Wang, D., Yan, X., Li, M., &amp; Ma, Y. (2017). Neural substrates underlying the effects of oxytocin: a quantitative meta-analysis of pharmaco-imaging studies. </w:t>
      </w:r>
      <w:r w:rsidRPr="00C034E2">
        <w:rPr>
          <w:rFonts w:ascii="Calibri" w:hAnsi="Calibri" w:cs="Calibri"/>
          <w:i/>
          <w:iCs/>
          <w:noProof/>
          <w:sz w:val="24"/>
        </w:rPr>
        <w:t>Social Cognitive and Affective Neuroscience</w:t>
      </w:r>
      <w:r w:rsidRPr="00C034E2">
        <w:rPr>
          <w:rFonts w:ascii="Calibri" w:hAnsi="Calibri" w:cs="Calibri"/>
          <w:noProof/>
          <w:sz w:val="24"/>
        </w:rPr>
        <w:t xml:space="preserve">, </w:t>
      </w:r>
      <w:r w:rsidRPr="00C034E2">
        <w:rPr>
          <w:rFonts w:ascii="Calibri" w:hAnsi="Calibri" w:cs="Calibri"/>
          <w:i/>
          <w:iCs/>
          <w:noProof/>
          <w:sz w:val="24"/>
        </w:rPr>
        <w:t>12</w:t>
      </w:r>
      <w:r w:rsidR="006C51B2">
        <w:rPr>
          <w:rFonts w:ascii="Calibri" w:hAnsi="Calibri" w:cs="Calibri"/>
          <w:noProof/>
          <w:sz w:val="24"/>
        </w:rPr>
        <w:t>(10)</w:t>
      </w:r>
      <w:r w:rsidRPr="00C034E2">
        <w:rPr>
          <w:rFonts w:ascii="Calibri" w:hAnsi="Calibri" w:cs="Calibri"/>
          <w:noProof/>
          <w:sz w:val="24"/>
        </w:rPr>
        <w:t>, 1565–1573. https://doi.org/10.1093/scan/nsx085</w:t>
      </w:r>
    </w:p>
    <w:p w14:paraId="4678F4C7"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Zhao, W., Yao, S., Li, Q., Geng, Y., Ma, X., Luo, L., … Kendrick, K. M. (2016). Oxytocin blurs the self-other distinction during trait judgments and reduces medial prefrontal cortex responses. </w:t>
      </w:r>
      <w:r w:rsidRPr="00C034E2">
        <w:rPr>
          <w:rFonts w:ascii="Calibri" w:hAnsi="Calibri" w:cs="Calibri"/>
          <w:i/>
          <w:iCs/>
          <w:noProof/>
          <w:sz w:val="24"/>
        </w:rPr>
        <w:t>Human Brain Mapping</w:t>
      </w:r>
      <w:r w:rsidRPr="00C034E2">
        <w:rPr>
          <w:rFonts w:ascii="Calibri" w:hAnsi="Calibri" w:cs="Calibri"/>
          <w:noProof/>
          <w:sz w:val="24"/>
        </w:rPr>
        <w:t xml:space="preserve">, </w:t>
      </w:r>
      <w:r w:rsidRPr="00C034E2">
        <w:rPr>
          <w:rFonts w:ascii="Calibri" w:hAnsi="Calibri" w:cs="Calibri"/>
          <w:i/>
          <w:iCs/>
          <w:noProof/>
          <w:sz w:val="24"/>
        </w:rPr>
        <w:t>37</w:t>
      </w:r>
      <w:r w:rsidR="006C51B2">
        <w:rPr>
          <w:rFonts w:ascii="Calibri" w:hAnsi="Calibri" w:cs="Calibri"/>
          <w:noProof/>
          <w:sz w:val="24"/>
        </w:rPr>
        <w:t>(7)</w:t>
      </w:r>
      <w:r w:rsidRPr="00C034E2">
        <w:rPr>
          <w:rFonts w:ascii="Calibri" w:hAnsi="Calibri" w:cs="Calibri"/>
          <w:noProof/>
          <w:sz w:val="24"/>
        </w:rPr>
        <w:t>, 2512–2527. https://doi.org/10.1002/hbm.23190</w:t>
      </w:r>
    </w:p>
    <w:p w14:paraId="295360EB" w14:textId="77777777" w:rsidR="00302232" w:rsidRPr="00C034E2" w:rsidRDefault="00302232" w:rsidP="00302232">
      <w:pPr>
        <w:widowControl w:val="0"/>
        <w:autoSpaceDE w:val="0"/>
        <w:autoSpaceDN w:val="0"/>
        <w:adjustRightInd w:val="0"/>
        <w:spacing w:line="240" w:lineRule="auto"/>
        <w:ind w:left="480" w:hanging="480"/>
        <w:rPr>
          <w:rFonts w:ascii="Calibri" w:hAnsi="Calibri" w:cs="Calibri"/>
          <w:noProof/>
          <w:sz w:val="24"/>
        </w:rPr>
      </w:pPr>
      <w:r w:rsidRPr="00C034E2">
        <w:rPr>
          <w:rFonts w:ascii="Calibri" w:hAnsi="Calibri" w:cs="Calibri"/>
          <w:noProof/>
          <w:sz w:val="24"/>
        </w:rPr>
        <w:t xml:space="preserve">Zink, C. F., &amp; Meyer-Lindenberg, A. (2012). Human neuroimaging of oxytocin and vasopressin in social cognition. </w:t>
      </w:r>
      <w:r w:rsidRPr="00C034E2">
        <w:rPr>
          <w:rFonts w:ascii="Calibri" w:hAnsi="Calibri" w:cs="Calibri"/>
          <w:i/>
          <w:iCs/>
          <w:noProof/>
          <w:sz w:val="24"/>
        </w:rPr>
        <w:t>Hormones and Behavior</w:t>
      </w:r>
      <w:r w:rsidRPr="00C034E2">
        <w:rPr>
          <w:rFonts w:ascii="Calibri" w:hAnsi="Calibri" w:cs="Calibri"/>
          <w:noProof/>
          <w:sz w:val="24"/>
        </w:rPr>
        <w:t xml:space="preserve">, </w:t>
      </w:r>
      <w:r w:rsidRPr="00070336">
        <w:rPr>
          <w:rFonts w:ascii="Calibri" w:hAnsi="Calibri" w:cs="Calibri"/>
          <w:i/>
          <w:iCs/>
          <w:noProof/>
          <w:sz w:val="24"/>
        </w:rPr>
        <w:t>61</w:t>
      </w:r>
      <w:r w:rsidR="006C51B2">
        <w:rPr>
          <w:rFonts w:ascii="Calibri" w:hAnsi="Calibri" w:cs="Calibri"/>
          <w:noProof/>
          <w:sz w:val="24"/>
        </w:rPr>
        <w:t>(3)</w:t>
      </w:r>
      <w:r w:rsidRPr="00C034E2">
        <w:rPr>
          <w:rFonts w:ascii="Calibri" w:hAnsi="Calibri" w:cs="Calibri"/>
          <w:noProof/>
          <w:sz w:val="24"/>
        </w:rPr>
        <w:t>, 400–409. https://doi.org/10.1016/j.yhbeh.2012.01.016</w:t>
      </w:r>
    </w:p>
    <w:p w14:paraId="7EB9DD0D" w14:textId="77777777" w:rsidR="009364F7" w:rsidRPr="00C034E2" w:rsidRDefault="009364F7" w:rsidP="00C034E2">
      <w:pPr>
        <w:widowControl w:val="0"/>
        <w:autoSpaceDE w:val="0"/>
        <w:autoSpaceDN w:val="0"/>
        <w:adjustRightInd w:val="0"/>
        <w:spacing w:line="240" w:lineRule="auto"/>
        <w:ind w:left="480" w:hanging="480"/>
        <w:rPr>
          <w:rFonts w:ascii="Times New Roman" w:eastAsia="Times New Roman" w:hAnsi="Times New Roman" w:cs="Times New Roman"/>
          <w:b/>
          <w:sz w:val="24"/>
          <w:szCs w:val="24"/>
        </w:rPr>
      </w:pPr>
    </w:p>
    <w:p w14:paraId="3B623914" w14:textId="77777777" w:rsidR="00070336" w:rsidRDefault="00070336" w:rsidP="009364F7">
      <w:pPr>
        <w:widowControl w:val="0"/>
        <w:autoSpaceDE w:val="0"/>
        <w:autoSpaceDN w:val="0"/>
        <w:adjustRightInd w:val="0"/>
        <w:spacing w:line="240" w:lineRule="auto"/>
        <w:rPr>
          <w:rFonts w:ascii="Calibri" w:eastAsia="Times New Roman" w:hAnsi="Calibri" w:cs="Calibri"/>
          <w:b/>
          <w:bCs/>
          <w:sz w:val="24"/>
          <w:szCs w:val="24"/>
        </w:rPr>
      </w:pPr>
    </w:p>
    <w:p w14:paraId="423489C2" w14:textId="351AE747" w:rsidR="009364F7" w:rsidRPr="00C034E2" w:rsidRDefault="009364F7" w:rsidP="009364F7">
      <w:pPr>
        <w:widowControl w:val="0"/>
        <w:autoSpaceDE w:val="0"/>
        <w:autoSpaceDN w:val="0"/>
        <w:adjustRightInd w:val="0"/>
        <w:spacing w:line="240" w:lineRule="auto"/>
        <w:rPr>
          <w:rFonts w:ascii="Calibri" w:eastAsia="Times New Roman" w:hAnsi="Calibri" w:cs="Calibri"/>
          <w:b/>
          <w:bCs/>
          <w:sz w:val="24"/>
          <w:szCs w:val="24"/>
        </w:rPr>
      </w:pPr>
      <w:r w:rsidRPr="00C034E2">
        <w:rPr>
          <w:rFonts w:ascii="Calibri" w:eastAsia="Times New Roman" w:hAnsi="Calibri" w:cs="Calibri"/>
          <w:b/>
          <w:bCs/>
          <w:sz w:val="24"/>
          <w:szCs w:val="24"/>
        </w:rPr>
        <w:lastRenderedPageBreak/>
        <w:t xml:space="preserve">Supplementary Table </w:t>
      </w:r>
      <w:r w:rsidR="00333501">
        <w:rPr>
          <w:rFonts w:ascii="Calibri" w:eastAsia="Times New Roman" w:hAnsi="Calibri" w:cs="Calibri"/>
          <w:b/>
          <w:bCs/>
          <w:sz w:val="24"/>
          <w:szCs w:val="24"/>
        </w:rPr>
        <w:t>S</w:t>
      </w:r>
      <w:r w:rsidRPr="00C034E2">
        <w:rPr>
          <w:rFonts w:ascii="Calibri" w:eastAsia="Times New Roman" w:hAnsi="Calibri" w:cs="Calibri"/>
          <w:b/>
          <w:bCs/>
          <w:sz w:val="24"/>
          <w:szCs w:val="24"/>
        </w:rPr>
        <w:t>1</w:t>
      </w:r>
    </w:p>
    <w:p w14:paraId="7495BAFA" w14:textId="77777777" w:rsidR="009364F7" w:rsidRPr="00C034E2" w:rsidRDefault="009364F7" w:rsidP="009364F7">
      <w:pPr>
        <w:spacing w:line="240" w:lineRule="auto"/>
        <w:rPr>
          <w:rFonts w:ascii="Calibri" w:hAnsi="Calibri" w:cs="Calibri"/>
          <w:i/>
          <w:iCs/>
          <w:sz w:val="24"/>
          <w:szCs w:val="24"/>
        </w:rPr>
      </w:pPr>
      <w:r w:rsidRPr="00C034E2">
        <w:rPr>
          <w:rFonts w:ascii="Calibri" w:hAnsi="Calibri" w:cs="Calibri"/>
          <w:i/>
          <w:iCs/>
          <w:sz w:val="24"/>
          <w:szCs w:val="24"/>
        </w:rPr>
        <w:t>Self-report measures included in exploratory moderation analyses of OT and AVP effects</w:t>
      </w:r>
    </w:p>
    <w:p w14:paraId="2F33116A" w14:textId="77777777" w:rsidR="009364F7" w:rsidRPr="00C034E2" w:rsidRDefault="009364F7" w:rsidP="009364F7">
      <w:pPr>
        <w:spacing w:line="240" w:lineRule="auto"/>
        <w:rPr>
          <w:rFonts w:ascii="Calibri" w:hAnsi="Calibri" w:cs="Calibri"/>
          <w:i/>
          <w:iCs/>
          <w:sz w:val="24"/>
          <w:szCs w:val="24"/>
        </w:rPr>
      </w:pPr>
    </w:p>
    <w:tbl>
      <w:tblPr>
        <w:tblW w:w="8820" w:type="dxa"/>
        <w:tblBorders>
          <w:top w:val="single" w:sz="4" w:space="0" w:color="7F7F7F"/>
          <w:bottom w:val="single" w:sz="4" w:space="0" w:color="7F7F7F"/>
        </w:tblBorders>
        <w:tblLayout w:type="fixed"/>
        <w:tblLook w:val="0600" w:firstRow="0" w:lastRow="0" w:firstColumn="0" w:lastColumn="0" w:noHBand="1" w:noVBand="1"/>
      </w:tblPr>
      <w:tblGrid>
        <w:gridCol w:w="2880"/>
        <w:gridCol w:w="2700"/>
        <w:gridCol w:w="540"/>
        <w:gridCol w:w="2700"/>
      </w:tblGrid>
      <w:tr w:rsidR="00405678" w:rsidRPr="00C034E2" w14:paraId="65ADD473" w14:textId="77777777" w:rsidTr="0096216A">
        <w:trPr>
          <w:trHeight w:val="477"/>
        </w:trPr>
        <w:tc>
          <w:tcPr>
            <w:tcW w:w="2880" w:type="dxa"/>
            <w:shd w:val="clear" w:color="auto" w:fill="auto"/>
          </w:tcPr>
          <w:p w14:paraId="552FEE71" w14:textId="77777777" w:rsidR="009364F7" w:rsidRPr="0096216A" w:rsidRDefault="009364F7" w:rsidP="0096216A">
            <w:pPr>
              <w:widowControl w:val="0"/>
              <w:pBdr>
                <w:top w:val="nil"/>
                <w:left w:val="nil"/>
                <w:bottom w:val="nil"/>
                <w:right w:val="nil"/>
                <w:between w:val="nil"/>
              </w:pBdr>
              <w:rPr>
                <w:rFonts w:ascii="Calibri" w:hAnsi="Calibri" w:cs="Calibri"/>
                <w:b/>
                <w:bCs/>
                <w:sz w:val="20"/>
                <w:szCs w:val="20"/>
              </w:rPr>
            </w:pPr>
            <w:r w:rsidRPr="0096216A">
              <w:rPr>
                <w:rFonts w:ascii="Calibri" w:hAnsi="Calibri" w:cs="Calibri"/>
                <w:b/>
                <w:bCs/>
                <w:sz w:val="20"/>
                <w:szCs w:val="20"/>
              </w:rPr>
              <w:t>Measure</w:t>
            </w:r>
          </w:p>
        </w:tc>
        <w:tc>
          <w:tcPr>
            <w:tcW w:w="2700" w:type="dxa"/>
            <w:shd w:val="clear" w:color="auto" w:fill="auto"/>
          </w:tcPr>
          <w:p w14:paraId="2ADB4436" w14:textId="77777777" w:rsidR="009364F7" w:rsidRPr="0096216A" w:rsidRDefault="009364F7" w:rsidP="0096216A">
            <w:pPr>
              <w:widowControl w:val="0"/>
              <w:pBdr>
                <w:top w:val="nil"/>
                <w:left w:val="nil"/>
                <w:bottom w:val="nil"/>
                <w:right w:val="nil"/>
                <w:between w:val="nil"/>
              </w:pBdr>
              <w:jc w:val="center"/>
              <w:rPr>
                <w:rFonts w:ascii="Calibri" w:hAnsi="Calibri" w:cs="Calibri"/>
                <w:b/>
                <w:bCs/>
                <w:sz w:val="20"/>
                <w:szCs w:val="20"/>
              </w:rPr>
            </w:pPr>
            <w:r w:rsidRPr="0096216A">
              <w:rPr>
                <w:rFonts w:ascii="Calibri" w:hAnsi="Calibri" w:cs="Calibri"/>
                <w:b/>
                <w:bCs/>
                <w:sz w:val="20"/>
                <w:szCs w:val="20"/>
              </w:rPr>
              <w:t>Construct</w:t>
            </w:r>
          </w:p>
        </w:tc>
        <w:tc>
          <w:tcPr>
            <w:tcW w:w="540" w:type="dxa"/>
            <w:shd w:val="clear" w:color="auto" w:fill="auto"/>
          </w:tcPr>
          <w:p w14:paraId="38D49952" w14:textId="77777777" w:rsidR="009364F7" w:rsidRPr="0096216A" w:rsidRDefault="009364F7" w:rsidP="0096216A">
            <w:pPr>
              <w:widowControl w:val="0"/>
              <w:pBdr>
                <w:top w:val="nil"/>
                <w:left w:val="nil"/>
                <w:bottom w:val="nil"/>
                <w:right w:val="nil"/>
                <w:between w:val="nil"/>
              </w:pBdr>
              <w:jc w:val="center"/>
              <w:rPr>
                <w:rFonts w:ascii="Calibri" w:hAnsi="Calibri" w:cs="Calibri"/>
                <w:b/>
                <w:bCs/>
                <w:sz w:val="20"/>
                <w:szCs w:val="20"/>
              </w:rPr>
            </w:pPr>
            <w:r w:rsidRPr="0096216A">
              <w:rPr>
                <w:rFonts w:ascii="Calibri" w:eastAsia="Times New Roman" w:hAnsi="Calibri" w:cs="Calibri"/>
                <w:b/>
                <w:bCs/>
                <w:sz w:val="20"/>
                <w:szCs w:val="20"/>
              </w:rPr>
              <w:t>α</w:t>
            </w:r>
          </w:p>
        </w:tc>
        <w:tc>
          <w:tcPr>
            <w:tcW w:w="2700" w:type="dxa"/>
            <w:shd w:val="clear" w:color="auto" w:fill="auto"/>
          </w:tcPr>
          <w:p w14:paraId="4F0AA020" w14:textId="77777777" w:rsidR="009364F7" w:rsidRPr="0096216A" w:rsidRDefault="009364F7" w:rsidP="0096216A">
            <w:pPr>
              <w:widowControl w:val="0"/>
              <w:pBdr>
                <w:top w:val="nil"/>
                <w:left w:val="nil"/>
                <w:bottom w:val="nil"/>
                <w:right w:val="nil"/>
                <w:between w:val="nil"/>
              </w:pBdr>
              <w:jc w:val="center"/>
              <w:rPr>
                <w:rFonts w:ascii="Calibri" w:hAnsi="Calibri" w:cs="Calibri"/>
                <w:b/>
                <w:bCs/>
                <w:sz w:val="20"/>
                <w:szCs w:val="20"/>
              </w:rPr>
            </w:pPr>
            <w:r w:rsidRPr="0096216A">
              <w:rPr>
                <w:rFonts w:ascii="Calibri" w:hAnsi="Calibri" w:cs="Calibri"/>
                <w:b/>
                <w:bCs/>
                <w:sz w:val="20"/>
                <w:szCs w:val="20"/>
              </w:rPr>
              <w:t>Reference</w:t>
            </w:r>
          </w:p>
        </w:tc>
      </w:tr>
      <w:tr w:rsidR="00405678" w:rsidRPr="00C034E2" w14:paraId="1A056D8A" w14:textId="77777777" w:rsidTr="0096216A">
        <w:trPr>
          <w:trHeight w:val="477"/>
        </w:trPr>
        <w:tc>
          <w:tcPr>
            <w:tcW w:w="2880" w:type="dxa"/>
            <w:shd w:val="clear" w:color="auto" w:fill="auto"/>
          </w:tcPr>
          <w:p w14:paraId="58BC1E09"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Autism Spectrum Quotient </w:t>
            </w:r>
          </w:p>
        </w:tc>
        <w:tc>
          <w:tcPr>
            <w:tcW w:w="2700" w:type="dxa"/>
            <w:shd w:val="clear" w:color="auto" w:fill="auto"/>
          </w:tcPr>
          <w:p w14:paraId="43D92C71"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Traits related to autism</w:t>
            </w:r>
          </w:p>
        </w:tc>
        <w:tc>
          <w:tcPr>
            <w:tcW w:w="540" w:type="dxa"/>
            <w:shd w:val="clear" w:color="auto" w:fill="auto"/>
          </w:tcPr>
          <w:p w14:paraId="7D8AB779"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.69</w:t>
            </w:r>
          </w:p>
        </w:tc>
        <w:tc>
          <w:tcPr>
            <w:tcW w:w="2700" w:type="dxa"/>
            <w:shd w:val="clear" w:color="auto" w:fill="auto"/>
          </w:tcPr>
          <w:p w14:paraId="4DADA7A6" w14:textId="77777777" w:rsidR="009364F7" w:rsidRPr="0096216A" w:rsidRDefault="00302232"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(Baron-Cohen et al., 2001)</w:t>
            </w:r>
          </w:p>
        </w:tc>
      </w:tr>
      <w:tr w:rsidR="00405678" w:rsidRPr="00C034E2" w14:paraId="3B8509C8" w14:textId="77777777" w:rsidTr="0096216A">
        <w:trPr>
          <w:trHeight w:val="477"/>
        </w:trPr>
        <w:tc>
          <w:tcPr>
            <w:tcW w:w="2880" w:type="dxa"/>
            <w:shd w:val="clear" w:color="auto" w:fill="auto"/>
          </w:tcPr>
          <w:p w14:paraId="5D47FFA1"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Empathy Quotient -Short </w:t>
            </w:r>
          </w:p>
        </w:tc>
        <w:tc>
          <w:tcPr>
            <w:tcW w:w="2700" w:type="dxa"/>
            <w:shd w:val="clear" w:color="auto" w:fill="auto"/>
          </w:tcPr>
          <w:p w14:paraId="2E269BAE"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Trait empathy</w:t>
            </w:r>
          </w:p>
        </w:tc>
        <w:tc>
          <w:tcPr>
            <w:tcW w:w="540" w:type="dxa"/>
            <w:shd w:val="clear" w:color="auto" w:fill="auto"/>
          </w:tcPr>
          <w:p w14:paraId="1A2F3409"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.91</w:t>
            </w:r>
          </w:p>
        </w:tc>
        <w:tc>
          <w:tcPr>
            <w:tcW w:w="2700" w:type="dxa"/>
            <w:shd w:val="clear" w:color="auto" w:fill="auto"/>
          </w:tcPr>
          <w:p w14:paraId="1FEBFE3C"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(Wakabayashi et al., 2006)</w:t>
            </w:r>
          </w:p>
        </w:tc>
      </w:tr>
      <w:tr w:rsidR="00405678" w:rsidRPr="00C034E2" w14:paraId="4F4DB692" w14:textId="77777777" w:rsidTr="0096216A">
        <w:trPr>
          <w:trHeight w:val="464"/>
        </w:trPr>
        <w:tc>
          <w:tcPr>
            <w:tcW w:w="2880" w:type="dxa"/>
            <w:shd w:val="clear" w:color="auto" w:fill="auto"/>
          </w:tcPr>
          <w:p w14:paraId="79D50A28"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Interpersonal Reactivity Index </w:t>
            </w:r>
          </w:p>
        </w:tc>
        <w:tc>
          <w:tcPr>
            <w:tcW w:w="2700" w:type="dxa"/>
            <w:shd w:val="clear" w:color="auto" w:fill="auto"/>
          </w:tcPr>
          <w:p w14:paraId="7CF38BD3"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Trait empathy</w:t>
            </w:r>
          </w:p>
        </w:tc>
        <w:tc>
          <w:tcPr>
            <w:tcW w:w="540" w:type="dxa"/>
            <w:shd w:val="clear" w:color="auto" w:fill="auto"/>
          </w:tcPr>
          <w:p w14:paraId="2648220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c>
          <w:tcPr>
            <w:tcW w:w="2700" w:type="dxa"/>
            <w:shd w:val="clear" w:color="auto" w:fill="auto"/>
          </w:tcPr>
          <w:p w14:paraId="384F2510"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(Davis, 1983)</w:t>
            </w:r>
          </w:p>
        </w:tc>
      </w:tr>
      <w:tr w:rsidR="00405678" w:rsidRPr="00C034E2" w14:paraId="601B44C1" w14:textId="77777777" w:rsidTr="0096216A">
        <w:trPr>
          <w:trHeight w:val="477"/>
        </w:trPr>
        <w:tc>
          <w:tcPr>
            <w:tcW w:w="2880" w:type="dxa"/>
            <w:shd w:val="clear" w:color="auto" w:fill="auto"/>
          </w:tcPr>
          <w:p w14:paraId="7361DE1F"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Empathic Concern</w:t>
            </w:r>
          </w:p>
          <w:p w14:paraId="0C93385C"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p>
        </w:tc>
        <w:tc>
          <w:tcPr>
            <w:tcW w:w="2700" w:type="dxa"/>
            <w:shd w:val="clear" w:color="auto" w:fill="auto"/>
          </w:tcPr>
          <w:p w14:paraId="06E5E6E2"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 xml:space="preserve">Affective empathy </w:t>
            </w:r>
          </w:p>
        </w:tc>
        <w:tc>
          <w:tcPr>
            <w:tcW w:w="540" w:type="dxa"/>
            <w:shd w:val="clear" w:color="auto" w:fill="auto"/>
          </w:tcPr>
          <w:p w14:paraId="3CD72E30"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.79</w:t>
            </w:r>
          </w:p>
        </w:tc>
        <w:tc>
          <w:tcPr>
            <w:tcW w:w="2700" w:type="dxa"/>
            <w:shd w:val="clear" w:color="auto" w:fill="auto"/>
          </w:tcPr>
          <w:p w14:paraId="2613C939"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65453F8D" w14:textId="77777777" w:rsidTr="0096216A">
        <w:trPr>
          <w:trHeight w:val="477"/>
        </w:trPr>
        <w:tc>
          <w:tcPr>
            <w:tcW w:w="2880" w:type="dxa"/>
            <w:shd w:val="clear" w:color="auto" w:fill="auto"/>
          </w:tcPr>
          <w:p w14:paraId="11299109"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Perspective Taking</w:t>
            </w:r>
          </w:p>
        </w:tc>
        <w:tc>
          <w:tcPr>
            <w:tcW w:w="2700" w:type="dxa"/>
            <w:shd w:val="clear" w:color="auto" w:fill="auto"/>
          </w:tcPr>
          <w:p w14:paraId="02ADAF7C"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Cognitive empathy</w:t>
            </w:r>
          </w:p>
        </w:tc>
        <w:tc>
          <w:tcPr>
            <w:tcW w:w="540" w:type="dxa"/>
            <w:shd w:val="clear" w:color="auto" w:fill="auto"/>
          </w:tcPr>
          <w:p w14:paraId="5C31D7C6"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.81</w:t>
            </w:r>
          </w:p>
        </w:tc>
        <w:tc>
          <w:tcPr>
            <w:tcW w:w="2700" w:type="dxa"/>
            <w:shd w:val="clear" w:color="auto" w:fill="auto"/>
          </w:tcPr>
          <w:p w14:paraId="7F2FBBD1"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3C99AE42" w14:textId="77777777" w:rsidTr="0096216A">
        <w:trPr>
          <w:trHeight w:val="477"/>
        </w:trPr>
        <w:tc>
          <w:tcPr>
            <w:tcW w:w="2880" w:type="dxa"/>
            <w:shd w:val="clear" w:color="auto" w:fill="auto"/>
          </w:tcPr>
          <w:p w14:paraId="2CA40387"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NEO Five Factor Inventory</w:t>
            </w:r>
          </w:p>
        </w:tc>
        <w:tc>
          <w:tcPr>
            <w:tcW w:w="2700" w:type="dxa"/>
            <w:shd w:val="clear" w:color="auto" w:fill="auto"/>
          </w:tcPr>
          <w:p w14:paraId="2B281CD3"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Personality traits</w:t>
            </w:r>
          </w:p>
        </w:tc>
        <w:tc>
          <w:tcPr>
            <w:tcW w:w="540" w:type="dxa"/>
            <w:shd w:val="clear" w:color="auto" w:fill="auto"/>
          </w:tcPr>
          <w:p w14:paraId="3CE688C5"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c>
          <w:tcPr>
            <w:tcW w:w="2700" w:type="dxa"/>
            <w:shd w:val="clear" w:color="auto" w:fill="auto"/>
          </w:tcPr>
          <w:p w14:paraId="7319B74B"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(Costa &amp; McCrae, 1992)</w:t>
            </w:r>
          </w:p>
        </w:tc>
      </w:tr>
      <w:tr w:rsidR="00405678" w:rsidRPr="00C034E2" w14:paraId="606B49C8" w14:textId="77777777" w:rsidTr="0096216A">
        <w:trPr>
          <w:trHeight w:val="477"/>
        </w:trPr>
        <w:tc>
          <w:tcPr>
            <w:tcW w:w="2880" w:type="dxa"/>
            <w:shd w:val="clear" w:color="auto" w:fill="auto"/>
          </w:tcPr>
          <w:p w14:paraId="6EBEF71C"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Extraversion</w:t>
            </w:r>
          </w:p>
          <w:p w14:paraId="2F1AE4E9"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p>
        </w:tc>
        <w:tc>
          <w:tcPr>
            <w:tcW w:w="2700" w:type="dxa"/>
            <w:shd w:val="clear" w:color="auto" w:fill="auto"/>
          </w:tcPr>
          <w:p w14:paraId="35CC7C50"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Extraversion</w:t>
            </w:r>
          </w:p>
        </w:tc>
        <w:tc>
          <w:tcPr>
            <w:tcW w:w="540" w:type="dxa"/>
            <w:shd w:val="clear" w:color="auto" w:fill="auto"/>
          </w:tcPr>
          <w:p w14:paraId="00C9CF59"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.77</w:t>
            </w:r>
          </w:p>
        </w:tc>
        <w:tc>
          <w:tcPr>
            <w:tcW w:w="2700" w:type="dxa"/>
            <w:shd w:val="clear" w:color="auto" w:fill="auto"/>
          </w:tcPr>
          <w:p w14:paraId="59244B58"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192A7DE2" w14:textId="77777777" w:rsidTr="0096216A">
        <w:trPr>
          <w:trHeight w:val="477"/>
        </w:trPr>
        <w:tc>
          <w:tcPr>
            <w:tcW w:w="2880" w:type="dxa"/>
            <w:shd w:val="clear" w:color="auto" w:fill="auto"/>
          </w:tcPr>
          <w:p w14:paraId="0EFA68A8"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Agreeableness</w:t>
            </w:r>
          </w:p>
        </w:tc>
        <w:tc>
          <w:tcPr>
            <w:tcW w:w="2700" w:type="dxa"/>
            <w:shd w:val="clear" w:color="auto" w:fill="auto"/>
          </w:tcPr>
          <w:p w14:paraId="378DB732"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Agreeableness</w:t>
            </w:r>
          </w:p>
        </w:tc>
        <w:tc>
          <w:tcPr>
            <w:tcW w:w="540" w:type="dxa"/>
            <w:shd w:val="clear" w:color="auto" w:fill="auto"/>
          </w:tcPr>
          <w:p w14:paraId="52B9BB8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.76</w:t>
            </w:r>
          </w:p>
        </w:tc>
        <w:tc>
          <w:tcPr>
            <w:tcW w:w="2700" w:type="dxa"/>
            <w:shd w:val="clear" w:color="auto" w:fill="auto"/>
          </w:tcPr>
          <w:p w14:paraId="3A5CE784"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5EA15E8E" w14:textId="77777777" w:rsidTr="0096216A">
        <w:trPr>
          <w:trHeight w:val="477"/>
        </w:trPr>
        <w:tc>
          <w:tcPr>
            <w:tcW w:w="2880" w:type="dxa"/>
            <w:shd w:val="clear" w:color="auto" w:fill="auto"/>
          </w:tcPr>
          <w:p w14:paraId="0E2C1328"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Parental Bonding Instrument </w:t>
            </w:r>
          </w:p>
        </w:tc>
        <w:tc>
          <w:tcPr>
            <w:tcW w:w="2700" w:type="dxa"/>
            <w:shd w:val="clear" w:color="auto" w:fill="auto"/>
          </w:tcPr>
          <w:p w14:paraId="4BE7A705"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Parental warmth</w:t>
            </w:r>
          </w:p>
        </w:tc>
        <w:tc>
          <w:tcPr>
            <w:tcW w:w="540" w:type="dxa"/>
            <w:shd w:val="clear" w:color="auto" w:fill="auto"/>
          </w:tcPr>
          <w:p w14:paraId="10FF3B38"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c>
          <w:tcPr>
            <w:tcW w:w="2700" w:type="dxa"/>
            <w:shd w:val="clear" w:color="auto" w:fill="auto"/>
          </w:tcPr>
          <w:p w14:paraId="2A8F8300" w14:textId="77777777" w:rsidR="009364F7" w:rsidRPr="0096216A" w:rsidRDefault="00302232"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(Parker et al., 1979)</w:t>
            </w:r>
          </w:p>
        </w:tc>
      </w:tr>
      <w:tr w:rsidR="00405678" w:rsidRPr="00C034E2" w14:paraId="3D9FF4C4" w14:textId="77777777" w:rsidTr="0096216A">
        <w:trPr>
          <w:trHeight w:val="477"/>
        </w:trPr>
        <w:tc>
          <w:tcPr>
            <w:tcW w:w="2880" w:type="dxa"/>
            <w:shd w:val="clear" w:color="auto" w:fill="auto"/>
          </w:tcPr>
          <w:p w14:paraId="6FB55955"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Maternal Warmth</w:t>
            </w:r>
          </w:p>
        </w:tc>
        <w:tc>
          <w:tcPr>
            <w:tcW w:w="2700" w:type="dxa"/>
            <w:shd w:val="clear" w:color="auto" w:fill="auto"/>
          </w:tcPr>
          <w:p w14:paraId="1B30F35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Maternal warmth in childhood</w:t>
            </w:r>
          </w:p>
        </w:tc>
        <w:tc>
          <w:tcPr>
            <w:tcW w:w="540" w:type="dxa"/>
            <w:shd w:val="clear" w:color="auto" w:fill="auto"/>
          </w:tcPr>
          <w:p w14:paraId="3FF4F666"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.92</w:t>
            </w:r>
          </w:p>
        </w:tc>
        <w:tc>
          <w:tcPr>
            <w:tcW w:w="2700" w:type="dxa"/>
            <w:shd w:val="clear" w:color="auto" w:fill="auto"/>
          </w:tcPr>
          <w:p w14:paraId="339D8910"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09BD7F86" w14:textId="77777777" w:rsidTr="0096216A">
        <w:trPr>
          <w:trHeight w:val="477"/>
        </w:trPr>
        <w:tc>
          <w:tcPr>
            <w:tcW w:w="2880" w:type="dxa"/>
            <w:shd w:val="clear" w:color="auto" w:fill="auto"/>
          </w:tcPr>
          <w:p w14:paraId="3C7DE7C2"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 xml:space="preserve">     Paternal Warmth</w:t>
            </w:r>
          </w:p>
        </w:tc>
        <w:tc>
          <w:tcPr>
            <w:tcW w:w="2700" w:type="dxa"/>
            <w:shd w:val="clear" w:color="auto" w:fill="auto"/>
          </w:tcPr>
          <w:p w14:paraId="4530CE2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Paternal warmth in childhood</w:t>
            </w:r>
          </w:p>
        </w:tc>
        <w:tc>
          <w:tcPr>
            <w:tcW w:w="540" w:type="dxa"/>
            <w:shd w:val="clear" w:color="auto" w:fill="auto"/>
          </w:tcPr>
          <w:p w14:paraId="7C625FDF"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.93</w:t>
            </w:r>
          </w:p>
        </w:tc>
        <w:tc>
          <w:tcPr>
            <w:tcW w:w="2700" w:type="dxa"/>
            <w:shd w:val="clear" w:color="auto" w:fill="auto"/>
          </w:tcPr>
          <w:p w14:paraId="6504F1CF"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7DB845EF" w14:textId="77777777" w:rsidTr="0096216A">
        <w:trPr>
          <w:trHeight w:val="477"/>
        </w:trPr>
        <w:tc>
          <w:tcPr>
            <w:tcW w:w="2880" w:type="dxa"/>
            <w:shd w:val="clear" w:color="auto" w:fill="auto"/>
          </w:tcPr>
          <w:p w14:paraId="45D1EBAE"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Risky Families Questionnaire</w:t>
            </w:r>
          </w:p>
        </w:tc>
        <w:tc>
          <w:tcPr>
            <w:tcW w:w="2700" w:type="dxa"/>
            <w:shd w:val="clear" w:color="auto" w:fill="auto"/>
          </w:tcPr>
          <w:p w14:paraId="214B4E4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Family adversity in childhood</w:t>
            </w:r>
          </w:p>
        </w:tc>
        <w:tc>
          <w:tcPr>
            <w:tcW w:w="540" w:type="dxa"/>
            <w:shd w:val="clear" w:color="auto" w:fill="auto"/>
          </w:tcPr>
          <w:p w14:paraId="61079C83"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.86</w:t>
            </w:r>
          </w:p>
        </w:tc>
        <w:tc>
          <w:tcPr>
            <w:tcW w:w="2700" w:type="dxa"/>
            <w:shd w:val="clear" w:color="auto" w:fill="auto"/>
          </w:tcPr>
          <w:p w14:paraId="7C0C44CC" w14:textId="77777777" w:rsidR="009364F7" w:rsidRPr="0096216A" w:rsidRDefault="00302232"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(Taylor et al., 2004)</w:t>
            </w:r>
          </w:p>
        </w:tc>
      </w:tr>
      <w:tr w:rsidR="00405678" w:rsidRPr="00C034E2" w14:paraId="00155641" w14:textId="77777777" w:rsidTr="0096216A">
        <w:trPr>
          <w:trHeight w:val="477"/>
        </w:trPr>
        <w:tc>
          <w:tcPr>
            <w:tcW w:w="2880" w:type="dxa"/>
            <w:shd w:val="clear" w:color="auto" w:fill="auto"/>
          </w:tcPr>
          <w:p w14:paraId="215FDD88"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Toronto Alexithymia Scale</w:t>
            </w:r>
          </w:p>
        </w:tc>
        <w:tc>
          <w:tcPr>
            <w:tcW w:w="2700" w:type="dxa"/>
            <w:shd w:val="clear" w:color="auto" w:fill="auto"/>
          </w:tcPr>
          <w:p w14:paraId="75C2800C"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Alexithymia</w:t>
            </w:r>
          </w:p>
        </w:tc>
        <w:tc>
          <w:tcPr>
            <w:tcW w:w="540" w:type="dxa"/>
            <w:shd w:val="clear" w:color="auto" w:fill="auto"/>
          </w:tcPr>
          <w:p w14:paraId="41B73DC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.84</w:t>
            </w:r>
          </w:p>
        </w:tc>
        <w:tc>
          <w:tcPr>
            <w:tcW w:w="2700" w:type="dxa"/>
            <w:shd w:val="clear" w:color="auto" w:fill="auto"/>
          </w:tcPr>
          <w:p w14:paraId="2DCABB9D" w14:textId="77777777" w:rsidR="009364F7" w:rsidRPr="0096216A" w:rsidRDefault="009364F7" w:rsidP="0096216A">
            <w:pPr>
              <w:widowControl w:val="0"/>
              <w:pBdr>
                <w:top w:val="nil"/>
                <w:left w:val="nil"/>
                <w:bottom w:val="nil"/>
                <w:right w:val="nil"/>
                <w:between w:val="nil"/>
              </w:pBdr>
              <w:jc w:val="center"/>
              <w:rPr>
                <w:rFonts w:ascii="Calibri" w:eastAsia="Times New Roman" w:hAnsi="Calibri" w:cs="Calibri"/>
                <w:sz w:val="20"/>
                <w:szCs w:val="20"/>
              </w:rPr>
            </w:pPr>
            <w:r w:rsidRPr="0096216A">
              <w:rPr>
                <w:rFonts w:ascii="Calibri" w:eastAsia="Times New Roman" w:hAnsi="Calibri" w:cs="Calibri"/>
                <w:noProof/>
                <w:sz w:val="20"/>
                <w:szCs w:val="20"/>
              </w:rPr>
              <w:t>(Bagby, Parker, &amp; Taylor, 1994)</w:t>
            </w:r>
          </w:p>
          <w:p w14:paraId="558C3D37"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p>
        </w:tc>
      </w:tr>
      <w:tr w:rsidR="00405678" w:rsidRPr="00C034E2" w14:paraId="35AD36C3" w14:textId="77777777" w:rsidTr="0096216A">
        <w:trPr>
          <w:trHeight w:val="477"/>
        </w:trPr>
        <w:tc>
          <w:tcPr>
            <w:tcW w:w="2880" w:type="dxa"/>
            <w:shd w:val="clear" w:color="auto" w:fill="auto"/>
          </w:tcPr>
          <w:p w14:paraId="4D9AA4F9"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Social Phobia Scale</w:t>
            </w:r>
          </w:p>
        </w:tc>
        <w:tc>
          <w:tcPr>
            <w:tcW w:w="2700" w:type="dxa"/>
            <w:shd w:val="clear" w:color="auto" w:fill="auto"/>
          </w:tcPr>
          <w:p w14:paraId="40B7C87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Social anxiety</w:t>
            </w:r>
          </w:p>
        </w:tc>
        <w:tc>
          <w:tcPr>
            <w:tcW w:w="540" w:type="dxa"/>
            <w:shd w:val="clear" w:color="auto" w:fill="auto"/>
          </w:tcPr>
          <w:p w14:paraId="65933754"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.92</w:t>
            </w:r>
          </w:p>
        </w:tc>
        <w:tc>
          <w:tcPr>
            <w:tcW w:w="2700" w:type="dxa"/>
            <w:shd w:val="clear" w:color="auto" w:fill="auto"/>
          </w:tcPr>
          <w:p w14:paraId="5BBE7C23"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(Mattick, Clark, &amp; Clarke, 1998)</w:t>
            </w:r>
          </w:p>
        </w:tc>
      </w:tr>
      <w:tr w:rsidR="00405678" w:rsidRPr="00C034E2" w14:paraId="551496BB" w14:textId="77777777" w:rsidTr="0096216A">
        <w:trPr>
          <w:trHeight w:val="477"/>
        </w:trPr>
        <w:tc>
          <w:tcPr>
            <w:tcW w:w="2880" w:type="dxa"/>
            <w:shd w:val="clear" w:color="auto" w:fill="auto"/>
          </w:tcPr>
          <w:p w14:paraId="511AADD5"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Social Interaction Anxiety Scale</w:t>
            </w:r>
          </w:p>
        </w:tc>
        <w:tc>
          <w:tcPr>
            <w:tcW w:w="2700" w:type="dxa"/>
            <w:shd w:val="clear" w:color="auto" w:fill="auto"/>
          </w:tcPr>
          <w:p w14:paraId="078B99CD"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Social anxiety</w:t>
            </w:r>
          </w:p>
        </w:tc>
        <w:tc>
          <w:tcPr>
            <w:tcW w:w="540" w:type="dxa"/>
            <w:shd w:val="clear" w:color="auto" w:fill="auto"/>
          </w:tcPr>
          <w:p w14:paraId="119803A6"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.89</w:t>
            </w:r>
          </w:p>
        </w:tc>
        <w:tc>
          <w:tcPr>
            <w:tcW w:w="2700" w:type="dxa"/>
            <w:shd w:val="clear" w:color="auto" w:fill="auto"/>
          </w:tcPr>
          <w:p w14:paraId="0FD0B74C"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(Mattick et al., 1998)</w:t>
            </w:r>
          </w:p>
        </w:tc>
      </w:tr>
      <w:tr w:rsidR="00405678" w:rsidRPr="00C034E2" w14:paraId="266D4F50" w14:textId="77777777" w:rsidTr="0096216A">
        <w:trPr>
          <w:trHeight w:val="477"/>
        </w:trPr>
        <w:tc>
          <w:tcPr>
            <w:tcW w:w="2880" w:type="dxa"/>
            <w:shd w:val="clear" w:color="auto" w:fill="auto"/>
          </w:tcPr>
          <w:p w14:paraId="11E75FA6" w14:textId="77777777" w:rsidR="009364F7" w:rsidRPr="0096216A" w:rsidRDefault="009364F7" w:rsidP="0096216A">
            <w:pPr>
              <w:widowControl w:val="0"/>
              <w:pBdr>
                <w:top w:val="nil"/>
                <w:left w:val="nil"/>
                <w:bottom w:val="nil"/>
                <w:right w:val="nil"/>
                <w:between w:val="nil"/>
              </w:pBdr>
              <w:rPr>
                <w:rFonts w:ascii="Calibri" w:hAnsi="Calibri" w:cs="Calibri"/>
                <w:sz w:val="20"/>
                <w:szCs w:val="20"/>
              </w:rPr>
            </w:pPr>
            <w:r w:rsidRPr="0096216A">
              <w:rPr>
                <w:rFonts w:ascii="Calibri" w:hAnsi="Calibri" w:cs="Calibri"/>
                <w:sz w:val="20"/>
                <w:szCs w:val="20"/>
              </w:rPr>
              <w:t>Liebowitz Social Anxiety Scale</w:t>
            </w:r>
          </w:p>
        </w:tc>
        <w:tc>
          <w:tcPr>
            <w:tcW w:w="2700" w:type="dxa"/>
            <w:shd w:val="clear" w:color="auto" w:fill="auto"/>
          </w:tcPr>
          <w:p w14:paraId="744D235E"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Social anxiety</w:t>
            </w:r>
          </w:p>
        </w:tc>
        <w:tc>
          <w:tcPr>
            <w:tcW w:w="540" w:type="dxa"/>
            <w:shd w:val="clear" w:color="auto" w:fill="auto"/>
          </w:tcPr>
          <w:p w14:paraId="4E52B29A"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hAnsi="Calibri" w:cs="Calibri"/>
                <w:sz w:val="20"/>
                <w:szCs w:val="20"/>
              </w:rPr>
              <w:t>.95</w:t>
            </w:r>
          </w:p>
        </w:tc>
        <w:tc>
          <w:tcPr>
            <w:tcW w:w="2700" w:type="dxa"/>
            <w:shd w:val="clear" w:color="auto" w:fill="auto"/>
          </w:tcPr>
          <w:p w14:paraId="559A95AF" w14:textId="77777777" w:rsidR="009364F7" w:rsidRPr="0096216A" w:rsidRDefault="009364F7" w:rsidP="0096216A">
            <w:pPr>
              <w:widowControl w:val="0"/>
              <w:pBdr>
                <w:top w:val="nil"/>
                <w:left w:val="nil"/>
                <w:bottom w:val="nil"/>
                <w:right w:val="nil"/>
                <w:between w:val="nil"/>
              </w:pBdr>
              <w:jc w:val="center"/>
              <w:rPr>
                <w:rFonts w:ascii="Calibri" w:hAnsi="Calibri" w:cs="Calibri"/>
                <w:sz w:val="20"/>
                <w:szCs w:val="20"/>
              </w:rPr>
            </w:pPr>
            <w:r w:rsidRPr="0096216A">
              <w:rPr>
                <w:rFonts w:ascii="Calibri" w:eastAsia="Times New Roman" w:hAnsi="Calibri" w:cs="Calibri"/>
                <w:noProof/>
                <w:sz w:val="20"/>
                <w:szCs w:val="20"/>
              </w:rPr>
              <w:t>(Liebowitz, 1987)</w:t>
            </w:r>
          </w:p>
        </w:tc>
      </w:tr>
    </w:tbl>
    <w:p w14:paraId="4A8889C0" w14:textId="77777777" w:rsidR="009364F7" w:rsidRPr="00C034E2" w:rsidRDefault="009364F7" w:rsidP="009364F7">
      <w:pPr>
        <w:spacing w:line="240" w:lineRule="auto"/>
        <w:rPr>
          <w:rFonts w:ascii="Calibri" w:hAnsi="Calibri" w:cs="Calibri"/>
        </w:rPr>
      </w:pPr>
      <w:r w:rsidRPr="00C034E2">
        <w:rPr>
          <w:rFonts w:ascii="Calibri" w:hAnsi="Calibri" w:cs="Calibri"/>
          <w:i/>
          <w:sz w:val="24"/>
          <w:szCs w:val="24"/>
        </w:rPr>
        <w:t>Note</w:t>
      </w:r>
      <w:r w:rsidRPr="00C034E2">
        <w:rPr>
          <w:rFonts w:ascii="Calibri" w:hAnsi="Calibri" w:cs="Calibri"/>
          <w:sz w:val="24"/>
          <w:szCs w:val="24"/>
        </w:rPr>
        <w:t xml:space="preserve">. </w:t>
      </w:r>
      <w:r w:rsidRPr="00C034E2">
        <w:rPr>
          <w:rFonts w:ascii="Calibri" w:eastAsia="Times New Roman" w:hAnsi="Calibri" w:cs="Calibri"/>
          <w:sz w:val="24"/>
          <w:szCs w:val="24"/>
        </w:rPr>
        <w:t xml:space="preserve">Eleven participants did not have a father present as a young child, thus, </w:t>
      </w:r>
      <w:r w:rsidRPr="00C034E2">
        <w:rPr>
          <w:rFonts w:ascii="Calibri" w:eastAsia="Times New Roman" w:hAnsi="Calibri" w:cs="Calibri"/>
          <w:i/>
          <w:sz w:val="24"/>
          <w:szCs w:val="24"/>
        </w:rPr>
        <w:t>n</w:t>
      </w:r>
      <w:r w:rsidRPr="00C034E2">
        <w:rPr>
          <w:rFonts w:ascii="Calibri" w:eastAsia="Times New Roman" w:hAnsi="Calibri" w:cs="Calibri"/>
          <w:sz w:val="24"/>
          <w:szCs w:val="24"/>
        </w:rPr>
        <w:t xml:space="preserve">=175 for our measure of paternal warmth. As in our previous work </w:t>
      </w:r>
      <w:r w:rsidRPr="00C034E2">
        <w:rPr>
          <w:rFonts w:ascii="Calibri" w:eastAsia="Times New Roman" w:hAnsi="Calibri" w:cs="Calibri"/>
          <w:noProof/>
          <w:sz w:val="24"/>
          <w:szCs w:val="24"/>
        </w:rPr>
        <w:t>(Tabak et al., 2016)</w:t>
      </w:r>
      <w:r w:rsidRPr="00C034E2">
        <w:rPr>
          <w:rFonts w:ascii="Calibri" w:eastAsia="Times New Roman" w:hAnsi="Calibri" w:cs="Calibri"/>
          <w:sz w:val="24"/>
          <w:szCs w:val="24"/>
        </w:rPr>
        <w:t>, we created a composite measure of social anxiety that included standardized and averaged scores from the three social anxiety scales described above (α=.88).</w:t>
      </w:r>
    </w:p>
    <w:p w14:paraId="731974D8" w14:textId="77777777" w:rsidR="009364F7" w:rsidRPr="00C034E2" w:rsidRDefault="009364F7" w:rsidP="009364F7">
      <w:pPr>
        <w:spacing w:after="160" w:line="259" w:lineRule="auto"/>
        <w:rPr>
          <w:rFonts w:ascii="Calibri" w:eastAsia="Times New Roman" w:hAnsi="Calibri" w:cs="Calibri"/>
          <w:b/>
          <w:bCs/>
          <w:sz w:val="24"/>
          <w:szCs w:val="24"/>
        </w:rPr>
      </w:pPr>
    </w:p>
    <w:p w14:paraId="32A48A77" w14:textId="77777777" w:rsidR="009364F7" w:rsidRDefault="009364F7" w:rsidP="009364F7">
      <w:pPr>
        <w:rPr>
          <w:rFonts w:ascii="Times New Roman" w:eastAsia="Times New Roman" w:hAnsi="Times New Roman" w:cs="Times New Roman"/>
          <w:b/>
          <w:sz w:val="24"/>
          <w:szCs w:val="24"/>
        </w:rPr>
      </w:pPr>
    </w:p>
    <w:p w14:paraId="6D60C4C7" w14:textId="77777777" w:rsidR="005D3AE5" w:rsidRDefault="005D3AE5" w:rsidP="009364F7">
      <w:pPr>
        <w:rPr>
          <w:rFonts w:ascii="Times New Roman" w:eastAsia="Times New Roman" w:hAnsi="Times New Roman" w:cs="Times New Roman"/>
          <w:b/>
          <w:sz w:val="24"/>
          <w:szCs w:val="24"/>
        </w:rPr>
      </w:pPr>
    </w:p>
    <w:p w14:paraId="346A066C" w14:textId="77777777" w:rsidR="009364F7" w:rsidRDefault="009364F7" w:rsidP="009364F7">
      <w:pPr>
        <w:rPr>
          <w:rFonts w:ascii="Times New Roman" w:eastAsia="Times New Roman" w:hAnsi="Times New Roman" w:cs="Times New Roman"/>
          <w:b/>
          <w:sz w:val="24"/>
          <w:szCs w:val="24"/>
        </w:rPr>
      </w:pPr>
    </w:p>
    <w:p w14:paraId="62852816" w14:textId="77777777" w:rsidR="009364F7" w:rsidRDefault="009364F7" w:rsidP="009364F7">
      <w:pPr>
        <w:rPr>
          <w:rFonts w:ascii="Times New Roman" w:eastAsia="Times New Roman" w:hAnsi="Times New Roman" w:cs="Times New Roman"/>
          <w:b/>
          <w:sz w:val="24"/>
          <w:szCs w:val="24"/>
        </w:rPr>
      </w:pPr>
    </w:p>
    <w:p w14:paraId="295FBF71" w14:textId="77777777" w:rsidR="009364F7" w:rsidRDefault="009364F7" w:rsidP="009364F7">
      <w:pPr>
        <w:rPr>
          <w:rFonts w:ascii="Times New Roman" w:eastAsia="Times New Roman" w:hAnsi="Times New Roman" w:cs="Times New Roman"/>
          <w:b/>
          <w:sz w:val="24"/>
          <w:szCs w:val="24"/>
        </w:rPr>
      </w:pPr>
    </w:p>
    <w:p w14:paraId="594017A8" w14:textId="64275E24" w:rsidR="009364F7" w:rsidRPr="00C034E2" w:rsidRDefault="009364F7" w:rsidP="009364F7">
      <w:pPr>
        <w:pStyle w:val="NormalWeb"/>
        <w:contextualSpacing/>
        <w:rPr>
          <w:rFonts w:ascii="Calibri" w:hAnsi="Calibri" w:cs="Calibri"/>
          <w:b/>
          <w:color w:val="000000"/>
          <w:sz w:val="24"/>
          <w:szCs w:val="24"/>
        </w:rPr>
      </w:pPr>
      <w:r w:rsidRPr="00C034E2">
        <w:rPr>
          <w:rFonts w:ascii="Calibri" w:hAnsi="Calibri" w:cs="Calibri"/>
          <w:b/>
          <w:color w:val="000000"/>
          <w:sz w:val="24"/>
          <w:szCs w:val="24"/>
        </w:rPr>
        <w:lastRenderedPageBreak/>
        <w:t xml:space="preserve">Supplementary Table </w:t>
      </w:r>
      <w:r w:rsidR="00333501">
        <w:rPr>
          <w:rFonts w:ascii="Calibri" w:hAnsi="Calibri" w:cs="Calibri"/>
          <w:b/>
          <w:color w:val="000000"/>
          <w:sz w:val="24"/>
          <w:szCs w:val="24"/>
        </w:rPr>
        <w:t>S</w:t>
      </w:r>
      <w:r w:rsidRPr="00C034E2">
        <w:rPr>
          <w:rFonts w:ascii="Calibri" w:hAnsi="Calibri" w:cs="Calibri"/>
          <w:b/>
          <w:color w:val="000000"/>
          <w:sz w:val="24"/>
          <w:szCs w:val="24"/>
        </w:rPr>
        <w:t>2</w:t>
      </w:r>
    </w:p>
    <w:p w14:paraId="0AD87E6C" w14:textId="77777777" w:rsidR="008B46FB" w:rsidRPr="00C034E2" w:rsidRDefault="008B46FB" w:rsidP="008B46FB">
      <w:pPr>
        <w:pStyle w:val="NormalWeb"/>
        <w:contextualSpacing/>
        <w:rPr>
          <w:rFonts w:ascii="Calibri" w:hAnsi="Calibri" w:cs="Calibri"/>
          <w:b/>
          <w:color w:val="000000"/>
          <w:sz w:val="24"/>
          <w:szCs w:val="24"/>
        </w:rPr>
      </w:pPr>
      <w:r w:rsidRPr="00C034E2">
        <w:rPr>
          <w:rFonts w:ascii="Calibri" w:eastAsia="Times New Roman" w:hAnsi="Calibri" w:cs="Calibri"/>
          <w:i/>
          <w:sz w:val="24"/>
          <w:szCs w:val="24"/>
        </w:rPr>
        <w:t>Differences between OT or AVP vs. placebo on accuracy and reaction time based on gender</w:t>
      </w:r>
    </w:p>
    <w:tbl>
      <w:tblPr>
        <w:tblW w:w="9985" w:type="dxa"/>
        <w:tblLayout w:type="fixed"/>
        <w:tblLook w:val="04A0" w:firstRow="1" w:lastRow="0" w:firstColumn="1" w:lastColumn="0" w:noHBand="0" w:noVBand="1"/>
      </w:tblPr>
      <w:tblGrid>
        <w:gridCol w:w="1350"/>
        <w:gridCol w:w="540"/>
        <w:gridCol w:w="810"/>
        <w:gridCol w:w="900"/>
        <w:gridCol w:w="990"/>
        <w:gridCol w:w="990"/>
        <w:gridCol w:w="990"/>
        <w:gridCol w:w="1080"/>
        <w:gridCol w:w="810"/>
        <w:gridCol w:w="810"/>
        <w:gridCol w:w="715"/>
      </w:tblGrid>
      <w:tr w:rsidR="008B46FB" w:rsidRPr="00C034E2" w14:paraId="7B1D7657" w14:textId="77777777" w:rsidTr="00996A7E">
        <w:trPr>
          <w:gridAfter w:val="1"/>
          <w:wAfter w:w="715" w:type="dxa"/>
          <w:trHeight w:val="310"/>
        </w:trPr>
        <w:tc>
          <w:tcPr>
            <w:tcW w:w="1350" w:type="dxa"/>
            <w:vMerge w:val="restart"/>
            <w:tcBorders>
              <w:top w:val="single" w:sz="4" w:space="0" w:color="auto"/>
              <w:left w:val="nil"/>
              <w:bottom w:val="single" w:sz="4" w:space="0" w:color="000000"/>
              <w:right w:val="nil"/>
            </w:tcBorders>
            <w:shd w:val="clear" w:color="auto" w:fill="auto"/>
            <w:vAlign w:val="center"/>
            <w:hideMark/>
          </w:tcPr>
          <w:p w14:paraId="2E76A869" w14:textId="77777777" w:rsidR="008B46FB" w:rsidRPr="00C034E2" w:rsidRDefault="008B46FB" w:rsidP="001E4A57">
            <w:pPr>
              <w:spacing w:line="240" w:lineRule="auto"/>
              <w:jc w:val="center"/>
              <w:rPr>
                <w:rFonts w:ascii="Calibri" w:eastAsia="Times New Roman" w:hAnsi="Calibri" w:cs="Calibri"/>
                <w:b/>
                <w:bCs/>
                <w:color w:val="000000"/>
                <w:sz w:val="24"/>
                <w:szCs w:val="24"/>
              </w:rPr>
            </w:pPr>
            <w:r w:rsidRPr="00C034E2">
              <w:rPr>
                <w:rFonts w:ascii="Calibri" w:eastAsia="Times New Roman" w:hAnsi="Calibri" w:cs="Calibri"/>
                <w:b/>
                <w:bCs/>
                <w:color w:val="000000"/>
                <w:sz w:val="24"/>
                <w:szCs w:val="24"/>
              </w:rPr>
              <w:t>Contrast</w:t>
            </w:r>
          </w:p>
        </w:tc>
        <w:tc>
          <w:tcPr>
            <w:tcW w:w="6300" w:type="dxa"/>
            <w:gridSpan w:val="7"/>
            <w:tcBorders>
              <w:top w:val="single" w:sz="4" w:space="0" w:color="auto"/>
              <w:left w:val="nil"/>
              <w:bottom w:val="single" w:sz="4" w:space="0" w:color="auto"/>
              <w:right w:val="nil"/>
            </w:tcBorders>
            <w:shd w:val="clear" w:color="auto" w:fill="auto"/>
            <w:noWrap/>
            <w:vAlign w:val="center"/>
            <w:hideMark/>
          </w:tcPr>
          <w:p w14:paraId="1927A04F" w14:textId="77777777" w:rsidR="008B46FB" w:rsidRPr="00C034E2" w:rsidRDefault="008B46FB" w:rsidP="001E4A57">
            <w:pPr>
              <w:spacing w:line="240" w:lineRule="auto"/>
              <w:jc w:val="center"/>
              <w:rPr>
                <w:rFonts w:ascii="Calibri" w:eastAsia="Times New Roman" w:hAnsi="Calibri" w:cs="Calibri"/>
                <w:b/>
                <w:bCs/>
                <w:color w:val="000000"/>
                <w:sz w:val="24"/>
                <w:szCs w:val="24"/>
              </w:rPr>
            </w:pPr>
            <w:r w:rsidRPr="00C034E2">
              <w:rPr>
                <w:rFonts w:ascii="Calibri" w:eastAsia="Times New Roman" w:hAnsi="Calibri" w:cs="Calibri"/>
                <w:b/>
                <w:bCs/>
                <w:color w:val="000000"/>
                <w:sz w:val="24"/>
                <w:szCs w:val="24"/>
              </w:rPr>
              <w:t>Null Hypothesis Significance Testing</w:t>
            </w:r>
          </w:p>
        </w:tc>
        <w:tc>
          <w:tcPr>
            <w:tcW w:w="1620" w:type="dxa"/>
            <w:gridSpan w:val="2"/>
            <w:tcBorders>
              <w:top w:val="single" w:sz="4" w:space="0" w:color="auto"/>
              <w:left w:val="nil"/>
              <w:bottom w:val="single" w:sz="4" w:space="0" w:color="auto"/>
              <w:right w:val="nil"/>
            </w:tcBorders>
            <w:shd w:val="clear" w:color="auto" w:fill="auto"/>
            <w:noWrap/>
            <w:vAlign w:val="center"/>
            <w:hideMark/>
          </w:tcPr>
          <w:p w14:paraId="203DBA36" w14:textId="77777777" w:rsidR="008B46FB" w:rsidRPr="00C034E2" w:rsidRDefault="008B46FB" w:rsidP="001E4A57">
            <w:pPr>
              <w:spacing w:line="240" w:lineRule="auto"/>
              <w:jc w:val="center"/>
              <w:rPr>
                <w:rFonts w:ascii="Calibri" w:eastAsia="Times New Roman" w:hAnsi="Calibri" w:cs="Calibri"/>
                <w:b/>
                <w:bCs/>
                <w:color w:val="000000"/>
                <w:sz w:val="24"/>
                <w:szCs w:val="24"/>
              </w:rPr>
            </w:pPr>
            <w:r w:rsidRPr="00C034E2">
              <w:rPr>
                <w:rFonts w:ascii="Calibri" w:eastAsia="Times New Roman" w:hAnsi="Calibri" w:cs="Calibri"/>
                <w:b/>
                <w:bCs/>
                <w:color w:val="000000"/>
                <w:sz w:val="24"/>
                <w:szCs w:val="24"/>
              </w:rPr>
              <w:t>Bayes Factor</w:t>
            </w:r>
          </w:p>
        </w:tc>
      </w:tr>
      <w:tr w:rsidR="00CE1CC1" w:rsidRPr="00C034E2" w14:paraId="45BCD45E" w14:textId="77777777" w:rsidTr="00CE1CC1">
        <w:trPr>
          <w:gridAfter w:val="1"/>
          <w:wAfter w:w="715" w:type="dxa"/>
          <w:trHeight w:val="476"/>
        </w:trPr>
        <w:tc>
          <w:tcPr>
            <w:tcW w:w="1350" w:type="dxa"/>
            <w:vMerge/>
            <w:tcBorders>
              <w:top w:val="single" w:sz="4" w:space="0" w:color="auto"/>
              <w:left w:val="nil"/>
              <w:bottom w:val="single" w:sz="4" w:space="0" w:color="000000"/>
              <w:right w:val="nil"/>
            </w:tcBorders>
            <w:vAlign w:val="center"/>
            <w:hideMark/>
          </w:tcPr>
          <w:p w14:paraId="3451E7CF" w14:textId="77777777" w:rsidR="00422B89" w:rsidRPr="00C034E2" w:rsidRDefault="00422B89" w:rsidP="00422B89">
            <w:pPr>
              <w:spacing w:line="240" w:lineRule="auto"/>
              <w:rPr>
                <w:rFonts w:ascii="Calibri" w:eastAsia="Times New Roman" w:hAnsi="Calibri" w:cs="Calibri"/>
                <w:b/>
                <w:bCs/>
                <w:color w:val="000000"/>
                <w:sz w:val="24"/>
                <w:szCs w:val="24"/>
              </w:rPr>
            </w:pPr>
          </w:p>
        </w:tc>
        <w:tc>
          <w:tcPr>
            <w:tcW w:w="540" w:type="dxa"/>
            <w:vMerge w:val="restart"/>
            <w:tcBorders>
              <w:top w:val="nil"/>
              <w:left w:val="nil"/>
              <w:bottom w:val="nil"/>
              <w:right w:val="nil"/>
            </w:tcBorders>
            <w:shd w:val="clear" w:color="auto" w:fill="auto"/>
            <w:vAlign w:val="center"/>
            <w:hideMark/>
          </w:tcPr>
          <w:p w14:paraId="4536C1F2"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df</w:t>
            </w:r>
          </w:p>
        </w:tc>
        <w:tc>
          <w:tcPr>
            <w:tcW w:w="810" w:type="dxa"/>
            <w:vMerge w:val="restart"/>
            <w:tcBorders>
              <w:top w:val="nil"/>
              <w:left w:val="nil"/>
              <w:bottom w:val="nil"/>
              <w:right w:val="nil"/>
            </w:tcBorders>
            <w:shd w:val="clear" w:color="auto" w:fill="auto"/>
            <w:vAlign w:val="center"/>
            <w:hideMark/>
          </w:tcPr>
          <w:p w14:paraId="60BB4145"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t</w:t>
            </w:r>
            <w:r w:rsidR="00A068F4" w:rsidRPr="00C034E2">
              <w:rPr>
                <w:rFonts w:ascii="Calibri" w:eastAsia="Times New Roman" w:hAnsi="Calibri" w:cs="Calibri"/>
                <w:color w:val="000000"/>
                <w:sz w:val="24"/>
                <w:szCs w:val="24"/>
              </w:rPr>
              <w:t>-</w:t>
            </w:r>
            <w:r w:rsidRPr="00C034E2">
              <w:rPr>
                <w:rFonts w:ascii="Calibri" w:eastAsia="Times New Roman" w:hAnsi="Calibri" w:cs="Calibri"/>
                <w:color w:val="000000"/>
                <w:sz w:val="24"/>
                <w:szCs w:val="24"/>
              </w:rPr>
              <w:t>value</w:t>
            </w:r>
          </w:p>
        </w:tc>
        <w:tc>
          <w:tcPr>
            <w:tcW w:w="900" w:type="dxa"/>
            <w:vMerge w:val="restart"/>
            <w:tcBorders>
              <w:top w:val="nil"/>
              <w:left w:val="nil"/>
              <w:bottom w:val="nil"/>
              <w:right w:val="nil"/>
            </w:tcBorders>
            <w:shd w:val="clear" w:color="auto" w:fill="auto"/>
            <w:vAlign w:val="center"/>
            <w:hideMark/>
          </w:tcPr>
          <w:p w14:paraId="0AC3E48A" w14:textId="77777777" w:rsidR="00422B89" w:rsidRPr="00C034E2" w:rsidRDefault="00422B89" w:rsidP="00422B89">
            <w:pPr>
              <w:spacing w:line="240" w:lineRule="auto"/>
              <w:jc w:val="center"/>
              <w:rPr>
                <w:rFonts w:ascii="Calibri" w:eastAsia="Times New Roman" w:hAnsi="Calibri" w:cs="Calibri"/>
                <w:i/>
                <w:iCs/>
                <w:color w:val="000000"/>
                <w:sz w:val="24"/>
                <w:szCs w:val="24"/>
              </w:rPr>
            </w:pPr>
            <w:r w:rsidRPr="00C034E2">
              <w:rPr>
                <w:rFonts w:ascii="Calibri" w:eastAsia="Times New Roman" w:hAnsi="Calibri" w:cs="Calibri"/>
                <w:i/>
                <w:iCs/>
                <w:color w:val="000000"/>
                <w:sz w:val="24"/>
                <w:szCs w:val="24"/>
              </w:rPr>
              <w:t>p</w:t>
            </w:r>
            <w:r w:rsidR="00DC617F" w:rsidRPr="00C034E2">
              <w:rPr>
                <w:rFonts w:ascii="Calibri" w:eastAsia="Times New Roman" w:hAnsi="Calibri" w:cs="Calibri"/>
                <w:i/>
                <w:iCs/>
                <w:color w:val="000000"/>
                <w:sz w:val="24"/>
                <w:szCs w:val="24"/>
              </w:rPr>
              <w:t>-</w:t>
            </w:r>
            <w:r w:rsidRPr="00C034E2">
              <w:rPr>
                <w:rFonts w:ascii="Calibri" w:eastAsia="Times New Roman" w:hAnsi="Calibri" w:cs="Calibri"/>
                <w:color w:val="000000"/>
                <w:sz w:val="24"/>
                <w:szCs w:val="24"/>
              </w:rPr>
              <w:t xml:space="preserve"> value</w:t>
            </w:r>
          </w:p>
        </w:tc>
        <w:tc>
          <w:tcPr>
            <w:tcW w:w="990" w:type="dxa"/>
            <w:vMerge w:val="restart"/>
            <w:tcBorders>
              <w:top w:val="nil"/>
              <w:left w:val="nil"/>
              <w:bottom w:val="nil"/>
              <w:right w:val="nil"/>
            </w:tcBorders>
            <w:shd w:val="clear" w:color="auto" w:fill="auto"/>
            <w:vAlign w:val="center"/>
            <w:hideMark/>
          </w:tcPr>
          <w:p w14:paraId="182327E6" w14:textId="77777777" w:rsidR="00422B89" w:rsidRPr="00C034E2" w:rsidRDefault="00422B89" w:rsidP="00422B89">
            <w:pPr>
              <w:spacing w:line="240" w:lineRule="auto"/>
              <w:jc w:val="center"/>
              <w:rPr>
                <w:rFonts w:ascii="Calibri" w:eastAsia="Times New Roman" w:hAnsi="Calibri" w:cs="Calibri"/>
                <w:i/>
                <w:iCs/>
                <w:color w:val="000000"/>
                <w:sz w:val="24"/>
                <w:szCs w:val="24"/>
              </w:rPr>
            </w:pPr>
            <w:r w:rsidRPr="00C034E2">
              <w:rPr>
                <w:rFonts w:ascii="Calibri" w:eastAsia="Times New Roman" w:hAnsi="Calibri" w:cs="Calibri"/>
                <w:i/>
                <w:iCs/>
                <w:color w:val="000000"/>
                <w:sz w:val="24"/>
                <w:szCs w:val="24"/>
              </w:rPr>
              <w:t>p</w:t>
            </w:r>
            <w:r w:rsidR="00DC617F" w:rsidRPr="00C034E2">
              <w:rPr>
                <w:rFonts w:ascii="Calibri" w:eastAsia="Times New Roman" w:hAnsi="Calibri" w:cs="Calibri"/>
                <w:color w:val="000000"/>
                <w:sz w:val="24"/>
                <w:szCs w:val="24"/>
              </w:rPr>
              <w:t>-</w:t>
            </w:r>
            <w:r w:rsidRPr="00C034E2">
              <w:rPr>
                <w:rFonts w:ascii="Calibri" w:eastAsia="Times New Roman" w:hAnsi="Calibri" w:cs="Calibri"/>
                <w:color w:val="000000"/>
                <w:sz w:val="24"/>
                <w:szCs w:val="24"/>
              </w:rPr>
              <w:t>value</w:t>
            </w:r>
            <w:r w:rsidRPr="00C034E2">
              <w:rPr>
                <w:rFonts w:ascii="Calibri" w:eastAsia="Times New Roman" w:hAnsi="Calibri" w:cs="Calibri"/>
                <w:i/>
                <w:iCs/>
                <w:color w:val="000000"/>
                <w:sz w:val="24"/>
                <w:szCs w:val="24"/>
              </w:rPr>
              <w:t xml:space="preserve"> </w:t>
            </w:r>
            <w:r w:rsidRPr="00C034E2">
              <w:rPr>
                <w:rFonts w:ascii="Calibri" w:eastAsia="Times New Roman" w:hAnsi="Calibri" w:cs="Calibri"/>
                <w:color w:val="000000"/>
                <w:sz w:val="24"/>
                <w:szCs w:val="24"/>
              </w:rPr>
              <w:t>FDR</w:t>
            </w:r>
          </w:p>
        </w:tc>
        <w:tc>
          <w:tcPr>
            <w:tcW w:w="990" w:type="dxa"/>
            <w:vMerge w:val="restart"/>
            <w:tcBorders>
              <w:top w:val="nil"/>
              <w:left w:val="nil"/>
              <w:bottom w:val="nil"/>
              <w:right w:val="nil"/>
            </w:tcBorders>
            <w:shd w:val="clear" w:color="auto" w:fill="auto"/>
            <w:vAlign w:val="center"/>
            <w:hideMark/>
          </w:tcPr>
          <w:p w14:paraId="17BE6B03" w14:textId="77777777" w:rsidR="00A9742A"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Upper</w:t>
            </w:r>
          </w:p>
          <w:p w14:paraId="7F1C1E5D" w14:textId="77777777" w:rsidR="00422B89" w:rsidRPr="00C034E2" w:rsidRDefault="00A068F4" w:rsidP="00422B89">
            <w:pPr>
              <w:spacing w:line="240" w:lineRule="auto"/>
              <w:jc w:val="center"/>
              <w:rPr>
                <w:rFonts w:ascii="Calibri" w:eastAsia="Times New Roman" w:hAnsi="Calibri" w:cs="Calibri"/>
                <w:i/>
                <w:iCs/>
                <w:color w:val="000000"/>
                <w:sz w:val="24"/>
                <w:szCs w:val="24"/>
              </w:rPr>
            </w:pPr>
            <w:r w:rsidRPr="00C034E2">
              <w:rPr>
                <w:rFonts w:ascii="Calibri" w:hAnsi="Calibri" w:cs="Calibri"/>
                <w:color w:val="000000"/>
                <w:sz w:val="24"/>
                <w:szCs w:val="24"/>
              </w:rPr>
              <w:t>95% CI</w:t>
            </w:r>
          </w:p>
        </w:tc>
        <w:tc>
          <w:tcPr>
            <w:tcW w:w="990" w:type="dxa"/>
            <w:vMerge w:val="restart"/>
            <w:tcBorders>
              <w:top w:val="nil"/>
              <w:left w:val="nil"/>
              <w:bottom w:val="nil"/>
              <w:right w:val="nil"/>
            </w:tcBorders>
            <w:shd w:val="clear" w:color="auto" w:fill="auto"/>
            <w:vAlign w:val="center"/>
            <w:hideMark/>
          </w:tcPr>
          <w:p w14:paraId="74C5D28A"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 xml:space="preserve">Lower </w:t>
            </w:r>
            <w:r w:rsidR="00A068F4" w:rsidRPr="00C034E2">
              <w:rPr>
                <w:rFonts w:ascii="Calibri" w:hAnsi="Calibri" w:cs="Calibri"/>
                <w:color w:val="000000"/>
                <w:sz w:val="24"/>
                <w:szCs w:val="24"/>
              </w:rPr>
              <w:t>95% CI</w:t>
            </w:r>
          </w:p>
        </w:tc>
        <w:tc>
          <w:tcPr>
            <w:tcW w:w="1080" w:type="dxa"/>
            <w:vMerge w:val="restart"/>
            <w:tcBorders>
              <w:top w:val="nil"/>
              <w:left w:val="nil"/>
              <w:bottom w:val="nil"/>
              <w:right w:val="nil"/>
            </w:tcBorders>
            <w:shd w:val="clear" w:color="auto" w:fill="auto"/>
            <w:vAlign w:val="center"/>
            <w:hideMark/>
          </w:tcPr>
          <w:p w14:paraId="642AE29B"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i/>
                <w:iCs/>
                <w:color w:val="000000"/>
                <w:sz w:val="24"/>
                <w:szCs w:val="24"/>
              </w:rPr>
              <w:t>Cohen’s d</w:t>
            </w:r>
          </w:p>
        </w:tc>
        <w:tc>
          <w:tcPr>
            <w:tcW w:w="810" w:type="dxa"/>
            <w:vMerge w:val="restart"/>
            <w:tcBorders>
              <w:top w:val="nil"/>
              <w:left w:val="nil"/>
              <w:bottom w:val="nil"/>
              <w:right w:val="nil"/>
            </w:tcBorders>
            <w:shd w:val="clear" w:color="auto" w:fill="auto"/>
            <w:vAlign w:val="center"/>
            <w:hideMark/>
          </w:tcPr>
          <w:p w14:paraId="5C44327E"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BF01</w:t>
            </w:r>
          </w:p>
        </w:tc>
        <w:tc>
          <w:tcPr>
            <w:tcW w:w="810" w:type="dxa"/>
            <w:vMerge w:val="restart"/>
            <w:tcBorders>
              <w:top w:val="nil"/>
              <w:left w:val="nil"/>
              <w:bottom w:val="nil"/>
              <w:right w:val="nil"/>
            </w:tcBorders>
            <w:shd w:val="clear" w:color="auto" w:fill="auto"/>
            <w:vAlign w:val="center"/>
            <w:hideMark/>
          </w:tcPr>
          <w:p w14:paraId="3F51F1FA" w14:textId="77777777" w:rsidR="00422B89" w:rsidRPr="00C034E2" w:rsidRDefault="00422B89" w:rsidP="00422B8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BF10</w:t>
            </w:r>
          </w:p>
        </w:tc>
      </w:tr>
      <w:tr w:rsidR="00CE1CC1" w:rsidRPr="00C034E2" w14:paraId="724E7C4C" w14:textId="77777777" w:rsidTr="00CE1CC1">
        <w:trPr>
          <w:trHeight w:val="300"/>
        </w:trPr>
        <w:tc>
          <w:tcPr>
            <w:tcW w:w="1350" w:type="dxa"/>
            <w:vMerge/>
            <w:tcBorders>
              <w:top w:val="single" w:sz="4" w:space="0" w:color="auto"/>
              <w:left w:val="nil"/>
              <w:bottom w:val="single" w:sz="4" w:space="0" w:color="000000"/>
              <w:right w:val="nil"/>
            </w:tcBorders>
            <w:vAlign w:val="center"/>
            <w:hideMark/>
          </w:tcPr>
          <w:p w14:paraId="782BFE1A"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540" w:type="dxa"/>
            <w:vMerge/>
            <w:tcBorders>
              <w:top w:val="nil"/>
              <w:left w:val="nil"/>
              <w:bottom w:val="nil"/>
              <w:right w:val="nil"/>
            </w:tcBorders>
            <w:vAlign w:val="center"/>
            <w:hideMark/>
          </w:tcPr>
          <w:p w14:paraId="4AC0111F"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810" w:type="dxa"/>
            <w:vMerge/>
            <w:tcBorders>
              <w:top w:val="nil"/>
              <w:left w:val="nil"/>
              <w:bottom w:val="nil"/>
              <w:right w:val="nil"/>
            </w:tcBorders>
            <w:vAlign w:val="center"/>
            <w:hideMark/>
          </w:tcPr>
          <w:p w14:paraId="455DBED5"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900" w:type="dxa"/>
            <w:vMerge/>
            <w:tcBorders>
              <w:top w:val="nil"/>
              <w:left w:val="nil"/>
              <w:bottom w:val="nil"/>
              <w:right w:val="nil"/>
            </w:tcBorders>
            <w:vAlign w:val="center"/>
            <w:hideMark/>
          </w:tcPr>
          <w:p w14:paraId="386ED2C9" w14:textId="77777777" w:rsidR="008B46FB" w:rsidRPr="00C034E2" w:rsidRDefault="008B46FB" w:rsidP="001E4A57">
            <w:pPr>
              <w:spacing w:line="240" w:lineRule="auto"/>
              <w:rPr>
                <w:rFonts w:ascii="Calibri" w:eastAsia="Times New Roman" w:hAnsi="Calibri" w:cs="Calibri"/>
                <w:b/>
                <w:bCs/>
                <w:i/>
                <w:iCs/>
                <w:color w:val="000000"/>
                <w:sz w:val="24"/>
                <w:szCs w:val="24"/>
              </w:rPr>
            </w:pPr>
          </w:p>
        </w:tc>
        <w:tc>
          <w:tcPr>
            <w:tcW w:w="990" w:type="dxa"/>
            <w:vMerge/>
            <w:tcBorders>
              <w:top w:val="nil"/>
              <w:left w:val="nil"/>
              <w:bottom w:val="nil"/>
              <w:right w:val="nil"/>
            </w:tcBorders>
            <w:vAlign w:val="center"/>
            <w:hideMark/>
          </w:tcPr>
          <w:p w14:paraId="0E9947F5" w14:textId="77777777" w:rsidR="008B46FB" w:rsidRPr="00C034E2" w:rsidRDefault="008B46FB" w:rsidP="001E4A57">
            <w:pPr>
              <w:spacing w:line="240" w:lineRule="auto"/>
              <w:rPr>
                <w:rFonts w:ascii="Calibri" w:eastAsia="Times New Roman" w:hAnsi="Calibri" w:cs="Calibri"/>
                <w:b/>
                <w:bCs/>
                <w:i/>
                <w:iCs/>
                <w:color w:val="000000"/>
                <w:sz w:val="24"/>
                <w:szCs w:val="24"/>
              </w:rPr>
            </w:pPr>
          </w:p>
        </w:tc>
        <w:tc>
          <w:tcPr>
            <w:tcW w:w="990" w:type="dxa"/>
            <w:vMerge/>
            <w:tcBorders>
              <w:top w:val="nil"/>
              <w:left w:val="nil"/>
              <w:bottom w:val="nil"/>
              <w:right w:val="nil"/>
            </w:tcBorders>
            <w:vAlign w:val="center"/>
            <w:hideMark/>
          </w:tcPr>
          <w:p w14:paraId="296A3ACD" w14:textId="77777777" w:rsidR="008B46FB" w:rsidRPr="00C034E2" w:rsidRDefault="008B46FB" w:rsidP="001E4A57">
            <w:pPr>
              <w:spacing w:line="240" w:lineRule="auto"/>
              <w:rPr>
                <w:rFonts w:ascii="Calibri" w:eastAsia="Times New Roman" w:hAnsi="Calibri" w:cs="Calibri"/>
                <w:b/>
                <w:bCs/>
                <w:i/>
                <w:iCs/>
                <w:color w:val="000000"/>
                <w:sz w:val="24"/>
                <w:szCs w:val="24"/>
              </w:rPr>
            </w:pPr>
          </w:p>
        </w:tc>
        <w:tc>
          <w:tcPr>
            <w:tcW w:w="990" w:type="dxa"/>
            <w:vMerge/>
            <w:tcBorders>
              <w:top w:val="nil"/>
              <w:left w:val="nil"/>
              <w:bottom w:val="nil"/>
              <w:right w:val="nil"/>
            </w:tcBorders>
            <w:vAlign w:val="center"/>
            <w:hideMark/>
          </w:tcPr>
          <w:p w14:paraId="6B5E982C"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1080" w:type="dxa"/>
            <w:vMerge/>
            <w:tcBorders>
              <w:top w:val="nil"/>
              <w:left w:val="nil"/>
              <w:bottom w:val="nil"/>
              <w:right w:val="nil"/>
            </w:tcBorders>
            <w:vAlign w:val="center"/>
            <w:hideMark/>
          </w:tcPr>
          <w:p w14:paraId="2700B7B0"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810" w:type="dxa"/>
            <w:vMerge/>
            <w:tcBorders>
              <w:top w:val="nil"/>
              <w:left w:val="nil"/>
              <w:bottom w:val="nil"/>
              <w:right w:val="nil"/>
            </w:tcBorders>
            <w:vAlign w:val="center"/>
            <w:hideMark/>
          </w:tcPr>
          <w:p w14:paraId="61939D66"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810" w:type="dxa"/>
            <w:vMerge/>
            <w:tcBorders>
              <w:top w:val="nil"/>
              <w:left w:val="nil"/>
              <w:bottom w:val="nil"/>
              <w:right w:val="nil"/>
            </w:tcBorders>
            <w:vAlign w:val="center"/>
            <w:hideMark/>
          </w:tcPr>
          <w:p w14:paraId="770A3050" w14:textId="77777777" w:rsidR="008B46FB" w:rsidRPr="00C034E2" w:rsidRDefault="008B46FB" w:rsidP="001E4A57">
            <w:pPr>
              <w:spacing w:line="240" w:lineRule="auto"/>
              <w:rPr>
                <w:rFonts w:ascii="Calibri" w:eastAsia="Times New Roman" w:hAnsi="Calibri" w:cs="Calibri"/>
                <w:b/>
                <w:bCs/>
                <w:color w:val="000000"/>
                <w:sz w:val="24"/>
                <w:szCs w:val="24"/>
              </w:rPr>
            </w:pPr>
          </w:p>
        </w:tc>
        <w:tc>
          <w:tcPr>
            <w:tcW w:w="715" w:type="dxa"/>
            <w:tcBorders>
              <w:top w:val="nil"/>
              <w:left w:val="nil"/>
              <w:bottom w:val="nil"/>
              <w:right w:val="nil"/>
            </w:tcBorders>
            <w:shd w:val="clear" w:color="auto" w:fill="auto"/>
            <w:noWrap/>
            <w:vAlign w:val="bottom"/>
            <w:hideMark/>
          </w:tcPr>
          <w:p w14:paraId="5CEC5A3B" w14:textId="77777777" w:rsidR="008B46FB" w:rsidRPr="00C034E2" w:rsidRDefault="008B46FB" w:rsidP="001E4A57">
            <w:pPr>
              <w:spacing w:line="240" w:lineRule="auto"/>
              <w:jc w:val="center"/>
              <w:rPr>
                <w:rFonts w:ascii="Calibri" w:eastAsia="Times New Roman" w:hAnsi="Calibri" w:cs="Calibri"/>
                <w:b/>
                <w:bCs/>
                <w:color w:val="000000"/>
                <w:sz w:val="24"/>
                <w:szCs w:val="24"/>
              </w:rPr>
            </w:pPr>
          </w:p>
        </w:tc>
      </w:tr>
      <w:tr w:rsidR="008B46FB" w:rsidRPr="00C034E2" w14:paraId="37867FB1" w14:textId="77777777" w:rsidTr="00996A7E">
        <w:trPr>
          <w:trHeight w:val="320"/>
        </w:trPr>
        <w:tc>
          <w:tcPr>
            <w:tcW w:w="9270" w:type="dxa"/>
            <w:gridSpan w:val="10"/>
            <w:tcBorders>
              <w:top w:val="single" w:sz="4" w:space="0" w:color="auto"/>
              <w:left w:val="nil"/>
              <w:bottom w:val="single" w:sz="4" w:space="0" w:color="auto"/>
              <w:right w:val="nil"/>
            </w:tcBorders>
            <w:shd w:val="clear" w:color="auto" w:fill="auto"/>
            <w:vAlign w:val="center"/>
            <w:hideMark/>
          </w:tcPr>
          <w:p w14:paraId="48035AE8" w14:textId="77777777" w:rsidR="008B46FB" w:rsidRPr="00C034E2" w:rsidRDefault="008B46FB" w:rsidP="001E4A57">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Males</w:t>
            </w:r>
          </w:p>
        </w:tc>
        <w:tc>
          <w:tcPr>
            <w:tcW w:w="715" w:type="dxa"/>
            <w:vAlign w:val="center"/>
            <w:hideMark/>
          </w:tcPr>
          <w:p w14:paraId="43C35451" w14:textId="77777777" w:rsidR="008B46FB" w:rsidRPr="00C034E2" w:rsidRDefault="008B46FB" w:rsidP="001E4A57">
            <w:pPr>
              <w:spacing w:line="240" w:lineRule="auto"/>
              <w:rPr>
                <w:rFonts w:ascii="Calibri" w:eastAsia="Times New Roman" w:hAnsi="Calibri" w:cs="Calibri"/>
                <w:sz w:val="24"/>
                <w:szCs w:val="24"/>
              </w:rPr>
            </w:pPr>
          </w:p>
        </w:tc>
      </w:tr>
      <w:tr w:rsidR="00CE1CC1" w:rsidRPr="00C034E2" w14:paraId="5F5ED3D5" w14:textId="77777777" w:rsidTr="00CE1CC1">
        <w:trPr>
          <w:trHeight w:val="630"/>
        </w:trPr>
        <w:tc>
          <w:tcPr>
            <w:tcW w:w="1350" w:type="dxa"/>
            <w:tcBorders>
              <w:top w:val="nil"/>
              <w:left w:val="nil"/>
              <w:bottom w:val="nil"/>
              <w:right w:val="nil"/>
            </w:tcBorders>
            <w:shd w:val="clear" w:color="auto" w:fill="auto"/>
            <w:vAlign w:val="center"/>
            <w:hideMark/>
          </w:tcPr>
          <w:p w14:paraId="3DDD8217" w14:textId="77777777" w:rsidR="00CD0C92" w:rsidRPr="00C034E2" w:rsidRDefault="00CD0C92" w:rsidP="00CD0C92">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Acc Why OT vs PL</w:t>
            </w:r>
          </w:p>
        </w:tc>
        <w:tc>
          <w:tcPr>
            <w:tcW w:w="540" w:type="dxa"/>
            <w:tcBorders>
              <w:top w:val="nil"/>
              <w:left w:val="nil"/>
              <w:bottom w:val="nil"/>
              <w:right w:val="nil"/>
            </w:tcBorders>
            <w:shd w:val="clear" w:color="auto" w:fill="auto"/>
            <w:vAlign w:val="center"/>
            <w:hideMark/>
          </w:tcPr>
          <w:p w14:paraId="75D48F8F"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65</w:t>
            </w:r>
          </w:p>
        </w:tc>
        <w:tc>
          <w:tcPr>
            <w:tcW w:w="810" w:type="dxa"/>
            <w:tcBorders>
              <w:top w:val="nil"/>
              <w:left w:val="nil"/>
              <w:bottom w:val="nil"/>
              <w:right w:val="nil"/>
            </w:tcBorders>
            <w:shd w:val="clear" w:color="auto" w:fill="auto"/>
            <w:vAlign w:val="center"/>
            <w:hideMark/>
          </w:tcPr>
          <w:p w14:paraId="76944DAB"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0.401</w:t>
            </w:r>
          </w:p>
        </w:tc>
        <w:tc>
          <w:tcPr>
            <w:tcW w:w="900" w:type="dxa"/>
            <w:tcBorders>
              <w:top w:val="nil"/>
              <w:left w:val="nil"/>
              <w:bottom w:val="nil"/>
              <w:right w:val="nil"/>
            </w:tcBorders>
            <w:shd w:val="clear" w:color="auto" w:fill="auto"/>
            <w:vAlign w:val="center"/>
            <w:hideMark/>
          </w:tcPr>
          <w:p w14:paraId="3274888A"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0.689</w:t>
            </w:r>
          </w:p>
        </w:tc>
        <w:tc>
          <w:tcPr>
            <w:tcW w:w="990" w:type="dxa"/>
            <w:tcBorders>
              <w:top w:val="nil"/>
              <w:left w:val="nil"/>
              <w:bottom w:val="nil"/>
              <w:right w:val="nil"/>
            </w:tcBorders>
            <w:shd w:val="clear" w:color="auto" w:fill="auto"/>
            <w:vAlign w:val="center"/>
            <w:hideMark/>
          </w:tcPr>
          <w:p w14:paraId="3BA6F3DE"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0.919</w:t>
            </w:r>
          </w:p>
        </w:tc>
        <w:tc>
          <w:tcPr>
            <w:tcW w:w="990" w:type="dxa"/>
            <w:tcBorders>
              <w:top w:val="nil"/>
              <w:left w:val="nil"/>
              <w:bottom w:val="nil"/>
              <w:right w:val="nil"/>
            </w:tcBorders>
            <w:shd w:val="clear" w:color="auto" w:fill="auto"/>
            <w:vAlign w:val="center"/>
            <w:hideMark/>
          </w:tcPr>
          <w:p w14:paraId="0EE66E68"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-3.16</w:t>
            </w:r>
          </w:p>
        </w:tc>
        <w:tc>
          <w:tcPr>
            <w:tcW w:w="990" w:type="dxa"/>
            <w:tcBorders>
              <w:top w:val="nil"/>
              <w:left w:val="nil"/>
              <w:bottom w:val="nil"/>
              <w:right w:val="nil"/>
            </w:tcBorders>
            <w:shd w:val="clear" w:color="auto" w:fill="auto"/>
            <w:vAlign w:val="center"/>
            <w:hideMark/>
          </w:tcPr>
          <w:p w14:paraId="39264EB1"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4.74</w:t>
            </w:r>
          </w:p>
        </w:tc>
        <w:tc>
          <w:tcPr>
            <w:tcW w:w="1080" w:type="dxa"/>
            <w:tcBorders>
              <w:top w:val="nil"/>
              <w:left w:val="nil"/>
              <w:bottom w:val="nil"/>
              <w:right w:val="nil"/>
            </w:tcBorders>
            <w:shd w:val="clear" w:color="auto" w:fill="auto"/>
            <w:vAlign w:val="center"/>
            <w:hideMark/>
          </w:tcPr>
          <w:p w14:paraId="0DA5BE03"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0.098</w:t>
            </w:r>
          </w:p>
        </w:tc>
        <w:tc>
          <w:tcPr>
            <w:tcW w:w="810" w:type="dxa"/>
            <w:tcBorders>
              <w:top w:val="nil"/>
              <w:left w:val="nil"/>
              <w:bottom w:val="nil"/>
              <w:right w:val="nil"/>
            </w:tcBorders>
            <w:shd w:val="clear" w:color="auto" w:fill="auto"/>
            <w:vAlign w:val="center"/>
            <w:hideMark/>
          </w:tcPr>
          <w:p w14:paraId="2A77272C"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5.02</w:t>
            </w:r>
          </w:p>
        </w:tc>
        <w:tc>
          <w:tcPr>
            <w:tcW w:w="810" w:type="dxa"/>
            <w:tcBorders>
              <w:top w:val="nil"/>
              <w:left w:val="nil"/>
              <w:bottom w:val="nil"/>
              <w:right w:val="nil"/>
            </w:tcBorders>
            <w:shd w:val="clear" w:color="auto" w:fill="auto"/>
            <w:vAlign w:val="center"/>
            <w:hideMark/>
          </w:tcPr>
          <w:p w14:paraId="382691A9"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0.199</w:t>
            </w:r>
          </w:p>
        </w:tc>
        <w:tc>
          <w:tcPr>
            <w:tcW w:w="715" w:type="dxa"/>
            <w:vAlign w:val="center"/>
            <w:hideMark/>
          </w:tcPr>
          <w:p w14:paraId="3AAECF98" w14:textId="77777777" w:rsidR="00CD0C92" w:rsidRPr="00C034E2" w:rsidRDefault="00CD0C92" w:rsidP="00CD0C92">
            <w:pPr>
              <w:spacing w:line="240" w:lineRule="auto"/>
              <w:rPr>
                <w:rFonts w:ascii="Calibri" w:eastAsia="Times New Roman" w:hAnsi="Calibri" w:cs="Calibri"/>
                <w:sz w:val="24"/>
                <w:szCs w:val="24"/>
              </w:rPr>
            </w:pPr>
          </w:p>
        </w:tc>
      </w:tr>
      <w:tr w:rsidR="00CE1CC1" w:rsidRPr="00C034E2" w14:paraId="7F95BE9D" w14:textId="77777777" w:rsidTr="00CE1CC1">
        <w:trPr>
          <w:trHeight w:val="630"/>
        </w:trPr>
        <w:tc>
          <w:tcPr>
            <w:tcW w:w="1350" w:type="dxa"/>
            <w:tcBorders>
              <w:top w:val="nil"/>
              <w:left w:val="nil"/>
              <w:bottom w:val="nil"/>
              <w:right w:val="nil"/>
            </w:tcBorders>
            <w:shd w:val="clear" w:color="auto" w:fill="auto"/>
            <w:vAlign w:val="center"/>
            <w:hideMark/>
          </w:tcPr>
          <w:p w14:paraId="53F17582" w14:textId="77777777" w:rsidR="00CD0C92" w:rsidRPr="00C034E2" w:rsidRDefault="00CD0C92" w:rsidP="00CD0C92">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Acc How</w:t>
            </w:r>
          </w:p>
          <w:p w14:paraId="7135E1FA" w14:textId="77777777" w:rsidR="00CD0C92" w:rsidRPr="00C034E2" w:rsidRDefault="00CD0C92" w:rsidP="00CD0C92">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OT vs PL</w:t>
            </w:r>
          </w:p>
        </w:tc>
        <w:tc>
          <w:tcPr>
            <w:tcW w:w="540" w:type="dxa"/>
            <w:tcBorders>
              <w:top w:val="nil"/>
              <w:left w:val="nil"/>
              <w:bottom w:val="nil"/>
              <w:right w:val="nil"/>
            </w:tcBorders>
            <w:shd w:val="clear" w:color="auto" w:fill="auto"/>
            <w:vAlign w:val="center"/>
            <w:hideMark/>
          </w:tcPr>
          <w:p w14:paraId="3B2B2749"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65</w:t>
            </w:r>
          </w:p>
        </w:tc>
        <w:tc>
          <w:tcPr>
            <w:tcW w:w="810" w:type="dxa"/>
            <w:tcBorders>
              <w:top w:val="nil"/>
              <w:left w:val="nil"/>
              <w:bottom w:val="nil"/>
              <w:right w:val="nil"/>
            </w:tcBorders>
            <w:shd w:val="clear" w:color="auto" w:fill="auto"/>
            <w:vAlign w:val="center"/>
            <w:hideMark/>
          </w:tcPr>
          <w:p w14:paraId="018EF1EA"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0.84</w:t>
            </w:r>
          </w:p>
        </w:tc>
        <w:tc>
          <w:tcPr>
            <w:tcW w:w="900" w:type="dxa"/>
            <w:tcBorders>
              <w:top w:val="nil"/>
              <w:left w:val="nil"/>
              <w:bottom w:val="nil"/>
              <w:right w:val="nil"/>
            </w:tcBorders>
            <w:shd w:val="clear" w:color="auto" w:fill="auto"/>
            <w:vAlign w:val="center"/>
            <w:hideMark/>
          </w:tcPr>
          <w:p w14:paraId="63E3620A"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0.404</w:t>
            </w:r>
          </w:p>
        </w:tc>
        <w:tc>
          <w:tcPr>
            <w:tcW w:w="990" w:type="dxa"/>
            <w:tcBorders>
              <w:top w:val="nil"/>
              <w:left w:val="nil"/>
              <w:bottom w:val="nil"/>
              <w:right w:val="nil"/>
            </w:tcBorders>
            <w:shd w:val="clear" w:color="auto" w:fill="auto"/>
            <w:vAlign w:val="center"/>
            <w:hideMark/>
          </w:tcPr>
          <w:p w14:paraId="25351724"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00C5888A"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-1.95</w:t>
            </w:r>
          </w:p>
        </w:tc>
        <w:tc>
          <w:tcPr>
            <w:tcW w:w="990" w:type="dxa"/>
            <w:tcBorders>
              <w:top w:val="nil"/>
              <w:left w:val="nil"/>
              <w:bottom w:val="nil"/>
              <w:right w:val="nil"/>
            </w:tcBorders>
            <w:shd w:val="clear" w:color="auto" w:fill="auto"/>
            <w:vAlign w:val="center"/>
            <w:hideMark/>
          </w:tcPr>
          <w:p w14:paraId="3513BC0C"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4.79</w:t>
            </w:r>
          </w:p>
        </w:tc>
        <w:tc>
          <w:tcPr>
            <w:tcW w:w="1080" w:type="dxa"/>
            <w:tcBorders>
              <w:top w:val="nil"/>
              <w:left w:val="nil"/>
              <w:bottom w:val="nil"/>
              <w:right w:val="nil"/>
            </w:tcBorders>
            <w:shd w:val="clear" w:color="auto" w:fill="auto"/>
            <w:vAlign w:val="center"/>
            <w:hideMark/>
          </w:tcPr>
          <w:p w14:paraId="5121EEC1"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0.205</w:t>
            </w:r>
          </w:p>
        </w:tc>
        <w:tc>
          <w:tcPr>
            <w:tcW w:w="810" w:type="dxa"/>
            <w:tcBorders>
              <w:top w:val="nil"/>
              <w:left w:val="nil"/>
              <w:bottom w:val="nil"/>
              <w:right w:val="nil"/>
            </w:tcBorders>
            <w:shd w:val="clear" w:color="auto" w:fill="auto"/>
            <w:vAlign w:val="center"/>
            <w:hideMark/>
          </w:tcPr>
          <w:p w14:paraId="1DD131A7"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3.91</w:t>
            </w:r>
          </w:p>
        </w:tc>
        <w:tc>
          <w:tcPr>
            <w:tcW w:w="810" w:type="dxa"/>
            <w:tcBorders>
              <w:top w:val="nil"/>
              <w:left w:val="nil"/>
              <w:bottom w:val="nil"/>
              <w:right w:val="nil"/>
            </w:tcBorders>
            <w:shd w:val="clear" w:color="auto" w:fill="auto"/>
            <w:vAlign w:val="center"/>
            <w:hideMark/>
          </w:tcPr>
          <w:p w14:paraId="7D6A930E"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0.256</w:t>
            </w:r>
          </w:p>
        </w:tc>
        <w:tc>
          <w:tcPr>
            <w:tcW w:w="715" w:type="dxa"/>
            <w:vAlign w:val="center"/>
            <w:hideMark/>
          </w:tcPr>
          <w:p w14:paraId="7C98738C" w14:textId="77777777" w:rsidR="00CD0C92" w:rsidRPr="00C034E2" w:rsidRDefault="00CD0C92" w:rsidP="00CD0C92">
            <w:pPr>
              <w:spacing w:line="240" w:lineRule="auto"/>
              <w:rPr>
                <w:rFonts w:ascii="Calibri" w:eastAsia="Times New Roman" w:hAnsi="Calibri" w:cs="Calibri"/>
                <w:sz w:val="24"/>
                <w:szCs w:val="24"/>
              </w:rPr>
            </w:pPr>
          </w:p>
        </w:tc>
      </w:tr>
      <w:tr w:rsidR="00CE1CC1" w:rsidRPr="00C034E2" w14:paraId="3BB1F213" w14:textId="77777777" w:rsidTr="00CE1CC1">
        <w:trPr>
          <w:trHeight w:val="630"/>
        </w:trPr>
        <w:tc>
          <w:tcPr>
            <w:tcW w:w="1350" w:type="dxa"/>
            <w:tcBorders>
              <w:top w:val="nil"/>
              <w:left w:val="nil"/>
              <w:bottom w:val="nil"/>
              <w:right w:val="nil"/>
            </w:tcBorders>
            <w:shd w:val="clear" w:color="auto" w:fill="auto"/>
            <w:vAlign w:val="center"/>
            <w:hideMark/>
          </w:tcPr>
          <w:p w14:paraId="2EBE7782" w14:textId="77777777" w:rsidR="00CD0C92" w:rsidRPr="00C034E2" w:rsidRDefault="00CD0C92" w:rsidP="00CD0C92">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Why OT vs PL</w:t>
            </w:r>
          </w:p>
        </w:tc>
        <w:tc>
          <w:tcPr>
            <w:tcW w:w="540" w:type="dxa"/>
            <w:tcBorders>
              <w:top w:val="nil"/>
              <w:left w:val="nil"/>
              <w:bottom w:val="nil"/>
              <w:right w:val="nil"/>
            </w:tcBorders>
            <w:shd w:val="clear" w:color="auto" w:fill="auto"/>
            <w:vAlign w:val="center"/>
            <w:hideMark/>
          </w:tcPr>
          <w:p w14:paraId="5BFB9469"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65</w:t>
            </w:r>
          </w:p>
        </w:tc>
        <w:tc>
          <w:tcPr>
            <w:tcW w:w="810" w:type="dxa"/>
            <w:tcBorders>
              <w:top w:val="nil"/>
              <w:left w:val="nil"/>
              <w:bottom w:val="nil"/>
              <w:right w:val="nil"/>
            </w:tcBorders>
            <w:shd w:val="clear" w:color="auto" w:fill="auto"/>
            <w:vAlign w:val="center"/>
            <w:hideMark/>
          </w:tcPr>
          <w:p w14:paraId="5D796658"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0.817</w:t>
            </w:r>
          </w:p>
        </w:tc>
        <w:tc>
          <w:tcPr>
            <w:tcW w:w="900" w:type="dxa"/>
            <w:tcBorders>
              <w:top w:val="nil"/>
              <w:left w:val="nil"/>
              <w:bottom w:val="nil"/>
              <w:right w:val="nil"/>
            </w:tcBorders>
            <w:shd w:val="clear" w:color="auto" w:fill="auto"/>
            <w:vAlign w:val="center"/>
            <w:hideMark/>
          </w:tcPr>
          <w:p w14:paraId="155834E2"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0.417</w:t>
            </w:r>
          </w:p>
        </w:tc>
        <w:tc>
          <w:tcPr>
            <w:tcW w:w="990" w:type="dxa"/>
            <w:tcBorders>
              <w:top w:val="nil"/>
              <w:left w:val="nil"/>
              <w:bottom w:val="nil"/>
              <w:right w:val="nil"/>
            </w:tcBorders>
            <w:shd w:val="clear" w:color="auto" w:fill="auto"/>
            <w:vAlign w:val="center"/>
            <w:hideMark/>
          </w:tcPr>
          <w:p w14:paraId="73F17FB1"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0.803</w:t>
            </w:r>
          </w:p>
        </w:tc>
        <w:tc>
          <w:tcPr>
            <w:tcW w:w="990" w:type="dxa"/>
            <w:tcBorders>
              <w:top w:val="nil"/>
              <w:left w:val="nil"/>
              <w:bottom w:val="nil"/>
              <w:right w:val="nil"/>
            </w:tcBorders>
            <w:shd w:val="clear" w:color="auto" w:fill="auto"/>
            <w:vAlign w:val="center"/>
            <w:hideMark/>
          </w:tcPr>
          <w:p w14:paraId="12BC8EFB"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-0.044</w:t>
            </w:r>
          </w:p>
        </w:tc>
        <w:tc>
          <w:tcPr>
            <w:tcW w:w="990" w:type="dxa"/>
            <w:tcBorders>
              <w:top w:val="nil"/>
              <w:left w:val="nil"/>
              <w:bottom w:val="nil"/>
              <w:right w:val="nil"/>
            </w:tcBorders>
            <w:shd w:val="clear" w:color="auto" w:fill="auto"/>
            <w:vAlign w:val="center"/>
            <w:hideMark/>
          </w:tcPr>
          <w:p w14:paraId="66C5F964"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0.106</w:t>
            </w:r>
          </w:p>
        </w:tc>
        <w:tc>
          <w:tcPr>
            <w:tcW w:w="1080" w:type="dxa"/>
            <w:tcBorders>
              <w:top w:val="nil"/>
              <w:left w:val="nil"/>
              <w:bottom w:val="nil"/>
              <w:right w:val="nil"/>
            </w:tcBorders>
            <w:shd w:val="clear" w:color="auto" w:fill="auto"/>
            <w:vAlign w:val="center"/>
            <w:hideMark/>
          </w:tcPr>
          <w:p w14:paraId="53FD52BC"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w:t>
            </w:r>
          </w:p>
        </w:tc>
        <w:tc>
          <w:tcPr>
            <w:tcW w:w="810" w:type="dxa"/>
            <w:tcBorders>
              <w:top w:val="nil"/>
              <w:left w:val="nil"/>
              <w:bottom w:val="nil"/>
              <w:right w:val="nil"/>
            </w:tcBorders>
            <w:shd w:val="clear" w:color="auto" w:fill="auto"/>
            <w:vAlign w:val="center"/>
            <w:hideMark/>
          </w:tcPr>
          <w:p w14:paraId="385BD53B"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5.07</w:t>
            </w:r>
          </w:p>
        </w:tc>
        <w:tc>
          <w:tcPr>
            <w:tcW w:w="810" w:type="dxa"/>
            <w:tcBorders>
              <w:top w:val="nil"/>
              <w:left w:val="nil"/>
              <w:bottom w:val="nil"/>
              <w:right w:val="nil"/>
            </w:tcBorders>
            <w:shd w:val="clear" w:color="auto" w:fill="auto"/>
            <w:vAlign w:val="center"/>
            <w:hideMark/>
          </w:tcPr>
          <w:p w14:paraId="36101798"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0.197</w:t>
            </w:r>
          </w:p>
        </w:tc>
        <w:tc>
          <w:tcPr>
            <w:tcW w:w="715" w:type="dxa"/>
            <w:vAlign w:val="center"/>
            <w:hideMark/>
          </w:tcPr>
          <w:p w14:paraId="2265EFEC" w14:textId="77777777" w:rsidR="00CD0C92" w:rsidRPr="00C034E2" w:rsidRDefault="00CD0C92" w:rsidP="00CD0C92">
            <w:pPr>
              <w:spacing w:line="240" w:lineRule="auto"/>
              <w:rPr>
                <w:rFonts w:ascii="Calibri" w:eastAsia="Times New Roman" w:hAnsi="Calibri" w:cs="Calibri"/>
                <w:sz w:val="24"/>
                <w:szCs w:val="24"/>
              </w:rPr>
            </w:pPr>
          </w:p>
        </w:tc>
      </w:tr>
      <w:tr w:rsidR="00CE1CC1" w:rsidRPr="00C034E2" w14:paraId="79AF59FA" w14:textId="77777777" w:rsidTr="00CE1CC1">
        <w:trPr>
          <w:trHeight w:val="630"/>
        </w:trPr>
        <w:tc>
          <w:tcPr>
            <w:tcW w:w="1350" w:type="dxa"/>
            <w:tcBorders>
              <w:top w:val="nil"/>
              <w:left w:val="nil"/>
              <w:bottom w:val="nil"/>
              <w:right w:val="nil"/>
            </w:tcBorders>
            <w:shd w:val="clear" w:color="auto" w:fill="auto"/>
            <w:vAlign w:val="center"/>
            <w:hideMark/>
          </w:tcPr>
          <w:p w14:paraId="34A0855D" w14:textId="77777777" w:rsidR="00CD0C92" w:rsidRPr="00C034E2" w:rsidRDefault="00CD0C92" w:rsidP="00CD0C92">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How OT vs PL</w:t>
            </w:r>
          </w:p>
        </w:tc>
        <w:tc>
          <w:tcPr>
            <w:tcW w:w="540" w:type="dxa"/>
            <w:tcBorders>
              <w:top w:val="nil"/>
              <w:left w:val="nil"/>
              <w:bottom w:val="nil"/>
              <w:right w:val="nil"/>
            </w:tcBorders>
            <w:shd w:val="clear" w:color="auto" w:fill="auto"/>
            <w:vAlign w:val="center"/>
            <w:hideMark/>
          </w:tcPr>
          <w:p w14:paraId="0D291F0C"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65</w:t>
            </w:r>
          </w:p>
        </w:tc>
        <w:tc>
          <w:tcPr>
            <w:tcW w:w="810" w:type="dxa"/>
            <w:tcBorders>
              <w:top w:val="nil"/>
              <w:left w:val="nil"/>
              <w:bottom w:val="nil"/>
              <w:right w:val="nil"/>
            </w:tcBorders>
            <w:shd w:val="clear" w:color="auto" w:fill="auto"/>
            <w:vAlign w:val="center"/>
            <w:hideMark/>
          </w:tcPr>
          <w:p w14:paraId="7D98D62A"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1.123</w:t>
            </w:r>
          </w:p>
        </w:tc>
        <w:tc>
          <w:tcPr>
            <w:tcW w:w="900" w:type="dxa"/>
            <w:tcBorders>
              <w:top w:val="nil"/>
              <w:left w:val="nil"/>
              <w:bottom w:val="nil"/>
              <w:right w:val="nil"/>
            </w:tcBorders>
            <w:shd w:val="clear" w:color="auto" w:fill="auto"/>
            <w:vAlign w:val="center"/>
            <w:hideMark/>
          </w:tcPr>
          <w:p w14:paraId="6B5CFC0C"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0.266</w:t>
            </w:r>
          </w:p>
        </w:tc>
        <w:tc>
          <w:tcPr>
            <w:tcW w:w="990" w:type="dxa"/>
            <w:tcBorders>
              <w:top w:val="nil"/>
              <w:left w:val="nil"/>
              <w:bottom w:val="nil"/>
              <w:right w:val="nil"/>
            </w:tcBorders>
            <w:shd w:val="clear" w:color="auto" w:fill="auto"/>
            <w:vAlign w:val="center"/>
            <w:hideMark/>
          </w:tcPr>
          <w:p w14:paraId="693E3CB0"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13AB0E2C"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-0.027</w:t>
            </w:r>
          </w:p>
        </w:tc>
        <w:tc>
          <w:tcPr>
            <w:tcW w:w="990" w:type="dxa"/>
            <w:tcBorders>
              <w:top w:val="nil"/>
              <w:left w:val="nil"/>
              <w:bottom w:val="nil"/>
              <w:right w:val="nil"/>
            </w:tcBorders>
            <w:shd w:val="clear" w:color="auto" w:fill="auto"/>
            <w:vAlign w:val="center"/>
            <w:hideMark/>
          </w:tcPr>
          <w:p w14:paraId="244B667B"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0.095</w:t>
            </w:r>
          </w:p>
        </w:tc>
        <w:tc>
          <w:tcPr>
            <w:tcW w:w="1080" w:type="dxa"/>
            <w:tcBorders>
              <w:top w:val="nil"/>
              <w:left w:val="nil"/>
              <w:bottom w:val="nil"/>
              <w:right w:val="nil"/>
            </w:tcBorders>
            <w:shd w:val="clear" w:color="auto" w:fill="auto"/>
            <w:vAlign w:val="center"/>
            <w:hideMark/>
          </w:tcPr>
          <w:p w14:paraId="7BA754DF" w14:textId="77777777" w:rsidR="00CD0C92" w:rsidRPr="00C034E2" w:rsidRDefault="00CD0C92" w:rsidP="00CD0C92">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0.274</w:t>
            </w:r>
          </w:p>
        </w:tc>
        <w:tc>
          <w:tcPr>
            <w:tcW w:w="810" w:type="dxa"/>
            <w:tcBorders>
              <w:top w:val="nil"/>
              <w:left w:val="nil"/>
              <w:bottom w:val="nil"/>
              <w:right w:val="nil"/>
            </w:tcBorders>
            <w:shd w:val="clear" w:color="auto" w:fill="auto"/>
            <w:vAlign w:val="center"/>
            <w:hideMark/>
          </w:tcPr>
          <w:p w14:paraId="5D6FE732"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4.26</w:t>
            </w:r>
          </w:p>
        </w:tc>
        <w:tc>
          <w:tcPr>
            <w:tcW w:w="810" w:type="dxa"/>
            <w:tcBorders>
              <w:top w:val="nil"/>
              <w:left w:val="nil"/>
              <w:bottom w:val="nil"/>
              <w:right w:val="nil"/>
            </w:tcBorders>
            <w:shd w:val="clear" w:color="auto" w:fill="auto"/>
            <w:vAlign w:val="center"/>
            <w:hideMark/>
          </w:tcPr>
          <w:p w14:paraId="2905507E" w14:textId="77777777" w:rsidR="00CD0C92" w:rsidRPr="00C034E2" w:rsidRDefault="00CD0C92" w:rsidP="00CD0C92">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0.235</w:t>
            </w:r>
          </w:p>
        </w:tc>
        <w:tc>
          <w:tcPr>
            <w:tcW w:w="715" w:type="dxa"/>
            <w:vAlign w:val="center"/>
            <w:hideMark/>
          </w:tcPr>
          <w:p w14:paraId="4BEDB7C2" w14:textId="77777777" w:rsidR="00CD0C92" w:rsidRPr="00C034E2" w:rsidRDefault="00CD0C92" w:rsidP="00CD0C92">
            <w:pPr>
              <w:spacing w:line="240" w:lineRule="auto"/>
              <w:rPr>
                <w:rFonts w:ascii="Calibri" w:eastAsia="Times New Roman" w:hAnsi="Calibri" w:cs="Calibri"/>
                <w:sz w:val="24"/>
                <w:szCs w:val="24"/>
              </w:rPr>
            </w:pPr>
          </w:p>
        </w:tc>
      </w:tr>
      <w:tr w:rsidR="008B46FB" w:rsidRPr="00C034E2" w14:paraId="6804C416" w14:textId="77777777" w:rsidTr="00996A7E">
        <w:trPr>
          <w:trHeight w:val="320"/>
        </w:trPr>
        <w:tc>
          <w:tcPr>
            <w:tcW w:w="9270" w:type="dxa"/>
            <w:gridSpan w:val="10"/>
            <w:tcBorders>
              <w:top w:val="single" w:sz="4" w:space="0" w:color="auto"/>
              <w:left w:val="nil"/>
              <w:bottom w:val="single" w:sz="4" w:space="0" w:color="auto"/>
              <w:right w:val="nil"/>
            </w:tcBorders>
            <w:shd w:val="clear" w:color="auto" w:fill="auto"/>
            <w:vAlign w:val="center"/>
            <w:hideMark/>
          </w:tcPr>
          <w:p w14:paraId="571BB71E" w14:textId="77777777" w:rsidR="008B46FB" w:rsidRPr="00C034E2" w:rsidRDefault="008B46FB" w:rsidP="00DB4E79">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Females</w:t>
            </w:r>
          </w:p>
        </w:tc>
        <w:tc>
          <w:tcPr>
            <w:tcW w:w="715" w:type="dxa"/>
            <w:vAlign w:val="center"/>
            <w:hideMark/>
          </w:tcPr>
          <w:p w14:paraId="5D4CD7EF" w14:textId="77777777" w:rsidR="008B46FB" w:rsidRPr="00C034E2" w:rsidRDefault="008B46FB" w:rsidP="001E4A57">
            <w:pPr>
              <w:spacing w:line="240" w:lineRule="auto"/>
              <w:rPr>
                <w:rFonts w:ascii="Calibri" w:eastAsia="Times New Roman" w:hAnsi="Calibri" w:cs="Calibri"/>
                <w:sz w:val="24"/>
                <w:szCs w:val="24"/>
              </w:rPr>
            </w:pPr>
          </w:p>
        </w:tc>
      </w:tr>
      <w:tr w:rsidR="00CE1CC1" w:rsidRPr="00C034E2" w14:paraId="565C526A" w14:textId="77777777" w:rsidTr="00CE1CC1">
        <w:trPr>
          <w:trHeight w:val="630"/>
        </w:trPr>
        <w:tc>
          <w:tcPr>
            <w:tcW w:w="1350" w:type="dxa"/>
            <w:tcBorders>
              <w:top w:val="nil"/>
              <w:left w:val="nil"/>
              <w:bottom w:val="nil"/>
              <w:right w:val="nil"/>
            </w:tcBorders>
            <w:shd w:val="clear" w:color="auto" w:fill="auto"/>
            <w:vAlign w:val="center"/>
            <w:hideMark/>
          </w:tcPr>
          <w:p w14:paraId="19E37F26" w14:textId="77777777" w:rsidR="000D3CC3" w:rsidRPr="00C034E2" w:rsidRDefault="000D3CC3" w:rsidP="000D3CC3">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Acc Why</w:t>
            </w:r>
          </w:p>
          <w:p w14:paraId="479191A5" w14:textId="77777777" w:rsidR="000D3CC3" w:rsidRPr="00C034E2" w:rsidRDefault="000D3CC3" w:rsidP="000D3CC3">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OT vs PL</w:t>
            </w:r>
          </w:p>
        </w:tc>
        <w:tc>
          <w:tcPr>
            <w:tcW w:w="540" w:type="dxa"/>
            <w:tcBorders>
              <w:top w:val="nil"/>
              <w:left w:val="nil"/>
              <w:bottom w:val="nil"/>
              <w:right w:val="nil"/>
            </w:tcBorders>
            <w:shd w:val="clear" w:color="auto" w:fill="auto"/>
            <w:vAlign w:val="center"/>
            <w:hideMark/>
          </w:tcPr>
          <w:p w14:paraId="368D53A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86</w:t>
            </w:r>
          </w:p>
        </w:tc>
        <w:tc>
          <w:tcPr>
            <w:tcW w:w="810" w:type="dxa"/>
            <w:tcBorders>
              <w:top w:val="nil"/>
              <w:left w:val="nil"/>
              <w:bottom w:val="nil"/>
              <w:right w:val="nil"/>
            </w:tcBorders>
            <w:shd w:val="clear" w:color="auto" w:fill="auto"/>
            <w:vAlign w:val="center"/>
            <w:hideMark/>
          </w:tcPr>
          <w:p w14:paraId="66CF69B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0.623</w:t>
            </w:r>
          </w:p>
        </w:tc>
        <w:tc>
          <w:tcPr>
            <w:tcW w:w="900" w:type="dxa"/>
            <w:tcBorders>
              <w:top w:val="nil"/>
              <w:left w:val="nil"/>
              <w:bottom w:val="nil"/>
              <w:right w:val="nil"/>
            </w:tcBorders>
            <w:shd w:val="clear" w:color="auto" w:fill="auto"/>
            <w:vAlign w:val="center"/>
            <w:hideMark/>
          </w:tcPr>
          <w:p w14:paraId="3E184E5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0.535</w:t>
            </w:r>
          </w:p>
        </w:tc>
        <w:tc>
          <w:tcPr>
            <w:tcW w:w="990" w:type="dxa"/>
            <w:tcBorders>
              <w:top w:val="nil"/>
              <w:left w:val="nil"/>
              <w:bottom w:val="nil"/>
              <w:right w:val="nil"/>
            </w:tcBorders>
            <w:shd w:val="clear" w:color="auto" w:fill="auto"/>
            <w:vAlign w:val="center"/>
            <w:hideMark/>
          </w:tcPr>
          <w:p w14:paraId="4582B29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420AAAF7"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-2.11</w:t>
            </w:r>
          </w:p>
        </w:tc>
        <w:tc>
          <w:tcPr>
            <w:tcW w:w="990" w:type="dxa"/>
            <w:tcBorders>
              <w:top w:val="nil"/>
              <w:left w:val="nil"/>
              <w:bottom w:val="nil"/>
              <w:right w:val="nil"/>
            </w:tcBorders>
            <w:shd w:val="clear" w:color="auto" w:fill="auto"/>
            <w:vAlign w:val="center"/>
            <w:hideMark/>
          </w:tcPr>
          <w:p w14:paraId="2E4DAA96"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4.03</w:t>
            </w:r>
          </w:p>
        </w:tc>
        <w:tc>
          <w:tcPr>
            <w:tcW w:w="1080" w:type="dxa"/>
            <w:tcBorders>
              <w:top w:val="nil"/>
              <w:left w:val="nil"/>
              <w:bottom w:val="nil"/>
              <w:right w:val="nil"/>
            </w:tcBorders>
            <w:shd w:val="clear" w:color="auto" w:fill="auto"/>
            <w:vAlign w:val="center"/>
            <w:hideMark/>
          </w:tcPr>
          <w:p w14:paraId="749602B2"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0.134</w:t>
            </w:r>
          </w:p>
        </w:tc>
        <w:tc>
          <w:tcPr>
            <w:tcW w:w="810" w:type="dxa"/>
            <w:tcBorders>
              <w:top w:val="nil"/>
              <w:left w:val="nil"/>
              <w:bottom w:val="nil"/>
              <w:right w:val="nil"/>
            </w:tcBorders>
            <w:shd w:val="clear" w:color="auto" w:fill="auto"/>
            <w:vAlign w:val="center"/>
            <w:hideMark/>
          </w:tcPr>
          <w:p w14:paraId="39F26E6F"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4.16</w:t>
            </w:r>
          </w:p>
        </w:tc>
        <w:tc>
          <w:tcPr>
            <w:tcW w:w="810" w:type="dxa"/>
            <w:tcBorders>
              <w:top w:val="nil"/>
              <w:left w:val="nil"/>
              <w:bottom w:val="nil"/>
              <w:right w:val="nil"/>
            </w:tcBorders>
            <w:shd w:val="clear" w:color="auto" w:fill="auto"/>
            <w:vAlign w:val="center"/>
            <w:hideMark/>
          </w:tcPr>
          <w:p w14:paraId="24837743"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0.24</w:t>
            </w:r>
          </w:p>
        </w:tc>
        <w:tc>
          <w:tcPr>
            <w:tcW w:w="715" w:type="dxa"/>
            <w:vAlign w:val="center"/>
            <w:hideMark/>
          </w:tcPr>
          <w:p w14:paraId="6282FE22"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0A1D8931" w14:textId="77777777" w:rsidTr="00CE1CC1">
        <w:trPr>
          <w:trHeight w:val="594"/>
        </w:trPr>
        <w:tc>
          <w:tcPr>
            <w:tcW w:w="1350" w:type="dxa"/>
            <w:tcBorders>
              <w:top w:val="nil"/>
              <w:left w:val="nil"/>
              <w:bottom w:val="nil"/>
              <w:right w:val="nil"/>
            </w:tcBorders>
            <w:shd w:val="clear" w:color="auto" w:fill="auto"/>
            <w:vAlign w:val="center"/>
            <w:hideMark/>
          </w:tcPr>
          <w:p w14:paraId="2ED29436" w14:textId="77777777" w:rsidR="000D3CC3" w:rsidRPr="00C034E2" w:rsidRDefault="000D3CC3" w:rsidP="000D3CC3">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Acc How OT vs PL</w:t>
            </w:r>
          </w:p>
        </w:tc>
        <w:tc>
          <w:tcPr>
            <w:tcW w:w="540" w:type="dxa"/>
            <w:tcBorders>
              <w:top w:val="nil"/>
              <w:left w:val="nil"/>
              <w:bottom w:val="nil"/>
              <w:right w:val="nil"/>
            </w:tcBorders>
            <w:shd w:val="clear" w:color="auto" w:fill="auto"/>
            <w:vAlign w:val="center"/>
            <w:hideMark/>
          </w:tcPr>
          <w:p w14:paraId="5F8C9E14"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86</w:t>
            </w:r>
          </w:p>
        </w:tc>
        <w:tc>
          <w:tcPr>
            <w:tcW w:w="810" w:type="dxa"/>
            <w:tcBorders>
              <w:top w:val="nil"/>
              <w:left w:val="nil"/>
              <w:bottom w:val="nil"/>
              <w:right w:val="nil"/>
            </w:tcBorders>
            <w:shd w:val="clear" w:color="auto" w:fill="auto"/>
            <w:vAlign w:val="center"/>
            <w:hideMark/>
          </w:tcPr>
          <w:p w14:paraId="30994387"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0.874</w:t>
            </w:r>
          </w:p>
        </w:tc>
        <w:tc>
          <w:tcPr>
            <w:tcW w:w="900" w:type="dxa"/>
            <w:tcBorders>
              <w:top w:val="nil"/>
              <w:left w:val="nil"/>
              <w:bottom w:val="nil"/>
              <w:right w:val="nil"/>
            </w:tcBorders>
            <w:shd w:val="clear" w:color="auto" w:fill="auto"/>
            <w:vAlign w:val="center"/>
            <w:hideMark/>
          </w:tcPr>
          <w:p w14:paraId="02C058DB"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0.385</w:t>
            </w:r>
          </w:p>
        </w:tc>
        <w:tc>
          <w:tcPr>
            <w:tcW w:w="990" w:type="dxa"/>
            <w:tcBorders>
              <w:top w:val="nil"/>
              <w:left w:val="nil"/>
              <w:bottom w:val="nil"/>
              <w:right w:val="nil"/>
            </w:tcBorders>
            <w:shd w:val="clear" w:color="auto" w:fill="auto"/>
            <w:vAlign w:val="center"/>
            <w:hideMark/>
          </w:tcPr>
          <w:p w14:paraId="281D6FA0"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0.963</w:t>
            </w:r>
          </w:p>
        </w:tc>
        <w:tc>
          <w:tcPr>
            <w:tcW w:w="990" w:type="dxa"/>
            <w:tcBorders>
              <w:top w:val="nil"/>
              <w:left w:val="nil"/>
              <w:bottom w:val="nil"/>
              <w:right w:val="nil"/>
            </w:tcBorders>
            <w:shd w:val="clear" w:color="auto" w:fill="auto"/>
            <w:vAlign w:val="center"/>
            <w:hideMark/>
          </w:tcPr>
          <w:p w14:paraId="0C500B19"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-1.41</w:t>
            </w:r>
          </w:p>
        </w:tc>
        <w:tc>
          <w:tcPr>
            <w:tcW w:w="990" w:type="dxa"/>
            <w:tcBorders>
              <w:top w:val="nil"/>
              <w:left w:val="nil"/>
              <w:bottom w:val="nil"/>
              <w:right w:val="nil"/>
            </w:tcBorders>
            <w:shd w:val="clear" w:color="auto" w:fill="auto"/>
            <w:vAlign w:val="center"/>
            <w:hideMark/>
          </w:tcPr>
          <w:p w14:paraId="75C66A83"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3.61</w:t>
            </w:r>
          </w:p>
        </w:tc>
        <w:tc>
          <w:tcPr>
            <w:tcW w:w="1080" w:type="dxa"/>
            <w:tcBorders>
              <w:top w:val="nil"/>
              <w:left w:val="nil"/>
              <w:bottom w:val="nil"/>
              <w:right w:val="nil"/>
            </w:tcBorders>
            <w:shd w:val="clear" w:color="auto" w:fill="auto"/>
            <w:vAlign w:val="center"/>
            <w:hideMark/>
          </w:tcPr>
          <w:p w14:paraId="57F118C7"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0.188</w:t>
            </w:r>
          </w:p>
        </w:tc>
        <w:tc>
          <w:tcPr>
            <w:tcW w:w="810" w:type="dxa"/>
            <w:tcBorders>
              <w:top w:val="nil"/>
              <w:left w:val="nil"/>
              <w:bottom w:val="nil"/>
              <w:right w:val="nil"/>
            </w:tcBorders>
            <w:shd w:val="clear" w:color="auto" w:fill="auto"/>
            <w:vAlign w:val="center"/>
            <w:hideMark/>
          </w:tcPr>
          <w:p w14:paraId="5750676E"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5.74</w:t>
            </w:r>
          </w:p>
        </w:tc>
        <w:tc>
          <w:tcPr>
            <w:tcW w:w="810" w:type="dxa"/>
            <w:tcBorders>
              <w:top w:val="nil"/>
              <w:left w:val="nil"/>
              <w:bottom w:val="nil"/>
              <w:right w:val="nil"/>
            </w:tcBorders>
            <w:shd w:val="clear" w:color="auto" w:fill="auto"/>
            <w:vAlign w:val="center"/>
            <w:hideMark/>
          </w:tcPr>
          <w:p w14:paraId="429CB855"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0.174</w:t>
            </w:r>
          </w:p>
        </w:tc>
        <w:tc>
          <w:tcPr>
            <w:tcW w:w="715" w:type="dxa"/>
            <w:vAlign w:val="center"/>
            <w:hideMark/>
          </w:tcPr>
          <w:p w14:paraId="115878C3"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2C95B0B2" w14:textId="77777777" w:rsidTr="00CE1CC1">
        <w:trPr>
          <w:trHeight w:val="630"/>
        </w:trPr>
        <w:tc>
          <w:tcPr>
            <w:tcW w:w="1350" w:type="dxa"/>
            <w:tcBorders>
              <w:top w:val="nil"/>
              <w:left w:val="nil"/>
              <w:bottom w:val="nil"/>
              <w:right w:val="nil"/>
            </w:tcBorders>
            <w:shd w:val="clear" w:color="auto" w:fill="auto"/>
            <w:vAlign w:val="center"/>
            <w:hideMark/>
          </w:tcPr>
          <w:p w14:paraId="2A24C0B1" w14:textId="77777777" w:rsidR="000D3CC3" w:rsidRPr="00C034E2" w:rsidRDefault="000D3CC3" w:rsidP="000D3CC3">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Acc Why AVP vs PL</w:t>
            </w:r>
          </w:p>
        </w:tc>
        <w:tc>
          <w:tcPr>
            <w:tcW w:w="540" w:type="dxa"/>
            <w:tcBorders>
              <w:top w:val="nil"/>
              <w:left w:val="nil"/>
              <w:bottom w:val="nil"/>
              <w:right w:val="nil"/>
            </w:tcBorders>
            <w:shd w:val="clear" w:color="auto" w:fill="auto"/>
            <w:vAlign w:val="center"/>
            <w:hideMark/>
          </w:tcPr>
          <w:p w14:paraId="5F01205D"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79</w:t>
            </w:r>
          </w:p>
        </w:tc>
        <w:tc>
          <w:tcPr>
            <w:tcW w:w="810" w:type="dxa"/>
            <w:tcBorders>
              <w:top w:val="nil"/>
              <w:left w:val="nil"/>
              <w:bottom w:val="nil"/>
              <w:right w:val="nil"/>
            </w:tcBorders>
            <w:shd w:val="clear" w:color="auto" w:fill="auto"/>
            <w:vAlign w:val="center"/>
            <w:hideMark/>
          </w:tcPr>
          <w:p w14:paraId="4943765D"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0.835</w:t>
            </w:r>
          </w:p>
        </w:tc>
        <w:tc>
          <w:tcPr>
            <w:tcW w:w="900" w:type="dxa"/>
            <w:tcBorders>
              <w:top w:val="nil"/>
              <w:left w:val="nil"/>
              <w:bottom w:val="nil"/>
              <w:right w:val="nil"/>
            </w:tcBorders>
            <w:shd w:val="clear" w:color="auto" w:fill="auto"/>
            <w:vAlign w:val="center"/>
            <w:hideMark/>
          </w:tcPr>
          <w:p w14:paraId="3C209AD0"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0.406</w:t>
            </w:r>
          </w:p>
        </w:tc>
        <w:tc>
          <w:tcPr>
            <w:tcW w:w="990" w:type="dxa"/>
            <w:tcBorders>
              <w:top w:val="nil"/>
              <w:left w:val="nil"/>
              <w:bottom w:val="nil"/>
              <w:right w:val="nil"/>
            </w:tcBorders>
            <w:shd w:val="clear" w:color="auto" w:fill="auto"/>
            <w:vAlign w:val="center"/>
            <w:hideMark/>
          </w:tcPr>
          <w:p w14:paraId="49DFECE9"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2E908E32"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-0.043</w:t>
            </w:r>
          </w:p>
        </w:tc>
        <w:tc>
          <w:tcPr>
            <w:tcW w:w="990" w:type="dxa"/>
            <w:tcBorders>
              <w:top w:val="nil"/>
              <w:left w:val="nil"/>
              <w:bottom w:val="nil"/>
              <w:right w:val="nil"/>
            </w:tcBorders>
            <w:shd w:val="clear" w:color="auto" w:fill="auto"/>
            <w:vAlign w:val="center"/>
            <w:hideMark/>
          </w:tcPr>
          <w:p w14:paraId="7AABEF0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0.052</w:t>
            </w:r>
          </w:p>
        </w:tc>
        <w:tc>
          <w:tcPr>
            <w:tcW w:w="1080" w:type="dxa"/>
            <w:tcBorders>
              <w:top w:val="nil"/>
              <w:left w:val="nil"/>
              <w:bottom w:val="nil"/>
              <w:right w:val="nil"/>
            </w:tcBorders>
            <w:shd w:val="clear" w:color="auto" w:fill="auto"/>
            <w:vAlign w:val="center"/>
            <w:hideMark/>
          </w:tcPr>
          <w:p w14:paraId="30FEAC3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0.191</w:t>
            </w:r>
          </w:p>
        </w:tc>
        <w:tc>
          <w:tcPr>
            <w:tcW w:w="810" w:type="dxa"/>
            <w:tcBorders>
              <w:top w:val="nil"/>
              <w:left w:val="nil"/>
              <w:bottom w:val="nil"/>
              <w:right w:val="nil"/>
            </w:tcBorders>
            <w:shd w:val="clear" w:color="auto" w:fill="auto"/>
            <w:vAlign w:val="center"/>
            <w:hideMark/>
          </w:tcPr>
          <w:p w14:paraId="3521F321"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3.98</w:t>
            </w:r>
          </w:p>
        </w:tc>
        <w:tc>
          <w:tcPr>
            <w:tcW w:w="810" w:type="dxa"/>
            <w:tcBorders>
              <w:top w:val="nil"/>
              <w:left w:val="nil"/>
              <w:bottom w:val="nil"/>
              <w:right w:val="nil"/>
            </w:tcBorders>
            <w:shd w:val="clear" w:color="auto" w:fill="auto"/>
            <w:vAlign w:val="center"/>
            <w:hideMark/>
          </w:tcPr>
          <w:p w14:paraId="72790C75"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0.251</w:t>
            </w:r>
          </w:p>
        </w:tc>
        <w:tc>
          <w:tcPr>
            <w:tcW w:w="715" w:type="dxa"/>
            <w:vAlign w:val="center"/>
            <w:hideMark/>
          </w:tcPr>
          <w:p w14:paraId="28DFCBAF"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2AD8F822" w14:textId="77777777" w:rsidTr="00CE1CC1">
        <w:trPr>
          <w:trHeight w:val="630"/>
        </w:trPr>
        <w:tc>
          <w:tcPr>
            <w:tcW w:w="1350" w:type="dxa"/>
            <w:tcBorders>
              <w:top w:val="nil"/>
              <w:left w:val="nil"/>
              <w:bottom w:val="nil"/>
              <w:right w:val="nil"/>
            </w:tcBorders>
            <w:shd w:val="clear" w:color="auto" w:fill="auto"/>
            <w:vAlign w:val="center"/>
            <w:hideMark/>
          </w:tcPr>
          <w:p w14:paraId="05A87861" w14:textId="77777777" w:rsidR="000D3CC3" w:rsidRPr="00C034E2" w:rsidRDefault="000D3CC3" w:rsidP="000D3CC3">
            <w:pPr>
              <w:spacing w:line="240" w:lineRule="auto"/>
              <w:rPr>
                <w:rFonts w:ascii="Calibri" w:eastAsia="Times New Roman" w:hAnsi="Calibri" w:cs="Calibri"/>
                <w:color w:val="008080"/>
                <w:sz w:val="24"/>
                <w:szCs w:val="24"/>
                <w:u w:val="single"/>
              </w:rPr>
            </w:pPr>
            <w:r w:rsidRPr="00C034E2">
              <w:rPr>
                <w:rFonts w:ascii="Calibri" w:eastAsia="Times New Roman" w:hAnsi="Calibri" w:cs="Calibri"/>
                <w:color w:val="000000"/>
                <w:sz w:val="24"/>
                <w:szCs w:val="24"/>
              </w:rPr>
              <w:t>Acc How AVP vs PL</w:t>
            </w:r>
          </w:p>
        </w:tc>
        <w:tc>
          <w:tcPr>
            <w:tcW w:w="540" w:type="dxa"/>
            <w:tcBorders>
              <w:top w:val="nil"/>
              <w:left w:val="nil"/>
              <w:bottom w:val="nil"/>
              <w:right w:val="nil"/>
            </w:tcBorders>
            <w:shd w:val="clear" w:color="auto" w:fill="auto"/>
            <w:vAlign w:val="center"/>
            <w:hideMark/>
          </w:tcPr>
          <w:p w14:paraId="2B1EE14E"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79</w:t>
            </w:r>
          </w:p>
        </w:tc>
        <w:tc>
          <w:tcPr>
            <w:tcW w:w="810" w:type="dxa"/>
            <w:tcBorders>
              <w:top w:val="nil"/>
              <w:left w:val="nil"/>
              <w:bottom w:val="nil"/>
              <w:right w:val="nil"/>
            </w:tcBorders>
            <w:shd w:val="clear" w:color="auto" w:fill="auto"/>
            <w:vAlign w:val="center"/>
            <w:hideMark/>
          </w:tcPr>
          <w:p w14:paraId="5AB62C6D"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0.047</w:t>
            </w:r>
          </w:p>
        </w:tc>
        <w:tc>
          <w:tcPr>
            <w:tcW w:w="900" w:type="dxa"/>
            <w:tcBorders>
              <w:top w:val="nil"/>
              <w:left w:val="nil"/>
              <w:bottom w:val="nil"/>
              <w:right w:val="nil"/>
            </w:tcBorders>
            <w:shd w:val="clear" w:color="auto" w:fill="auto"/>
            <w:vAlign w:val="center"/>
            <w:hideMark/>
          </w:tcPr>
          <w:p w14:paraId="19D32931"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0.963</w:t>
            </w:r>
          </w:p>
        </w:tc>
        <w:tc>
          <w:tcPr>
            <w:tcW w:w="990" w:type="dxa"/>
            <w:tcBorders>
              <w:top w:val="nil"/>
              <w:left w:val="nil"/>
              <w:bottom w:val="nil"/>
              <w:right w:val="nil"/>
            </w:tcBorders>
            <w:shd w:val="clear" w:color="auto" w:fill="auto"/>
            <w:vAlign w:val="center"/>
            <w:hideMark/>
          </w:tcPr>
          <w:p w14:paraId="54DFFD3D"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3002EF18"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-0.04</w:t>
            </w:r>
          </w:p>
        </w:tc>
        <w:tc>
          <w:tcPr>
            <w:tcW w:w="990" w:type="dxa"/>
            <w:tcBorders>
              <w:top w:val="nil"/>
              <w:left w:val="nil"/>
              <w:bottom w:val="nil"/>
              <w:right w:val="nil"/>
            </w:tcBorders>
            <w:shd w:val="clear" w:color="auto" w:fill="auto"/>
            <w:vAlign w:val="center"/>
            <w:hideMark/>
          </w:tcPr>
          <w:p w14:paraId="7B9B2EB4"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0.049</w:t>
            </w:r>
          </w:p>
        </w:tc>
        <w:tc>
          <w:tcPr>
            <w:tcW w:w="1080" w:type="dxa"/>
            <w:tcBorders>
              <w:top w:val="nil"/>
              <w:left w:val="nil"/>
              <w:bottom w:val="nil"/>
              <w:right w:val="nil"/>
            </w:tcBorders>
            <w:shd w:val="clear" w:color="auto" w:fill="auto"/>
            <w:vAlign w:val="center"/>
            <w:hideMark/>
          </w:tcPr>
          <w:p w14:paraId="0B5B9812"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0.011</w:t>
            </w:r>
          </w:p>
        </w:tc>
        <w:tc>
          <w:tcPr>
            <w:tcW w:w="810" w:type="dxa"/>
            <w:tcBorders>
              <w:top w:val="nil"/>
              <w:left w:val="nil"/>
              <w:bottom w:val="nil"/>
              <w:right w:val="nil"/>
            </w:tcBorders>
            <w:shd w:val="clear" w:color="auto" w:fill="auto"/>
            <w:vAlign w:val="center"/>
            <w:hideMark/>
          </w:tcPr>
          <w:p w14:paraId="53E59493"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3.04</w:t>
            </w:r>
          </w:p>
        </w:tc>
        <w:tc>
          <w:tcPr>
            <w:tcW w:w="810" w:type="dxa"/>
            <w:tcBorders>
              <w:top w:val="nil"/>
              <w:left w:val="nil"/>
              <w:bottom w:val="nil"/>
              <w:right w:val="nil"/>
            </w:tcBorders>
            <w:shd w:val="clear" w:color="auto" w:fill="auto"/>
            <w:vAlign w:val="center"/>
            <w:hideMark/>
          </w:tcPr>
          <w:p w14:paraId="2981A16C"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0.329</w:t>
            </w:r>
          </w:p>
        </w:tc>
        <w:tc>
          <w:tcPr>
            <w:tcW w:w="715" w:type="dxa"/>
            <w:vAlign w:val="center"/>
            <w:hideMark/>
          </w:tcPr>
          <w:p w14:paraId="6D1A73CA"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13FDD8B6" w14:textId="77777777" w:rsidTr="00CE1CC1">
        <w:trPr>
          <w:trHeight w:val="620"/>
        </w:trPr>
        <w:tc>
          <w:tcPr>
            <w:tcW w:w="1350" w:type="dxa"/>
            <w:tcBorders>
              <w:top w:val="nil"/>
              <w:left w:val="nil"/>
              <w:bottom w:val="nil"/>
              <w:right w:val="nil"/>
            </w:tcBorders>
            <w:shd w:val="clear" w:color="auto" w:fill="auto"/>
            <w:vAlign w:val="center"/>
            <w:hideMark/>
          </w:tcPr>
          <w:p w14:paraId="60B3EB9E" w14:textId="77777777" w:rsidR="000D3CC3" w:rsidRPr="00C034E2" w:rsidRDefault="000D3CC3" w:rsidP="000D3CC3">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Why OT vs PL</w:t>
            </w:r>
          </w:p>
        </w:tc>
        <w:tc>
          <w:tcPr>
            <w:tcW w:w="540" w:type="dxa"/>
            <w:tcBorders>
              <w:top w:val="nil"/>
              <w:left w:val="nil"/>
              <w:bottom w:val="nil"/>
              <w:right w:val="nil"/>
            </w:tcBorders>
            <w:shd w:val="clear" w:color="auto" w:fill="auto"/>
            <w:vAlign w:val="center"/>
            <w:hideMark/>
          </w:tcPr>
          <w:p w14:paraId="7163003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86</w:t>
            </w:r>
          </w:p>
        </w:tc>
        <w:tc>
          <w:tcPr>
            <w:tcW w:w="810" w:type="dxa"/>
            <w:tcBorders>
              <w:top w:val="nil"/>
              <w:left w:val="nil"/>
              <w:bottom w:val="nil"/>
              <w:right w:val="nil"/>
            </w:tcBorders>
            <w:shd w:val="clear" w:color="auto" w:fill="auto"/>
            <w:vAlign w:val="center"/>
            <w:hideMark/>
          </w:tcPr>
          <w:p w14:paraId="7E0CF6F4"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0.185</w:t>
            </w:r>
          </w:p>
        </w:tc>
        <w:tc>
          <w:tcPr>
            <w:tcW w:w="900" w:type="dxa"/>
            <w:tcBorders>
              <w:top w:val="nil"/>
              <w:left w:val="nil"/>
              <w:bottom w:val="nil"/>
              <w:right w:val="nil"/>
            </w:tcBorders>
            <w:shd w:val="clear" w:color="auto" w:fill="auto"/>
            <w:vAlign w:val="center"/>
            <w:hideMark/>
          </w:tcPr>
          <w:p w14:paraId="526AE3E7"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0.854</w:t>
            </w:r>
          </w:p>
        </w:tc>
        <w:tc>
          <w:tcPr>
            <w:tcW w:w="990" w:type="dxa"/>
            <w:tcBorders>
              <w:top w:val="nil"/>
              <w:left w:val="nil"/>
              <w:bottom w:val="nil"/>
              <w:right w:val="nil"/>
            </w:tcBorders>
            <w:shd w:val="clear" w:color="auto" w:fill="auto"/>
            <w:vAlign w:val="center"/>
            <w:hideMark/>
          </w:tcPr>
          <w:p w14:paraId="69B5F918"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0.932</w:t>
            </w:r>
          </w:p>
        </w:tc>
        <w:tc>
          <w:tcPr>
            <w:tcW w:w="990" w:type="dxa"/>
            <w:tcBorders>
              <w:top w:val="nil"/>
              <w:left w:val="nil"/>
              <w:bottom w:val="nil"/>
              <w:right w:val="nil"/>
            </w:tcBorders>
            <w:shd w:val="clear" w:color="auto" w:fill="auto"/>
            <w:vAlign w:val="center"/>
            <w:hideMark/>
          </w:tcPr>
          <w:p w14:paraId="0522084E"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-1.24</w:t>
            </w:r>
          </w:p>
        </w:tc>
        <w:tc>
          <w:tcPr>
            <w:tcW w:w="990" w:type="dxa"/>
            <w:tcBorders>
              <w:top w:val="nil"/>
              <w:left w:val="nil"/>
              <w:bottom w:val="nil"/>
              <w:right w:val="nil"/>
            </w:tcBorders>
            <w:shd w:val="clear" w:color="auto" w:fill="auto"/>
            <w:vAlign w:val="center"/>
            <w:hideMark/>
          </w:tcPr>
          <w:p w14:paraId="05A5521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3.04</w:t>
            </w:r>
          </w:p>
        </w:tc>
        <w:tc>
          <w:tcPr>
            <w:tcW w:w="1080" w:type="dxa"/>
            <w:tcBorders>
              <w:top w:val="nil"/>
              <w:left w:val="nil"/>
              <w:bottom w:val="nil"/>
              <w:right w:val="nil"/>
            </w:tcBorders>
            <w:shd w:val="clear" w:color="auto" w:fill="auto"/>
            <w:vAlign w:val="center"/>
            <w:hideMark/>
          </w:tcPr>
          <w:p w14:paraId="324BB15F"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0.04</w:t>
            </w:r>
          </w:p>
        </w:tc>
        <w:tc>
          <w:tcPr>
            <w:tcW w:w="810" w:type="dxa"/>
            <w:tcBorders>
              <w:top w:val="nil"/>
              <w:left w:val="nil"/>
              <w:bottom w:val="nil"/>
              <w:right w:val="nil"/>
            </w:tcBorders>
            <w:shd w:val="clear" w:color="auto" w:fill="auto"/>
            <w:vAlign w:val="center"/>
            <w:hideMark/>
          </w:tcPr>
          <w:p w14:paraId="1CE06201"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5.98</w:t>
            </w:r>
          </w:p>
        </w:tc>
        <w:tc>
          <w:tcPr>
            <w:tcW w:w="810" w:type="dxa"/>
            <w:tcBorders>
              <w:top w:val="nil"/>
              <w:left w:val="nil"/>
              <w:bottom w:val="nil"/>
              <w:right w:val="nil"/>
            </w:tcBorders>
            <w:shd w:val="clear" w:color="auto" w:fill="auto"/>
            <w:vAlign w:val="center"/>
            <w:hideMark/>
          </w:tcPr>
          <w:p w14:paraId="671C87B1"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0.167</w:t>
            </w:r>
          </w:p>
        </w:tc>
        <w:tc>
          <w:tcPr>
            <w:tcW w:w="715" w:type="dxa"/>
            <w:vAlign w:val="center"/>
            <w:hideMark/>
          </w:tcPr>
          <w:p w14:paraId="4C8E8E81"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3217407D" w14:textId="77777777" w:rsidTr="00CE1CC1">
        <w:trPr>
          <w:trHeight w:val="620"/>
        </w:trPr>
        <w:tc>
          <w:tcPr>
            <w:tcW w:w="1350" w:type="dxa"/>
            <w:tcBorders>
              <w:top w:val="nil"/>
              <w:left w:val="nil"/>
              <w:bottom w:val="nil"/>
              <w:right w:val="nil"/>
            </w:tcBorders>
            <w:shd w:val="clear" w:color="auto" w:fill="auto"/>
            <w:vAlign w:val="center"/>
            <w:hideMark/>
          </w:tcPr>
          <w:p w14:paraId="0C6F7C89" w14:textId="77777777" w:rsidR="000D3CC3" w:rsidRPr="00C034E2" w:rsidRDefault="000D3CC3" w:rsidP="000D3CC3">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How OT vs PL</w:t>
            </w:r>
          </w:p>
        </w:tc>
        <w:tc>
          <w:tcPr>
            <w:tcW w:w="540" w:type="dxa"/>
            <w:tcBorders>
              <w:top w:val="nil"/>
              <w:left w:val="nil"/>
              <w:bottom w:val="nil"/>
              <w:right w:val="nil"/>
            </w:tcBorders>
            <w:shd w:val="clear" w:color="auto" w:fill="auto"/>
            <w:vAlign w:val="center"/>
            <w:hideMark/>
          </w:tcPr>
          <w:p w14:paraId="2C095303"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86</w:t>
            </w:r>
          </w:p>
        </w:tc>
        <w:tc>
          <w:tcPr>
            <w:tcW w:w="810" w:type="dxa"/>
            <w:tcBorders>
              <w:top w:val="nil"/>
              <w:left w:val="nil"/>
              <w:bottom w:val="nil"/>
              <w:right w:val="nil"/>
            </w:tcBorders>
            <w:shd w:val="clear" w:color="auto" w:fill="auto"/>
            <w:vAlign w:val="center"/>
            <w:hideMark/>
          </w:tcPr>
          <w:p w14:paraId="7CC25940"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0.198</w:t>
            </w:r>
          </w:p>
        </w:tc>
        <w:tc>
          <w:tcPr>
            <w:tcW w:w="900" w:type="dxa"/>
            <w:tcBorders>
              <w:top w:val="nil"/>
              <w:left w:val="nil"/>
              <w:bottom w:val="nil"/>
              <w:right w:val="nil"/>
            </w:tcBorders>
            <w:shd w:val="clear" w:color="auto" w:fill="auto"/>
            <w:vAlign w:val="center"/>
            <w:hideMark/>
          </w:tcPr>
          <w:p w14:paraId="46E6F12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0.844</w:t>
            </w:r>
          </w:p>
        </w:tc>
        <w:tc>
          <w:tcPr>
            <w:tcW w:w="990" w:type="dxa"/>
            <w:tcBorders>
              <w:top w:val="nil"/>
              <w:left w:val="nil"/>
              <w:bottom w:val="nil"/>
              <w:right w:val="nil"/>
            </w:tcBorders>
            <w:shd w:val="clear" w:color="auto" w:fill="auto"/>
            <w:vAlign w:val="center"/>
            <w:hideMark/>
          </w:tcPr>
          <w:p w14:paraId="24BF07D1"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0.932</w:t>
            </w:r>
          </w:p>
        </w:tc>
        <w:tc>
          <w:tcPr>
            <w:tcW w:w="990" w:type="dxa"/>
            <w:tcBorders>
              <w:top w:val="nil"/>
              <w:left w:val="nil"/>
              <w:bottom w:val="nil"/>
              <w:right w:val="nil"/>
            </w:tcBorders>
            <w:shd w:val="clear" w:color="auto" w:fill="auto"/>
            <w:vAlign w:val="center"/>
            <w:hideMark/>
          </w:tcPr>
          <w:p w14:paraId="4F9BA6CE"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-1.94</w:t>
            </w:r>
          </w:p>
        </w:tc>
        <w:tc>
          <w:tcPr>
            <w:tcW w:w="990" w:type="dxa"/>
            <w:tcBorders>
              <w:top w:val="nil"/>
              <w:left w:val="nil"/>
              <w:bottom w:val="nil"/>
              <w:right w:val="nil"/>
            </w:tcBorders>
            <w:shd w:val="clear" w:color="auto" w:fill="auto"/>
            <w:vAlign w:val="center"/>
            <w:hideMark/>
          </w:tcPr>
          <w:p w14:paraId="215B0A6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2.03</w:t>
            </w:r>
          </w:p>
        </w:tc>
        <w:tc>
          <w:tcPr>
            <w:tcW w:w="1080" w:type="dxa"/>
            <w:tcBorders>
              <w:top w:val="nil"/>
              <w:left w:val="nil"/>
              <w:bottom w:val="nil"/>
              <w:right w:val="nil"/>
            </w:tcBorders>
            <w:shd w:val="clear" w:color="auto" w:fill="auto"/>
            <w:vAlign w:val="center"/>
            <w:hideMark/>
          </w:tcPr>
          <w:p w14:paraId="3CABA60E"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0.043</w:t>
            </w:r>
          </w:p>
        </w:tc>
        <w:tc>
          <w:tcPr>
            <w:tcW w:w="810" w:type="dxa"/>
            <w:tcBorders>
              <w:top w:val="nil"/>
              <w:left w:val="nil"/>
              <w:bottom w:val="nil"/>
              <w:right w:val="nil"/>
            </w:tcBorders>
            <w:shd w:val="clear" w:color="auto" w:fill="auto"/>
            <w:vAlign w:val="center"/>
            <w:hideMark/>
          </w:tcPr>
          <w:p w14:paraId="200E323E"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5.96</w:t>
            </w:r>
          </w:p>
        </w:tc>
        <w:tc>
          <w:tcPr>
            <w:tcW w:w="810" w:type="dxa"/>
            <w:tcBorders>
              <w:top w:val="nil"/>
              <w:left w:val="nil"/>
              <w:bottom w:val="nil"/>
              <w:right w:val="nil"/>
            </w:tcBorders>
            <w:shd w:val="clear" w:color="auto" w:fill="auto"/>
            <w:vAlign w:val="center"/>
            <w:hideMark/>
          </w:tcPr>
          <w:p w14:paraId="5BAA2F1E"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0.168</w:t>
            </w:r>
          </w:p>
        </w:tc>
        <w:tc>
          <w:tcPr>
            <w:tcW w:w="715" w:type="dxa"/>
            <w:vAlign w:val="center"/>
            <w:hideMark/>
          </w:tcPr>
          <w:p w14:paraId="2ADE6D63"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3CE168C3" w14:textId="77777777" w:rsidTr="00CE1CC1">
        <w:trPr>
          <w:trHeight w:val="620"/>
        </w:trPr>
        <w:tc>
          <w:tcPr>
            <w:tcW w:w="1350" w:type="dxa"/>
            <w:tcBorders>
              <w:top w:val="nil"/>
              <w:left w:val="nil"/>
              <w:bottom w:val="nil"/>
              <w:right w:val="nil"/>
            </w:tcBorders>
            <w:shd w:val="clear" w:color="auto" w:fill="auto"/>
            <w:vAlign w:val="center"/>
            <w:hideMark/>
          </w:tcPr>
          <w:p w14:paraId="4111C6DD" w14:textId="77777777" w:rsidR="000D3CC3" w:rsidRPr="00C034E2" w:rsidRDefault="000D3CC3" w:rsidP="000D3CC3">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Why AVP vs PL</w:t>
            </w:r>
          </w:p>
        </w:tc>
        <w:tc>
          <w:tcPr>
            <w:tcW w:w="540" w:type="dxa"/>
            <w:tcBorders>
              <w:top w:val="nil"/>
              <w:left w:val="nil"/>
              <w:bottom w:val="nil"/>
              <w:right w:val="nil"/>
            </w:tcBorders>
            <w:shd w:val="clear" w:color="auto" w:fill="auto"/>
            <w:vAlign w:val="center"/>
            <w:hideMark/>
          </w:tcPr>
          <w:p w14:paraId="6206E2C0"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79</w:t>
            </w:r>
          </w:p>
        </w:tc>
        <w:tc>
          <w:tcPr>
            <w:tcW w:w="810" w:type="dxa"/>
            <w:tcBorders>
              <w:top w:val="nil"/>
              <w:left w:val="nil"/>
              <w:bottom w:val="nil"/>
              <w:right w:val="nil"/>
            </w:tcBorders>
            <w:shd w:val="clear" w:color="auto" w:fill="auto"/>
            <w:vAlign w:val="center"/>
            <w:hideMark/>
          </w:tcPr>
          <w:p w14:paraId="3D35D11E"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1.151</w:t>
            </w:r>
          </w:p>
        </w:tc>
        <w:tc>
          <w:tcPr>
            <w:tcW w:w="900" w:type="dxa"/>
            <w:tcBorders>
              <w:top w:val="nil"/>
              <w:left w:val="nil"/>
              <w:bottom w:val="nil"/>
              <w:right w:val="nil"/>
            </w:tcBorders>
            <w:shd w:val="clear" w:color="auto" w:fill="auto"/>
            <w:vAlign w:val="center"/>
            <w:hideMark/>
          </w:tcPr>
          <w:p w14:paraId="54A43EEB"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0.253</w:t>
            </w:r>
          </w:p>
        </w:tc>
        <w:tc>
          <w:tcPr>
            <w:tcW w:w="990" w:type="dxa"/>
            <w:tcBorders>
              <w:top w:val="nil"/>
              <w:left w:val="nil"/>
              <w:bottom w:val="nil"/>
              <w:right w:val="nil"/>
            </w:tcBorders>
            <w:shd w:val="clear" w:color="auto" w:fill="auto"/>
            <w:vAlign w:val="center"/>
            <w:hideMark/>
          </w:tcPr>
          <w:p w14:paraId="3C0EA11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nil"/>
              <w:right w:val="nil"/>
            </w:tcBorders>
            <w:shd w:val="clear" w:color="auto" w:fill="auto"/>
            <w:vAlign w:val="center"/>
            <w:hideMark/>
          </w:tcPr>
          <w:p w14:paraId="18473339"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-0.032</w:t>
            </w:r>
          </w:p>
        </w:tc>
        <w:tc>
          <w:tcPr>
            <w:tcW w:w="990" w:type="dxa"/>
            <w:tcBorders>
              <w:top w:val="nil"/>
              <w:left w:val="nil"/>
              <w:bottom w:val="nil"/>
              <w:right w:val="nil"/>
            </w:tcBorders>
            <w:shd w:val="clear" w:color="auto" w:fill="auto"/>
            <w:vAlign w:val="center"/>
            <w:hideMark/>
          </w:tcPr>
          <w:p w14:paraId="7E84BDD6"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0.119</w:t>
            </w:r>
          </w:p>
        </w:tc>
        <w:tc>
          <w:tcPr>
            <w:tcW w:w="1080" w:type="dxa"/>
            <w:tcBorders>
              <w:top w:val="nil"/>
              <w:left w:val="nil"/>
              <w:bottom w:val="nil"/>
              <w:right w:val="nil"/>
            </w:tcBorders>
            <w:shd w:val="clear" w:color="auto" w:fill="auto"/>
            <w:vAlign w:val="center"/>
            <w:hideMark/>
          </w:tcPr>
          <w:p w14:paraId="4573BA6C"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0.263</w:t>
            </w:r>
          </w:p>
        </w:tc>
        <w:tc>
          <w:tcPr>
            <w:tcW w:w="810" w:type="dxa"/>
            <w:tcBorders>
              <w:top w:val="nil"/>
              <w:left w:val="nil"/>
              <w:bottom w:val="nil"/>
              <w:right w:val="nil"/>
            </w:tcBorders>
            <w:shd w:val="clear" w:color="auto" w:fill="auto"/>
            <w:vAlign w:val="center"/>
            <w:hideMark/>
          </w:tcPr>
          <w:p w14:paraId="03C3887F"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3.12</w:t>
            </w:r>
          </w:p>
        </w:tc>
        <w:tc>
          <w:tcPr>
            <w:tcW w:w="810" w:type="dxa"/>
            <w:tcBorders>
              <w:top w:val="nil"/>
              <w:left w:val="nil"/>
              <w:bottom w:val="nil"/>
              <w:right w:val="nil"/>
            </w:tcBorders>
            <w:shd w:val="clear" w:color="auto" w:fill="auto"/>
            <w:vAlign w:val="center"/>
            <w:hideMark/>
          </w:tcPr>
          <w:p w14:paraId="7F5819A5"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0.32</w:t>
            </w:r>
          </w:p>
        </w:tc>
        <w:tc>
          <w:tcPr>
            <w:tcW w:w="715" w:type="dxa"/>
            <w:vAlign w:val="center"/>
            <w:hideMark/>
          </w:tcPr>
          <w:p w14:paraId="71DCC0E8" w14:textId="77777777" w:rsidR="000D3CC3" w:rsidRPr="00C034E2" w:rsidRDefault="000D3CC3" w:rsidP="000D3CC3">
            <w:pPr>
              <w:spacing w:line="240" w:lineRule="auto"/>
              <w:rPr>
                <w:rFonts w:ascii="Calibri" w:eastAsia="Times New Roman" w:hAnsi="Calibri" w:cs="Calibri"/>
                <w:sz w:val="24"/>
                <w:szCs w:val="24"/>
              </w:rPr>
            </w:pPr>
          </w:p>
        </w:tc>
      </w:tr>
      <w:tr w:rsidR="00CE1CC1" w:rsidRPr="00C034E2" w14:paraId="68EFBEC2" w14:textId="77777777" w:rsidTr="00CE1CC1">
        <w:trPr>
          <w:trHeight w:val="620"/>
        </w:trPr>
        <w:tc>
          <w:tcPr>
            <w:tcW w:w="1350" w:type="dxa"/>
            <w:tcBorders>
              <w:top w:val="nil"/>
              <w:left w:val="nil"/>
              <w:bottom w:val="single" w:sz="4" w:space="0" w:color="auto"/>
              <w:right w:val="nil"/>
            </w:tcBorders>
            <w:shd w:val="clear" w:color="auto" w:fill="auto"/>
            <w:vAlign w:val="center"/>
            <w:hideMark/>
          </w:tcPr>
          <w:p w14:paraId="2E7CCAA5" w14:textId="77777777" w:rsidR="000D3CC3" w:rsidRPr="00C034E2" w:rsidRDefault="000D3CC3" w:rsidP="000D3CC3">
            <w:pPr>
              <w:spacing w:line="240" w:lineRule="auto"/>
              <w:rPr>
                <w:rFonts w:ascii="Calibri" w:eastAsia="Times New Roman" w:hAnsi="Calibri" w:cs="Calibri"/>
                <w:color w:val="000000"/>
                <w:sz w:val="24"/>
                <w:szCs w:val="24"/>
              </w:rPr>
            </w:pPr>
            <w:r w:rsidRPr="00C034E2">
              <w:rPr>
                <w:rFonts w:ascii="Calibri" w:eastAsia="Times New Roman" w:hAnsi="Calibri" w:cs="Calibri"/>
                <w:color w:val="000000"/>
                <w:sz w:val="24"/>
                <w:szCs w:val="24"/>
              </w:rPr>
              <w:t>RT How AVP vs PL</w:t>
            </w:r>
          </w:p>
        </w:tc>
        <w:tc>
          <w:tcPr>
            <w:tcW w:w="540" w:type="dxa"/>
            <w:tcBorders>
              <w:top w:val="nil"/>
              <w:left w:val="nil"/>
              <w:bottom w:val="single" w:sz="4" w:space="0" w:color="auto"/>
              <w:right w:val="nil"/>
            </w:tcBorders>
            <w:shd w:val="clear" w:color="auto" w:fill="auto"/>
            <w:vAlign w:val="center"/>
            <w:hideMark/>
          </w:tcPr>
          <w:p w14:paraId="0476F290"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79</w:t>
            </w:r>
          </w:p>
        </w:tc>
        <w:tc>
          <w:tcPr>
            <w:tcW w:w="810" w:type="dxa"/>
            <w:tcBorders>
              <w:top w:val="nil"/>
              <w:left w:val="nil"/>
              <w:bottom w:val="single" w:sz="4" w:space="0" w:color="auto"/>
              <w:right w:val="nil"/>
            </w:tcBorders>
            <w:shd w:val="clear" w:color="auto" w:fill="auto"/>
            <w:vAlign w:val="center"/>
            <w:hideMark/>
          </w:tcPr>
          <w:p w14:paraId="624430E3"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1.075</w:t>
            </w:r>
          </w:p>
        </w:tc>
        <w:tc>
          <w:tcPr>
            <w:tcW w:w="900" w:type="dxa"/>
            <w:tcBorders>
              <w:top w:val="nil"/>
              <w:left w:val="nil"/>
              <w:bottom w:val="single" w:sz="4" w:space="0" w:color="auto"/>
              <w:right w:val="nil"/>
            </w:tcBorders>
            <w:shd w:val="clear" w:color="auto" w:fill="auto"/>
            <w:vAlign w:val="center"/>
            <w:hideMark/>
          </w:tcPr>
          <w:p w14:paraId="6D14659B"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0.286</w:t>
            </w:r>
          </w:p>
        </w:tc>
        <w:tc>
          <w:tcPr>
            <w:tcW w:w="990" w:type="dxa"/>
            <w:tcBorders>
              <w:top w:val="nil"/>
              <w:left w:val="nil"/>
              <w:bottom w:val="single" w:sz="4" w:space="0" w:color="auto"/>
              <w:right w:val="nil"/>
            </w:tcBorders>
            <w:shd w:val="clear" w:color="auto" w:fill="auto"/>
            <w:vAlign w:val="center"/>
            <w:hideMark/>
          </w:tcPr>
          <w:p w14:paraId="428ACFCA"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0.715</w:t>
            </w:r>
          </w:p>
        </w:tc>
        <w:tc>
          <w:tcPr>
            <w:tcW w:w="990" w:type="dxa"/>
            <w:tcBorders>
              <w:top w:val="nil"/>
              <w:left w:val="nil"/>
              <w:bottom w:val="single" w:sz="4" w:space="0" w:color="auto"/>
              <w:right w:val="nil"/>
            </w:tcBorders>
            <w:shd w:val="clear" w:color="auto" w:fill="auto"/>
            <w:vAlign w:val="center"/>
            <w:hideMark/>
          </w:tcPr>
          <w:p w14:paraId="6252422F"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-0.03</w:t>
            </w:r>
          </w:p>
        </w:tc>
        <w:tc>
          <w:tcPr>
            <w:tcW w:w="990" w:type="dxa"/>
            <w:tcBorders>
              <w:top w:val="nil"/>
              <w:left w:val="nil"/>
              <w:bottom w:val="single" w:sz="4" w:space="0" w:color="auto"/>
              <w:right w:val="nil"/>
            </w:tcBorders>
            <w:shd w:val="clear" w:color="auto" w:fill="auto"/>
            <w:vAlign w:val="center"/>
            <w:hideMark/>
          </w:tcPr>
          <w:p w14:paraId="08C2020F"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hAnsi="Calibri" w:cs="Calibri"/>
                <w:color w:val="000000"/>
                <w:sz w:val="24"/>
                <w:szCs w:val="24"/>
              </w:rPr>
              <w:t>0.099</w:t>
            </w:r>
          </w:p>
        </w:tc>
        <w:tc>
          <w:tcPr>
            <w:tcW w:w="1080" w:type="dxa"/>
            <w:tcBorders>
              <w:top w:val="nil"/>
              <w:left w:val="nil"/>
              <w:bottom w:val="single" w:sz="4" w:space="0" w:color="auto"/>
              <w:right w:val="nil"/>
            </w:tcBorders>
            <w:shd w:val="clear" w:color="auto" w:fill="auto"/>
            <w:vAlign w:val="center"/>
            <w:hideMark/>
          </w:tcPr>
          <w:p w14:paraId="15D5AC07" w14:textId="77777777" w:rsidR="000D3CC3" w:rsidRPr="00C034E2" w:rsidRDefault="000D3CC3" w:rsidP="000D3CC3">
            <w:pPr>
              <w:spacing w:line="240" w:lineRule="auto"/>
              <w:jc w:val="center"/>
              <w:rPr>
                <w:rFonts w:ascii="Calibri" w:eastAsia="Times New Roman" w:hAnsi="Calibri" w:cs="Calibri"/>
                <w:color w:val="000000"/>
                <w:sz w:val="24"/>
                <w:szCs w:val="24"/>
              </w:rPr>
            </w:pPr>
            <w:r w:rsidRPr="00C034E2">
              <w:rPr>
                <w:rFonts w:ascii="Calibri" w:eastAsia="Times New Roman" w:hAnsi="Calibri" w:cs="Calibri"/>
                <w:color w:val="000000"/>
                <w:sz w:val="24"/>
                <w:szCs w:val="24"/>
              </w:rPr>
              <w:t>0.246</w:t>
            </w:r>
          </w:p>
        </w:tc>
        <w:tc>
          <w:tcPr>
            <w:tcW w:w="810" w:type="dxa"/>
            <w:tcBorders>
              <w:top w:val="nil"/>
              <w:left w:val="nil"/>
              <w:bottom w:val="single" w:sz="4" w:space="0" w:color="auto"/>
              <w:right w:val="nil"/>
            </w:tcBorders>
            <w:shd w:val="clear" w:color="auto" w:fill="auto"/>
            <w:vAlign w:val="center"/>
            <w:hideMark/>
          </w:tcPr>
          <w:p w14:paraId="41355352"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3.37</w:t>
            </w:r>
          </w:p>
        </w:tc>
        <w:tc>
          <w:tcPr>
            <w:tcW w:w="810" w:type="dxa"/>
            <w:tcBorders>
              <w:top w:val="nil"/>
              <w:left w:val="nil"/>
              <w:bottom w:val="single" w:sz="4" w:space="0" w:color="auto"/>
              <w:right w:val="nil"/>
            </w:tcBorders>
            <w:shd w:val="clear" w:color="auto" w:fill="auto"/>
            <w:vAlign w:val="center"/>
            <w:hideMark/>
          </w:tcPr>
          <w:p w14:paraId="35CA5545" w14:textId="77777777" w:rsidR="000D3CC3" w:rsidRPr="00C034E2" w:rsidRDefault="000D3CC3" w:rsidP="000D3CC3">
            <w:pPr>
              <w:spacing w:line="240" w:lineRule="auto"/>
              <w:jc w:val="right"/>
              <w:rPr>
                <w:rFonts w:ascii="Calibri" w:eastAsia="Times New Roman" w:hAnsi="Calibri" w:cs="Calibri"/>
                <w:color w:val="000000"/>
                <w:sz w:val="24"/>
                <w:szCs w:val="24"/>
              </w:rPr>
            </w:pPr>
            <w:r w:rsidRPr="00C034E2">
              <w:rPr>
                <w:rFonts w:ascii="Calibri" w:eastAsia="Times New Roman" w:hAnsi="Calibri" w:cs="Calibri"/>
                <w:color w:val="000000"/>
                <w:sz w:val="24"/>
                <w:szCs w:val="24"/>
              </w:rPr>
              <w:t>0.297</w:t>
            </w:r>
          </w:p>
        </w:tc>
        <w:tc>
          <w:tcPr>
            <w:tcW w:w="715" w:type="dxa"/>
            <w:vAlign w:val="center"/>
            <w:hideMark/>
          </w:tcPr>
          <w:p w14:paraId="2E3601CC" w14:textId="77777777" w:rsidR="000D3CC3" w:rsidRPr="00C034E2" w:rsidRDefault="000D3CC3" w:rsidP="000D3CC3">
            <w:pPr>
              <w:spacing w:line="240" w:lineRule="auto"/>
              <w:rPr>
                <w:rFonts w:ascii="Calibri" w:eastAsia="Times New Roman" w:hAnsi="Calibri" w:cs="Calibri"/>
                <w:sz w:val="24"/>
                <w:szCs w:val="24"/>
              </w:rPr>
            </w:pPr>
          </w:p>
        </w:tc>
      </w:tr>
    </w:tbl>
    <w:p w14:paraId="5075F589" w14:textId="77777777" w:rsidR="008B46FB" w:rsidRPr="00C034E2" w:rsidRDefault="008B46FB" w:rsidP="008B46FB">
      <w:pPr>
        <w:rPr>
          <w:rFonts w:ascii="Calibri" w:hAnsi="Calibri" w:cs="Calibri"/>
          <w:sz w:val="24"/>
          <w:szCs w:val="24"/>
        </w:rPr>
      </w:pPr>
      <w:r w:rsidRPr="00C034E2">
        <w:rPr>
          <w:rFonts w:ascii="Calibri" w:hAnsi="Calibri" w:cs="Calibri"/>
          <w:i/>
          <w:sz w:val="24"/>
          <w:szCs w:val="24"/>
        </w:rPr>
        <w:t xml:space="preserve">Note. </w:t>
      </w:r>
      <w:r w:rsidRPr="00C034E2">
        <w:rPr>
          <w:rFonts w:ascii="Calibri" w:hAnsi="Calibri" w:cs="Calibri"/>
          <w:sz w:val="24"/>
          <w:szCs w:val="24"/>
        </w:rPr>
        <w:t xml:space="preserve">RT=Reaction time, Acc = Accuracy, OT = Oxytocin, AVP = Vasopressin, PL = Placebo. </w:t>
      </w:r>
    </w:p>
    <w:p w14:paraId="58597989" w14:textId="77777777" w:rsidR="009364F7" w:rsidRDefault="009364F7" w:rsidP="005D3AE5">
      <w:pPr>
        <w:rPr>
          <w:rFonts w:ascii="Times New Roman" w:eastAsia="Times New Roman" w:hAnsi="Times New Roman" w:cs="Times New Roman"/>
          <w:b/>
          <w:bCs/>
          <w:iCs/>
          <w:sz w:val="24"/>
          <w:szCs w:val="24"/>
        </w:rPr>
      </w:pPr>
    </w:p>
    <w:p w14:paraId="7B9864C4" w14:textId="77777777" w:rsidR="009364F7" w:rsidRDefault="009364F7" w:rsidP="005D3AE5">
      <w:pPr>
        <w:rPr>
          <w:rFonts w:ascii="Times New Roman" w:eastAsia="Times New Roman" w:hAnsi="Times New Roman" w:cs="Times New Roman"/>
          <w:b/>
          <w:bCs/>
          <w:iCs/>
          <w:sz w:val="24"/>
          <w:szCs w:val="24"/>
        </w:rPr>
      </w:pPr>
    </w:p>
    <w:p w14:paraId="205EB7E7" w14:textId="77777777" w:rsidR="009364F7" w:rsidRDefault="009364F7" w:rsidP="005D3AE5">
      <w:pPr>
        <w:rPr>
          <w:rFonts w:ascii="Times New Roman" w:eastAsia="Times New Roman" w:hAnsi="Times New Roman" w:cs="Times New Roman"/>
          <w:b/>
          <w:bCs/>
          <w:iCs/>
          <w:sz w:val="24"/>
          <w:szCs w:val="24"/>
        </w:rPr>
      </w:pPr>
    </w:p>
    <w:p w14:paraId="6CC1E6C4" w14:textId="77777777" w:rsidR="009364F7" w:rsidRDefault="009364F7" w:rsidP="005D3AE5">
      <w:pPr>
        <w:rPr>
          <w:rFonts w:ascii="Times New Roman" w:eastAsia="Times New Roman" w:hAnsi="Times New Roman" w:cs="Times New Roman"/>
          <w:b/>
          <w:bCs/>
          <w:iCs/>
          <w:sz w:val="24"/>
          <w:szCs w:val="24"/>
        </w:rPr>
      </w:pPr>
    </w:p>
    <w:p w14:paraId="65BEE2D7" w14:textId="77777777" w:rsidR="009364F7" w:rsidRDefault="009364F7" w:rsidP="005D3AE5">
      <w:pPr>
        <w:rPr>
          <w:rFonts w:ascii="Times New Roman" w:eastAsia="Times New Roman" w:hAnsi="Times New Roman" w:cs="Times New Roman"/>
          <w:b/>
          <w:bCs/>
          <w:iCs/>
          <w:sz w:val="24"/>
          <w:szCs w:val="24"/>
        </w:rPr>
      </w:pPr>
    </w:p>
    <w:p w14:paraId="671132D6" w14:textId="77777777" w:rsidR="009364F7" w:rsidRDefault="009364F7" w:rsidP="005D3AE5">
      <w:pPr>
        <w:rPr>
          <w:rFonts w:ascii="Times New Roman" w:eastAsia="Times New Roman" w:hAnsi="Times New Roman" w:cs="Times New Roman"/>
          <w:b/>
          <w:bCs/>
          <w:iCs/>
          <w:sz w:val="24"/>
          <w:szCs w:val="24"/>
        </w:rPr>
      </w:pPr>
    </w:p>
    <w:p w14:paraId="19D828B1" w14:textId="77777777" w:rsidR="009364F7" w:rsidRDefault="009364F7" w:rsidP="005D3AE5">
      <w:pPr>
        <w:rPr>
          <w:rFonts w:ascii="Times New Roman" w:eastAsia="Times New Roman" w:hAnsi="Times New Roman" w:cs="Times New Roman"/>
          <w:b/>
          <w:bCs/>
          <w:iCs/>
          <w:sz w:val="24"/>
          <w:szCs w:val="24"/>
        </w:rPr>
      </w:pPr>
    </w:p>
    <w:p w14:paraId="149DC5D3" w14:textId="555372A1" w:rsidR="005D3AE5" w:rsidRPr="00C034E2" w:rsidRDefault="005D3AE5" w:rsidP="005D3AE5">
      <w:pPr>
        <w:rPr>
          <w:rFonts w:ascii="Calibri" w:eastAsia="Times New Roman" w:hAnsi="Calibri" w:cs="Calibri"/>
          <w:b/>
          <w:bCs/>
          <w:iCs/>
          <w:sz w:val="24"/>
          <w:szCs w:val="24"/>
        </w:rPr>
      </w:pPr>
      <w:r w:rsidRPr="00C034E2">
        <w:rPr>
          <w:rFonts w:ascii="Calibri" w:eastAsia="Times New Roman" w:hAnsi="Calibri" w:cs="Calibri"/>
          <w:b/>
          <w:bCs/>
          <w:iCs/>
          <w:sz w:val="24"/>
          <w:szCs w:val="24"/>
        </w:rPr>
        <w:lastRenderedPageBreak/>
        <w:t xml:space="preserve">Supplementary Figure </w:t>
      </w:r>
      <w:r w:rsidR="00333501">
        <w:rPr>
          <w:rFonts w:ascii="Calibri" w:eastAsia="Times New Roman" w:hAnsi="Calibri" w:cs="Calibri"/>
          <w:b/>
          <w:bCs/>
          <w:iCs/>
          <w:sz w:val="24"/>
          <w:szCs w:val="24"/>
        </w:rPr>
        <w:t>S</w:t>
      </w:r>
      <w:r w:rsidRPr="00C034E2">
        <w:rPr>
          <w:rFonts w:ascii="Calibri" w:eastAsia="Times New Roman" w:hAnsi="Calibri" w:cs="Calibri"/>
          <w:b/>
          <w:bCs/>
          <w:iCs/>
          <w:sz w:val="24"/>
          <w:szCs w:val="24"/>
        </w:rPr>
        <w:t>1</w:t>
      </w:r>
    </w:p>
    <w:p w14:paraId="03BAF9FC" w14:textId="77777777" w:rsidR="005D3AE5" w:rsidRPr="00C034E2" w:rsidRDefault="005D3AE5" w:rsidP="005D3AE5">
      <w:pPr>
        <w:rPr>
          <w:rFonts w:ascii="Calibri" w:hAnsi="Calibri" w:cs="Calibri"/>
        </w:rPr>
      </w:pPr>
      <w:r w:rsidRPr="00C034E2">
        <w:rPr>
          <w:rFonts w:ascii="Calibri" w:eastAsia="Times New Roman" w:hAnsi="Calibri" w:cs="Calibri"/>
          <w:i/>
          <w:sz w:val="24"/>
          <w:szCs w:val="24"/>
        </w:rPr>
        <w:t>CONSORT Flow Chart</w:t>
      </w:r>
    </w:p>
    <w:p w14:paraId="3714F337" w14:textId="77777777" w:rsidR="005D3AE5" w:rsidRDefault="005D3AE5" w:rsidP="005D3AE5">
      <w:pPr>
        <w:rPr>
          <w:rFonts w:ascii="Times New Roman" w:eastAsia="Times New Roman" w:hAnsi="Times New Roman" w:cs="Times New Roman"/>
          <w:b/>
          <w:sz w:val="24"/>
          <w:szCs w:val="24"/>
        </w:rPr>
      </w:pPr>
    </w:p>
    <w:p w14:paraId="39C36770" w14:textId="77777777" w:rsidR="005D3AE5" w:rsidRDefault="00120813" w:rsidP="005D3AE5">
      <w:pPr>
        <w:rPr>
          <w:rFonts w:ascii="Times New Roman" w:eastAsia="Times New Roman" w:hAnsi="Times New Roman" w:cs="Times New Roman"/>
          <w:b/>
          <w:sz w:val="24"/>
          <w:szCs w:val="24"/>
        </w:rPr>
      </w:pPr>
      <w:r w:rsidRPr="00405678">
        <w:rPr>
          <w:rFonts w:ascii="Times New Roman" w:eastAsia="Times New Roman" w:hAnsi="Times New Roman" w:cs="Times New Roman"/>
          <w:b/>
          <w:noProof/>
          <w:sz w:val="24"/>
          <w:szCs w:val="24"/>
        </w:rPr>
        <w:drawing>
          <wp:inline distT="0" distB="0" distL="0" distR="0" wp14:anchorId="4FAEA512" wp14:editId="79FF8BFC">
            <wp:extent cx="5943600" cy="447548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75480"/>
                    </a:xfrm>
                    <a:prstGeom prst="rect">
                      <a:avLst/>
                    </a:prstGeom>
                    <a:noFill/>
                    <a:ln>
                      <a:noFill/>
                    </a:ln>
                  </pic:spPr>
                </pic:pic>
              </a:graphicData>
            </a:graphic>
          </wp:inline>
        </w:drawing>
      </w:r>
    </w:p>
    <w:p w14:paraId="18640117" w14:textId="77777777" w:rsidR="00F87A56" w:rsidRDefault="00F87A56" w:rsidP="00F87A56">
      <w:pPr>
        <w:rPr>
          <w:rFonts w:ascii="Times New Roman" w:eastAsia="Times New Roman" w:hAnsi="Times New Roman" w:cs="Times New Roman"/>
          <w:b/>
          <w:sz w:val="24"/>
          <w:szCs w:val="24"/>
        </w:rPr>
      </w:pPr>
    </w:p>
    <w:p w14:paraId="4F8A9B2F" w14:textId="77777777" w:rsidR="005D3AE5" w:rsidRDefault="005D3AE5" w:rsidP="00F87A56">
      <w:pPr>
        <w:rPr>
          <w:rFonts w:ascii="Times New Roman" w:eastAsia="Times New Roman" w:hAnsi="Times New Roman" w:cs="Times New Roman"/>
          <w:b/>
          <w:sz w:val="24"/>
          <w:szCs w:val="24"/>
        </w:rPr>
      </w:pPr>
    </w:p>
    <w:p w14:paraId="13702D06" w14:textId="77777777" w:rsidR="005D3AE5" w:rsidRDefault="005D3AE5" w:rsidP="00F87A56">
      <w:pPr>
        <w:rPr>
          <w:rFonts w:ascii="Times New Roman" w:eastAsia="Times New Roman" w:hAnsi="Times New Roman" w:cs="Times New Roman"/>
          <w:b/>
          <w:sz w:val="24"/>
          <w:szCs w:val="24"/>
        </w:rPr>
      </w:pPr>
    </w:p>
    <w:p w14:paraId="517BF594" w14:textId="77777777" w:rsidR="005D3AE5" w:rsidRDefault="005D3AE5" w:rsidP="00F87A56">
      <w:pPr>
        <w:rPr>
          <w:rFonts w:ascii="Times New Roman" w:eastAsia="Times New Roman" w:hAnsi="Times New Roman" w:cs="Times New Roman"/>
          <w:b/>
          <w:sz w:val="24"/>
          <w:szCs w:val="24"/>
        </w:rPr>
      </w:pPr>
    </w:p>
    <w:p w14:paraId="1B8903A9" w14:textId="77777777" w:rsidR="005D3AE5" w:rsidRDefault="005D3AE5" w:rsidP="00F87A56">
      <w:pPr>
        <w:rPr>
          <w:rFonts w:ascii="Times New Roman" w:eastAsia="Times New Roman" w:hAnsi="Times New Roman" w:cs="Times New Roman"/>
          <w:b/>
          <w:sz w:val="24"/>
          <w:szCs w:val="24"/>
        </w:rPr>
      </w:pPr>
    </w:p>
    <w:p w14:paraId="725E3C83" w14:textId="77777777" w:rsidR="005D3AE5" w:rsidRDefault="005D3AE5" w:rsidP="00F87A56">
      <w:pPr>
        <w:rPr>
          <w:rFonts w:ascii="Times New Roman" w:eastAsia="Times New Roman" w:hAnsi="Times New Roman" w:cs="Times New Roman"/>
          <w:b/>
          <w:sz w:val="24"/>
          <w:szCs w:val="24"/>
        </w:rPr>
      </w:pPr>
    </w:p>
    <w:p w14:paraId="244470CB" w14:textId="77777777" w:rsidR="005D3AE5" w:rsidRDefault="005D3AE5" w:rsidP="00F87A56">
      <w:pPr>
        <w:rPr>
          <w:rFonts w:ascii="Times New Roman" w:eastAsia="Times New Roman" w:hAnsi="Times New Roman" w:cs="Times New Roman"/>
          <w:b/>
          <w:sz w:val="24"/>
          <w:szCs w:val="24"/>
        </w:rPr>
      </w:pPr>
    </w:p>
    <w:p w14:paraId="70A7D151" w14:textId="77777777" w:rsidR="005D3AE5" w:rsidRDefault="005D3AE5" w:rsidP="00F87A56">
      <w:pPr>
        <w:rPr>
          <w:rFonts w:ascii="Times New Roman" w:eastAsia="Times New Roman" w:hAnsi="Times New Roman" w:cs="Times New Roman"/>
          <w:b/>
          <w:sz w:val="24"/>
          <w:szCs w:val="24"/>
        </w:rPr>
      </w:pPr>
    </w:p>
    <w:p w14:paraId="71160BC1" w14:textId="77777777" w:rsidR="005D3AE5" w:rsidRDefault="005D3AE5" w:rsidP="00F87A56">
      <w:pPr>
        <w:rPr>
          <w:rFonts w:ascii="Times New Roman" w:eastAsia="Times New Roman" w:hAnsi="Times New Roman" w:cs="Times New Roman"/>
          <w:b/>
          <w:sz w:val="24"/>
          <w:szCs w:val="24"/>
        </w:rPr>
      </w:pPr>
    </w:p>
    <w:p w14:paraId="75CDEAB7" w14:textId="77777777" w:rsidR="005D3AE5" w:rsidRDefault="005D3AE5" w:rsidP="00F87A56">
      <w:pPr>
        <w:rPr>
          <w:rFonts w:ascii="Times New Roman" w:eastAsia="Times New Roman" w:hAnsi="Times New Roman" w:cs="Times New Roman"/>
          <w:b/>
          <w:sz w:val="24"/>
          <w:szCs w:val="24"/>
        </w:rPr>
      </w:pPr>
    </w:p>
    <w:p w14:paraId="77B25534" w14:textId="77777777" w:rsidR="005D3AE5" w:rsidRDefault="005D3AE5" w:rsidP="00F87A56">
      <w:pPr>
        <w:rPr>
          <w:rFonts w:ascii="Times New Roman" w:eastAsia="Times New Roman" w:hAnsi="Times New Roman" w:cs="Times New Roman"/>
          <w:b/>
          <w:sz w:val="24"/>
          <w:szCs w:val="24"/>
        </w:rPr>
      </w:pPr>
    </w:p>
    <w:p w14:paraId="0F7BAD4C" w14:textId="77777777" w:rsidR="005D3AE5" w:rsidRDefault="005D3AE5" w:rsidP="00F87A56">
      <w:pPr>
        <w:rPr>
          <w:rFonts w:ascii="Times New Roman" w:eastAsia="Times New Roman" w:hAnsi="Times New Roman" w:cs="Times New Roman"/>
          <w:b/>
          <w:sz w:val="24"/>
          <w:szCs w:val="24"/>
        </w:rPr>
      </w:pPr>
    </w:p>
    <w:p w14:paraId="16B3E466" w14:textId="77777777" w:rsidR="009364F7" w:rsidRDefault="009364F7" w:rsidP="009364F7">
      <w:pPr>
        <w:rPr>
          <w:rFonts w:ascii="Times New Roman" w:hAnsi="Times New Roman" w:cs="Times New Roman"/>
          <w:b/>
          <w:sz w:val="24"/>
          <w:szCs w:val="24"/>
        </w:rPr>
      </w:pPr>
    </w:p>
    <w:p w14:paraId="0E4DE1D8" w14:textId="77777777" w:rsidR="009364F7" w:rsidRDefault="009364F7" w:rsidP="009364F7">
      <w:pPr>
        <w:rPr>
          <w:rFonts w:ascii="Times New Roman" w:hAnsi="Times New Roman" w:cs="Times New Roman"/>
          <w:b/>
          <w:sz w:val="24"/>
          <w:szCs w:val="24"/>
        </w:rPr>
      </w:pPr>
    </w:p>
    <w:p w14:paraId="5CDDC534" w14:textId="77777777" w:rsidR="009364F7" w:rsidRDefault="009364F7" w:rsidP="009364F7">
      <w:pPr>
        <w:rPr>
          <w:rFonts w:ascii="Times New Roman" w:hAnsi="Times New Roman" w:cs="Times New Roman"/>
          <w:b/>
          <w:sz w:val="24"/>
          <w:szCs w:val="24"/>
        </w:rPr>
      </w:pPr>
    </w:p>
    <w:p w14:paraId="42E33C66" w14:textId="7D61655F" w:rsidR="009364F7" w:rsidRPr="00C034E2" w:rsidRDefault="009364F7" w:rsidP="009364F7">
      <w:pPr>
        <w:rPr>
          <w:rFonts w:ascii="Calibri" w:eastAsia="Times New Roman" w:hAnsi="Calibri" w:cs="Calibri"/>
          <w:sz w:val="24"/>
          <w:szCs w:val="24"/>
        </w:rPr>
      </w:pPr>
      <w:r w:rsidRPr="00C034E2">
        <w:rPr>
          <w:rFonts w:ascii="Calibri" w:hAnsi="Calibri" w:cs="Calibri"/>
          <w:b/>
          <w:sz w:val="24"/>
          <w:szCs w:val="24"/>
        </w:rPr>
        <w:lastRenderedPageBreak/>
        <w:t xml:space="preserve">Supplementary Figure </w:t>
      </w:r>
      <w:r w:rsidR="00333501">
        <w:rPr>
          <w:rFonts w:ascii="Calibri" w:hAnsi="Calibri" w:cs="Calibri"/>
          <w:b/>
          <w:sz w:val="24"/>
          <w:szCs w:val="24"/>
        </w:rPr>
        <w:t>S</w:t>
      </w:r>
      <w:r w:rsidRPr="00C034E2">
        <w:rPr>
          <w:rFonts w:ascii="Calibri" w:hAnsi="Calibri" w:cs="Calibri"/>
          <w:b/>
          <w:sz w:val="24"/>
          <w:szCs w:val="24"/>
        </w:rPr>
        <w:t>2</w:t>
      </w:r>
    </w:p>
    <w:p w14:paraId="2290ED19" w14:textId="77777777" w:rsidR="009364F7" w:rsidRPr="00C034E2" w:rsidRDefault="009364F7" w:rsidP="009364F7">
      <w:pPr>
        <w:rPr>
          <w:rFonts w:ascii="Calibri" w:hAnsi="Calibri" w:cs="Calibri"/>
          <w:bCs/>
          <w:i/>
          <w:iCs/>
          <w:sz w:val="24"/>
          <w:szCs w:val="24"/>
        </w:rPr>
      </w:pPr>
      <w:r w:rsidRPr="00C034E2">
        <w:rPr>
          <w:rFonts w:ascii="Calibri" w:hAnsi="Calibri" w:cs="Calibri"/>
          <w:bCs/>
          <w:i/>
          <w:iCs/>
          <w:sz w:val="24"/>
          <w:szCs w:val="24"/>
        </w:rPr>
        <w:t>Study timeline</w:t>
      </w:r>
    </w:p>
    <w:p w14:paraId="2CE49BF8" w14:textId="77777777" w:rsidR="00302232" w:rsidRPr="009364F7" w:rsidRDefault="00302232" w:rsidP="009364F7">
      <w:pPr>
        <w:rPr>
          <w:rFonts w:ascii="Times New Roman" w:hAnsi="Times New Roman" w:cs="Times New Roman"/>
          <w:bCs/>
          <w:i/>
          <w:iCs/>
          <w:sz w:val="24"/>
          <w:szCs w:val="24"/>
        </w:rPr>
      </w:pPr>
    </w:p>
    <w:p w14:paraId="5940424C" w14:textId="77777777" w:rsidR="009364F7" w:rsidRDefault="00120813" w:rsidP="009364F7">
      <w:pPr>
        <w:rPr>
          <w:rFonts w:ascii="Times New Roman" w:eastAsia="Times New Roman" w:hAnsi="Times New Roman" w:cs="Times New Roman"/>
          <w:sz w:val="24"/>
          <w:szCs w:val="24"/>
        </w:rPr>
      </w:pPr>
      <w:r w:rsidRPr="00405678">
        <w:rPr>
          <w:rFonts w:ascii="Times New Roman" w:eastAsia="Times New Roman" w:hAnsi="Times New Roman" w:cs="Times New Roman"/>
          <w:noProof/>
          <w:sz w:val="24"/>
          <w:szCs w:val="24"/>
        </w:rPr>
        <w:drawing>
          <wp:inline distT="0" distB="0" distL="0" distR="0" wp14:anchorId="5BAA4AB1" wp14:editId="2F0043CA">
            <wp:extent cx="5943600" cy="1696720"/>
            <wp:effectExtent l="0" t="0" r="0" b="0"/>
            <wp:docPr id="2" name="Picture 2"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medium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96720"/>
                    </a:xfrm>
                    <a:prstGeom prst="rect">
                      <a:avLst/>
                    </a:prstGeom>
                    <a:noFill/>
                    <a:ln>
                      <a:noFill/>
                    </a:ln>
                  </pic:spPr>
                </pic:pic>
              </a:graphicData>
            </a:graphic>
          </wp:inline>
        </w:drawing>
      </w:r>
    </w:p>
    <w:p w14:paraId="113C4936" w14:textId="77777777" w:rsidR="009364F7" w:rsidRPr="00C034E2" w:rsidRDefault="009364F7" w:rsidP="00BC2839">
      <w:pPr>
        <w:spacing w:line="240" w:lineRule="auto"/>
        <w:rPr>
          <w:rFonts w:ascii="Calibri" w:eastAsia="Times New Roman" w:hAnsi="Calibri" w:cs="Calibri"/>
          <w:b/>
          <w:sz w:val="24"/>
          <w:szCs w:val="24"/>
        </w:rPr>
      </w:pPr>
      <w:r w:rsidRPr="00C034E2">
        <w:rPr>
          <w:rFonts w:ascii="Calibri" w:hAnsi="Calibri" w:cs="Calibri"/>
          <w:bCs/>
          <w:i/>
          <w:iCs/>
          <w:sz w:val="24"/>
          <w:szCs w:val="24"/>
        </w:rPr>
        <w:t>Note.</w:t>
      </w:r>
      <w:r w:rsidRPr="00C034E2">
        <w:rPr>
          <w:rFonts w:ascii="Calibri" w:hAnsi="Calibri" w:cs="Calibri"/>
          <w:b/>
          <w:i/>
          <w:iCs/>
          <w:sz w:val="24"/>
          <w:szCs w:val="24"/>
        </w:rPr>
        <w:t xml:space="preserve"> </w:t>
      </w:r>
      <w:r w:rsidRPr="00C034E2">
        <w:rPr>
          <w:rFonts w:ascii="Calibri" w:eastAsia="Times New Roman" w:hAnsi="Calibri" w:cs="Calibri"/>
          <w:sz w:val="24"/>
          <w:szCs w:val="24"/>
        </w:rPr>
        <w:t>In session 1, participants filled out questionnaires about themselves. Approximately 45 days later, they came into the lab and were randomly assigned to receive either placebo, OT, or AVP. On average, 40 minutes later they were put into the fMRI scanner to begin a series of tasks with the Why/How task approximately 90 minutes after the neuropeptide administration.</w:t>
      </w:r>
    </w:p>
    <w:p w14:paraId="50D149CC" w14:textId="77777777" w:rsidR="009364F7" w:rsidRDefault="009364F7" w:rsidP="00F87A56">
      <w:pPr>
        <w:rPr>
          <w:rFonts w:ascii="Times New Roman" w:eastAsia="Times New Roman" w:hAnsi="Times New Roman" w:cs="Times New Roman"/>
          <w:b/>
          <w:sz w:val="24"/>
          <w:szCs w:val="24"/>
        </w:rPr>
      </w:pPr>
    </w:p>
    <w:p w14:paraId="08090542" w14:textId="77777777" w:rsidR="009364F7" w:rsidRDefault="009364F7" w:rsidP="00F87A56">
      <w:pPr>
        <w:rPr>
          <w:rFonts w:ascii="Times New Roman" w:eastAsia="Times New Roman" w:hAnsi="Times New Roman" w:cs="Times New Roman"/>
          <w:b/>
          <w:sz w:val="24"/>
          <w:szCs w:val="24"/>
        </w:rPr>
      </w:pPr>
    </w:p>
    <w:p w14:paraId="5D1B68E7" w14:textId="77777777" w:rsidR="009364F7" w:rsidRDefault="009364F7" w:rsidP="00F87A56">
      <w:pPr>
        <w:rPr>
          <w:rFonts w:ascii="Times New Roman" w:eastAsia="Times New Roman" w:hAnsi="Times New Roman" w:cs="Times New Roman"/>
          <w:b/>
          <w:sz w:val="24"/>
          <w:szCs w:val="24"/>
        </w:rPr>
      </w:pPr>
    </w:p>
    <w:p w14:paraId="7F943B08" w14:textId="77777777" w:rsidR="009364F7" w:rsidRDefault="009364F7" w:rsidP="00F87A56">
      <w:pPr>
        <w:rPr>
          <w:rFonts w:ascii="Times New Roman" w:eastAsia="Times New Roman" w:hAnsi="Times New Roman" w:cs="Times New Roman"/>
          <w:b/>
          <w:sz w:val="24"/>
          <w:szCs w:val="24"/>
        </w:rPr>
      </w:pPr>
    </w:p>
    <w:p w14:paraId="74A9AF4B" w14:textId="77777777" w:rsidR="009364F7" w:rsidRDefault="009364F7" w:rsidP="00F87A56">
      <w:pPr>
        <w:rPr>
          <w:rFonts w:ascii="Times New Roman" w:eastAsia="Times New Roman" w:hAnsi="Times New Roman" w:cs="Times New Roman"/>
          <w:b/>
          <w:sz w:val="24"/>
          <w:szCs w:val="24"/>
        </w:rPr>
      </w:pPr>
    </w:p>
    <w:p w14:paraId="2CB6C729" w14:textId="77777777" w:rsidR="009364F7" w:rsidRDefault="009364F7" w:rsidP="00F87A56">
      <w:pPr>
        <w:rPr>
          <w:rFonts w:ascii="Times New Roman" w:eastAsia="Times New Roman" w:hAnsi="Times New Roman" w:cs="Times New Roman"/>
          <w:b/>
          <w:sz w:val="24"/>
          <w:szCs w:val="24"/>
        </w:rPr>
      </w:pPr>
    </w:p>
    <w:p w14:paraId="7B032D8F" w14:textId="77777777" w:rsidR="009364F7" w:rsidRDefault="009364F7" w:rsidP="00F87A56">
      <w:pPr>
        <w:rPr>
          <w:rFonts w:ascii="Times New Roman" w:eastAsia="Times New Roman" w:hAnsi="Times New Roman" w:cs="Times New Roman"/>
          <w:b/>
          <w:sz w:val="24"/>
          <w:szCs w:val="24"/>
        </w:rPr>
      </w:pPr>
    </w:p>
    <w:p w14:paraId="43F7B398" w14:textId="77777777" w:rsidR="009364F7" w:rsidRDefault="009364F7" w:rsidP="00F87A56">
      <w:pPr>
        <w:rPr>
          <w:rFonts w:ascii="Times New Roman" w:eastAsia="Times New Roman" w:hAnsi="Times New Roman" w:cs="Times New Roman"/>
          <w:b/>
          <w:sz w:val="24"/>
          <w:szCs w:val="24"/>
        </w:rPr>
      </w:pPr>
    </w:p>
    <w:p w14:paraId="10B1B6BF" w14:textId="77777777" w:rsidR="009364F7" w:rsidRDefault="009364F7" w:rsidP="00F87A56">
      <w:pPr>
        <w:rPr>
          <w:rFonts w:ascii="Times New Roman" w:eastAsia="Times New Roman" w:hAnsi="Times New Roman" w:cs="Times New Roman"/>
          <w:b/>
          <w:sz w:val="24"/>
          <w:szCs w:val="24"/>
        </w:rPr>
      </w:pPr>
    </w:p>
    <w:p w14:paraId="0CBC7FC7" w14:textId="77777777" w:rsidR="009364F7" w:rsidRDefault="009364F7" w:rsidP="00F87A56">
      <w:pPr>
        <w:rPr>
          <w:rFonts w:ascii="Times New Roman" w:eastAsia="Times New Roman" w:hAnsi="Times New Roman" w:cs="Times New Roman"/>
          <w:b/>
          <w:sz w:val="24"/>
          <w:szCs w:val="24"/>
        </w:rPr>
      </w:pPr>
    </w:p>
    <w:p w14:paraId="367EA639" w14:textId="77777777" w:rsidR="009364F7" w:rsidRDefault="009364F7" w:rsidP="00F87A56">
      <w:pPr>
        <w:rPr>
          <w:rFonts w:ascii="Times New Roman" w:eastAsia="Times New Roman" w:hAnsi="Times New Roman" w:cs="Times New Roman"/>
          <w:b/>
          <w:sz w:val="24"/>
          <w:szCs w:val="24"/>
        </w:rPr>
      </w:pPr>
    </w:p>
    <w:p w14:paraId="33BBA3A3" w14:textId="77777777" w:rsidR="009364F7" w:rsidRDefault="009364F7" w:rsidP="00F87A56">
      <w:pPr>
        <w:rPr>
          <w:rFonts w:ascii="Times New Roman" w:eastAsia="Times New Roman" w:hAnsi="Times New Roman" w:cs="Times New Roman"/>
          <w:b/>
          <w:sz w:val="24"/>
          <w:szCs w:val="24"/>
        </w:rPr>
      </w:pPr>
    </w:p>
    <w:p w14:paraId="40817044" w14:textId="77777777" w:rsidR="009364F7" w:rsidRDefault="009364F7" w:rsidP="00F87A56">
      <w:pPr>
        <w:rPr>
          <w:rFonts w:ascii="Times New Roman" w:eastAsia="Times New Roman" w:hAnsi="Times New Roman" w:cs="Times New Roman"/>
          <w:b/>
          <w:sz w:val="24"/>
          <w:szCs w:val="24"/>
        </w:rPr>
      </w:pPr>
    </w:p>
    <w:p w14:paraId="40BCC88E" w14:textId="77777777" w:rsidR="009364F7" w:rsidRDefault="009364F7" w:rsidP="00F87A56">
      <w:pPr>
        <w:rPr>
          <w:rFonts w:ascii="Times New Roman" w:eastAsia="Times New Roman" w:hAnsi="Times New Roman" w:cs="Times New Roman"/>
          <w:b/>
          <w:sz w:val="24"/>
          <w:szCs w:val="24"/>
        </w:rPr>
      </w:pPr>
    </w:p>
    <w:p w14:paraId="2566BFFC" w14:textId="77777777" w:rsidR="009364F7" w:rsidRDefault="009364F7" w:rsidP="00F87A56">
      <w:pPr>
        <w:rPr>
          <w:rFonts w:ascii="Times New Roman" w:eastAsia="Times New Roman" w:hAnsi="Times New Roman" w:cs="Times New Roman"/>
          <w:b/>
          <w:sz w:val="24"/>
          <w:szCs w:val="24"/>
        </w:rPr>
      </w:pPr>
    </w:p>
    <w:p w14:paraId="71DFFC90" w14:textId="77777777" w:rsidR="009364F7" w:rsidRDefault="009364F7" w:rsidP="00F87A56">
      <w:pPr>
        <w:rPr>
          <w:rFonts w:ascii="Times New Roman" w:eastAsia="Times New Roman" w:hAnsi="Times New Roman" w:cs="Times New Roman"/>
          <w:b/>
          <w:sz w:val="24"/>
          <w:szCs w:val="24"/>
        </w:rPr>
      </w:pPr>
    </w:p>
    <w:p w14:paraId="38E90E3C" w14:textId="77777777" w:rsidR="009364F7" w:rsidRDefault="009364F7" w:rsidP="00F87A56">
      <w:pPr>
        <w:rPr>
          <w:rFonts w:ascii="Times New Roman" w:eastAsia="Times New Roman" w:hAnsi="Times New Roman" w:cs="Times New Roman"/>
          <w:b/>
          <w:sz w:val="24"/>
          <w:szCs w:val="24"/>
        </w:rPr>
      </w:pPr>
    </w:p>
    <w:p w14:paraId="5FD3D941" w14:textId="77777777" w:rsidR="009364F7" w:rsidRDefault="009364F7" w:rsidP="00F87A56">
      <w:pPr>
        <w:rPr>
          <w:rFonts w:ascii="Times New Roman" w:eastAsia="Times New Roman" w:hAnsi="Times New Roman" w:cs="Times New Roman"/>
          <w:b/>
          <w:sz w:val="24"/>
          <w:szCs w:val="24"/>
        </w:rPr>
      </w:pPr>
    </w:p>
    <w:p w14:paraId="5D427B10" w14:textId="77777777" w:rsidR="009364F7" w:rsidRDefault="009364F7" w:rsidP="00F87A56">
      <w:pPr>
        <w:rPr>
          <w:rFonts w:ascii="Times New Roman" w:eastAsia="Times New Roman" w:hAnsi="Times New Roman" w:cs="Times New Roman"/>
          <w:b/>
          <w:sz w:val="24"/>
          <w:szCs w:val="24"/>
        </w:rPr>
      </w:pPr>
    </w:p>
    <w:p w14:paraId="5A77F698" w14:textId="77777777" w:rsidR="009364F7" w:rsidRDefault="009364F7" w:rsidP="00F87A56">
      <w:pPr>
        <w:rPr>
          <w:rFonts w:ascii="Times New Roman" w:eastAsia="Times New Roman" w:hAnsi="Times New Roman" w:cs="Times New Roman"/>
          <w:b/>
          <w:sz w:val="24"/>
          <w:szCs w:val="24"/>
        </w:rPr>
      </w:pPr>
    </w:p>
    <w:p w14:paraId="473C00A2" w14:textId="77777777" w:rsidR="009364F7" w:rsidRDefault="009364F7" w:rsidP="00F87A56">
      <w:pPr>
        <w:rPr>
          <w:rFonts w:ascii="Times New Roman" w:eastAsia="Times New Roman" w:hAnsi="Times New Roman" w:cs="Times New Roman"/>
          <w:b/>
          <w:sz w:val="24"/>
          <w:szCs w:val="24"/>
        </w:rPr>
      </w:pPr>
    </w:p>
    <w:p w14:paraId="63F11167" w14:textId="77777777" w:rsidR="009364F7" w:rsidRDefault="009364F7" w:rsidP="00F87A56">
      <w:pPr>
        <w:rPr>
          <w:rFonts w:ascii="Times New Roman" w:eastAsia="Times New Roman" w:hAnsi="Times New Roman" w:cs="Times New Roman"/>
          <w:b/>
          <w:sz w:val="24"/>
          <w:szCs w:val="24"/>
        </w:rPr>
      </w:pPr>
    </w:p>
    <w:p w14:paraId="3235925B" w14:textId="77777777" w:rsidR="009364F7" w:rsidRDefault="009364F7" w:rsidP="00F87A56">
      <w:pPr>
        <w:rPr>
          <w:rFonts w:ascii="Times New Roman" w:eastAsia="Times New Roman" w:hAnsi="Times New Roman" w:cs="Times New Roman"/>
          <w:b/>
          <w:sz w:val="24"/>
          <w:szCs w:val="24"/>
        </w:rPr>
      </w:pPr>
    </w:p>
    <w:p w14:paraId="4C3C8327" w14:textId="77777777" w:rsidR="009364F7" w:rsidRDefault="009364F7" w:rsidP="00F87A56">
      <w:pPr>
        <w:rPr>
          <w:rFonts w:ascii="Times New Roman" w:eastAsia="Times New Roman" w:hAnsi="Times New Roman" w:cs="Times New Roman"/>
          <w:b/>
          <w:sz w:val="24"/>
          <w:szCs w:val="24"/>
        </w:rPr>
      </w:pPr>
    </w:p>
    <w:p w14:paraId="48803DB1" w14:textId="77777777" w:rsidR="009364F7" w:rsidRDefault="009364F7" w:rsidP="00F87A56">
      <w:pPr>
        <w:rPr>
          <w:rFonts w:ascii="Times New Roman" w:eastAsia="Times New Roman" w:hAnsi="Times New Roman" w:cs="Times New Roman"/>
          <w:b/>
          <w:sz w:val="24"/>
          <w:szCs w:val="24"/>
        </w:rPr>
      </w:pPr>
    </w:p>
    <w:p w14:paraId="7ACB96EC" w14:textId="1C7AFA61" w:rsidR="002B6796" w:rsidRPr="00C034E2" w:rsidRDefault="002B6796" w:rsidP="002B6796">
      <w:pPr>
        <w:rPr>
          <w:rFonts w:ascii="Calibri" w:eastAsia="Times New Roman" w:hAnsi="Calibri" w:cs="Calibri"/>
          <w:b/>
          <w:sz w:val="24"/>
          <w:szCs w:val="24"/>
        </w:rPr>
      </w:pPr>
      <w:r w:rsidRPr="00C034E2">
        <w:rPr>
          <w:rFonts w:ascii="Calibri" w:eastAsia="Times New Roman" w:hAnsi="Calibri" w:cs="Calibri"/>
          <w:b/>
          <w:sz w:val="24"/>
          <w:szCs w:val="24"/>
        </w:rPr>
        <w:lastRenderedPageBreak/>
        <w:t xml:space="preserve">Supplementary Figure </w:t>
      </w:r>
      <w:r w:rsidR="00333501">
        <w:rPr>
          <w:rFonts w:ascii="Calibri" w:eastAsia="Times New Roman" w:hAnsi="Calibri" w:cs="Calibri"/>
          <w:b/>
          <w:sz w:val="24"/>
          <w:szCs w:val="24"/>
        </w:rPr>
        <w:t>S</w:t>
      </w:r>
      <w:r w:rsidRPr="00C034E2">
        <w:rPr>
          <w:rFonts w:ascii="Calibri" w:eastAsia="Times New Roman" w:hAnsi="Calibri" w:cs="Calibri"/>
          <w:b/>
          <w:sz w:val="24"/>
          <w:szCs w:val="24"/>
        </w:rPr>
        <w:t>3</w:t>
      </w:r>
    </w:p>
    <w:p w14:paraId="6F69E3F4" w14:textId="77777777" w:rsidR="002B6796" w:rsidRPr="00C034E2" w:rsidRDefault="002B6796" w:rsidP="002B6796">
      <w:pPr>
        <w:rPr>
          <w:rFonts w:ascii="Calibri" w:eastAsia="Times New Roman" w:hAnsi="Calibri" w:cs="Calibri"/>
          <w:i/>
          <w:sz w:val="24"/>
          <w:szCs w:val="24"/>
        </w:rPr>
      </w:pPr>
      <w:r w:rsidRPr="00C034E2">
        <w:rPr>
          <w:rFonts w:ascii="Calibri" w:eastAsia="Times New Roman" w:hAnsi="Calibri" w:cs="Calibri"/>
          <w:i/>
          <w:sz w:val="24"/>
          <w:szCs w:val="24"/>
        </w:rPr>
        <w:t>Equivalence Test</w:t>
      </w:r>
      <w:r w:rsidR="00C117DB" w:rsidRPr="00C034E2">
        <w:rPr>
          <w:rFonts w:ascii="Calibri" w:eastAsia="Times New Roman" w:hAnsi="Calibri" w:cs="Calibri"/>
          <w:i/>
          <w:sz w:val="24"/>
          <w:szCs w:val="24"/>
        </w:rPr>
        <w:t>s</w:t>
      </w:r>
      <w:r w:rsidRPr="00C034E2">
        <w:rPr>
          <w:rFonts w:ascii="Calibri" w:eastAsia="Times New Roman" w:hAnsi="Calibri" w:cs="Calibri"/>
          <w:i/>
          <w:sz w:val="24"/>
          <w:szCs w:val="24"/>
        </w:rPr>
        <w:t xml:space="preserve"> for neural and behavioral effects </w:t>
      </w:r>
    </w:p>
    <w:p w14:paraId="4C5AEA2C" w14:textId="77777777" w:rsidR="002B6796" w:rsidRDefault="00120813" w:rsidP="002B6796">
      <w:pPr>
        <w:rPr>
          <w:rFonts w:ascii="Times New Roman" w:eastAsia="Times New Roman" w:hAnsi="Times New Roman" w:cs="Times New Roman"/>
          <w:i/>
          <w:sz w:val="24"/>
          <w:szCs w:val="24"/>
        </w:rPr>
      </w:pPr>
      <w:r w:rsidRPr="00A21872">
        <w:rPr>
          <w:noProof/>
        </w:rPr>
        <w:drawing>
          <wp:inline distT="0" distB="0" distL="0" distR="0" wp14:anchorId="38356DE8" wp14:editId="74C628BB">
            <wp:extent cx="2496820" cy="3200400"/>
            <wp:effectExtent l="0" t="0" r="0" b="0"/>
            <wp:docPr id="3" name="Picture 8" descr="Chart, bar 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hart, bar chart, line char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820" cy="3200400"/>
                    </a:xfrm>
                    <a:prstGeom prst="rect">
                      <a:avLst/>
                    </a:prstGeom>
                    <a:noFill/>
                    <a:ln>
                      <a:noFill/>
                    </a:ln>
                  </pic:spPr>
                </pic:pic>
              </a:graphicData>
            </a:graphic>
          </wp:inline>
        </w:drawing>
      </w:r>
      <w:r w:rsidRPr="00B13653">
        <w:rPr>
          <w:noProof/>
        </w:rPr>
        <w:drawing>
          <wp:inline distT="0" distB="0" distL="0" distR="0" wp14:anchorId="71158AC3" wp14:editId="62794C5B">
            <wp:extent cx="2576195" cy="3200400"/>
            <wp:effectExtent l="0" t="0" r="0" b="0"/>
            <wp:docPr id="4" name="Picture 5"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art, bar chart&#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195" cy="3200400"/>
                    </a:xfrm>
                    <a:prstGeom prst="rect">
                      <a:avLst/>
                    </a:prstGeom>
                    <a:noFill/>
                    <a:ln>
                      <a:noFill/>
                    </a:ln>
                  </pic:spPr>
                </pic:pic>
              </a:graphicData>
            </a:graphic>
          </wp:inline>
        </w:drawing>
      </w:r>
    </w:p>
    <w:p w14:paraId="56D66E6D" w14:textId="77777777" w:rsidR="002B6796" w:rsidRDefault="00120813" w:rsidP="002B6796">
      <w:pPr>
        <w:rPr>
          <w:rFonts w:ascii="Times New Roman" w:eastAsia="Times New Roman" w:hAnsi="Times New Roman" w:cs="Times New Roman"/>
          <w:i/>
          <w:sz w:val="24"/>
          <w:szCs w:val="24"/>
        </w:rPr>
      </w:pPr>
      <w:r w:rsidRPr="0034639F">
        <w:rPr>
          <w:noProof/>
        </w:rPr>
        <w:drawing>
          <wp:inline distT="0" distB="0" distL="0" distR="0" wp14:anchorId="62732017" wp14:editId="75A2F4CF">
            <wp:extent cx="2496820" cy="3218180"/>
            <wp:effectExtent l="0" t="0" r="0" b="0"/>
            <wp:docPr id="5" name="Picture 10"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hart, bar char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820" cy="3218180"/>
                    </a:xfrm>
                    <a:prstGeom prst="rect">
                      <a:avLst/>
                    </a:prstGeom>
                    <a:noFill/>
                    <a:ln>
                      <a:noFill/>
                    </a:ln>
                  </pic:spPr>
                </pic:pic>
              </a:graphicData>
            </a:graphic>
          </wp:inline>
        </w:drawing>
      </w:r>
      <w:r w:rsidRPr="00072B5B">
        <w:rPr>
          <w:noProof/>
        </w:rPr>
        <w:drawing>
          <wp:inline distT="0" distB="0" distL="0" distR="0" wp14:anchorId="07969CF8" wp14:editId="38107BA2">
            <wp:extent cx="2602230" cy="3173730"/>
            <wp:effectExtent l="0" t="0" r="0" b="0"/>
            <wp:docPr id="6" name="Picture 1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art, bar chart&#10;&#10;Description automatically generated"/>
                    <pic:cNvPicPr>
                      <a:picLocks/>
                    </pic:cNvPicPr>
                  </pic:nvPicPr>
                  <pic:blipFill>
                    <a:blip r:embed="rId14" cstate="print">
                      <a:extLst>
                        <a:ext uri="{28A0092B-C50C-407E-A947-70E740481C1C}">
                          <a14:useLocalDpi xmlns:a14="http://schemas.microsoft.com/office/drawing/2010/main" val="0"/>
                        </a:ext>
                      </a:extLst>
                    </a:blip>
                    <a:srcRect t="1154"/>
                    <a:stretch>
                      <a:fillRect/>
                    </a:stretch>
                  </pic:blipFill>
                  <pic:spPr bwMode="auto">
                    <a:xfrm>
                      <a:off x="0" y="0"/>
                      <a:ext cx="2602230" cy="3173730"/>
                    </a:xfrm>
                    <a:prstGeom prst="rect">
                      <a:avLst/>
                    </a:prstGeom>
                    <a:noFill/>
                    <a:ln>
                      <a:noFill/>
                    </a:ln>
                  </pic:spPr>
                </pic:pic>
              </a:graphicData>
            </a:graphic>
          </wp:inline>
        </w:drawing>
      </w:r>
    </w:p>
    <w:p w14:paraId="7B5740A2" w14:textId="77777777" w:rsidR="002B6796" w:rsidRDefault="00120813" w:rsidP="002B6796">
      <w:pPr>
        <w:rPr>
          <w:rFonts w:ascii="Times New Roman" w:eastAsia="Times New Roman" w:hAnsi="Times New Roman" w:cs="Times New Roman"/>
          <w:i/>
          <w:sz w:val="24"/>
          <w:szCs w:val="24"/>
        </w:rPr>
      </w:pPr>
      <w:r w:rsidRPr="00257601">
        <w:rPr>
          <w:noProof/>
        </w:rPr>
        <w:lastRenderedPageBreak/>
        <w:drawing>
          <wp:inline distT="0" distB="0" distL="0" distR="0" wp14:anchorId="6B63CFC3" wp14:editId="6F266AD7">
            <wp:extent cx="2470785" cy="3077210"/>
            <wp:effectExtent l="0" t="0" r="0" b="0"/>
            <wp:docPr id="7" name="Picture 14"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hart, bar chart&#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785" cy="3077210"/>
                    </a:xfrm>
                    <a:prstGeom prst="rect">
                      <a:avLst/>
                    </a:prstGeom>
                    <a:noFill/>
                    <a:ln>
                      <a:noFill/>
                    </a:ln>
                  </pic:spPr>
                </pic:pic>
              </a:graphicData>
            </a:graphic>
          </wp:inline>
        </w:drawing>
      </w:r>
      <w:r w:rsidRPr="002233A2">
        <w:rPr>
          <w:noProof/>
        </w:rPr>
        <w:drawing>
          <wp:inline distT="0" distB="0" distL="0" distR="0" wp14:anchorId="2FDDB5D0" wp14:editId="6794C234">
            <wp:extent cx="3121025" cy="3103880"/>
            <wp:effectExtent l="0" t="0" r="0" b="0"/>
            <wp:docPr id="8" name="Picture 15"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hart, box and whisker chart&#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025" cy="3103880"/>
                    </a:xfrm>
                    <a:prstGeom prst="rect">
                      <a:avLst/>
                    </a:prstGeom>
                    <a:noFill/>
                    <a:ln>
                      <a:noFill/>
                    </a:ln>
                  </pic:spPr>
                </pic:pic>
              </a:graphicData>
            </a:graphic>
          </wp:inline>
        </w:drawing>
      </w:r>
    </w:p>
    <w:p w14:paraId="5D577C6A" w14:textId="77777777" w:rsidR="002B6796" w:rsidRDefault="00120813" w:rsidP="002B6796">
      <w:pPr>
        <w:rPr>
          <w:rFonts w:ascii="Times New Roman" w:eastAsia="Times New Roman" w:hAnsi="Times New Roman" w:cs="Times New Roman"/>
          <w:i/>
          <w:sz w:val="24"/>
          <w:szCs w:val="24"/>
        </w:rPr>
      </w:pPr>
      <w:r w:rsidRPr="00023C5F">
        <w:rPr>
          <w:noProof/>
        </w:rPr>
        <w:drawing>
          <wp:inline distT="0" distB="0" distL="0" distR="0" wp14:anchorId="50EB3655" wp14:editId="6A9034DE">
            <wp:extent cx="2541270" cy="3314700"/>
            <wp:effectExtent l="0" t="0" r="0" b="0"/>
            <wp:docPr id="9" name="Picture 27" descr="Char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hart&#10;&#10;Description automatically generated with medium confidenc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270" cy="3314700"/>
                    </a:xfrm>
                    <a:prstGeom prst="rect">
                      <a:avLst/>
                    </a:prstGeom>
                    <a:noFill/>
                    <a:ln>
                      <a:noFill/>
                    </a:ln>
                  </pic:spPr>
                </pic:pic>
              </a:graphicData>
            </a:graphic>
          </wp:inline>
        </w:drawing>
      </w:r>
    </w:p>
    <w:p w14:paraId="004CC834" w14:textId="77777777" w:rsidR="00C034E2" w:rsidRDefault="00C034E2" w:rsidP="002B6796">
      <w:pPr>
        <w:rPr>
          <w:rFonts w:ascii="Calibri" w:eastAsia="Times New Roman" w:hAnsi="Calibri" w:cs="Calibri"/>
          <w:i/>
          <w:sz w:val="24"/>
          <w:szCs w:val="24"/>
        </w:rPr>
      </w:pPr>
    </w:p>
    <w:p w14:paraId="1CA91044" w14:textId="77777777" w:rsidR="002B6796" w:rsidRPr="00C034E2" w:rsidRDefault="002B6796" w:rsidP="00BC2839">
      <w:pPr>
        <w:spacing w:line="240" w:lineRule="auto"/>
        <w:rPr>
          <w:rFonts w:ascii="Calibri" w:eastAsia="Times New Roman" w:hAnsi="Calibri" w:cs="Calibri"/>
          <w:i/>
          <w:sz w:val="24"/>
          <w:szCs w:val="24"/>
        </w:rPr>
      </w:pPr>
      <w:r w:rsidRPr="00C034E2">
        <w:rPr>
          <w:rFonts w:ascii="Calibri" w:eastAsia="Times New Roman" w:hAnsi="Calibri" w:cs="Calibri"/>
          <w:i/>
          <w:sz w:val="24"/>
          <w:szCs w:val="24"/>
        </w:rPr>
        <w:t xml:space="preserve">Note. </w:t>
      </w:r>
      <w:r w:rsidRPr="00C034E2">
        <w:rPr>
          <w:rFonts w:ascii="Calibri" w:eastAsia="Times New Roman" w:hAnsi="Calibri" w:cs="Calibri"/>
          <w:iCs/>
          <w:sz w:val="24"/>
          <w:szCs w:val="24"/>
        </w:rPr>
        <w:t xml:space="preserve">The dark bars are the 95% confidence Cohen’s d values for each contrast. The dashed line represents upper bound for equivalence testing </w:t>
      </w:r>
      <w:proofErr w:type="gramStart"/>
      <w:r w:rsidRPr="00C034E2">
        <w:rPr>
          <w:rFonts w:ascii="Calibri" w:eastAsia="Times New Roman" w:hAnsi="Calibri" w:cs="Calibri"/>
          <w:iCs/>
          <w:sz w:val="24"/>
          <w:szCs w:val="24"/>
        </w:rPr>
        <w:t>taking into account</w:t>
      </w:r>
      <w:proofErr w:type="gramEnd"/>
      <w:r w:rsidRPr="00C034E2">
        <w:rPr>
          <w:rFonts w:ascii="Calibri" w:eastAsia="Times New Roman" w:hAnsi="Calibri" w:cs="Calibri"/>
          <w:iCs/>
          <w:sz w:val="24"/>
          <w:szCs w:val="24"/>
        </w:rPr>
        <w:t xml:space="preserve"> the sample size of the contrast and Bonferroni corrected threshold p-value to account for the multiple comparisons.</w:t>
      </w:r>
      <w:r w:rsidRPr="00C034E2">
        <w:rPr>
          <w:rFonts w:ascii="Calibri" w:eastAsia="Times New Roman" w:hAnsi="Calibri" w:cs="Calibri"/>
          <w:i/>
          <w:sz w:val="24"/>
          <w:szCs w:val="24"/>
        </w:rPr>
        <w:t xml:space="preserve"> </w:t>
      </w:r>
    </w:p>
    <w:p w14:paraId="1CE1BBFA" w14:textId="77777777" w:rsidR="002B6796" w:rsidRDefault="002B6796" w:rsidP="002B6796">
      <w:pPr>
        <w:rPr>
          <w:rFonts w:ascii="Times New Roman" w:eastAsia="Times New Roman" w:hAnsi="Times New Roman" w:cs="Times New Roman"/>
          <w:b/>
          <w:sz w:val="24"/>
          <w:szCs w:val="24"/>
        </w:rPr>
      </w:pPr>
    </w:p>
    <w:p w14:paraId="1AF51B52" w14:textId="77777777" w:rsidR="002B6796" w:rsidRDefault="002B6796" w:rsidP="002B6796">
      <w:pPr>
        <w:rPr>
          <w:rFonts w:ascii="Times New Roman" w:eastAsia="Times New Roman" w:hAnsi="Times New Roman" w:cs="Times New Roman"/>
          <w:b/>
          <w:sz w:val="24"/>
          <w:szCs w:val="24"/>
        </w:rPr>
      </w:pPr>
    </w:p>
    <w:p w14:paraId="4825E6CA" w14:textId="77777777" w:rsidR="002B6796" w:rsidRDefault="002B6796" w:rsidP="002B6796">
      <w:pPr>
        <w:rPr>
          <w:rFonts w:ascii="Times New Roman" w:eastAsia="Times New Roman" w:hAnsi="Times New Roman" w:cs="Times New Roman"/>
          <w:b/>
          <w:sz w:val="24"/>
          <w:szCs w:val="24"/>
        </w:rPr>
      </w:pPr>
    </w:p>
    <w:p w14:paraId="7113B097" w14:textId="77777777" w:rsidR="002B6796" w:rsidRDefault="002B6796" w:rsidP="002B6796">
      <w:pPr>
        <w:rPr>
          <w:rFonts w:ascii="Times New Roman" w:eastAsia="Times New Roman" w:hAnsi="Times New Roman" w:cs="Times New Roman"/>
          <w:b/>
          <w:sz w:val="24"/>
          <w:szCs w:val="24"/>
        </w:rPr>
      </w:pPr>
    </w:p>
    <w:p w14:paraId="1B6A8F90" w14:textId="34E4214C" w:rsidR="002B6796" w:rsidRPr="00C034E2" w:rsidRDefault="002B6796" w:rsidP="002B6796">
      <w:pPr>
        <w:rPr>
          <w:rFonts w:ascii="Calibri" w:eastAsia="Times New Roman" w:hAnsi="Calibri" w:cs="Calibri"/>
          <w:b/>
          <w:sz w:val="24"/>
          <w:szCs w:val="24"/>
        </w:rPr>
      </w:pPr>
      <w:r w:rsidRPr="00C034E2">
        <w:rPr>
          <w:rFonts w:ascii="Calibri" w:eastAsia="Times New Roman" w:hAnsi="Calibri" w:cs="Calibri"/>
          <w:b/>
          <w:sz w:val="24"/>
          <w:szCs w:val="24"/>
        </w:rPr>
        <w:lastRenderedPageBreak/>
        <w:t xml:space="preserve">Supplementary Figure </w:t>
      </w:r>
      <w:r w:rsidR="00333501">
        <w:rPr>
          <w:rFonts w:ascii="Calibri" w:eastAsia="Times New Roman" w:hAnsi="Calibri" w:cs="Calibri"/>
          <w:b/>
          <w:sz w:val="24"/>
          <w:szCs w:val="24"/>
        </w:rPr>
        <w:t>S</w:t>
      </w:r>
      <w:r w:rsidRPr="00C034E2">
        <w:rPr>
          <w:rFonts w:ascii="Calibri" w:eastAsia="Times New Roman" w:hAnsi="Calibri" w:cs="Calibri"/>
          <w:b/>
          <w:sz w:val="24"/>
          <w:szCs w:val="24"/>
        </w:rPr>
        <w:t>4</w:t>
      </w:r>
    </w:p>
    <w:p w14:paraId="621240C8" w14:textId="77777777" w:rsidR="002B6796" w:rsidRPr="00C034E2" w:rsidRDefault="002B6796" w:rsidP="002B6796">
      <w:pPr>
        <w:rPr>
          <w:rFonts w:ascii="Calibri" w:eastAsia="Times New Roman" w:hAnsi="Calibri" w:cs="Calibri"/>
          <w:i/>
          <w:sz w:val="24"/>
          <w:szCs w:val="24"/>
        </w:rPr>
      </w:pPr>
      <w:r w:rsidRPr="00C034E2">
        <w:rPr>
          <w:rFonts w:ascii="Calibri" w:eastAsia="Times New Roman" w:hAnsi="Calibri" w:cs="Calibri"/>
          <w:i/>
          <w:sz w:val="24"/>
          <w:szCs w:val="24"/>
        </w:rPr>
        <w:t>Differences between OT, AVP, and placebo in accuracy and reaction time on the Why/How task based on gender</w:t>
      </w:r>
    </w:p>
    <w:p w14:paraId="714C1EB5" w14:textId="77777777" w:rsidR="002B6796" w:rsidRPr="00C034E2" w:rsidRDefault="002B6796" w:rsidP="002B6796">
      <w:pPr>
        <w:rPr>
          <w:rFonts w:ascii="Calibri" w:eastAsia="Times New Roman" w:hAnsi="Calibri" w:cs="Calibri"/>
          <w:sz w:val="24"/>
          <w:szCs w:val="24"/>
        </w:rPr>
      </w:pPr>
    </w:p>
    <w:p w14:paraId="1042EEBB" w14:textId="77777777" w:rsidR="002B6796" w:rsidRPr="00C034E2" w:rsidRDefault="002B6796" w:rsidP="002B6796">
      <w:pPr>
        <w:rPr>
          <w:rFonts w:ascii="Calibri" w:eastAsia="Times New Roman" w:hAnsi="Calibri" w:cs="Calibri"/>
          <w:sz w:val="24"/>
          <w:szCs w:val="24"/>
        </w:rPr>
      </w:pPr>
      <w:r w:rsidRPr="00C034E2">
        <w:rPr>
          <w:rFonts w:ascii="Calibri" w:eastAsia="Times New Roman" w:hAnsi="Calibri" w:cs="Calibri"/>
          <w:sz w:val="24"/>
          <w:szCs w:val="24"/>
        </w:rPr>
        <w:t>a)</w:t>
      </w:r>
    </w:p>
    <w:p w14:paraId="72CD41D7" w14:textId="77777777" w:rsidR="002B6796" w:rsidRPr="00C034E2" w:rsidRDefault="00120813" w:rsidP="002B6796">
      <w:pPr>
        <w:rPr>
          <w:rFonts w:ascii="Calibri" w:eastAsia="Times New Roman" w:hAnsi="Calibri" w:cs="Calibri"/>
          <w:sz w:val="24"/>
          <w:szCs w:val="24"/>
        </w:rPr>
      </w:pPr>
      <w:r w:rsidRPr="0096216A">
        <w:rPr>
          <w:rFonts w:ascii="Calibri" w:hAnsi="Calibri" w:cs="Calibri"/>
          <w:noProof/>
        </w:rPr>
        <w:drawing>
          <wp:inline distT="0" distB="0" distL="0" distR="0" wp14:anchorId="39490842" wp14:editId="41CE9D20">
            <wp:extent cx="2637790" cy="2620010"/>
            <wp:effectExtent l="0" t="0" r="0" b="0"/>
            <wp:docPr id="10" name="Picture 12"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hart, bar chart&#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790" cy="2620010"/>
                    </a:xfrm>
                    <a:prstGeom prst="rect">
                      <a:avLst/>
                    </a:prstGeom>
                    <a:noFill/>
                    <a:ln>
                      <a:noFill/>
                    </a:ln>
                  </pic:spPr>
                </pic:pic>
              </a:graphicData>
            </a:graphic>
          </wp:inline>
        </w:drawing>
      </w:r>
      <w:r w:rsidR="002B6796" w:rsidRPr="00C034E2">
        <w:rPr>
          <w:rFonts w:ascii="Calibri" w:eastAsia="Times New Roman" w:hAnsi="Calibri" w:cs="Calibri"/>
          <w:noProof/>
          <w:sz w:val="24"/>
          <w:szCs w:val="24"/>
        </w:rPr>
        <w:t xml:space="preserve"> </w:t>
      </w:r>
      <w:r w:rsidRPr="0096216A">
        <w:rPr>
          <w:rFonts w:ascii="Calibri" w:hAnsi="Calibri" w:cs="Calibri"/>
          <w:noProof/>
        </w:rPr>
        <w:drawing>
          <wp:inline distT="0" distB="0" distL="0" distR="0" wp14:anchorId="2E6EA39A" wp14:editId="65870FA7">
            <wp:extent cx="2620010" cy="2663825"/>
            <wp:effectExtent l="0" t="0" r="0" b="0"/>
            <wp:docPr id="11" name="Picture 13"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hart, bar chart&#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010" cy="2663825"/>
                    </a:xfrm>
                    <a:prstGeom prst="rect">
                      <a:avLst/>
                    </a:prstGeom>
                    <a:noFill/>
                    <a:ln>
                      <a:noFill/>
                    </a:ln>
                  </pic:spPr>
                </pic:pic>
              </a:graphicData>
            </a:graphic>
          </wp:inline>
        </w:drawing>
      </w:r>
    </w:p>
    <w:p w14:paraId="4763C101" w14:textId="77777777" w:rsidR="002B6796" w:rsidRPr="00C034E2" w:rsidRDefault="002B6796" w:rsidP="002B6796">
      <w:pPr>
        <w:rPr>
          <w:rFonts w:ascii="Calibri" w:eastAsia="Times New Roman" w:hAnsi="Calibri" w:cs="Calibri"/>
          <w:sz w:val="24"/>
          <w:szCs w:val="24"/>
        </w:rPr>
      </w:pPr>
      <w:r w:rsidRPr="00C034E2">
        <w:rPr>
          <w:rFonts w:ascii="Calibri" w:eastAsia="Times New Roman" w:hAnsi="Calibri" w:cs="Calibri"/>
          <w:sz w:val="24"/>
          <w:szCs w:val="24"/>
        </w:rPr>
        <w:t>b)</w:t>
      </w:r>
    </w:p>
    <w:p w14:paraId="58F00C6B" w14:textId="77777777" w:rsidR="002B6796" w:rsidRPr="00C034E2" w:rsidRDefault="00120813" w:rsidP="002B6796">
      <w:pPr>
        <w:rPr>
          <w:rFonts w:ascii="Calibri" w:hAnsi="Calibri" w:cs="Calibri"/>
        </w:rPr>
      </w:pPr>
      <w:r w:rsidRPr="0096216A">
        <w:rPr>
          <w:rFonts w:ascii="Calibri" w:hAnsi="Calibri" w:cs="Calibri"/>
          <w:noProof/>
        </w:rPr>
        <w:drawing>
          <wp:inline distT="0" distB="0" distL="0" distR="0" wp14:anchorId="0970692A" wp14:editId="387F2E86">
            <wp:extent cx="2585085" cy="2637790"/>
            <wp:effectExtent l="0" t="0" r="0" b="0"/>
            <wp:docPr id="12" name="Picture 1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hart, bar chart&#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085" cy="2637790"/>
                    </a:xfrm>
                    <a:prstGeom prst="rect">
                      <a:avLst/>
                    </a:prstGeom>
                    <a:noFill/>
                    <a:ln>
                      <a:noFill/>
                    </a:ln>
                  </pic:spPr>
                </pic:pic>
              </a:graphicData>
            </a:graphic>
          </wp:inline>
        </w:drawing>
      </w:r>
      <w:r w:rsidR="002B6796" w:rsidRPr="00C034E2">
        <w:rPr>
          <w:rFonts w:ascii="Calibri" w:eastAsia="Times New Roman" w:hAnsi="Calibri" w:cs="Calibri"/>
          <w:noProof/>
          <w:sz w:val="24"/>
          <w:szCs w:val="24"/>
        </w:rPr>
        <w:t xml:space="preserve"> </w:t>
      </w:r>
      <w:r w:rsidRPr="0096216A">
        <w:rPr>
          <w:rFonts w:ascii="Calibri" w:hAnsi="Calibri" w:cs="Calibri"/>
          <w:noProof/>
        </w:rPr>
        <w:drawing>
          <wp:inline distT="0" distB="0" distL="0" distR="0" wp14:anchorId="0228A25A" wp14:editId="6BE8F7BD">
            <wp:extent cx="2620010" cy="2637790"/>
            <wp:effectExtent l="0" t="0" r="0" b="0"/>
            <wp:docPr id="13" name="Picture 1"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rt, bar chart&#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010" cy="2637790"/>
                    </a:xfrm>
                    <a:prstGeom prst="rect">
                      <a:avLst/>
                    </a:prstGeom>
                    <a:noFill/>
                    <a:ln>
                      <a:noFill/>
                    </a:ln>
                  </pic:spPr>
                </pic:pic>
              </a:graphicData>
            </a:graphic>
          </wp:inline>
        </w:drawing>
      </w:r>
    </w:p>
    <w:p w14:paraId="0C194289" w14:textId="27E75957" w:rsidR="002B6796" w:rsidRPr="00C034E2" w:rsidRDefault="002B6796" w:rsidP="00BC2839">
      <w:pPr>
        <w:spacing w:line="240" w:lineRule="auto"/>
        <w:rPr>
          <w:rFonts w:ascii="Calibri" w:hAnsi="Calibri" w:cs="Calibri"/>
        </w:rPr>
      </w:pPr>
      <w:r w:rsidRPr="00C034E2">
        <w:rPr>
          <w:rFonts w:ascii="Calibri" w:eastAsia="Times New Roman" w:hAnsi="Calibri" w:cs="Calibri"/>
          <w:i/>
          <w:sz w:val="24"/>
          <w:szCs w:val="24"/>
        </w:rPr>
        <w:t xml:space="preserve">Note. </w:t>
      </w:r>
      <w:r w:rsidRPr="00C034E2">
        <w:rPr>
          <w:rFonts w:ascii="Calibri" w:eastAsia="Times New Roman" w:hAnsi="Calibri" w:cs="Calibri"/>
          <w:sz w:val="24"/>
          <w:szCs w:val="24"/>
        </w:rPr>
        <w:t xml:space="preserve">No significant behavioral differences for the Why and How task in relation to OT or AVP vs. placebo when broken down by gender. Since AVP was only given to the females, there is no male vasopressin contrast. </w:t>
      </w:r>
      <w:r w:rsidRPr="00C034E2">
        <w:rPr>
          <w:rFonts w:ascii="Calibri" w:eastAsia="Times New Roman" w:hAnsi="Calibri" w:cs="Calibri"/>
          <w:color w:val="000000"/>
          <w:sz w:val="24"/>
          <w:szCs w:val="24"/>
        </w:rPr>
        <w:t xml:space="preserve">Error bars represent standard error. </w:t>
      </w:r>
      <w:proofErr w:type="spellStart"/>
      <w:r w:rsidRPr="00C034E2">
        <w:rPr>
          <w:rFonts w:ascii="Calibri" w:eastAsia="Times New Roman" w:hAnsi="Calibri" w:cs="Calibri"/>
          <w:sz w:val="24"/>
          <w:szCs w:val="24"/>
        </w:rPr>
        <w:t>n.s</w:t>
      </w:r>
      <w:proofErr w:type="spellEnd"/>
      <w:r w:rsidRPr="00C034E2">
        <w:rPr>
          <w:rFonts w:ascii="Calibri" w:eastAsia="Times New Roman" w:hAnsi="Calibri" w:cs="Calibri"/>
          <w:sz w:val="24"/>
          <w:szCs w:val="24"/>
        </w:rPr>
        <w:t>.= not significant</w:t>
      </w:r>
      <w:r w:rsidR="00BC2839">
        <w:rPr>
          <w:rFonts w:ascii="Calibri" w:eastAsia="Times New Roman" w:hAnsi="Calibri" w:cs="Calibri"/>
          <w:sz w:val="24"/>
          <w:szCs w:val="24"/>
        </w:rPr>
        <w:t>.</w:t>
      </w:r>
    </w:p>
    <w:p w14:paraId="401A3732" w14:textId="77777777" w:rsidR="002B6796" w:rsidRDefault="002B6796" w:rsidP="002B6796"/>
    <w:p w14:paraId="48C44032" w14:textId="77777777" w:rsidR="002B6796" w:rsidRDefault="002B6796" w:rsidP="002B6796">
      <w:pPr>
        <w:rPr>
          <w:rFonts w:ascii="Times New Roman" w:hAnsi="Times New Roman" w:cs="Times New Roman"/>
          <w:b/>
          <w:sz w:val="24"/>
          <w:szCs w:val="24"/>
        </w:rPr>
      </w:pPr>
    </w:p>
    <w:p w14:paraId="2BDF9F7F" w14:textId="77777777" w:rsidR="002B6796" w:rsidRDefault="002B6796" w:rsidP="00F87A56">
      <w:pPr>
        <w:rPr>
          <w:rFonts w:ascii="Times New Roman" w:eastAsia="Times New Roman" w:hAnsi="Times New Roman" w:cs="Times New Roman"/>
          <w:b/>
          <w:sz w:val="24"/>
          <w:szCs w:val="24"/>
        </w:rPr>
      </w:pPr>
    </w:p>
    <w:p w14:paraId="3CF6A31A" w14:textId="77777777" w:rsidR="00BC2839" w:rsidRDefault="00BC2839" w:rsidP="00DD3B05">
      <w:pPr>
        <w:rPr>
          <w:rFonts w:ascii="Calibri" w:hAnsi="Calibri" w:cs="Calibri"/>
          <w:b/>
          <w:sz w:val="24"/>
          <w:szCs w:val="24"/>
        </w:rPr>
      </w:pPr>
    </w:p>
    <w:p w14:paraId="51079C50" w14:textId="77777777" w:rsidR="00D96A81" w:rsidRDefault="00D96A81" w:rsidP="00DD3B05">
      <w:pPr>
        <w:rPr>
          <w:rFonts w:ascii="Calibri" w:hAnsi="Calibri" w:cs="Calibri"/>
          <w:b/>
          <w:sz w:val="24"/>
          <w:szCs w:val="24"/>
        </w:rPr>
      </w:pPr>
    </w:p>
    <w:p w14:paraId="5CDBFFB9" w14:textId="715B2782" w:rsidR="00DD3B05" w:rsidRPr="00C034E2" w:rsidRDefault="00DD3B05" w:rsidP="00DD3B05">
      <w:pPr>
        <w:rPr>
          <w:rFonts w:ascii="Calibri" w:hAnsi="Calibri" w:cs="Calibri"/>
          <w:b/>
          <w:sz w:val="24"/>
          <w:szCs w:val="24"/>
        </w:rPr>
      </w:pPr>
      <w:r w:rsidRPr="00C034E2">
        <w:rPr>
          <w:rFonts w:ascii="Calibri" w:hAnsi="Calibri" w:cs="Calibri"/>
          <w:b/>
          <w:sz w:val="24"/>
          <w:szCs w:val="24"/>
        </w:rPr>
        <w:lastRenderedPageBreak/>
        <w:t xml:space="preserve">Supplementary Figure </w:t>
      </w:r>
      <w:r w:rsidR="00333501">
        <w:rPr>
          <w:rFonts w:ascii="Calibri" w:hAnsi="Calibri" w:cs="Calibri"/>
          <w:b/>
          <w:sz w:val="24"/>
          <w:szCs w:val="24"/>
        </w:rPr>
        <w:t>S</w:t>
      </w:r>
      <w:r w:rsidRPr="00C034E2">
        <w:rPr>
          <w:rFonts w:ascii="Calibri" w:hAnsi="Calibri" w:cs="Calibri"/>
          <w:b/>
          <w:sz w:val="24"/>
          <w:szCs w:val="24"/>
        </w:rPr>
        <w:t>5</w:t>
      </w:r>
    </w:p>
    <w:p w14:paraId="7EEE4FE5" w14:textId="1539B7DF" w:rsidR="00DD3B05" w:rsidRPr="00C034E2" w:rsidRDefault="00DD3B05" w:rsidP="00DD3B05">
      <w:pPr>
        <w:rPr>
          <w:rFonts w:ascii="Calibri" w:eastAsia="Times New Roman" w:hAnsi="Calibri" w:cs="Calibri"/>
          <w:i/>
          <w:iCs/>
          <w:sz w:val="24"/>
          <w:szCs w:val="24"/>
        </w:rPr>
      </w:pPr>
      <w:r w:rsidRPr="00C034E2">
        <w:rPr>
          <w:rFonts w:ascii="Calibri" w:eastAsia="Times New Roman" w:hAnsi="Calibri" w:cs="Calibri"/>
          <w:i/>
          <w:iCs/>
          <w:sz w:val="24"/>
          <w:szCs w:val="24"/>
        </w:rPr>
        <w:t xml:space="preserve">Neural Activation of Drug Condition for Why vs </w:t>
      </w:r>
      <w:r w:rsidRPr="00333501">
        <w:rPr>
          <w:rFonts w:ascii="Calibri" w:eastAsia="Times New Roman" w:hAnsi="Calibri" w:cs="Calibri"/>
          <w:i/>
          <w:iCs/>
          <w:color w:val="000000" w:themeColor="text1"/>
          <w:sz w:val="24"/>
          <w:szCs w:val="24"/>
        </w:rPr>
        <w:t xml:space="preserve">How based </w:t>
      </w:r>
      <w:r w:rsidR="00236741" w:rsidRPr="00333501">
        <w:rPr>
          <w:rFonts w:ascii="Calibri" w:eastAsia="Times New Roman" w:hAnsi="Calibri" w:cs="Calibri"/>
          <w:i/>
          <w:iCs/>
          <w:color w:val="000000" w:themeColor="text1"/>
          <w:sz w:val="24"/>
          <w:szCs w:val="24"/>
        </w:rPr>
        <w:t>on gender</w:t>
      </w:r>
    </w:p>
    <w:p w14:paraId="177BEF6B" w14:textId="77777777" w:rsidR="00DD3B05" w:rsidRPr="00C034E2" w:rsidRDefault="00DD3B05" w:rsidP="00DD3B05">
      <w:pPr>
        <w:rPr>
          <w:rFonts w:ascii="Calibri" w:eastAsia="Times New Roman" w:hAnsi="Calibri" w:cs="Calibri"/>
          <w:b/>
          <w:bCs/>
          <w:i/>
          <w:iCs/>
          <w:sz w:val="24"/>
          <w:szCs w:val="24"/>
          <w:u w:val="single"/>
        </w:rPr>
      </w:pPr>
    </w:p>
    <w:p w14:paraId="089C8CA7" w14:textId="77777777" w:rsidR="00DD3B05" w:rsidRPr="00C034E2" w:rsidRDefault="00DD3B05" w:rsidP="00DD3B05">
      <w:pPr>
        <w:rPr>
          <w:rFonts w:ascii="Calibri" w:eastAsia="Times New Roman" w:hAnsi="Calibri" w:cs="Calibri"/>
          <w:b/>
          <w:bCs/>
          <w:i/>
          <w:iCs/>
          <w:sz w:val="24"/>
          <w:szCs w:val="24"/>
          <w:u w:val="single"/>
        </w:rPr>
      </w:pPr>
      <w:r w:rsidRPr="00C034E2">
        <w:rPr>
          <w:rFonts w:ascii="Calibri" w:eastAsia="Times New Roman" w:hAnsi="Calibri" w:cs="Calibri"/>
          <w:b/>
          <w:bCs/>
          <w:i/>
          <w:iCs/>
          <w:sz w:val="24"/>
          <w:szCs w:val="24"/>
        </w:rPr>
        <w:tab/>
        <w:t xml:space="preserve">         </w:t>
      </w:r>
      <w:r w:rsidRPr="00C034E2">
        <w:rPr>
          <w:rFonts w:ascii="Calibri" w:eastAsia="Times New Roman" w:hAnsi="Calibri" w:cs="Calibri"/>
          <w:b/>
          <w:bCs/>
          <w:i/>
          <w:iCs/>
          <w:sz w:val="24"/>
          <w:szCs w:val="24"/>
          <w:u w:val="single"/>
        </w:rPr>
        <w:t>Female Oxytocin</w:t>
      </w:r>
      <w:r w:rsidRPr="00C034E2">
        <w:rPr>
          <w:rFonts w:ascii="Calibri" w:eastAsia="Times New Roman" w:hAnsi="Calibri" w:cs="Calibri"/>
          <w:b/>
          <w:bCs/>
          <w:i/>
          <w:iCs/>
          <w:sz w:val="24"/>
          <w:szCs w:val="24"/>
        </w:rPr>
        <w:tab/>
      </w:r>
      <w:r w:rsidRPr="00C034E2">
        <w:rPr>
          <w:rFonts w:ascii="Calibri" w:eastAsia="Times New Roman" w:hAnsi="Calibri" w:cs="Calibri"/>
          <w:b/>
          <w:bCs/>
          <w:i/>
          <w:iCs/>
          <w:sz w:val="24"/>
          <w:szCs w:val="24"/>
        </w:rPr>
        <w:tab/>
      </w:r>
      <w:r w:rsidRPr="00C034E2">
        <w:rPr>
          <w:rFonts w:ascii="Calibri" w:eastAsia="Times New Roman" w:hAnsi="Calibri" w:cs="Calibri"/>
          <w:b/>
          <w:bCs/>
          <w:i/>
          <w:iCs/>
          <w:sz w:val="24"/>
          <w:szCs w:val="24"/>
        </w:rPr>
        <w:tab/>
      </w:r>
      <w:r w:rsidRPr="00C034E2">
        <w:rPr>
          <w:rFonts w:ascii="Calibri" w:eastAsia="Times New Roman" w:hAnsi="Calibri" w:cs="Calibri"/>
          <w:b/>
          <w:bCs/>
          <w:i/>
          <w:iCs/>
          <w:sz w:val="24"/>
          <w:szCs w:val="24"/>
        </w:rPr>
        <w:tab/>
      </w:r>
      <w:r w:rsidRPr="00C034E2">
        <w:rPr>
          <w:rFonts w:ascii="Calibri" w:eastAsia="Times New Roman" w:hAnsi="Calibri" w:cs="Calibri"/>
          <w:b/>
          <w:bCs/>
          <w:i/>
          <w:iCs/>
          <w:sz w:val="24"/>
          <w:szCs w:val="24"/>
          <w:u w:val="single"/>
        </w:rPr>
        <w:t>Male Oxytocin</w:t>
      </w:r>
    </w:p>
    <w:p w14:paraId="78CC9FA8" w14:textId="77777777" w:rsidR="00DD3B05" w:rsidRPr="00C034E2" w:rsidRDefault="00120813" w:rsidP="00DD3B05">
      <w:pPr>
        <w:rPr>
          <w:rFonts w:ascii="Calibri" w:eastAsia="Times New Roman" w:hAnsi="Calibri" w:cs="Calibri"/>
          <w:b/>
          <w:bCs/>
          <w:i/>
          <w:iCs/>
          <w:sz w:val="24"/>
          <w:szCs w:val="24"/>
          <w:u w:val="single"/>
        </w:rPr>
      </w:pPr>
      <w:r>
        <w:rPr>
          <w:noProof/>
        </w:rPr>
        <w:drawing>
          <wp:anchor distT="0" distB="0" distL="114300" distR="114300" simplePos="0" relativeHeight="251659264" behindDoc="0" locked="0" layoutInCell="1" allowOverlap="1" wp14:anchorId="6374EB79" wp14:editId="177A5B66">
            <wp:simplePos x="0" y="0"/>
            <wp:positionH relativeFrom="column">
              <wp:posOffset>2766695</wp:posOffset>
            </wp:positionH>
            <wp:positionV relativeFrom="paragraph">
              <wp:posOffset>635</wp:posOffset>
            </wp:positionV>
            <wp:extent cx="2684780" cy="1948180"/>
            <wp:effectExtent l="0" t="0" r="0" b="0"/>
            <wp:wrapNone/>
            <wp:docPr id="36" name="Picture 39" descr="A picture containing fungus, choco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 picture containing fungus, chocolate&#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478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C1114BF" wp14:editId="4655C22C">
            <wp:simplePos x="0" y="0"/>
            <wp:positionH relativeFrom="column">
              <wp:posOffset>5715</wp:posOffset>
            </wp:positionH>
            <wp:positionV relativeFrom="paragraph">
              <wp:posOffset>-1270</wp:posOffset>
            </wp:positionV>
            <wp:extent cx="2685415" cy="1948815"/>
            <wp:effectExtent l="0" t="0" r="0" b="0"/>
            <wp:wrapNone/>
            <wp:docPr id="35" name="Picture 28" descr="A picture containing fungus, choco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picture containing fungus, chocolate&#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541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B05" w:rsidRPr="00C034E2">
        <w:rPr>
          <w:rFonts w:ascii="Calibri" w:hAnsi="Calibri" w:cs="Calibri"/>
          <w:noProof/>
        </w:rPr>
        <w:t xml:space="preserve"> </w:t>
      </w:r>
    </w:p>
    <w:p w14:paraId="5D15EAB0" w14:textId="77777777" w:rsidR="00DD3B05" w:rsidRPr="00C034E2" w:rsidRDefault="00DD3B05" w:rsidP="00DD3B05">
      <w:pPr>
        <w:rPr>
          <w:rFonts w:ascii="Calibri" w:eastAsia="Times New Roman" w:hAnsi="Calibri" w:cs="Calibri"/>
          <w:b/>
          <w:bCs/>
          <w:i/>
          <w:iCs/>
          <w:sz w:val="24"/>
          <w:szCs w:val="24"/>
          <w:u w:val="single"/>
        </w:rPr>
      </w:pPr>
    </w:p>
    <w:p w14:paraId="2CD9491E" w14:textId="77777777" w:rsidR="00DD3B05" w:rsidRPr="00C034E2" w:rsidRDefault="00DD3B05" w:rsidP="00DD3B05">
      <w:pPr>
        <w:rPr>
          <w:rFonts w:ascii="Calibri" w:eastAsia="Times New Roman" w:hAnsi="Calibri" w:cs="Calibri"/>
          <w:b/>
          <w:bCs/>
          <w:i/>
          <w:iCs/>
          <w:sz w:val="24"/>
          <w:szCs w:val="24"/>
          <w:u w:val="single"/>
        </w:rPr>
      </w:pPr>
    </w:p>
    <w:p w14:paraId="26D6BBF2" w14:textId="77777777" w:rsidR="00DD3B05" w:rsidRPr="00C034E2" w:rsidRDefault="00DD3B05" w:rsidP="00DD3B05">
      <w:pPr>
        <w:rPr>
          <w:rFonts w:ascii="Calibri" w:eastAsia="Times New Roman" w:hAnsi="Calibri" w:cs="Calibri"/>
          <w:b/>
          <w:bCs/>
          <w:i/>
          <w:iCs/>
          <w:sz w:val="24"/>
          <w:szCs w:val="24"/>
          <w:u w:val="single"/>
        </w:rPr>
      </w:pPr>
    </w:p>
    <w:p w14:paraId="16F507A9" w14:textId="77777777" w:rsidR="00DD3B05" w:rsidRPr="00C034E2" w:rsidRDefault="00DD3B05" w:rsidP="00DD3B05">
      <w:pPr>
        <w:rPr>
          <w:rFonts w:ascii="Calibri" w:eastAsia="Times New Roman" w:hAnsi="Calibri" w:cs="Calibri"/>
          <w:b/>
          <w:bCs/>
          <w:i/>
          <w:iCs/>
          <w:sz w:val="24"/>
          <w:szCs w:val="24"/>
          <w:u w:val="single"/>
        </w:rPr>
      </w:pPr>
    </w:p>
    <w:p w14:paraId="5133A294" w14:textId="77777777" w:rsidR="00DD3B05" w:rsidRPr="00C034E2" w:rsidRDefault="00DD3B05" w:rsidP="00DD3B05">
      <w:pPr>
        <w:rPr>
          <w:rFonts w:ascii="Calibri" w:eastAsia="Times New Roman" w:hAnsi="Calibri" w:cs="Calibri"/>
          <w:b/>
          <w:bCs/>
          <w:i/>
          <w:iCs/>
          <w:sz w:val="24"/>
          <w:szCs w:val="24"/>
          <w:u w:val="single"/>
        </w:rPr>
      </w:pPr>
    </w:p>
    <w:p w14:paraId="44F0ECD8" w14:textId="77777777" w:rsidR="00DD3B05" w:rsidRPr="00C034E2" w:rsidRDefault="00DD3B05" w:rsidP="00DD3B05">
      <w:pPr>
        <w:rPr>
          <w:rFonts w:ascii="Calibri" w:eastAsia="Times New Roman" w:hAnsi="Calibri" w:cs="Calibri"/>
          <w:b/>
          <w:bCs/>
          <w:i/>
          <w:iCs/>
          <w:sz w:val="24"/>
          <w:szCs w:val="24"/>
          <w:u w:val="single"/>
        </w:rPr>
      </w:pPr>
    </w:p>
    <w:p w14:paraId="69BAF594" w14:textId="77777777" w:rsidR="00DD3B05" w:rsidRPr="00C034E2" w:rsidRDefault="00DD3B05" w:rsidP="00DD3B05">
      <w:pPr>
        <w:rPr>
          <w:rFonts w:ascii="Calibri" w:eastAsia="Times New Roman" w:hAnsi="Calibri" w:cs="Calibri"/>
          <w:b/>
          <w:bCs/>
          <w:i/>
          <w:iCs/>
          <w:sz w:val="24"/>
          <w:szCs w:val="24"/>
          <w:u w:val="single"/>
        </w:rPr>
      </w:pPr>
    </w:p>
    <w:p w14:paraId="446C2A2C" w14:textId="77777777" w:rsidR="00DD3B05" w:rsidRPr="00C034E2" w:rsidRDefault="00DD3B05" w:rsidP="00DD3B05">
      <w:pPr>
        <w:rPr>
          <w:rFonts w:ascii="Calibri" w:eastAsia="Times New Roman" w:hAnsi="Calibri" w:cs="Calibri"/>
          <w:b/>
          <w:bCs/>
          <w:i/>
          <w:iCs/>
          <w:sz w:val="24"/>
          <w:szCs w:val="24"/>
          <w:u w:val="single"/>
        </w:rPr>
      </w:pPr>
    </w:p>
    <w:p w14:paraId="049ABA0C" w14:textId="77777777" w:rsidR="00DD3B05" w:rsidRPr="00C034E2" w:rsidRDefault="00DD3B05" w:rsidP="00DD3B05">
      <w:pPr>
        <w:rPr>
          <w:rFonts w:ascii="Calibri" w:eastAsia="Times New Roman" w:hAnsi="Calibri" w:cs="Calibri"/>
          <w:b/>
          <w:bCs/>
          <w:i/>
          <w:iCs/>
          <w:sz w:val="24"/>
          <w:szCs w:val="24"/>
          <w:u w:val="single"/>
        </w:rPr>
      </w:pPr>
    </w:p>
    <w:p w14:paraId="3EE00C97" w14:textId="77777777" w:rsidR="00DD3B05" w:rsidRPr="00C034E2" w:rsidRDefault="00120813" w:rsidP="00DD3B05">
      <w:pPr>
        <w:rPr>
          <w:rFonts w:ascii="Calibri" w:eastAsia="Times New Roman" w:hAnsi="Calibri" w:cs="Calibri"/>
          <w:b/>
          <w:bCs/>
          <w:i/>
          <w:iCs/>
          <w:sz w:val="24"/>
          <w:szCs w:val="24"/>
          <w:u w:val="single"/>
        </w:rPr>
      </w:pPr>
      <w:r>
        <w:rPr>
          <w:noProof/>
        </w:rPr>
        <w:drawing>
          <wp:anchor distT="0" distB="0" distL="114300" distR="114300" simplePos="0" relativeHeight="251658240" behindDoc="0" locked="0" layoutInCell="1" allowOverlap="1" wp14:anchorId="6306E334" wp14:editId="1A473E33">
            <wp:simplePos x="0" y="0"/>
            <wp:positionH relativeFrom="column">
              <wp:posOffset>2719070</wp:posOffset>
            </wp:positionH>
            <wp:positionV relativeFrom="paragraph">
              <wp:posOffset>4445</wp:posOffset>
            </wp:positionV>
            <wp:extent cx="2683510" cy="274955"/>
            <wp:effectExtent l="0" t="0" r="0" b="0"/>
            <wp:wrapNone/>
            <wp:docPr id="3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3">
                      <a:extLst>
                        <a:ext uri="{28A0092B-C50C-407E-A947-70E740481C1C}">
                          <a14:useLocalDpi xmlns:a14="http://schemas.microsoft.com/office/drawing/2010/main" val="0"/>
                        </a:ext>
                      </a:extLst>
                    </a:blip>
                    <a:srcRect t="5266"/>
                    <a:stretch>
                      <a:fillRect/>
                    </a:stretch>
                  </pic:blipFill>
                  <pic:spPr bwMode="auto">
                    <a:xfrm>
                      <a:off x="0" y="0"/>
                      <a:ext cx="268351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A29EB1E" wp14:editId="752DA766">
            <wp:simplePos x="0" y="0"/>
            <wp:positionH relativeFrom="column">
              <wp:posOffset>6350</wp:posOffset>
            </wp:positionH>
            <wp:positionV relativeFrom="paragraph">
              <wp:posOffset>4445</wp:posOffset>
            </wp:positionV>
            <wp:extent cx="2683510" cy="270510"/>
            <wp:effectExtent l="0" t="0" r="0" b="0"/>
            <wp:wrapNone/>
            <wp:docPr id="3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3">
                      <a:extLst>
                        <a:ext uri="{28A0092B-C50C-407E-A947-70E740481C1C}">
                          <a14:useLocalDpi xmlns:a14="http://schemas.microsoft.com/office/drawing/2010/main" val="0"/>
                        </a:ext>
                      </a:extLst>
                    </a:blip>
                    <a:srcRect t="6772"/>
                    <a:stretch>
                      <a:fillRect/>
                    </a:stretch>
                  </pic:blipFill>
                  <pic:spPr bwMode="auto">
                    <a:xfrm>
                      <a:off x="0" y="0"/>
                      <a:ext cx="2683510" cy="27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FD978" w14:textId="77777777" w:rsidR="00DD3B05" w:rsidRPr="00C034E2" w:rsidRDefault="00DD3B05" w:rsidP="00DD3B05">
      <w:pPr>
        <w:rPr>
          <w:rFonts w:ascii="Calibri" w:eastAsia="Times New Roman" w:hAnsi="Calibri" w:cs="Calibri"/>
          <w:b/>
          <w:bCs/>
          <w:i/>
          <w:iCs/>
          <w:sz w:val="24"/>
          <w:szCs w:val="24"/>
          <w:u w:val="single"/>
        </w:rPr>
      </w:pPr>
    </w:p>
    <w:p w14:paraId="7656978C" w14:textId="77777777" w:rsidR="00DD3B05" w:rsidRPr="00C034E2" w:rsidRDefault="00120813" w:rsidP="00DD3B05">
      <w:pPr>
        <w:rPr>
          <w:rFonts w:ascii="Calibri" w:eastAsia="Times New Roman" w:hAnsi="Calibri" w:cs="Calibri"/>
          <w:b/>
          <w:bCs/>
          <w:i/>
          <w:iCs/>
          <w:sz w:val="24"/>
          <w:szCs w:val="24"/>
          <w:u w:val="single"/>
        </w:rPr>
      </w:pPr>
      <w:r>
        <w:rPr>
          <w:noProof/>
        </w:rPr>
        <w:drawing>
          <wp:anchor distT="0" distB="0" distL="114300" distR="114300" simplePos="0" relativeHeight="251654144" behindDoc="1" locked="0" layoutInCell="1" allowOverlap="1" wp14:anchorId="737BFB86" wp14:editId="766D2D1A">
            <wp:simplePos x="0" y="0"/>
            <wp:positionH relativeFrom="column">
              <wp:posOffset>185420</wp:posOffset>
            </wp:positionH>
            <wp:positionV relativeFrom="paragraph">
              <wp:posOffset>79375</wp:posOffset>
            </wp:positionV>
            <wp:extent cx="2459355" cy="966470"/>
            <wp:effectExtent l="0" t="0" r="0" b="0"/>
            <wp:wrapNone/>
            <wp:docPr id="32" name="Picture 30" descr="A picture containing fungus, choco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picture containing fungus, chocolate&#10;&#10;Description automatically generated"/>
                    <pic:cNvPicPr>
                      <a:picLocks/>
                    </pic:cNvPicPr>
                  </pic:nvPicPr>
                  <pic:blipFill>
                    <a:blip r:embed="rId24">
                      <a:extLst>
                        <a:ext uri="{28A0092B-C50C-407E-A947-70E740481C1C}">
                          <a14:useLocalDpi xmlns:a14="http://schemas.microsoft.com/office/drawing/2010/main" val="0"/>
                        </a:ext>
                      </a:extLst>
                    </a:blip>
                    <a:srcRect t="54482"/>
                    <a:stretch>
                      <a:fillRect/>
                    </a:stretch>
                  </pic:blipFill>
                  <pic:spPr bwMode="auto">
                    <a:xfrm>
                      <a:off x="0" y="0"/>
                      <a:ext cx="245935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5682E2A" wp14:editId="18BFD482">
            <wp:simplePos x="0" y="0"/>
            <wp:positionH relativeFrom="column">
              <wp:posOffset>134620</wp:posOffset>
            </wp:positionH>
            <wp:positionV relativeFrom="paragraph">
              <wp:posOffset>1028065</wp:posOffset>
            </wp:positionV>
            <wp:extent cx="2584450" cy="1052830"/>
            <wp:effectExtent l="0" t="0" r="0" b="0"/>
            <wp:wrapNone/>
            <wp:docPr id="31" name="Picture 33" descr="A picture containing fungus, choco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A picture containing fungus, chocolate&#10;&#10;Description automatically generated"/>
                    <pic:cNvPicPr>
                      <a:picLocks/>
                    </pic:cNvPicPr>
                  </pic:nvPicPr>
                  <pic:blipFill>
                    <a:blip r:embed="rId25" cstate="print">
                      <a:extLst>
                        <a:ext uri="{28A0092B-C50C-407E-A947-70E740481C1C}">
                          <a14:useLocalDpi xmlns:a14="http://schemas.microsoft.com/office/drawing/2010/main" val="0"/>
                        </a:ext>
                      </a:extLst>
                    </a:blip>
                    <a:srcRect b="52798"/>
                    <a:stretch>
                      <a:fillRect/>
                    </a:stretch>
                  </pic:blipFill>
                  <pic:spPr bwMode="auto">
                    <a:xfrm>
                      <a:off x="0" y="0"/>
                      <a:ext cx="258445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B05" w:rsidRPr="00C034E2">
        <w:rPr>
          <w:rFonts w:ascii="Calibri" w:eastAsia="Times New Roman" w:hAnsi="Calibri" w:cs="Calibri"/>
          <w:b/>
          <w:bCs/>
          <w:i/>
          <w:iCs/>
          <w:sz w:val="24"/>
          <w:szCs w:val="24"/>
        </w:rPr>
        <w:tab/>
        <w:t xml:space="preserve">       </w:t>
      </w:r>
      <w:r w:rsidR="00DD3B05" w:rsidRPr="00C034E2">
        <w:rPr>
          <w:rFonts w:ascii="Calibri" w:eastAsia="Times New Roman" w:hAnsi="Calibri" w:cs="Calibri"/>
          <w:b/>
          <w:bCs/>
          <w:i/>
          <w:iCs/>
          <w:sz w:val="24"/>
          <w:szCs w:val="24"/>
          <w:u w:val="single"/>
        </w:rPr>
        <w:t>Female Vasopressin</w:t>
      </w:r>
    </w:p>
    <w:p w14:paraId="7300D695" w14:textId="77777777" w:rsidR="00DD3B05" w:rsidRPr="00C034E2" w:rsidRDefault="00DD3B05" w:rsidP="00DD3B05">
      <w:pPr>
        <w:rPr>
          <w:rFonts w:ascii="Calibri" w:eastAsia="Times New Roman" w:hAnsi="Calibri" w:cs="Calibri"/>
          <w:b/>
          <w:bCs/>
          <w:i/>
          <w:iCs/>
          <w:sz w:val="24"/>
          <w:szCs w:val="24"/>
          <w:u w:val="single"/>
        </w:rPr>
      </w:pPr>
    </w:p>
    <w:p w14:paraId="023514BC" w14:textId="77777777" w:rsidR="00DD3B05" w:rsidRPr="00C034E2" w:rsidRDefault="00DD3B05" w:rsidP="00DD3B05">
      <w:pPr>
        <w:rPr>
          <w:rFonts w:ascii="Calibri" w:eastAsia="Times New Roman" w:hAnsi="Calibri" w:cs="Calibri"/>
          <w:b/>
          <w:bCs/>
          <w:i/>
          <w:iCs/>
          <w:sz w:val="24"/>
          <w:szCs w:val="24"/>
          <w:u w:val="single"/>
        </w:rPr>
      </w:pPr>
    </w:p>
    <w:p w14:paraId="4969147D" w14:textId="77777777" w:rsidR="00DD3B05" w:rsidRPr="00C034E2" w:rsidRDefault="00DD3B05" w:rsidP="00DD3B05">
      <w:pPr>
        <w:rPr>
          <w:rFonts w:ascii="Calibri" w:eastAsia="Times New Roman" w:hAnsi="Calibri" w:cs="Calibri"/>
          <w:b/>
          <w:bCs/>
          <w:i/>
          <w:iCs/>
          <w:sz w:val="24"/>
          <w:szCs w:val="24"/>
          <w:u w:val="single"/>
        </w:rPr>
      </w:pPr>
    </w:p>
    <w:p w14:paraId="5F43CEFC" w14:textId="77777777" w:rsidR="00DD3B05" w:rsidRPr="00C034E2" w:rsidRDefault="00DD3B05" w:rsidP="00DD3B05">
      <w:pPr>
        <w:rPr>
          <w:rFonts w:ascii="Calibri" w:eastAsia="Times New Roman" w:hAnsi="Calibri" w:cs="Calibri"/>
          <w:b/>
          <w:bCs/>
          <w:i/>
          <w:iCs/>
          <w:sz w:val="24"/>
          <w:szCs w:val="24"/>
          <w:u w:val="single"/>
        </w:rPr>
      </w:pPr>
    </w:p>
    <w:p w14:paraId="476886A4" w14:textId="77777777" w:rsidR="00DD3B05" w:rsidRPr="00C034E2" w:rsidRDefault="00DD3B05" w:rsidP="00DD3B05">
      <w:pPr>
        <w:rPr>
          <w:rFonts w:ascii="Calibri" w:eastAsia="Times New Roman" w:hAnsi="Calibri" w:cs="Calibri"/>
          <w:b/>
          <w:bCs/>
          <w:i/>
          <w:iCs/>
          <w:sz w:val="24"/>
          <w:szCs w:val="24"/>
          <w:u w:val="single"/>
        </w:rPr>
      </w:pPr>
    </w:p>
    <w:p w14:paraId="10022D67" w14:textId="77777777" w:rsidR="00DD3B05" w:rsidRPr="00C034E2" w:rsidRDefault="00DD3B05" w:rsidP="00DD3B05">
      <w:pPr>
        <w:rPr>
          <w:rFonts w:ascii="Calibri" w:eastAsia="Times New Roman" w:hAnsi="Calibri" w:cs="Calibri"/>
          <w:b/>
          <w:bCs/>
          <w:i/>
          <w:iCs/>
          <w:sz w:val="24"/>
          <w:szCs w:val="24"/>
          <w:u w:val="single"/>
        </w:rPr>
      </w:pPr>
    </w:p>
    <w:p w14:paraId="3E948A81" w14:textId="77777777" w:rsidR="00DD3B05" w:rsidRPr="00C034E2" w:rsidRDefault="00DD3B05" w:rsidP="00DD3B05">
      <w:pPr>
        <w:rPr>
          <w:rFonts w:ascii="Calibri" w:eastAsia="Times New Roman" w:hAnsi="Calibri" w:cs="Calibri"/>
          <w:b/>
          <w:bCs/>
          <w:i/>
          <w:iCs/>
          <w:sz w:val="24"/>
          <w:szCs w:val="24"/>
          <w:u w:val="single"/>
        </w:rPr>
      </w:pPr>
    </w:p>
    <w:p w14:paraId="639258A5" w14:textId="77777777" w:rsidR="00DD3B05" w:rsidRPr="00C034E2" w:rsidRDefault="00DD3B05" w:rsidP="00DD3B05">
      <w:pPr>
        <w:rPr>
          <w:rFonts w:ascii="Calibri" w:eastAsia="Times New Roman" w:hAnsi="Calibri" w:cs="Calibri"/>
          <w:b/>
          <w:bCs/>
          <w:i/>
          <w:iCs/>
          <w:sz w:val="24"/>
          <w:szCs w:val="24"/>
          <w:u w:val="single"/>
        </w:rPr>
      </w:pPr>
    </w:p>
    <w:p w14:paraId="005F8D5C" w14:textId="77777777" w:rsidR="00DD3B05" w:rsidRPr="00C034E2" w:rsidRDefault="00DD3B05" w:rsidP="00DD3B05">
      <w:pPr>
        <w:rPr>
          <w:rFonts w:ascii="Calibri" w:eastAsia="Times New Roman" w:hAnsi="Calibri" w:cs="Calibri"/>
          <w:b/>
          <w:bCs/>
          <w:i/>
          <w:iCs/>
          <w:sz w:val="24"/>
          <w:szCs w:val="24"/>
          <w:u w:val="single"/>
        </w:rPr>
      </w:pPr>
    </w:p>
    <w:p w14:paraId="6CBEA69C" w14:textId="77777777" w:rsidR="00DD3B05" w:rsidRPr="00C034E2" w:rsidRDefault="00DD3B05" w:rsidP="00DD3B05">
      <w:pPr>
        <w:rPr>
          <w:rFonts w:ascii="Calibri" w:eastAsia="Times New Roman" w:hAnsi="Calibri" w:cs="Calibri"/>
          <w:b/>
          <w:bCs/>
          <w:i/>
          <w:iCs/>
          <w:sz w:val="24"/>
          <w:szCs w:val="24"/>
          <w:u w:val="single"/>
        </w:rPr>
      </w:pPr>
    </w:p>
    <w:p w14:paraId="690AA49C" w14:textId="77777777" w:rsidR="00DD3B05" w:rsidRPr="00C034E2" w:rsidRDefault="00120813" w:rsidP="00DD3B05">
      <w:pPr>
        <w:rPr>
          <w:rFonts w:ascii="Calibri" w:eastAsia="Times New Roman" w:hAnsi="Calibri" w:cs="Calibri"/>
          <w:b/>
          <w:bCs/>
          <w:i/>
          <w:iCs/>
          <w:sz w:val="24"/>
          <w:szCs w:val="24"/>
          <w:u w:val="single"/>
        </w:rPr>
      </w:pPr>
      <w:r>
        <w:rPr>
          <w:noProof/>
        </w:rPr>
        <w:drawing>
          <wp:anchor distT="0" distB="0" distL="114300" distR="114300" simplePos="0" relativeHeight="251660288" behindDoc="0" locked="0" layoutInCell="1" allowOverlap="1" wp14:anchorId="12482B23" wp14:editId="75ABA21F">
            <wp:simplePos x="0" y="0"/>
            <wp:positionH relativeFrom="column">
              <wp:posOffset>80645</wp:posOffset>
            </wp:positionH>
            <wp:positionV relativeFrom="paragraph">
              <wp:posOffset>23495</wp:posOffset>
            </wp:positionV>
            <wp:extent cx="2684145" cy="273050"/>
            <wp:effectExtent l="0" t="0" r="0" b="0"/>
            <wp:wrapNone/>
            <wp:docPr id="3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3">
                      <a:extLst>
                        <a:ext uri="{28A0092B-C50C-407E-A947-70E740481C1C}">
                          <a14:useLocalDpi xmlns:a14="http://schemas.microsoft.com/office/drawing/2010/main" val="0"/>
                        </a:ext>
                      </a:extLst>
                    </a:blip>
                    <a:srcRect t="6020"/>
                    <a:stretch>
                      <a:fillRect/>
                    </a:stretch>
                  </pic:blipFill>
                  <pic:spPr bwMode="auto">
                    <a:xfrm>
                      <a:off x="0" y="0"/>
                      <a:ext cx="268414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9D926" w14:textId="77777777" w:rsidR="00DD3B05" w:rsidRPr="00C034E2" w:rsidRDefault="00DD3B05" w:rsidP="00DD3B05">
      <w:pPr>
        <w:rPr>
          <w:rFonts w:ascii="Calibri" w:eastAsia="Times New Roman" w:hAnsi="Calibri" w:cs="Calibri"/>
          <w:b/>
          <w:bCs/>
          <w:i/>
          <w:iCs/>
          <w:sz w:val="24"/>
          <w:szCs w:val="24"/>
          <w:u w:val="single"/>
        </w:rPr>
      </w:pPr>
    </w:p>
    <w:p w14:paraId="09EC76E7" w14:textId="77777777" w:rsidR="00DD3B05" w:rsidRPr="00C034E2" w:rsidRDefault="00120813" w:rsidP="00DD3B05">
      <w:pPr>
        <w:rPr>
          <w:rFonts w:ascii="Calibri" w:eastAsia="Times New Roman" w:hAnsi="Calibri" w:cs="Calibri"/>
          <w:b/>
          <w:bCs/>
          <w:i/>
          <w:iCs/>
          <w:sz w:val="24"/>
          <w:szCs w:val="24"/>
          <w:u w:val="single"/>
        </w:rPr>
      </w:pPr>
      <w:r>
        <w:rPr>
          <w:noProof/>
        </w:rPr>
        <w:drawing>
          <wp:anchor distT="0" distB="0" distL="114300" distR="114300" simplePos="0" relativeHeight="251662336" behindDoc="0" locked="0" layoutInCell="1" allowOverlap="1" wp14:anchorId="5477793E" wp14:editId="067334A4">
            <wp:simplePos x="0" y="0"/>
            <wp:positionH relativeFrom="column">
              <wp:posOffset>222885</wp:posOffset>
            </wp:positionH>
            <wp:positionV relativeFrom="paragraph">
              <wp:posOffset>31115</wp:posOffset>
            </wp:positionV>
            <wp:extent cx="2334260" cy="2667000"/>
            <wp:effectExtent l="0" t="0" r="0" b="0"/>
            <wp:wrapNone/>
            <wp:docPr id="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val="0"/>
                        </a:ext>
                      </a:extLst>
                    </a:blip>
                    <a:srcRect t="813"/>
                    <a:stretch>
                      <a:fillRect/>
                    </a:stretch>
                  </pic:blipFill>
                  <pic:spPr bwMode="auto">
                    <a:xfrm>
                      <a:off x="0" y="0"/>
                      <a:ext cx="233426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B72763" wp14:editId="696EB018">
            <wp:simplePos x="0" y="0"/>
            <wp:positionH relativeFrom="column">
              <wp:posOffset>2915920</wp:posOffset>
            </wp:positionH>
            <wp:positionV relativeFrom="paragraph">
              <wp:posOffset>11430</wp:posOffset>
            </wp:positionV>
            <wp:extent cx="2376805" cy="2702560"/>
            <wp:effectExtent l="0" t="0" r="0" b="0"/>
            <wp:wrapNone/>
            <wp:docPr id="28" name="Picture 41"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art, box and whisker char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680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A2534" w14:textId="77777777" w:rsidR="00DD3B05" w:rsidRPr="00C034E2" w:rsidRDefault="00DD3B05" w:rsidP="00F87A56">
      <w:pPr>
        <w:rPr>
          <w:rFonts w:ascii="Calibri" w:eastAsia="Times New Roman" w:hAnsi="Calibri" w:cs="Calibri"/>
          <w:b/>
          <w:sz w:val="24"/>
          <w:szCs w:val="24"/>
        </w:rPr>
      </w:pPr>
    </w:p>
    <w:p w14:paraId="679218F3" w14:textId="77777777" w:rsidR="00DD3B05" w:rsidRPr="00C034E2" w:rsidRDefault="00DD3B05" w:rsidP="00F87A56">
      <w:pPr>
        <w:rPr>
          <w:rFonts w:ascii="Calibri" w:eastAsia="Times New Roman" w:hAnsi="Calibri" w:cs="Calibri"/>
          <w:b/>
          <w:sz w:val="24"/>
          <w:szCs w:val="24"/>
        </w:rPr>
      </w:pPr>
    </w:p>
    <w:p w14:paraId="6AD4130B" w14:textId="77777777" w:rsidR="00DD3B05" w:rsidRPr="00C034E2" w:rsidRDefault="00DD3B05" w:rsidP="00F87A56">
      <w:pPr>
        <w:rPr>
          <w:rFonts w:ascii="Calibri" w:eastAsia="Times New Roman" w:hAnsi="Calibri" w:cs="Calibri"/>
          <w:b/>
          <w:sz w:val="24"/>
          <w:szCs w:val="24"/>
        </w:rPr>
      </w:pPr>
    </w:p>
    <w:p w14:paraId="64EB74FF" w14:textId="77777777" w:rsidR="00DD3B05" w:rsidRPr="00C034E2" w:rsidRDefault="00DD3B05" w:rsidP="00F87A56">
      <w:pPr>
        <w:rPr>
          <w:rFonts w:ascii="Calibri" w:eastAsia="Times New Roman" w:hAnsi="Calibri" w:cs="Calibri"/>
          <w:b/>
          <w:sz w:val="24"/>
          <w:szCs w:val="24"/>
        </w:rPr>
      </w:pPr>
    </w:p>
    <w:p w14:paraId="37F438F9" w14:textId="77777777" w:rsidR="00DD3B05" w:rsidRPr="00C034E2" w:rsidRDefault="00DD3B05" w:rsidP="00F87A56">
      <w:pPr>
        <w:rPr>
          <w:rFonts w:ascii="Calibri" w:eastAsia="Times New Roman" w:hAnsi="Calibri" w:cs="Calibri"/>
          <w:b/>
          <w:sz w:val="24"/>
          <w:szCs w:val="24"/>
        </w:rPr>
      </w:pPr>
    </w:p>
    <w:p w14:paraId="2F3A763C" w14:textId="77777777" w:rsidR="00DD3B05" w:rsidRPr="00C034E2" w:rsidRDefault="00DD3B05" w:rsidP="00F87A56">
      <w:pPr>
        <w:rPr>
          <w:rFonts w:ascii="Calibri" w:eastAsia="Times New Roman" w:hAnsi="Calibri" w:cs="Calibri"/>
          <w:b/>
          <w:sz w:val="24"/>
          <w:szCs w:val="24"/>
        </w:rPr>
      </w:pPr>
    </w:p>
    <w:p w14:paraId="70D6A41A" w14:textId="77777777" w:rsidR="00DD3B05" w:rsidRPr="00C034E2" w:rsidRDefault="00DD3B05" w:rsidP="00F87A56">
      <w:pPr>
        <w:rPr>
          <w:rFonts w:ascii="Calibri" w:eastAsia="Times New Roman" w:hAnsi="Calibri" w:cs="Calibri"/>
          <w:b/>
          <w:sz w:val="24"/>
          <w:szCs w:val="24"/>
        </w:rPr>
      </w:pPr>
    </w:p>
    <w:p w14:paraId="75625E25" w14:textId="77777777" w:rsidR="00DD3B05" w:rsidRPr="00C034E2" w:rsidRDefault="00DD3B05" w:rsidP="00F87A56">
      <w:pPr>
        <w:rPr>
          <w:rFonts w:ascii="Calibri" w:eastAsia="Times New Roman" w:hAnsi="Calibri" w:cs="Calibri"/>
          <w:b/>
          <w:sz w:val="24"/>
          <w:szCs w:val="24"/>
        </w:rPr>
      </w:pPr>
    </w:p>
    <w:p w14:paraId="59C2B670" w14:textId="1D80CA72" w:rsidR="00F87A56" w:rsidRPr="00C034E2" w:rsidRDefault="00F87A56" w:rsidP="00F87A56">
      <w:pPr>
        <w:rPr>
          <w:rFonts w:ascii="Calibri" w:eastAsia="Times New Roman" w:hAnsi="Calibri" w:cs="Calibri"/>
          <w:b/>
          <w:sz w:val="24"/>
          <w:szCs w:val="24"/>
        </w:rPr>
      </w:pPr>
      <w:r w:rsidRPr="00C034E2">
        <w:rPr>
          <w:rFonts w:ascii="Calibri" w:eastAsia="Times New Roman" w:hAnsi="Calibri" w:cs="Calibri"/>
          <w:b/>
          <w:sz w:val="24"/>
          <w:szCs w:val="24"/>
        </w:rPr>
        <w:lastRenderedPageBreak/>
        <w:t xml:space="preserve">Supplementary Figure </w:t>
      </w:r>
      <w:r w:rsidR="00333501">
        <w:rPr>
          <w:rFonts w:ascii="Calibri" w:eastAsia="Times New Roman" w:hAnsi="Calibri" w:cs="Calibri"/>
          <w:b/>
          <w:sz w:val="24"/>
          <w:szCs w:val="24"/>
        </w:rPr>
        <w:t>S</w:t>
      </w:r>
      <w:r w:rsidR="00DD3B05" w:rsidRPr="00C034E2">
        <w:rPr>
          <w:rFonts w:ascii="Calibri" w:eastAsia="Times New Roman" w:hAnsi="Calibri" w:cs="Calibri"/>
          <w:b/>
          <w:sz w:val="24"/>
          <w:szCs w:val="24"/>
        </w:rPr>
        <w:t>6</w:t>
      </w:r>
    </w:p>
    <w:p w14:paraId="1DDDD06A" w14:textId="77777777" w:rsidR="00F87A56" w:rsidRPr="00C034E2" w:rsidRDefault="00F87A56" w:rsidP="00F87A56">
      <w:pPr>
        <w:rPr>
          <w:rFonts w:ascii="Calibri" w:hAnsi="Calibri" w:cs="Calibri"/>
        </w:rPr>
      </w:pPr>
      <w:r w:rsidRPr="00C034E2">
        <w:rPr>
          <w:rFonts w:ascii="Calibri" w:eastAsia="Times New Roman" w:hAnsi="Calibri" w:cs="Calibri"/>
          <w:i/>
          <w:sz w:val="24"/>
          <w:szCs w:val="24"/>
        </w:rPr>
        <w:t>Changes in functional connectivity when separating the sample based on gender</w:t>
      </w:r>
    </w:p>
    <w:p w14:paraId="6191314C" w14:textId="77777777" w:rsidR="00F87A56" w:rsidRPr="00C034E2" w:rsidRDefault="00120813" w:rsidP="00F87A56">
      <w:pPr>
        <w:rPr>
          <w:rFonts w:ascii="Calibri" w:hAnsi="Calibri" w:cs="Calibri"/>
        </w:rPr>
      </w:pPr>
      <w:r w:rsidRPr="0096216A">
        <w:rPr>
          <w:rFonts w:ascii="Calibri" w:hAnsi="Calibri" w:cs="Calibri"/>
          <w:noProof/>
        </w:rPr>
        <w:drawing>
          <wp:inline distT="0" distB="0" distL="0" distR="0" wp14:anchorId="56666C39" wp14:editId="3252A8F0">
            <wp:extent cx="2857500" cy="2725420"/>
            <wp:effectExtent l="0" t="0" r="0" b="0"/>
            <wp:docPr id="14" name="image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g"/>
                    <pic:cNvPicPr>
                      <a:picLocks/>
                    </pic:cNvPicPr>
                  </pic:nvPicPr>
                  <pic:blipFill>
                    <a:blip r:embed="rId28" cstate="print">
                      <a:extLst>
                        <a:ext uri="{28A0092B-C50C-407E-A947-70E740481C1C}">
                          <a14:useLocalDpi xmlns:a14="http://schemas.microsoft.com/office/drawing/2010/main" val="0"/>
                        </a:ext>
                      </a:extLst>
                    </a:blip>
                    <a:srcRect r="5000"/>
                    <a:stretch>
                      <a:fillRect/>
                    </a:stretch>
                  </pic:blipFill>
                  <pic:spPr bwMode="auto">
                    <a:xfrm>
                      <a:off x="0" y="0"/>
                      <a:ext cx="2857500" cy="2725420"/>
                    </a:xfrm>
                    <a:prstGeom prst="rect">
                      <a:avLst/>
                    </a:prstGeom>
                    <a:noFill/>
                    <a:ln>
                      <a:noFill/>
                    </a:ln>
                  </pic:spPr>
                </pic:pic>
              </a:graphicData>
            </a:graphic>
          </wp:inline>
        </w:drawing>
      </w:r>
      <w:r w:rsidRPr="0096216A">
        <w:rPr>
          <w:rFonts w:ascii="Calibri" w:hAnsi="Calibri" w:cs="Calibri"/>
          <w:noProof/>
        </w:rPr>
        <w:drawing>
          <wp:inline distT="0" distB="0" distL="0" distR="0" wp14:anchorId="2827DE0C" wp14:editId="1C7E4A8D">
            <wp:extent cx="2866390" cy="2743200"/>
            <wp:effectExtent l="0" t="0" r="0" b="0"/>
            <wp:docPr id="15" name="imag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jpg"/>
                    <pic:cNvPicPr>
                      <a:picLocks/>
                    </pic:cNvPicPr>
                  </pic:nvPicPr>
                  <pic:blipFill>
                    <a:blip r:embed="rId29" cstate="print">
                      <a:extLst>
                        <a:ext uri="{28A0092B-C50C-407E-A947-70E740481C1C}">
                          <a14:useLocalDpi xmlns:a14="http://schemas.microsoft.com/office/drawing/2010/main" val="0"/>
                        </a:ext>
                      </a:extLst>
                    </a:blip>
                    <a:srcRect l="5844"/>
                    <a:stretch>
                      <a:fillRect/>
                    </a:stretch>
                  </pic:blipFill>
                  <pic:spPr bwMode="auto">
                    <a:xfrm>
                      <a:off x="0" y="0"/>
                      <a:ext cx="2866390" cy="2743200"/>
                    </a:xfrm>
                    <a:prstGeom prst="rect">
                      <a:avLst/>
                    </a:prstGeom>
                    <a:noFill/>
                    <a:ln>
                      <a:noFill/>
                    </a:ln>
                  </pic:spPr>
                </pic:pic>
              </a:graphicData>
            </a:graphic>
          </wp:inline>
        </w:drawing>
      </w:r>
    </w:p>
    <w:p w14:paraId="1A1D12B1" w14:textId="77777777" w:rsidR="00F87A56" w:rsidRPr="00C034E2" w:rsidRDefault="00120813" w:rsidP="00F87A56">
      <w:pPr>
        <w:rPr>
          <w:rFonts w:ascii="Calibri" w:hAnsi="Calibri" w:cs="Calibri"/>
        </w:rPr>
      </w:pPr>
      <w:r>
        <w:rPr>
          <w:noProof/>
        </w:rPr>
        <w:drawing>
          <wp:anchor distT="114300" distB="114300" distL="114300" distR="114300" simplePos="0" relativeHeight="251653120" behindDoc="1" locked="0" layoutInCell="1" allowOverlap="1" wp14:anchorId="33FED50C" wp14:editId="523FEE52">
            <wp:simplePos x="0" y="0"/>
            <wp:positionH relativeFrom="column">
              <wp:posOffset>111760</wp:posOffset>
            </wp:positionH>
            <wp:positionV relativeFrom="paragraph">
              <wp:posOffset>114935</wp:posOffset>
            </wp:positionV>
            <wp:extent cx="1249680" cy="718820"/>
            <wp:effectExtent l="0" t="0" r="0" b="0"/>
            <wp:wrapNone/>
            <wp:docPr id="27"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9680"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2E139" w14:textId="77777777" w:rsidR="00F87A56" w:rsidRPr="00C034E2" w:rsidRDefault="00F87A56" w:rsidP="00F87A56">
      <w:pPr>
        <w:rPr>
          <w:rFonts w:ascii="Calibri" w:hAnsi="Calibri" w:cs="Calibri"/>
        </w:rPr>
      </w:pPr>
    </w:p>
    <w:p w14:paraId="34672824" w14:textId="77777777" w:rsidR="00F87A56" w:rsidRPr="00C034E2" w:rsidRDefault="00F87A56" w:rsidP="00F87A56">
      <w:pPr>
        <w:rPr>
          <w:rFonts w:ascii="Calibri" w:hAnsi="Calibri" w:cs="Calibri"/>
        </w:rPr>
      </w:pPr>
    </w:p>
    <w:p w14:paraId="747BBE26" w14:textId="77777777" w:rsidR="0061425A" w:rsidRPr="00C034E2" w:rsidRDefault="0061425A" w:rsidP="00F87A56">
      <w:pPr>
        <w:rPr>
          <w:rFonts w:ascii="Calibri" w:eastAsia="Times New Roman" w:hAnsi="Calibri" w:cs="Calibri"/>
          <w:i/>
          <w:sz w:val="24"/>
          <w:szCs w:val="24"/>
        </w:rPr>
      </w:pPr>
    </w:p>
    <w:p w14:paraId="4A3AA62C" w14:textId="77777777" w:rsidR="0061425A" w:rsidRPr="00C034E2" w:rsidRDefault="0061425A" w:rsidP="00F87A56">
      <w:pPr>
        <w:rPr>
          <w:rFonts w:ascii="Calibri" w:eastAsia="Times New Roman" w:hAnsi="Calibri" w:cs="Calibri"/>
          <w:i/>
          <w:sz w:val="24"/>
          <w:szCs w:val="24"/>
        </w:rPr>
      </w:pPr>
    </w:p>
    <w:p w14:paraId="4705D541" w14:textId="77777777" w:rsidR="00F87A56" w:rsidRPr="00C034E2" w:rsidRDefault="00F87A56" w:rsidP="00BC2839">
      <w:pPr>
        <w:spacing w:line="240" w:lineRule="auto"/>
        <w:rPr>
          <w:rFonts w:ascii="Calibri" w:hAnsi="Calibri" w:cs="Calibri"/>
        </w:rPr>
      </w:pPr>
      <w:r w:rsidRPr="00C034E2">
        <w:rPr>
          <w:rFonts w:ascii="Calibri" w:eastAsia="Times New Roman" w:hAnsi="Calibri" w:cs="Calibri"/>
          <w:i/>
          <w:sz w:val="24"/>
          <w:szCs w:val="24"/>
        </w:rPr>
        <w:t xml:space="preserve">Note. </w:t>
      </w:r>
      <w:r w:rsidRPr="00C034E2">
        <w:rPr>
          <w:rFonts w:ascii="Calibri" w:eastAsia="Times New Roman" w:hAnsi="Calibri" w:cs="Calibri"/>
          <w:sz w:val="24"/>
          <w:szCs w:val="24"/>
        </w:rPr>
        <w:t xml:space="preserve">PCC = Posterior Cingulate Cortex/Precuneus, </w:t>
      </w:r>
      <w:proofErr w:type="spellStart"/>
      <w:r w:rsidRPr="00C034E2">
        <w:rPr>
          <w:rFonts w:ascii="Calibri" w:eastAsia="Times New Roman" w:hAnsi="Calibri" w:cs="Calibri"/>
          <w:sz w:val="24"/>
          <w:szCs w:val="24"/>
        </w:rPr>
        <w:t>mPFC</w:t>
      </w:r>
      <w:proofErr w:type="spellEnd"/>
      <w:r w:rsidRPr="00C034E2">
        <w:rPr>
          <w:rFonts w:ascii="Calibri" w:eastAsia="Times New Roman" w:hAnsi="Calibri" w:cs="Calibri"/>
          <w:sz w:val="24"/>
          <w:szCs w:val="24"/>
        </w:rPr>
        <w:t xml:space="preserve"> = medial and dorsal medial Prefrontal Cortex, </w:t>
      </w:r>
      <w:proofErr w:type="spellStart"/>
      <w:r w:rsidRPr="00C034E2">
        <w:rPr>
          <w:rFonts w:ascii="Calibri" w:eastAsia="Times New Roman" w:hAnsi="Calibri" w:cs="Calibri"/>
          <w:sz w:val="24"/>
          <w:szCs w:val="24"/>
        </w:rPr>
        <w:t>vmPFC</w:t>
      </w:r>
      <w:proofErr w:type="spellEnd"/>
      <w:r w:rsidRPr="00C034E2">
        <w:rPr>
          <w:rFonts w:ascii="Calibri" w:eastAsia="Times New Roman" w:hAnsi="Calibri" w:cs="Calibri"/>
          <w:sz w:val="24"/>
          <w:szCs w:val="24"/>
        </w:rPr>
        <w:t xml:space="preserve"> = ventromedial Prefrontal Cortex, </w:t>
      </w:r>
      <w:proofErr w:type="spellStart"/>
      <w:r w:rsidRPr="00C034E2">
        <w:rPr>
          <w:rFonts w:ascii="Calibri" w:eastAsia="Times New Roman" w:hAnsi="Calibri" w:cs="Calibri"/>
          <w:sz w:val="24"/>
          <w:szCs w:val="24"/>
        </w:rPr>
        <w:t>LpMFG</w:t>
      </w:r>
      <w:proofErr w:type="spellEnd"/>
      <w:r w:rsidRPr="00C034E2">
        <w:rPr>
          <w:rFonts w:ascii="Calibri" w:eastAsia="Times New Roman" w:hAnsi="Calibri" w:cs="Calibri"/>
          <w:sz w:val="24"/>
          <w:szCs w:val="24"/>
        </w:rPr>
        <w:t xml:space="preserve"> = Left posterior Middle Frontal Gyrus, LTPJ = Left Temporoparietal Junction, RTPJ = Right Temporoparietal Junction, RSTS = Right Superior Temporal Sulcus, LSTS = Left Superior Temporal Sulcus, </w:t>
      </w:r>
      <w:proofErr w:type="spellStart"/>
      <w:r w:rsidRPr="00C034E2">
        <w:rPr>
          <w:rFonts w:ascii="Calibri" w:eastAsia="Times New Roman" w:hAnsi="Calibri" w:cs="Calibri"/>
          <w:sz w:val="24"/>
          <w:szCs w:val="24"/>
        </w:rPr>
        <w:t>LvlPFC</w:t>
      </w:r>
      <w:proofErr w:type="spellEnd"/>
      <w:r w:rsidRPr="00C034E2">
        <w:rPr>
          <w:rFonts w:ascii="Calibri" w:eastAsia="Times New Roman" w:hAnsi="Calibri" w:cs="Calibri"/>
          <w:sz w:val="24"/>
          <w:szCs w:val="24"/>
        </w:rPr>
        <w:t xml:space="preserve"> = Left ventral lateral Prefrontal Cortex, </w:t>
      </w:r>
      <w:proofErr w:type="spellStart"/>
      <w:r w:rsidRPr="00C034E2">
        <w:rPr>
          <w:rFonts w:ascii="Calibri" w:eastAsia="Times New Roman" w:hAnsi="Calibri" w:cs="Calibri"/>
          <w:sz w:val="24"/>
          <w:szCs w:val="24"/>
        </w:rPr>
        <w:t>RvlPFC</w:t>
      </w:r>
      <w:proofErr w:type="spellEnd"/>
      <w:r w:rsidRPr="00C034E2">
        <w:rPr>
          <w:rFonts w:ascii="Calibri" w:eastAsia="Times New Roman" w:hAnsi="Calibri" w:cs="Calibri"/>
          <w:sz w:val="24"/>
          <w:szCs w:val="24"/>
        </w:rPr>
        <w:t xml:space="preserve"> = Right ventral lateral Prefrontal Cortex, LIPL = Left Intraparietal Lobule, RIPL = Right Intraparietal Lobule, </w:t>
      </w:r>
      <w:proofErr w:type="spellStart"/>
      <w:r w:rsidRPr="00C034E2">
        <w:rPr>
          <w:rFonts w:ascii="Calibri" w:eastAsia="Times New Roman" w:hAnsi="Calibri" w:cs="Calibri"/>
          <w:sz w:val="24"/>
          <w:szCs w:val="24"/>
        </w:rPr>
        <w:t>LpPMC</w:t>
      </w:r>
      <w:proofErr w:type="spellEnd"/>
      <w:r w:rsidRPr="00C034E2">
        <w:rPr>
          <w:rFonts w:ascii="Calibri" w:eastAsia="Times New Roman" w:hAnsi="Calibri" w:cs="Calibri"/>
          <w:sz w:val="24"/>
          <w:szCs w:val="24"/>
        </w:rPr>
        <w:t xml:space="preserve"> = Left posterior Premotor Cortex, </w:t>
      </w:r>
      <w:proofErr w:type="spellStart"/>
      <w:r w:rsidRPr="00C034E2">
        <w:rPr>
          <w:rFonts w:ascii="Calibri" w:eastAsia="Times New Roman" w:hAnsi="Calibri" w:cs="Calibri"/>
          <w:sz w:val="24"/>
          <w:szCs w:val="24"/>
        </w:rPr>
        <w:t>RpPMC</w:t>
      </w:r>
      <w:proofErr w:type="spellEnd"/>
      <w:r w:rsidRPr="00C034E2">
        <w:rPr>
          <w:rFonts w:ascii="Calibri" w:eastAsia="Times New Roman" w:hAnsi="Calibri" w:cs="Calibri"/>
          <w:sz w:val="24"/>
          <w:szCs w:val="24"/>
        </w:rPr>
        <w:t xml:space="preserve"> = Right posterior Premotor Cortex, </w:t>
      </w:r>
      <w:proofErr w:type="spellStart"/>
      <w:r w:rsidRPr="00C034E2">
        <w:rPr>
          <w:rFonts w:ascii="Calibri" w:eastAsia="Times New Roman" w:hAnsi="Calibri" w:cs="Calibri"/>
          <w:sz w:val="24"/>
          <w:szCs w:val="24"/>
        </w:rPr>
        <w:t>LpIFG</w:t>
      </w:r>
      <w:proofErr w:type="spellEnd"/>
      <w:r w:rsidRPr="00C034E2">
        <w:rPr>
          <w:rFonts w:ascii="Calibri" w:eastAsia="Times New Roman" w:hAnsi="Calibri" w:cs="Calibri"/>
          <w:sz w:val="24"/>
          <w:szCs w:val="24"/>
        </w:rPr>
        <w:t xml:space="preserve"> = Left posterior Inferior Frontal Gyrus, </w:t>
      </w:r>
      <w:proofErr w:type="spellStart"/>
      <w:r w:rsidRPr="00C034E2">
        <w:rPr>
          <w:rFonts w:ascii="Calibri" w:eastAsia="Times New Roman" w:hAnsi="Calibri" w:cs="Calibri"/>
          <w:sz w:val="24"/>
          <w:szCs w:val="24"/>
        </w:rPr>
        <w:t>RpIFG</w:t>
      </w:r>
      <w:proofErr w:type="spellEnd"/>
      <w:r w:rsidRPr="00C034E2">
        <w:rPr>
          <w:rFonts w:ascii="Calibri" w:eastAsia="Times New Roman" w:hAnsi="Calibri" w:cs="Calibri"/>
          <w:sz w:val="24"/>
          <w:szCs w:val="24"/>
        </w:rPr>
        <w:t xml:space="preserve"> = Right posterior Inferior Frontal Gyrus, </w:t>
      </w:r>
      <w:proofErr w:type="spellStart"/>
      <w:r w:rsidRPr="00C034E2">
        <w:rPr>
          <w:rFonts w:ascii="Calibri" w:eastAsia="Times New Roman" w:hAnsi="Calibri" w:cs="Calibri"/>
          <w:sz w:val="24"/>
          <w:szCs w:val="24"/>
        </w:rPr>
        <w:t>LpMTG</w:t>
      </w:r>
      <w:proofErr w:type="spellEnd"/>
      <w:r w:rsidRPr="00C034E2">
        <w:rPr>
          <w:rFonts w:ascii="Calibri" w:eastAsia="Times New Roman" w:hAnsi="Calibri" w:cs="Calibri"/>
          <w:sz w:val="24"/>
          <w:szCs w:val="24"/>
        </w:rPr>
        <w:t xml:space="preserve"> = Left posterior Middle Temporal Gyrus, </w:t>
      </w:r>
      <w:proofErr w:type="spellStart"/>
      <w:r w:rsidRPr="00C034E2">
        <w:rPr>
          <w:rFonts w:ascii="Calibri" w:eastAsia="Times New Roman" w:hAnsi="Calibri" w:cs="Calibri"/>
          <w:sz w:val="24"/>
          <w:szCs w:val="24"/>
        </w:rPr>
        <w:t>RpMTG</w:t>
      </w:r>
      <w:proofErr w:type="spellEnd"/>
      <w:r w:rsidRPr="00C034E2">
        <w:rPr>
          <w:rFonts w:ascii="Calibri" w:eastAsia="Times New Roman" w:hAnsi="Calibri" w:cs="Calibri"/>
          <w:sz w:val="24"/>
          <w:szCs w:val="24"/>
        </w:rPr>
        <w:t xml:space="preserve"> = Right posterior Middle Temporal Gyrus, LSPL = Left Superior Parietal Lobule, and RSPL = Right Superior Parietal Lobule.</w:t>
      </w:r>
    </w:p>
    <w:p w14:paraId="45D2EE56" w14:textId="77777777" w:rsidR="00F87A56" w:rsidRDefault="00F87A56" w:rsidP="00F87A56">
      <w:pPr>
        <w:rPr>
          <w:rFonts w:ascii="Times New Roman" w:eastAsia="Times New Roman" w:hAnsi="Times New Roman" w:cs="Times New Roman"/>
          <w:b/>
          <w:sz w:val="24"/>
          <w:szCs w:val="24"/>
        </w:rPr>
      </w:pPr>
    </w:p>
    <w:p w14:paraId="480E3D45" w14:textId="77777777" w:rsidR="00F87A56" w:rsidRDefault="00F87A56" w:rsidP="00F87A56">
      <w:pPr>
        <w:rPr>
          <w:rFonts w:ascii="Times New Roman" w:hAnsi="Times New Roman" w:cs="Times New Roman"/>
          <w:b/>
          <w:sz w:val="24"/>
          <w:szCs w:val="24"/>
        </w:rPr>
      </w:pPr>
    </w:p>
    <w:p w14:paraId="65516CB6" w14:textId="77777777" w:rsidR="00F87A56" w:rsidRDefault="00F87A56" w:rsidP="00F87A56">
      <w:pPr>
        <w:rPr>
          <w:rFonts w:ascii="Times New Roman" w:hAnsi="Times New Roman" w:cs="Times New Roman"/>
          <w:b/>
          <w:sz w:val="24"/>
          <w:szCs w:val="24"/>
        </w:rPr>
      </w:pPr>
    </w:p>
    <w:p w14:paraId="7FC46A7D" w14:textId="77777777" w:rsidR="00F87A56" w:rsidRDefault="00F87A56" w:rsidP="00F87A56">
      <w:pPr>
        <w:rPr>
          <w:rFonts w:ascii="Times New Roman" w:hAnsi="Times New Roman" w:cs="Times New Roman"/>
          <w:b/>
          <w:sz w:val="24"/>
          <w:szCs w:val="24"/>
        </w:rPr>
      </w:pPr>
    </w:p>
    <w:p w14:paraId="2D363E97" w14:textId="77777777" w:rsidR="00F87A56" w:rsidRDefault="00F87A56" w:rsidP="00F87A56">
      <w:pPr>
        <w:rPr>
          <w:rFonts w:ascii="Times New Roman" w:hAnsi="Times New Roman" w:cs="Times New Roman"/>
          <w:b/>
          <w:sz w:val="24"/>
          <w:szCs w:val="24"/>
        </w:rPr>
      </w:pPr>
    </w:p>
    <w:p w14:paraId="150BE007" w14:textId="77777777" w:rsidR="00F87A56" w:rsidRDefault="00F87A56" w:rsidP="00F87A56">
      <w:pPr>
        <w:rPr>
          <w:rFonts w:ascii="Times New Roman" w:hAnsi="Times New Roman" w:cs="Times New Roman"/>
          <w:b/>
          <w:sz w:val="24"/>
          <w:szCs w:val="24"/>
        </w:rPr>
      </w:pPr>
    </w:p>
    <w:p w14:paraId="039E36BA" w14:textId="77777777" w:rsidR="00FF36E4" w:rsidRDefault="00FF36E4" w:rsidP="00F87A56">
      <w:pPr>
        <w:rPr>
          <w:rFonts w:ascii="Times New Roman" w:hAnsi="Times New Roman" w:cs="Times New Roman"/>
          <w:b/>
          <w:sz w:val="24"/>
          <w:szCs w:val="24"/>
        </w:rPr>
      </w:pPr>
    </w:p>
    <w:p w14:paraId="67A62A4D" w14:textId="77777777" w:rsidR="009364F7" w:rsidRDefault="009364F7" w:rsidP="00F87A56">
      <w:pPr>
        <w:rPr>
          <w:rFonts w:ascii="Times New Roman" w:hAnsi="Times New Roman" w:cs="Times New Roman"/>
          <w:b/>
          <w:sz w:val="24"/>
          <w:szCs w:val="24"/>
        </w:rPr>
      </w:pPr>
    </w:p>
    <w:p w14:paraId="6CB1B6AB" w14:textId="77777777" w:rsidR="002B6796" w:rsidRDefault="002B6796" w:rsidP="002B6796">
      <w:pPr>
        <w:rPr>
          <w:rFonts w:ascii="Times New Roman" w:hAnsi="Times New Roman" w:cs="Times New Roman"/>
          <w:b/>
          <w:sz w:val="24"/>
          <w:szCs w:val="24"/>
        </w:rPr>
      </w:pPr>
    </w:p>
    <w:p w14:paraId="78B9B122" w14:textId="77777777" w:rsidR="00BC2839" w:rsidRDefault="00BC2839" w:rsidP="002B6796">
      <w:pPr>
        <w:rPr>
          <w:rFonts w:ascii="Calibri" w:hAnsi="Calibri" w:cs="Calibri"/>
          <w:b/>
          <w:sz w:val="24"/>
          <w:szCs w:val="24"/>
        </w:rPr>
      </w:pPr>
    </w:p>
    <w:p w14:paraId="06CD5EAA" w14:textId="70E32F75" w:rsidR="002B6796" w:rsidRPr="00C034E2" w:rsidRDefault="002B6796" w:rsidP="002B6796">
      <w:pPr>
        <w:rPr>
          <w:rFonts w:ascii="Calibri" w:hAnsi="Calibri" w:cs="Calibri"/>
          <w:b/>
          <w:sz w:val="24"/>
          <w:szCs w:val="24"/>
        </w:rPr>
      </w:pPr>
      <w:r w:rsidRPr="00C034E2">
        <w:rPr>
          <w:rFonts w:ascii="Calibri" w:hAnsi="Calibri" w:cs="Calibri"/>
          <w:b/>
          <w:sz w:val="24"/>
          <w:szCs w:val="24"/>
        </w:rPr>
        <w:lastRenderedPageBreak/>
        <w:t xml:space="preserve">Supplementary Figure </w:t>
      </w:r>
      <w:r w:rsidR="00333501">
        <w:rPr>
          <w:rFonts w:ascii="Calibri" w:hAnsi="Calibri" w:cs="Calibri"/>
          <w:b/>
          <w:sz w:val="24"/>
          <w:szCs w:val="24"/>
        </w:rPr>
        <w:t>S</w:t>
      </w:r>
      <w:r w:rsidR="00DD3B05" w:rsidRPr="00C034E2">
        <w:rPr>
          <w:rFonts w:ascii="Calibri" w:hAnsi="Calibri" w:cs="Calibri"/>
          <w:b/>
          <w:sz w:val="24"/>
          <w:szCs w:val="24"/>
        </w:rPr>
        <w:t>7</w:t>
      </w:r>
    </w:p>
    <w:p w14:paraId="0FB5563C" w14:textId="77777777" w:rsidR="002B6796" w:rsidRDefault="002B6796" w:rsidP="002B6796">
      <w:pPr>
        <w:rPr>
          <w:rFonts w:ascii="Calibri" w:eastAsia="Times New Roman" w:hAnsi="Calibri" w:cs="Calibri"/>
          <w:i/>
          <w:sz w:val="24"/>
          <w:szCs w:val="24"/>
        </w:rPr>
      </w:pPr>
      <w:r w:rsidRPr="00C034E2">
        <w:rPr>
          <w:rFonts w:ascii="Calibri" w:eastAsia="Times New Roman" w:hAnsi="Calibri" w:cs="Calibri"/>
          <w:i/>
          <w:sz w:val="24"/>
          <w:szCs w:val="24"/>
        </w:rPr>
        <w:t>Interaction of OT or AVP vs. placebo with relevant individual differences</w:t>
      </w:r>
    </w:p>
    <w:p w14:paraId="3AB9F14C" w14:textId="77777777" w:rsidR="00C034E2" w:rsidRPr="00C034E2" w:rsidRDefault="00C034E2" w:rsidP="002B6796">
      <w:pPr>
        <w:rPr>
          <w:rFonts w:ascii="Calibri" w:eastAsia="Times New Roman" w:hAnsi="Calibri" w:cs="Calibri"/>
          <w:i/>
          <w:sz w:val="20"/>
          <w:szCs w:val="20"/>
        </w:rPr>
      </w:pPr>
    </w:p>
    <w:p w14:paraId="0A6ABE9D" w14:textId="77777777" w:rsidR="002B6796" w:rsidRPr="00C034E2" w:rsidRDefault="00120813" w:rsidP="002B6796">
      <w:pPr>
        <w:rPr>
          <w:rFonts w:ascii="Calibri" w:hAnsi="Calibri" w:cs="Calibri"/>
        </w:rPr>
      </w:pPr>
      <w:r w:rsidRPr="0096216A">
        <w:rPr>
          <w:rFonts w:ascii="Calibri" w:hAnsi="Calibri" w:cs="Calibri"/>
          <w:noProof/>
        </w:rPr>
        <w:drawing>
          <wp:inline distT="0" distB="0" distL="0" distR="0" wp14:anchorId="79A6AC22" wp14:editId="0A268738">
            <wp:extent cx="1749425" cy="1846580"/>
            <wp:effectExtent l="0" t="0" r="0" b="0"/>
            <wp:docPr id="16" name="image27.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descr="Chart, box and whisker chart&#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9425" cy="1846580"/>
                    </a:xfrm>
                    <a:prstGeom prst="rect">
                      <a:avLst/>
                    </a:prstGeom>
                    <a:noFill/>
                    <a:ln>
                      <a:noFill/>
                    </a:ln>
                  </pic:spPr>
                </pic:pic>
              </a:graphicData>
            </a:graphic>
          </wp:inline>
        </w:drawing>
      </w:r>
      <w:r w:rsidRPr="0096216A">
        <w:rPr>
          <w:rFonts w:ascii="Calibri" w:hAnsi="Calibri" w:cs="Calibri"/>
          <w:noProof/>
        </w:rPr>
        <w:drawing>
          <wp:inline distT="0" distB="0" distL="0" distR="0" wp14:anchorId="031E345B" wp14:editId="38CB45B3">
            <wp:extent cx="1732280" cy="1846580"/>
            <wp:effectExtent l="0" t="0" r="0" b="0"/>
            <wp:docPr id="17" name="image25.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descr="Chart, box and whisker chart&#10;&#10;Description automatically generated"/>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2280" cy="1846580"/>
                    </a:xfrm>
                    <a:prstGeom prst="rect">
                      <a:avLst/>
                    </a:prstGeom>
                    <a:noFill/>
                    <a:ln>
                      <a:noFill/>
                    </a:ln>
                  </pic:spPr>
                </pic:pic>
              </a:graphicData>
            </a:graphic>
          </wp:inline>
        </w:drawing>
      </w:r>
      <w:r w:rsidRPr="0096216A">
        <w:rPr>
          <w:rFonts w:ascii="Calibri" w:hAnsi="Calibri" w:cs="Calibri"/>
          <w:noProof/>
        </w:rPr>
        <w:drawing>
          <wp:inline distT="0" distB="0" distL="0" distR="0" wp14:anchorId="693DB82C" wp14:editId="7FCF6026">
            <wp:extent cx="1811020" cy="1872615"/>
            <wp:effectExtent l="0" t="0" r="0" b="0"/>
            <wp:docPr id="18" name="image32.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png" descr="Chart, box and whisker chart&#10;&#10;Description automatically generated"/>
                    <pic:cNvPicPr>
                      <a:picLocks/>
                    </pic:cNvPicPr>
                  </pic:nvPicPr>
                  <pic:blipFill>
                    <a:blip r:embed="rId33" cstate="print">
                      <a:extLst>
                        <a:ext uri="{28A0092B-C50C-407E-A947-70E740481C1C}">
                          <a14:useLocalDpi xmlns:a14="http://schemas.microsoft.com/office/drawing/2010/main" val="0"/>
                        </a:ext>
                      </a:extLst>
                    </a:blip>
                    <a:srcRect t="909" b="758"/>
                    <a:stretch>
                      <a:fillRect/>
                    </a:stretch>
                  </pic:blipFill>
                  <pic:spPr bwMode="auto">
                    <a:xfrm>
                      <a:off x="0" y="0"/>
                      <a:ext cx="1811020" cy="1872615"/>
                    </a:xfrm>
                    <a:prstGeom prst="rect">
                      <a:avLst/>
                    </a:prstGeom>
                    <a:noFill/>
                    <a:ln>
                      <a:noFill/>
                    </a:ln>
                  </pic:spPr>
                </pic:pic>
              </a:graphicData>
            </a:graphic>
          </wp:inline>
        </w:drawing>
      </w:r>
    </w:p>
    <w:p w14:paraId="3C1F43E2" w14:textId="77777777" w:rsidR="002B6796" w:rsidRPr="00C034E2" w:rsidRDefault="00120813" w:rsidP="002B6796">
      <w:pPr>
        <w:rPr>
          <w:rFonts w:ascii="Calibri" w:hAnsi="Calibri" w:cs="Calibri"/>
        </w:rPr>
      </w:pPr>
      <w:r w:rsidRPr="0096216A">
        <w:rPr>
          <w:rFonts w:ascii="Calibri" w:hAnsi="Calibri" w:cs="Calibri"/>
          <w:noProof/>
        </w:rPr>
        <w:drawing>
          <wp:inline distT="0" distB="0" distL="0" distR="0" wp14:anchorId="51A88EC9" wp14:editId="4A7A8DF6">
            <wp:extent cx="1749425" cy="1855470"/>
            <wp:effectExtent l="0" t="0" r="0" b="0"/>
            <wp:docPr id="19" name="image13.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Chart, box and whisker chart&#10;&#10;Description automatically generated"/>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855470"/>
                    </a:xfrm>
                    <a:prstGeom prst="rect">
                      <a:avLst/>
                    </a:prstGeom>
                    <a:noFill/>
                    <a:ln>
                      <a:noFill/>
                    </a:ln>
                  </pic:spPr>
                </pic:pic>
              </a:graphicData>
            </a:graphic>
          </wp:inline>
        </w:drawing>
      </w:r>
      <w:r w:rsidRPr="0096216A">
        <w:rPr>
          <w:rFonts w:ascii="Calibri" w:hAnsi="Calibri" w:cs="Calibri"/>
          <w:noProof/>
        </w:rPr>
        <w:drawing>
          <wp:inline distT="0" distB="0" distL="0" distR="0" wp14:anchorId="5AA4E125" wp14:editId="025E2CED">
            <wp:extent cx="1758315" cy="1855470"/>
            <wp:effectExtent l="0" t="0" r="0" b="0"/>
            <wp:docPr id="20" name="image10.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Chart, box and whisker chart&#10;&#10;Description automatically generated"/>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8315" cy="1855470"/>
                    </a:xfrm>
                    <a:prstGeom prst="rect">
                      <a:avLst/>
                    </a:prstGeom>
                    <a:noFill/>
                    <a:ln>
                      <a:noFill/>
                    </a:ln>
                  </pic:spPr>
                </pic:pic>
              </a:graphicData>
            </a:graphic>
          </wp:inline>
        </w:drawing>
      </w:r>
      <w:r w:rsidRPr="0096216A">
        <w:rPr>
          <w:rFonts w:ascii="Calibri" w:hAnsi="Calibri" w:cs="Calibri"/>
          <w:noProof/>
        </w:rPr>
        <w:drawing>
          <wp:inline distT="0" distB="0" distL="0" distR="0" wp14:anchorId="71EE2376" wp14:editId="57D35BE1">
            <wp:extent cx="1784985" cy="1881505"/>
            <wp:effectExtent l="0" t="0" r="0" b="0"/>
            <wp:docPr id="21" name="image19.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descr="Chart, box and whisker chart&#10;&#10;Description automatically generated"/>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985" cy="1881505"/>
                    </a:xfrm>
                    <a:prstGeom prst="rect">
                      <a:avLst/>
                    </a:prstGeom>
                    <a:noFill/>
                    <a:ln>
                      <a:noFill/>
                    </a:ln>
                  </pic:spPr>
                </pic:pic>
              </a:graphicData>
            </a:graphic>
          </wp:inline>
        </w:drawing>
      </w:r>
    </w:p>
    <w:p w14:paraId="167C0D72" w14:textId="77777777" w:rsidR="002B6796" w:rsidRPr="00C034E2" w:rsidRDefault="00120813" w:rsidP="002B6796">
      <w:pPr>
        <w:rPr>
          <w:rFonts w:ascii="Calibri" w:hAnsi="Calibri" w:cs="Calibri"/>
        </w:rPr>
      </w:pPr>
      <w:r w:rsidRPr="0096216A">
        <w:rPr>
          <w:rFonts w:ascii="Calibri" w:hAnsi="Calibri" w:cs="Calibri"/>
          <w:noProof/>
        </w:rPr>
        <w:drawing>
          <wp:inline distT="0" distB="0" distL="0" distR="0" wp14:anchorId="6278BACD" wp14:editId="4CA3322C">
            <wp:extent cx="1767205" cy="1881505"/>
            <wp:effectExtent l="0" t="0" r="0" b="0"/>
            <wp:docPr id="22" name="image21.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png" descr="Chart, box and whisker chart&#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205" cy="1881505"/>
                    </a:xfrm>
                    <a:prstGeom prst="rect">
                      <a:avLst/>
                    </a:prstGeom>
                    <a:noFill/>
                    <a:ln>
                      <a:noFill/>
                    </a:ln>
                  </pic:spPr>
                </pic:pic>
              </a:graphicData>
            </a:graphic>
          </wp:inline>
        </w:drawing>
      </w:r>
      <w:r w:rsidRPr="0096216A">
        <w:rPr>
          <w:rFonts w:ascii="Calibri" w:hAnsi="Calibri" w:cs="Calibri"/>
          <w:noProof/>
        </w:rPr>
        <w:drawing>
          <wp:inline distT="0" distB="0" distL="0" distR="0" wp14:anchorId="2BC8AAD0" wp14:editId="4C4DA575">
            <wp:extent cx="1811020" cy="1872615"/>
            <wp:effectExtent l="0" t="0" r="0" b="0"/>
            <wp:docPr id="23" name="image22.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Chart, box and whisker chart&#10;&#10;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1020" cy="1872615"/>
                    </a:xfrm>
                    <a:prstGeom prst="rect">
                      <a:avLst/>
                    </a:prstGeom>
                    <a:noFill/>
                    <a:ln>
                      <a:noFill/>
                    </a:ln>
                  </pic:spPr>
                </pic:pic>
              </a:graphicData>
            </a:graphic>
          </wp:inline>
        </w:drawing>
      </w:r>
      <w:r w:rsidRPr="0096216A">
        <w:rPr>
          <w:rFonts w:ascii="Calibri" w:hAnsi="Calibri" w:cs="Calibri"/>
          <w:noProof/>
        </w:rPr>
        <w:drawing>
          <wp:inline distT="0" distB="0" distL="0" distR="0" wp14:anchorId="59D166AC" wp14:editId="515CC746">
            <wp:extent cx="1776095" cy="1872615"/>
            <wp:effectExtent l="0" t="0" r="0" b="0"/>
            <wp:docPr id="24" name="image23.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descr="Chart, box and whisker chart&#10;&#10;Description automatically generated"/>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095" cy="1872615"/>
                    </a:xfrm>
                    <a:prstGeom prst="rect">
                      <a:avLst/>
                    </a:prstGeom>
                    <a:noFill/>
                    <a:ln>
                      <a:noFill/>
                    </a:ln>
                  </pic:spPr>
                </pic:pic>
              </a:graphicData>
            </a:graphic>
          </wp:inline>
        </w:drawing>
      </w:r>
    </w:p>
    <w:p w14:paraId="301C87CF" w14:textId="77777777" w:rsidR="002B6796" w:rsidRPr="00C034E2" w:rsidRDefault="00120813" w:rsidP="002B6796">
      <w:pPr>
        <w:rPr>
          <w:rFonts w:ascii="Calibri" w:hAnsi="Calibri" w:cs="Calibri"/>
        </w:rPr>
      </w:pPr>
      <w:r w:rsidRPr="0096216A">
        <w:rPr>
          <w:rFonts w:ascii="Calibri" w:hAnsi="Calibri" w:cs="Calibri"/>
          <w:noProof/>
        </w:rPr>
        <w:drawing>
          <wp:inline distT="0" distB="0" distL="0" distR="0" wp14:anchorId="6F55ACC2" wp14:editId="44D170A2">
            <wp:extent cx="1784985" cy="1908175"/>
            <wp:effectExtent l="0" t="0" r="0" b="0"/>
            <wp:docPr id="25" name="image34.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png" descr="Chart, box and whisker chart&#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985" cy="1908175"/>
                    </a:xfrm>
                    <a:prstGeom prst="rect">
                      <a:avLst/>
                    </a:prstGeom>
                    <a:noFill/>
                    <a:ln>
                      <a:noFill/>
                    </a:ln>
                  </pic:spPr>
                </pic:pic>
              </a:graphicData>
            </a:graphic>
          </wp:inline>
        </w:drawing>
      </w:r>
      <w:r w:rsidRPr="0096216A">
        <w:rPr>
          <w:rFonts w:ascii="Calibri" w:hAnsi="Calibri" w:cs="Calibri"/>
          <w:noProof/>
        </w:rPr>
        <w:drawing>
          <wp:inline distT="0" distB="0" distL="0" distR="0" wp14:anchorId="31DACEE5" wp14:editId="323FEB14">
            <wp:extent cx="1802130" cy="1890395"/>
            <wp:effectExtent l="0" t="0" r="0" b="0"/>
            <wp:docPr id="26" name="image6.png"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descr="Chart, box and whisker chart&#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2130" cy="1890395"/>
                    </a:xfrm>
                    <a:prstGeom prst="rect">
                      <a:avLst/>
                    </a:prstGeom>
                    <a:noFill/>
                    <a:ln>
                      <a:noFill/>
                    </a:ln>
                  </pic:spPr>
                </pic:pic>
              </a:graphicData>
            </a:graphic>
          </wp:inline>
        </w:drawing>
      </w:r>
    </w:p>
    <w:p w14:paraId="5192EF48" w14:textId="77777777" w:rsidR="002B6796" w:rsidRPr="00C034E2" w:rsidRDefault="002B6796" w:rsidP="00BC2839">
      <w:pPr>
        <w:spacing w:line="240" w:lineRule="auto"/>
        <w:rPr>
          <w:rFonts w:ascii="Calibri" w:hAnsi="Calibri" w:cs="Calibri"/>
        </w:rPr>
      </w:pPr>
      <w:r w:rsidRPr="00C034E2">
        <w:rPr>
          <w:rFonts w:ascii="Calibri" w:eastAsia="Times New Roman" w:hAnsi="Calibri" w:cs="Calibri"/>
          <w:i/>
          <w:sz w:val="24"/>
          <w:szCs w:val="24"/>
        </w:rPr>
        <w:lastRenderedPageBreak/>
        <w:t>Note.</w:t>
      </w:r>
      <w:r w:rsidRPr="00C034E2">
        <w:rPr>
          <w:rFonts w:ascii="Calibri" w:eastAsia="Times New Roman" w:hAnsi="Calibri" w:cs="Calibri"/>
          <w:sz w:val="24"/>
          <w:szCs w:val="24"/>
        </w:rPr>
        <w:t xml:space="preserve"> Higher values represent more activation for Why trials and lower values represent more activation for How trials. </w:t>
      </w:r>
      <w:proofErr w:type="gramStart"/>
      <w:r w:rsidRPr="00C034E2">
        <w:rPr>
          <w:rFonts w:ascii="Calibri" w:eastAsia="Times New Roman" w:hAnsi="Calibri" w:cs="Calibri"/>
          <w:sz w:val="24"/>
          <w:szCs w:val="24"/>
        </w:rPr>
        <w:t>In order to</w:t>
      </w:r>
      <w:proofErr w:type="gramEnd"/>
      <w:r w:rsidRPr="00C034E2">
        <w:rPr>
          <w:rFonts w:ascii="Calibri" w:eastAsia="Times New Roman" w:hAnsi="Calibri" w:cs="Calibri"/>
          <w:sz w:val="24"/>
          <w:szCs w:val="24"/>
        </w:rPr>
        <w:t xml:space="preserve"> account for the 44 comparisons, while still being sensitive to effects, only p-values smaller than 0.01 (uncorrected) are considered significant. </w:t>
      </w:r>
      <w:r w:rsidRPr="00C034E2">
        <w:rPr>
          <w:rFonts w:ascii="Calibri" w:eastAsia="Times New Roman" w:hAnsi="Calibri" w:cs="Calibri"/>
          <w:color w:val="000000"/>
          <w:sz w:val="24"/>
          <w:szCs w:val="24"/>
        </w:rPr>
        <w:t xml:space="preserve">Error bars represent standard error.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&lt;.001**, </w:t>
      </w:r>
      <w:r w:rsidRPr="00C034E2">
        <w:rPr>
          <w:rFonts w:ascii="Calibri" w:eastAsia="Times New Roman" w:hAnsi="Calibri" w:cs="Calibri"/>
          <w:i/>
          <w:sz w:val="24"/>
          <w:szCs w:val="24"/>
        </w:rPr>
        <w:t>p</w:t>
      </w:r>
      <w:r w:rsidRPr="00C034E2">
        <w:rPr>
          <w:rFonts w:ascii="Calibri" w:eastAsia="Times New Roman" w:hAnsi="Calibri" w:cs="Calibri"/>
          <w:sz w:val="24"/>
          <w:szCs w:val="24"/>
        </w:rPr>
        <w:t xml:space="preserve">&lt;.01*, </w:t>
      </w:r>
      <w:r w:rsidRPr="00C034E2">
        <w:rPr>
          <w:rFonts w:ascii="Calibri" w:eastAsia="Times New Roman" w:hAnsi="Calibri" w:cs="Calibri"/>
          <w:i/>
          <w:sz w:val="24"/>
          <w:szCs w:val="24"/>
        </w:rPr>
        <w:t>p</w:t>
      </w:r>
      <w:r w:rsidRPr="00C034E2">
        <w:rPr>
          <w:rFonts w:ascii="Calibri" w:eastAsia="Times New Roman" w:hAnsi="Calibri" w:cs="Calibri"/>
          <w:sz w:val="24"/>
          <w:szCs w:val="24"/>
        </w:rPr>
        <w:t>&lt;.05</w:t>
      </w:r>
      <w:r w:rsidRPr="00C034E2">
        <w:rPr>
          <w:rFonts w:ascii="Segoe UI Symbol" w:eastAsia="Times New Roman" w:hAnsi="Segoe UI Symbol" w:cs="Segoe UI Symbol"/>
          <w:sz w:val="24"/>
          <w:szCs w:val="24"/>
        </w:rPr>
        <w:t>♱</w:t>
      </w:r>
      <w:r w:rsidRPr="00C034E2">
        <w:rPr>
          <w:rFonts w:ascii="Calibri" w:eastAsia="Times New Roman" w:hAnsi="Calibri" w:cs="Calibri"/>
          <w:sz w:val="24"/>
          <w:szCs w:val="24"/>
        </w:rPr>
        <w:t xml:space="preserve">, </w:t>
      </w:r>
      <w:proofErr w:type="spellStart"/>
      <w:r w:rsidRPr="00C034E2">
        <w:rPr>
          <w:rFonts w:ascii="Calibri" w:eastAsia="Times New Roman" w:hAnsi="Calibri" w:cs="Calibri"/>
          <w:sz w:val="24"/>
          <w:szCs w:val="24"/>
        </w:rPr>
        <w:t>n.s</w:t>
      </w:r>
      <w:proofErr w:type="spellEnd"/>
      <w:r w:rsidRPr="00C034E2">
        <w:rPr>
          <w:rFonts w:ascii="Calibri" w:eastAsia="Times New Roman" w:hAnsi="Calibri" w:cs="Calibri"/>
          <w:sz w:val="24"/>
          <w:szCs w:val="24"/>
        </w:rPr>
        <w:t>.= not significant</w:t>
      </w:r>
      <w:r w:rsidR="00BC2839">
        <w:rPr>
          <w:rFonts w:ascii="Calibri" w:eastAsia="Times New Roman" w:hAnsi="Calibri" w:cs="Calibri"/>
          <w:sz w:val="24"/>
          <w:szCs w:val="24"/>
        </w:rPr>
        <w:t>.</w:t>
      </w:r>
    </w:p>
    <w:p w14:paraId="0CF28A41" w14:textId="77777777" w:rsidR="00EA4D7A" w:rsidRDefault="00EA4D7A">
      <w:pPr>
        <w:spacing w:after="160" w:line="259" w:lineRule="auto"/>
        <w:rPr>
          <w:rFonts w:ascii="Times New Roman" w:eastAsia="Times New Roman" w:hAnsi="Times New Roman" w:cs="Times New Roman"/>
          <w:b/>
          <w:bCs/>
          <w:iCs/>
          <w:sz w:val="24"/>
          <w:szCs w:val="24"/>
        </w:rPr>
      </w:pPr>
    </w:p>
    <w:sectPr w:rsidR="00EA4D7A" w:rsidSect="009A4A05">
      <w:headerReference w:type="even" r:id="rId42"/>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D896B" w14:textId="77777777" w:rsidR="007F0400" w:rsidRDefault="007F0400" w:rsidP="00420B72">
      <w:pPr>
        <w:spacing w:line="240" w:lineRule="auto"/>
      </w:pPr>
      <w:r>
        <w:separator/>
      </w:r>
    </w:p>
  </w:endnote>
  <w:endnote w:type="continuationSeparator" w:id="0">
    <w:p w14:paraId="16F82437" w14:textId="77777777" w:rsidR="007F0400" w:rsidRDefault="007F0400" w:rsidP="00420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95D0" w14:textId="77777777" w:rsidR="007F0400" w:rsidRDefault="007F0400" w:rsidP="00420B72">
      <w:pPr>
        <w:spacing w:line="240" w:lineRule="auto"/>
      </w:pPr>
      <w:r>
        <w:separator/>
      </w:r>
    </w:p>
  </w:footnote>
  <w:footnote w:type="continuationSeparator" w:id="0">
    <w:p w14:paraId="57FD1435" w14:textId="77777777" w:rsidR="007F0400" w:rsidRDefault="007F0400" w:rsidP="00420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8E49" w14:textId="77777777" w:rsidR="00EA4D7A" w:rsidRDefault="00EA4D7A" w:rsidP="002D484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0D97065" w14:textId="77777777" w:rsidR="00EA4D7A" w:rsidRDefault="00EA4D7A" w:rsidP="00420B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A5B7" w14:textId="77777777" w:rsidR="00EA4D7A" w:rsidRPr="00420B72" w:rsidRDefault="00EA4D7A" w:rsidP="002D4847">
    <w:pPr>
      <w:pStyle w:val="Header"/>
      <w:framePr w:wrap="none" w:vAnchor="text" w:hAnchor="margin" w:xAlign="right" w:y="1"/>
      <w:rPr>
        <w:rStyle w:val="PageNumber"/>
      </w:rPr>
    </w:pPr>
    <w:r w:rsidRPr="00420B72">
      <w:rPr>
        <w:rStyle w:val="PageNumber"/>
        <w:rFonts w:ascii="Times New Roman" w:hAnsi="Times New Roman" w:cs="Times New Roman"/>
      </w:rPr>
      <w:fldChar w:fldCharType="begin"/>
    </w:r>
    <w:r w:rsidRPr="00420B72">
      <w:rPr>
        <w:rStyle w:val="PageNumber"/>
        <w:rFonts w:ascii="Times New Roman" w:hAnsi="Times New Roman" w:cs="Times New Roman"/>
      </w:rPr>
      <w:instrText xml:space="preserve"> PAGE </w:instrText>
    </w:r>
    <w:r w:rsidRPr="00420B72">
      <w:rPr>
        <w:rStyle w:val="PageNumber"/>
        <w:rFonts w:ascii="Times New Roman" w:hAnsi="Times New Roman" w:cs="Times New Roman"/>
      </w:rPr>
      <w:fldChar w:fldCharType="separate"/>
    </w:r>
    <w:r w:rsidR="00896835">
      <w:rPr>
        <w:rStyle w:val="PageNumber"/>
        <w:rFonts w:ascii="Times New Roman" w:hAnsi="Times New Roman" w:cs="Times New Roman"/>
        <w:noProof/>
      </w:rPr>
      <w:t>20</w:t>
    </w:r>
    <w:r w:rsidRPr="00420B72">
      <w:rPr>
        <w:rStyle w:val="PageNumber"/>
        <w:rFonts w:ascii="Times New Roman" w:hAnsi="Times New Roman" w:cs="Times New Roman"/>
      </w:rPr>
      <w:fldChar w:fldCharType="end"/>
    </w:r>
  </w:p>
  <w:p w14:paraId="1B5308CB" w14:textId="77777777" w:rsidR="00EA4D7A" w:rsidRPr="00420B72" w:rsidRDefault="00EA4D7A" w:rsidP="00420B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2B55"/>
    <w:multiLevelType w:val="hybridMultilevel"/>
    <w:tmpl w:val="78CA746A"/>
    <w:lvl w:ilvl="0" w:tplc="A704F3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56"/>
    <w:rsid w:val="000047A2"/>
    <w:rsid w:val="00014B18"/>
    <w:rsid w:val="000172B1"/>
    <w:rsid w:val="00021E20"/>
    <w:rsid w:val="0002682E"/>
    <w:rsid w:val="0003708C"/>
    <w:rsid w:val="00070336"/>
    <w:rsid w:val="000742EF"/>
    <w:rsid w:val="00075037"/>
    <w:rsid w:val="00084E34"/>
    <w:rsid w:val="00092986"/>
    <w:rsid w:val="000B7732"/>
    <w:rsid w:val="000C2015"/>
    <w:rsid w:val="000D0006"/>
    <w:rsid w:val="000D3CC3"/>
    <w:rsid w:val="000E6152"/>
    <w:rsid w:val="000F020E"/>
    <w:rsid w:val="00100DBC"/>
    <w:rsid w:val="00120813"/>
    <w:rsid w:val="00141D51"/>
    <w:rsid w:val="001469F6"/>
    <w:rsid w:val="00152330"/>
    <w:rsid w:val="00173A9D"/>
    <w:rsid w:val="00177282"/>
    <w:rsid w:val="001B6EEB"/>
    <w:rsid w:val="001C2E1E"/>
    <w:rsid w:val="001D19E6"/>
    <w:rsid w:val="001D3E68"/>
    <w:rsid w:val="001E4A57"/>
    <w:rsid w:val="001F225B"/>
    <w:rsid w:val="0020489C"/>
    <w:rsid w:val="00206F48"/>
    <w:rsid w:val="00213CE6"/>
    <w:rsid w:val="0022689F"/>
    <w:rsid w:val="00236741"/>
    <w:rsid w:val="00261683"/>
    <w:rsid w:val="00265E21"/>
    <w:rsid w:val="002B6796"/>
    <w:rsid w:val="002C057C"/>
    <w:rsid w:val="002C24BB"/>
    <w:rsid w:val="002D4847"/>
    <w:rsid w:val="002D7E63"/>
    <w:rsid w:val="003006D4"/>
    <w:rsid w:val="00302232"/>
    <w:rsid w:val="00333501"/>
    <w:rsid w:val="00347C2B"/>
    <w:rsid w:val="003571F5"/>
    <w:rsid w:val="003619CC"/>
    <w:rsid w:val="00373404"/>
    <w:rsid w:val="003F4DBE"/>
    <w:rsid w:val="00401E5B"/>
    <w:rsid w:val="00403214"/>
    <w:rsid w:val="00405678"/>
    <w:rsid w:val="00420B72"/>
    <w:rsid w:val="00422B89"/>
    <w:rsid w:val="00447193"/>
    <w:rsid w:val="00450E2A"/>
    <w:rsid w:val="0045260B"/>
    <w:rsid w:val="004659B5"/>
    <w:rsid w:val="0047093B"/>
    <w:rsid w:val="004C7CE3"/>
    <w:rsid w:val="0052280D"/>
    <w:rsid w:val="005238D1"/>
    <w:rsid w:val="005319C0"/>
    <w:rsid w:val="005504EC"/>
    <w:rsid w:val="00590C65"/>
    <w:rsid w:val="005A72DB"/>
    <w:rsid w:val="005C048F"/>
    <w:rsid w:val="005C2634"/>
    <w:rsid w:val="005D3AE5"/>
    <w:rsid w:val="005F70E9"/>
    <w:rsid w:val="0061425A"/>
    <w:rsid w:val="00620A41"/>
    <w:rsid w:val="0063094C"/>
    <w:rsid w:val="006321DC"/>
    <w:rsid w:val="00645BB5"/>
    <w:rsid w:val="0067055E"/>
    <w:rsid w:val="006C2C36"/>
    <w:rsid w:val="006C51B2"/>
    <w:rsid w:val="006C752A"/>
    <w:rsid w:val="006F7A79"/>
    <w:rsid w:val="00701F4A"/>
    <w:rsid w:val="007072A3"/>
    <w:rsid w:val="0073064D"/>
    <w:rsid w:val="00743699"/>
    <w:rsid w:val="0077420A"/>
    <w:rsid w:val="007A0A25"/>
    <w:rsid w:val="007B0BE3"/>
    <w:rsid w:val="007E5C1C"/>
    <w:rsid w:val="007F0400"/>
    <w:rsid w:val="007F1475"/>
    <w:rsid w:val="0080642D"/>
    <w:rsid w:val="0081168D"/>
    <w:rsid w:val="00814807"/>
    <w:rsid w:val="008177CA"/>
    <w:rsid w:val="008303A7"/>
    <w:rsid w:val="00863FD5"/>
    <w:rsid w:val="00896835"/>
    <w:rsid w:val="008A181C"/>
    <w:rsid w:val="008A2B6A"/>
    <w:rsid w:val="008B46FB"/>
    <w:rsid w:val="008C4966"/>
    <w:rsid w:val="008D460C"/>
    <w:rsid w:val="008E3D2F"/>
    <w:rsid w:val="00924A57"/>
    <w:rsid w:val="009364F7"/>
    <w:rsid w:val="009423AA"/>
    <w:rsid w:val="009546F2"/>
    <w:rsid w:val="00960113"/>
    <w:rsid w:val="0096216A"/>
    <w:rsid w:val="00980790"/>
    <w:rsid w:val="00996A7E"/>
    <w:rsid w:val="009971B8"/>
    <w:rsid w:val="009A4A05"/>
    <w:rsid w:val="009B1865"/>
    <w:rsid w:val="009D204A"/>
    <w:rsid w:val="009D2C64"/>
    <w:rsid w:val="009E1948"/>
    <w:rsid w:val="00A02189"/>
    <w:rsid w:val="00A068F4"/>
    <w:rsid w:val="00A40ACE"/>
    <w:rsid w:val="00A70EFE"/>
    <w:rsid w:val="00A831F7"/>
    <w:rsid w:val="00A9742A"/>
    <w:rsid w:val="00AA65BF"/>
    <w:rsid w:val="00AA7E10"/>
    <w:rsid w:val="00AC1AF8"/>
    <w:rsid w:val="00AC2DDF"/>
    <w:rsid w:val="00AD298D"/>
    <w:rsid w:val="00AD7043"/>
    <w:rsid w:val="00B36472"/>
    <w:rsid w:val="00B74E10"/>
    <w:rsid w:val="00B80DFF"/>
    <w:rsid w:val="00BB170D"/>
    <w:rsid w:val="00BC1415"/>
    <w:rsid w:val="00BC2839"/>
    <w:rsid w:val="00BD2638"/>
    <w:rsid w:val="00BE0CF3"/>
    <w:rsid w:val="00BE5F60"/>
    <w:rsid w:val="00BE7A4C"/>
    <w:rsid w:val="00C034E2"/>
    <w:rsid w:val="00C116CC"/>
    <w:rsid w:val="00C117DB"/>
    <w:rsid w:val="00C25083"/>
    <w:rsid w:val="00C36B82"/>
    <w:rsid w:val="00C53D99"/>
    <w:rsid w:val="00C56134"/>
    <w:rsid w:val="00C7471B"/>
    <w:rsid w:val="00C824C5"/>
    <w:rsid w:val="00C836F2"/>
    <w:rsid w:val="00C9295F"/>
    <w:rsid w:val="00CD0C92"/>
    <w:rsid w:val="00CD5910"/>
    <w:rsid w:val="00CE1CC1"/>
    <w:rsid w:val="00D318C4"/>
    <w:rsid w:val="00D40E9D"/>
    <w:rsid w:val="00D5276C"/>
    <w:rsid w:val="00D5296B"/>
    <w:rsid w:val="00D53D82"/>
    <w:rsid w:val="00D63178"/>
    <w:rsid w:val="00D96A81"/>
    <w:rsid w:val="00DB4E79"/>
    <w:rsid w:val="00DC617F"/>
    <w:rsid w:val="00DD0404"/>
    <w:rsid w:val="00DD3B05"/>
    <w:rsid w:val="00E13D56"/>
    <w:rsid w:val="00E224BF"/>
    <w:rsid w:val="00E4112F"/>
    <w:rsid w:val="00E44221"/>
    <w:rsid w:val="00E47A60"/>
    <w:rsid w:val="00E555B3"/>
    <w:rsid w:val="00E75E01"/>
    <w:rsid w:val="00E93BCC"/>
    <w:rsid w:val="00EA326E"/>
    <w:rsid w:val="00EA4D7A"/>
    <w:rsid w:val="00EE547F"/>
    <w:rsid w:val="00F3100E"/>
    <w:rsid w:val="00F46B07"/>
    <w:rsid w:val="00F47A1F"/>
    <w:rsid w:val="00F557C6"/>
    <w:rsid w:val="00F71E06"/>
    <w:rsid w:val="00F7523B"/>
    <w:rsid w:val="00F87A56"/>
    <w:rsid w:val="00F92546"/>
    <w:rsid w:val="00FF3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C0680"/>
  <w15:docId w15:val="{1BAF153B-8770-EF4C-BBFB-1D12E5CF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A56"/>
    <w:pPr>
      <w:spacing w:line="276" w:lineRule="auto"/>
    </w:pPr>
    <w:rPr>
      <w:rFonts w:ascii="Arial" w:eastAsia="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7A56"/>
    <w:pPr>
      <w:spacing w:before="100" w:beforeAutospacing="1" w:after="100" w:afterAutospacing="1" w:line="240" w:lineRule="auto"/>
    </w:pPr>
    <w:rPr>
      <w:rFonts w:ascii="Times" w:eastAsia="MS Mincho" w:hAnsi="Times" w:cs="Times New Roman"/>
      <w:sz w:val="20"/>
      <w:szCs w:val="20"/>
    </w:rPr>
  </w:style>
  <w:style w:type="character" w:styleId="LineNumber">
    <w:name w:val="line number"/>
    <w:basedOn w:val="DefaultParagraphFont"/>
    <w:uiPriority w:val="99"/>
    <w:semiHidden/>
    <w:unhideWhenUsed/>
    <w:rsid w:val="00F87A56"/>
  </w:style>
  <w:style w:type="paragraph" w:styleId="BalloonText">
    <w:name w:val="Balloon Text"/>
    <w:basedOn w:val="Normal"/>
    <w:link w:val="BalloonTextChar"/>
    <w:uiPriority w:val="99"/>
    <w:semiHidden/>
    <w:unhideWhenUsed/>
    <w:rsid w:val="00BC141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BC1415"/>
    <w:rPr>
      <w:rFonts w:ascii="Segoe UI" w:eastAsia="Arial" w:hAnsi="Segoe UI" w:cs="Segoe UI"/>
      <w:sz w:val="18"/>
      <w:szCs w:val="18"/>
    </w:rPr>
  </w:style>
  <w:style w:type="character" w:styleId="CommentReference">
    <w:name w:val="annotation reference"/>
    <w:uiPriority w:val="99"/>
    <w:semiHidden/>
    <w:unhideWhenUsed/>
    <w:rsid w:val="00BC1415"/>
    <w:rPr>
      <w:sz w:val="16"/>
      <w:szCs w:val="16"/>
    </w:rPr>
  </w:style>
  <w:style w:type="paragraph" w:styleId="CommentText">
    <w:name w:val="annotation text"/>
    <w:basedOn w:val="Normal"/>
    <w:link w:val="CommentTextChar"/>
    <w:uiPriority w:val="99"/>
    <w:semiHidden/>
    <w:unhideWhenUsed/>
    <w:rsid w:val="00BC1415"/>
    <w:pPr>
      <w:spacing w:line="240" w:lineRule="auto"/>
    </w:pPr>
    <w:rPr>
      <w:sz w:val="20"/>
      <w:szCs w:val="20"/>
    </w:rPr>
  </w:style>
  <w:style w:type="character" w:customStyle="1" w:styleId="CommentTextChar">
    <w:name w:val="Comment Text Char"/>
    <w:link w:val="CommentText"/>
    <w:uiPriority w:val="99"/>
    <w:semiHidden/>
    <w:rsid w:val="00BC141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C1415"/>
    <w:rPr>
      <w:b/>
      <w:bCs/>
    </w:rPr>
  </w:style>
  <w:style w:type="character" w:customStyle="1" w:styleId="CommentSubjectChar">
    <w:name w:val="Comment Subject Char"/>
    <w:link w:val="CommentSubject"/>
    <w:uiPriority w:val="99"/>
    <w:semiHidden/>
    <w:rsid w:val="00BC1415"/>
    <w:rPr>
      <w:rFonts w:ascii="Arial" w:eastAsia="Arial" w:hAnsi="Arial" w:cs="Arial"/>
      <w:b/>
      <w:bCs/>
      <w:sz w:val="20"/>
      <w:szCs w:val="20"/>
    </w:rPr>
  </w:style>
  <w:style w:type="paragraph" w:styleId="Header">
    <w:name w:val="header"/>
    <w:basedOn w:val="Normal"/>
    <w:link w:val="HeaderChar"/>
    <w:uiPriority w:val="99"/>
    <w:unhideWhenUsed/>
    <w:rsid w:val="00420B72"/>
    <w:pPr>
      <w:tabs>
        <w:tab w:val="center" w:pos="4680"/>
        <w:tab w:val="right" w:pos="9360"/>
      </w:tabs>
      <w:spacing w:line="240" w:lineRule="auto"/>
    </w:pPr>
  </w:style>
  <w:style w:type="character" w:customStyle="1" w:styleId="HeaderChar">
    <w:name w:val="Header Char"/>
    <w:link w:val="Header"/>
    <w:uiPriority w:val="99"/>
    <w:rsid w:val="00420B72"/>
    <w:rPr>
      <w:rFonts w:ascii="Arial" w:eastAsia="Arial" w:hAnsi="Arial" w:cs="Arial"/>
    </w:rPr>
  </w:style>
  <w:style w:type="character" w:styleId="PageNumber">
    <w:name w:val="page number"/>
    <w:basedOn w:val="DefaultParagraphFont"/>
    <w:uiPriority w:val="99"/>
    <w:semiHidden/>
    <w:unhideWhenUsed/>
    <w:rsid w:val="00420B72"/>
  </w:style>
  <w:style w:type="paragraph" w:styleId="Footer">
    <w:name w:val="footer"/>
    <w:basedOn w:val="Normal"/>
    <w:link w:val="FooterChar"/>
    <w:uiPriority w:val="99"/>
    <w:unhideWhenUsed/>
    <w:rsid w:val="00420B72"/>
    <w:pPr>
      <w:tabs>
        <w:tab w:val="center" w:pos="4680"/>
        <w:tab w:val="right" w:pos="9360"/>
      </w:tabs>
      <w:spacing w:line="240" w:lineRule="auto"/>
    </w:pPr>
  </w:style>
  <w:style w:type="character" w:customStyle="1" w:styleId="FooterChar">
    <w:name w:val="Footer Char"/>
    <w:link w:val="Footer"/>
    <w:uiPriority w:val="99"/>
    <w:rsid w:val="00420B72"/>
    <w:rPr>
      <w:rFonts w:ascii="Arial" w:eastAsia="Arial" w:hAnsi="Arial" w:cs="Arial"/>
    </w:rPr>
  </w:style>
  <w:style w:type="table" w:customStyle="1" w:styleId="PlainTable21">
    <w:name w:val="Plain Table 21"/>
    <w:basedOn w:val="TableNormal"/>
    <w:uiPriority w:val="99"/>
    <w:rsid w:val="009364F7"/>
    <w:rPr>
      <w:rFonts w:ascii="Arial" w:eastAsia="Arial" w:hAnsi="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204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58911">
      <w:bodyDiv w:val="1"/>
      <w:marLeft w:val="0"/>
      <w:marRight w:val="0"/>
      <w:marTop w:val="0"/>
      <w:marBottom w:val="0"/>
      <w:divBdr>
        <w:top w:val="none" w:sz="0" w:space="0" w:color="auto"/>
        <w:left w:val="none" w:sz="0" w:space="0" w:color="auto"/>
        <w:bottom w:val="none" w:sz="0" w:space="0" w:color="auto"/>
        <w:right w:val="none" w:sz="0" w:space="0" w:color="auto"/>
      </w:divBdr>
    </w:div>
    <w:div w:id="1476995984">
      <w:bodyDiv w:val="1"/>
      <w:marLeft w:val="0"/>
      <w:marRight w:val="0"/>
      <w:marTop w:val="0"/>
      <w:marBottom w:val="0"/>
      <w:divBdr>
        <w:top w:val="none" w:sz="0" w:space="0" w:color="auto"/>
        <w:left w:val="none" w:sz="0" w:space="0" w:color="auto"/>
        <w:bottom w:val="none" w:sz="0" w:space="0" w:color="auto"/>
        <w:right w:val="none" w:sz="0" w:space="0" w:color="auto"/>
      </w:divBdr>
    </w:div>
    <w:div w:id="168088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hyperlink" Target="http://www.random.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4DBC2-EDDA-5A40-9936-D1B13463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4497</Words>
  <Characters>25634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30071</CharactersWithSpaces>
  <SharedDoc>false</SharedDoc>
  <HLinks>
    <vt:vector size="6" baseType="variant">
      <vt:variant>
        <vt:i4>2818096</vt:i4>
      </vt:variant>
      <vt:variant>
        <vt:i4>0</vt:i4>
      </vt:variant>
      <vt:variant>
        <vt:i4>0</vt:i4>
      </vt:variant>
      <vt:variant>
        <vt:i4>5</vt:i4>
      </vt:variant>
      <vt:variant>
        <vt:lpwstr>http://www.random.org/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Teed</dc:creator>
  <cp:keywords/>
  <cp:lastModifiedBy>Ben Tabak</cp:lastModifiedBy>
  <cp:revision>3</cp:revision>
  <cp:lastPrinted>2020-04-21T18:08:00Z</cp:lastPrinted>
  <dcterms:created xsi:type="dcterms:W3CDTF">2021-10-11T19:39:00Z</dcterms:created>
  <dcterms:modified xsi:type="dcterms:W3CDTF">2021-10-11T21:42:00Z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http://www.zotero.org/styles/psychoneuroendocrinology</vt:lpwstr>
  </property>
  <property fmtid="{D5CDD505-2E9C-101B-9397-08002B2CF9AE}" pid="21" name="Mendeley Recent Style Name 9_1">
    <vt:lpwstr>Psychoneuroendocrinology</vt:lpwstr>
  </property>
</Properties>
</file>