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321C6" w14:textId="77777777" w:rsidR="00C167F7" w:rsidRPr="00F372FF" w:rsidRDefault="00C167F7" w:rsidP="00C167F7">
      <w:pPr>
        <w:pStyle w:val="Heading1"/>
        <w:rPr>
          <w:lang w:val="en-GB"/>
        </w:rPr>
      </w:pPr>
      <w:bookmarkStart w:id="0" w:name="OLE_LINK8"/>
      <w:bookmarkStart w:id="1" w:name="OLE_LINK11"/>
      <w:r w:rsidRPr="00F372FF">
        <w:rPr>
          <w:lang w:val="en-GB"/>
        </w:rPr>
        <w:t>Supplemental Information</w:t>
      </w:r>
    </w:p>
    <w:p w14:paraId="05C38EB0" w14:textId="77777777" w:rsidR="00C167F7" w:rsidRPr="00F372FF" w:rsidRDefault="00C167F7" w:rsidP="00C167F7">
      <w:pPr>
        <w:pStyle w:val="Normal-nospacing"/>
        <w:rPr>
          <w:lang w:val="en-GB"/>
        </w:rPr>
      </w:pPr>
      <w:r w:rsidRPr="00F372FF">
        <w:rPr>
          <w:lang w:val="en-GB"/>
        </w:rPr>
        <w:t xml:space="preserve">Davey CG, et al. Suppressed activity of the rostral anterior cingulate cortex as a biomarker for depression remission. </w:t>
      </w:r>
    </w:p>
    <w:p w14:paraId="3A459CD3" w14:textId="77777777" w:rsidR="00C167F7" w:rsidRPr="00F372FF" w:rsidRDefault="00C167F7" w:rsidP="00C167F7">
      <w:pPr>
        <w:pStyle w:val="Normal-nospacing"/>
        <w:rPr>
          <w:lang w:val="en-GB"/>
        </w:rPr>
      </w:pPr>
    </w:p>
    <w:p w14:paraId="1B9E2EE9" w14:textId="77777777" w:rsidR="00C167F7" w:rsidRPr="00F372FF" w:rsidRDefault="00C167F7" w:rsidP="00C167F7">
      <w:pPr>
        <w:pStyle w:val="Normal-nospacing"/>
        <w:rPr>
          <w:rFonts w:ascii="TimesNewRomanPS" w:hAnsi="TimesNewRomanPS"/>
          <w:b/>
          <w:bCs/>
          <w:lang w:val="en-GB"/>
        </w:rPr>
      </w:pPr>
    </w:p>
    <w:p w14:paraId="1E7A5579" w14:textId="77777777" w:rsidR="00C167F7" w:rsidRPr="00F372FF" w:rsidRDefault="00C167F7" w:rsidP="00C167F7">
      <w:pPr>
        <w:pStyle w:val="Normal-nospacing"/>
        <w:rPr>
          <w:rFonts w:ascii="TimesNewRomanPS" w:hAnsi="TimesNewRomanPS"/>
          <w:b/>
          <w:bCs/>
          <w:lang w:val="en-GB"/>
        </w:rPr>
      </w:pPr>
    </w:p>
    <w:p w14:paraId="562DB89B" w14:textId="77777777" w:rsidR="00C167F7" w:rsidRPr="00F372FF" w:rsidRDefault="00C167F7" w:rsidP="00C167F7">
      <w:pPr>
        <w:rPr>
          <w:lang w:val="en-GB"/>
        </w:rPr>
      </w:pPr>
      <w:r w:rsidRPr="00F372FF">
        <w:rPr>
          <w:rFonts w:ascii="TimesNewRomanPS" w:hAnsi="TimesNewRomanPS"/>
          <w:b/>
          <w:bCs/>
          <w:lang w:val="en-GB"/>
        </w:rPr>
        <w:t xml:space="preserve">Supplementary Methods. </w:t>
      </w:r>
      <w:r w:rsidRPr="00F372FF">
        <w:rPr>
          <w:lang w:val="en-GB"/>
        </w:rPr>
        <w:t xml:space="preserve">Expanded Methodology. </w:t>
      </w:r>
    </w:p>
    <w:p w14:paraId="330FEE3F" w14:textId="77777777" w:rsidR="00C167F7" w:rsidRPr="00F372FF" w:rsidRDefault="00C167F7" w:rsidP="00C167F7">
      <w:pPr>
        <w:rPr>
          <w:rFonts w:ascii="TimesNewRomanPS" w:hAnsi="TimesNewRomanPS"/>
          <w:b/>
          <w:bCs/>
          <w:lang w:val="en-GB"/>
        </w:rPr>
      </w:pPr>
      <w:r w:rsidRPr="00F372FF">
        <w:rPr>
          <w:rFonts w:ascii="TimesNewRomanPS" w:hAnsi="TimesNewRomanPS"/>
          <w:b/>
          <w:bCs/>
          <w:lang w:val="en-GB"/>
        </w:rPr>
        <w:t xml:space="preserve">Supplementary Figure 1. </w:t>
      </w:r>
      <w:r w:rsidRPr="00F372FF">
        <w:rPr>
          <w:lang w:val="en-GB"/>
        </w:rPr>
        <w:t xml:space="preserve">The </w:t>
      </w:r>
      <w:r w:rsidRPr="00F372FF">
        <w:rPr>
          <w:rFonts w:eastAsiaTheme="minorEastAsia"/>
          <w:lang w:val="en-GB"/>
        </w:rPr>
        <w:t>faces &gt; shapes</w:t>
      </w:r>
      <w:r w:rsidRPr="00F372FF">
        <w:rPr>
          <w:lang w:val="en-GB"/>
        </w:rPr>
        <w:t xml:space="preserve"> </w:t>
      </w:r>
      <w:r w:rsidRPr="00F372FF">
        <w:rPr>
          <w:rFonts w:eastAsiaTheme="minorEastAsia"/>
          <w:lang w:val="en-GB"/>
        </w:rPr>
        <w:t>fMRI contrast (group level result).</w:t>
      </w:r>
    </w:p>
    <w:p w14:paraId="0533BBDC" w14:textId="77777777" w:rsidR="00C167F7" w:rsidRPr="00F372FF" w:rsidRDefault="00C167F7" w:rsidP="00C167F7">
      <w:pPr>
        <w:rPr>
          <w:lang w:val="en-GB"/>
        </w:rPr>
      </w:pPr>
      <w:r w:rsidRPr="00F372FF">
        <w:rPr>
          <w:rFonts w:ascii="TimesNewRomanPS" w:hAnsi="TimesNewRomanPS"/>
          <w:b/>
          <w:bCs/>
          <w:lang w:val="en-GB"/>
        </w:rPr>
        <w:t xml:space="preserve">Supplementary Figure 2. </w:t>
      </w:r>
      <w:r w:rsidRPr="00F372FF">
        <w:rPr>
          <w:lang w:val="en-GB"/>
        </w:rPr>
        <w:t>Area under the receiver operator characteristic curve (ROC-AUC) for the fMRI classifier.</w:t>
      </w:r>
    </w:p>
    <w:p w14:paraId="2CBA99A6" w14:textId="77777777" w:rsidR="00C167F7" w:rsidRPr="00F372FF" w:rsidRDefault="00C167F7" w:rsidP="00C167F7">
      <w:pPr>
        <w:rPr>
          <w:lang w:val="en-GB"/>
        </w:rPr>
      </w:pPr>
      <w:r w:rsidRPr="00F372FF">
        <w:rPr>
          <w:b/>
          <w:bCs/>
          <w:lang w:val="en-GB"/>
        </w:rPr>
        <w:t xml:space="preserve">Supplementary Figure 3. </w:t>
      </w:r>
      <w:r w:rsidRPr="00F372FF">
        <w:rPr>
          <w:lang w:val="en-GB"/>
        </w:rPr>
        <w:t>Null distribution for the fMRI classifier after permutation testing.</w:t>
      </w:r>
    </w:p>
    <w:p w14:paraId="0DA54E06" w14:textId="77777777" w:rsidR="00C167F7" w:rsidRPr="00F372FF" w:rsidRDefault="00C167F7" w:rsidP="00C167F7">
      <w:pPr>
        <w:rPr>
          <w:b/>
          <w:bCs/>
          <w:lang w:val="en-GB"/>
        </w:rPr>
      </w:pPr>
      <w:r w:rsidRPr="00F372FF">
        <w:rPr>
          <w:b/>
          <w:bCs/>
          <w:lang w:val="en-GB"/>
        </w:rPr>
        <w:t>Supplementary Table 1.</w:t>
      </w:r>
      <w:r w:rsidRPr="00F372FF">
        <w:rPr>
          <w:bCs/>
          <w:lang w:val="en-GB"/>
        </w:rPr>
        <w:t xml:space="preserve"> Table of all clinical predictors </w:t>
      </w:r>
      <w:proofErr w:type="gramStart"/>
      <w:r w:rsidRPr="00F372FF">
        <w:rPr>
          <w:bCs/>
          <w:lang w:val="en-GB"/>
        </w:rPr>
        <w:t>entered into</w:t>
      </w:r>
      <w:proofErr w:type="gramEnd"/>
      <w:r w:rsidRPr="00F372FF">
        <w:rPr>
          <w:bCs/>
          <w:lang w:val="en-GB"/>
        </w:rPr>
        <w:t xml:space="preserve"> the exploratory clinical model for consideration by the elastic net.</w:t>
      </w:r>
    </w:p>
    <w:p w14:paraId="19AEF20E" w14:textId="77777777" w:rsidR="00C167F7" w:rsidRPr="00F372FF" w:rsidRDefault="00C167F7" w:rsidP="00C167F7">
      <w:pPr>
        <w:pStyle w:val="Heading2"/>
        <w:rPr>
          <w:lang w:val="en-GB"/>
        </w:rPr>
      </w:pPr>
      <w:r w:rsidRPr="00F372FF">
        <w:rPr>
          <w:lang w:val="en-GB"/>
        </w:rPr>
        <w:t xml:space="preserve">Supplementary Table 2: </w:t>
      </w:r>
      <w:r w:rsidRPr="00F372FF">
        <w:rPr>
          <w:b w:val="0"/>
          <w:bCs/>
          <w:lang w:val="en-GB"/>
        </w:rPr>
        <w:t>Baseline characteristics of the trial participants included in fMRI analyses compared to trial participants who were not included.</w:t>
      </w:r>
    </w:p>
    <w:p w14:paraId="6788CD90" w14:textId="77777777" w:rsidR="00C167F7" w:rsidRPr="00F372FF" w:rsidRDefault="00C167F7" w:rsidP="00C167F7">
      <w:pPr>
        <w:rPr>
          <w:lang w:val="en-GB"/>
        </w:rPr>
      </w:pPr>
      <w:r w:rsidRPr="00F372FF">
        <w:rPr>
          <w:b/>
          <w:lang w:val="en-GB"/>
        </w:rPr>
        <w:t>Supplementary Table 3.</w:t>
      </w:r>
      <w:r w:rsidRPr="00F372FF">
        <w:rPr>
          <w:bCs/>
          <w:lang w:val="en-GB"/>
        </w:rPr>
        <w:t xml:space="preserve"> </w:t>
      </w:r>
      <w:r w:rsidRPr="00F372FF">
        <w:rPr>
          <w:lang w:val="en-GB"/>
        </w:rPr>
        <w:t xml:space="preserve">Changes in symptom severity and rates of remission and response for participants in the </w:t>
      </w:r>
      <w:proofErr w:type="spellStart"/>
      <w:r w:rsidRPr="00F372FF">
        <w:rPr>
          <w:lang w:val="en-GB"/>
        </w:rPr>
        <w:t>YoDA</w:t>
      </w:r>
      <w:proofErr w:type="spellEnd"/>
      <w:r w:rsidRPr="00F372FF">
        <w:rPr>
          <w:lang w:val="en-GB"/>
        </w:rPr>
        <w:t>-C trial.</w:t>
      </w:r>
    </w:p>
    <w:p w14:paraId="0642FC49" w14:textId="77777777" w:rsidR="00C167F7" w:rsidRPr="00F372FF" w:rsidRDefault="00C167F7" w:rsidP="00C167F7">
      <w:pPr>
        <w:rPr>
          <w:lang w:val="en-GB"/>
        </w:rPr>
      </w:pPr>
      <w:r w:rsidRPr="00F372FF">
        <w:rPr>
          <w:b/>
          <w:lang w:val="en-GB"/>
        </w:rPr>
        <w:t xml:space="preserve">Supplementary Table 4. </w:t>
      </w:r>
      <w:r w:rsidRPr="00F372FF">
        <w:rPr>
          <w:lang w:val="en-GB"/>
        </w:rPr>
        <w:t xml:space="preserve">Baseline characteristics of the </w:t>
      </w:r>
      <w:proofErr w:type="spellStart"/>
      <w:r w:rsidRPr="00F372FF">
        <w:rPr>
          <w:lang w:val="en-GB"/>
        </w:rPr>
        <w:t>YoDA</w:t>
      </w:r>
      <w:proofErr w:type="spellEnd"/>
      <w:r w:rsidRPr="00F372FF">
        <w:rPr>
          <w:lang w:val="en-GB"/>
        </w:rPr>
        <w:t>-A validation sample.</w:t>
      </w:r>
    </w:p>
    <w:p w14:paraId="52D5305E" w14:textId="77777777" w:rsidR="00C167F7" w:rsidRPr="00F372FF" w:rsidRDefault="00C167F7" w:rsidP="00C167F7">
      <w:pPr>
        <w:rPr>
          <w:lang w:val="en-GB"/>
        </w:rPr>
      </w:pPr>
      <w:r w:rsidRPr="00F372FF">
        <w:rPr>
          <w:b/>
          <w:lang w:val="en-GB"/>
        </w:rPr>
        <w:t>Supplementary Table 5.</w:t>
      </w:r>
      <w:r w:rsidRPr="00F372FF">
        <w:rPr>
          <w:bCs/>
          <w:lang w:val="en-GB"/>
        </w:rPr>
        <w:t xml:space="preserve"> </w:t>
      </w:r>
      <w:r w:rsidRPr="00F372FF">
        <w:rPr>
          <w:lang w:val="en-GB"/>
        </w:rPr>
        <w:t xml:space="preserve">Changes in symptom severity and rates of remission for participants in the </w:t>
      </w:r>
      <w:proofErr w:type="spellStart"/>
      <w:r w:rsidRPr="00F372FF">
        <w:rPr>
          <w:lang w:val="en-GB"/>
        </w:rPr>
        <w:t>YoDA</w:t>
      </w:r>
      <w:proofErr w:type="spellEnd"/>
      <w:r w:rsidRPr="00F372FF">
        <w:rPr>
          <w:lang w:val="en-GB"/>
        </w:rPr>
        <w:t>-A trial.</w:t>
      </w:r>
    </w:p>
    <w:p w14:paraId="1580F499" w14:textId="3B032292" w:rsidR="00C167F7" w:rsidRPr="00382E8E" w:rsidRDefault="00C167F7" w:rsidP="00382E8E">
      <w:pPr>
        <w:rPr>
          <w:rFonts w:eastAsiaTheme="minorEastAsia"/>
          <w:lang w:val="en-GB"/>
        </w:rPr>
      </w:pPr>
      <w:r w:rsidRPr="00F372FF">
        <w:rPr>
          <w:rFonts w:eastAsiaTheme="minorEastAsia"/>
          <w:b/>
          <w:bCs/>
          <w:lang w:val="en-GB"/>
        </w:rPr>
        <w:t xml:space="preserve">Supplementary Table 6. </w:t>
      </w:r>
      <w:r w:rsidRPr="00F372FF">
        <w:rPr>
          <w:rFonts w:eastAsiaTheme="minorEastAsia"/>
          <w:lang w:val="en-GB"/>
        </w:rPr>
        <w:t>Activations to the shapes &gt; faces contrast.</w:t>
      </w:r>
      <w:r w:rsidRPr="00F372FF">
        <w:rPr>
          <w:lang w:val="en-GB"/>
        </w:rPr>
        <w:br w:type="page"/>
      </w:r>
    </w:p>
    <w:p w14:paraId="0F344BBB" w14:textId="77777777" w:rsidR="00C167F7" w:rsidRPr="00F372FF" w:rsidRDefault="00C167F7" w:rsidP="00C167F7">
      <w:pPr>
        <w:pStyle w:val="Heading2"/>
        <w:rPr>
          <w:lang w:val="en-GB"/>
        </w:rPr>
      </w:pPr>
      <w:r w:rsidRPr="00F372FF">
        <w:rPr>
          <w:lang w:val="en-GB"/>
        </w:rPr>
        <w:lastRenderedPageBreak/>
        <w:t>Supplementary Methods</w:t>
      </w:r>
    </w:p>
    <w:p w14:paraId="6449F69C" w14:textId="77777777" w:rsidR="00C167F7" w:rsidRPr="00F372FF" w:rsidRDefault="00C167F7" w:rsidP="00C167F7">
      <w:pPr>
        <w:pStyle w:val="Heading3"/>
        <w:rPr>
          <w:lang w:val="en-GB"/>
        </w:rPr>
      </w:pPr>
      <w:r w:rsidRPr="00F372FF">
        <w:rPr>
          <w:lang w:val="en-GB"/>
        </w:rPr>
        <w:t>Inclusion and exclusion criteria</w:t>
      </w:r>
    </w:p>
    <w:p w14:paraId="0486A8ED" w14:textId="77777777" w:rsidR="00C167F7" w:rsidRPr="00F372FF" w:rsidRDefault="00C167F7" w:rsidP="00C167F7">
      <w:pPr>
        <w:rPr>
          <w:snapToGrid w:val="0"/>
          <w:lang w:val="en-GB"/>
        </w:rPr>
      </w:pPr>
      <w:r w:rsidRPr="00F372FF">
        <w:rPr>
          <w:snapToGrid w:val="0"/>
          <w:lang w:val="en-GB"/>
        </w:rPr>
        <w:t>Inclusion criteria were: (1) aged 15 to 25 years; (2) diagnosis of MDD based on the Structured Clinical Interview for DSM-IV Axis I Disorders (SCID-IV)</w:t>
      </w:r>
      <w:r>
        <w:rPr>
          <w:snapToGrid w:val="0"/>
          <w:lang w:val="en-GB"/>
        </w:rPr>
        <w:t xml:space="preserve"> </w:t>
      </w:r>
      <w:r>
        <w:fldChar w:fldCharType="begin"/>
      </w:r>
      <w:r>
        <w:instrText>ADDIN BEC{First et al., 1997, #98879}</w:instrText>
      </w:r>
      <w:r>
        <w:fldChar w:fldCharType="separate"/>
      </w:r>
      <w:r>
        <w:t>(First, Spitzer, Gibbon, &amp; Williams, 1997)</w:t>
      </w:r>
      <w:r>
        <w:fldChar w:fldCharType="end"/>
      </w:r>
      <w:r>
        <w:t>;</w:t>
      </w:r>
      <w:r w:rsidRPr="00F372FF">
        <w:rPr>
          <w:snapToGrid w:val="0"/>
          <w:lang w:val="en-GB"/>
        </w:rPr>
        <w:t xml:space="preserve"> (3) score of 20 or higher on the Montgomery-</w:t>
      </w:r>
      <w:proofErr w:type="spellStart"/>
      <w:r w:rsidRPr="00F372FF">
        <w:rPr>
          <w:snapToGrid w:val="0"/>
          <w:lang w:val="en-GB"/>
        </w:rPr>
        <w:t>Åsberg</w:t>
      </w:r>
      <w:proofErr w:type="spellEnd"/>
      <w:r w:rsidRPr="00F372FF">
        <w:rPr>
          <w:snapToGrid w:val="0"/>
          <w:lang w:val="en-GB"/>
        </w:rPr>
        <w:t xml:space="preserve"> Depression Rating Scale (MADRS)</w:t>
      </w:r>
      <w:r>
        <w:rPr>
          <w:snapToGrid w:val="0"/>
          <w:lang w:val="en-GB"/>
        </w:rPr>
        <w:t xml:space="preserve"> </w:t>
      </w:r>
      <w:r>
        <w:fldChar w:fldCharType="begin"/>
      </w:r>
      <w:r>
        <w:instrText>ADDIN BEC{Montgomery and Asberg, 1979, #53282}</w:instrText>
      </w:r>
      <w:r>
        <w:fldChar w:fldCharType="separate"/>
      </w:r>
      <w:r>
        <w:t>(Montgomery &amp; Asberg, 1979)</w:t>
      </w:r>
      <w:r>
        <w:fldChar w:fldCharType="end"/>
      </w:r>
      <w:r w:rsidRPr="00F372FF">
        <w:rPr>
          <w:snapToGrid w:val="0"/>
          <w:lang w:val="en-GB"/>
        </w:rPr>
        <w:t xml:space="preserve"> indicating depression of at least moderate severity; and (4) ability to provide written informed consent (including both adequate intellectual capacity and fluency in the English language). Exclusion criteria were: (1) lifetime or current SCID diagnosis of a psychotic disorder; (2) lifetime or current diagnosis of bipolar I or II disorder; (3) acute or unstable medical disorder that would interfere with treatment; (4) current pregnancy; (5) severe disturbance such that the young person would be unable to comply with the requirements of informed consent or with the study protocol; (6) current treatment with an antidepressant medication for at least two weeks; and (7) previous treatment with fluoxetine that was either ineffective or poorly tolerated. </w:t>
      </w:r>
    </w:p>
    <w:p w14:paraId="3D0B2EF1" w14:textId="77777777" w:rsidR="00C167F7" w:rsidRPr="00F372FF" w:rsidRDefault="00C167F7" w:rsidP="00C167F7">
      <w:pPr>
        <w:pStyle w:val="Heading3"/>
        <w:rPr>
          <w:lang w:val="en-GB"/>
        </w:rPr>
      </w:pPr>
      <w:r w:rsidRPr="00F372FF">
        <w:rPr>
          <w:lang w:val="en-GB"/>
        </w:rPr>
        <w:t>Emotional face matching task</w:t>
      </w:r>
    </w:p>
    <w:p w14:paraId="711498C8" w14:textId="77777777" w:rsidR="00C167F7" w:rsidRPr="00F372FF" w:rsidRDefault="00C167F7" w:rsidP="00C167F7">
      <w:pPr>
        <w:rPr>
          <w:shd w:val="clear" w:color="auto" w:fill="FFFFFF"/>
          <w:lang w:val="en-GB"/>
        </w:rPr>
      </w:pPr>
      <w:r w:rsidRPr="00F372FF">
        <w:rPr>
          <w:lang w:val="en-GB"/>
        </w:rPr>
        <w:t xml:space="preserve">The emotional face matching task </w:t>
      </w:r>
      <w:r w:rsidRPr="00F372FF">
        <w:rPr>
          <w:shd w:val="clear" w:color="auto" w:fill="FFFFFF"/>
          <w:lang w:val="en-GB"/>
        </w:rPr>
        <w:t xml:space="preserve">comprised a shape matching condition and two face matching conditions, containing either fearful or sad facial expressions. In the shape matching condition, participants were required to match the orientation of the shape presented in the top half of the screen to one of the two shapes presented on the left and right in the bottom half of the screen. In the face matching conditions, participants were required to match the sex of the face presented in the top half of the screen with the sex of one of the faces presented on the left and the right in the bottom half of the screen. </w:t>
      </w:r>
      <w:proofErr w:type="gramStart"/>
      <w:r w:rsidRPr="00F372FF">
        <w:rPr>
          <w:shd w:val="clear" w:color="auto" w:fill="FFFFFF"/>
          <w:lang w:val="en-GB"/>
        </w:rPr>
        <w:t>All of</w:t>
      </w:r>
      <w:proofErr w:type="gramEnd"/>
      <w:r w:rsidRPr="00F372FF">
        <w:rPr>
          <w:shd w:val="clear" w:color="auto" w:fill="FFFFFF"/>
          <w:lang w:val="en-GB"/>
        </w:rPr>
        <w:t xml:space="preserve"> the faces presented in each block, from the Radboud Face Database</w:t>
      </w:r>
      <w:r>
        <w:rPr>
          <w:shd w:val="clear" w:color="auto" w:fill="FFFFFF"/>
          <w:lang w:val="en-GB"/>
        </w:rPr>
        <w:t xml:space="preserve"> </w:t>
      </w:r>
      <w:r>
        <w:fldChar w:fldCharType="begin"/>
      </w:r>
      <w:r>
        <w:instrText>ADDIN BEC{Langner et al., 2010, #5990}</w:instrText>
      </w:r>
      <w:r>
        <w:fldChar w:fldCharType="separate"/>
      </w:r>
      <w:r>
        <w:t>(Langner et al., 2010)</w:t>
      </w:r>
      <w:r>
        <w:fldChar w:fldCharType="end"/>
      </w:r>
      <w:r>
        <w:t>,</w:t>
      </w:r>
      <w:r w:rsidRPr="00F372FF">
        <w:rPr>
          <w:shd w:val="clear" w:color="auto" w:fill="FFFFFF"/>
          <w:lang w:val="en-GB"/>
        </w:rPr>
        <w:t xml:space="preserve"> conveyed the same facial expressions. Each block consisted of six trials, with each trial having a duration of 4 seconds. The task-run comprised six blocks of each condition interleaved with 10-second rest-fixation blocks, with order of block presentation counterbalanced between participants (</w:t>
      </w:r>
      <w:r w:rsidRPr="00F372FF">
        <w:rPr>
          <w:b/>
          <w:bCs/>
          <w:shd w:val="clear" w:color="auto" w:fill="FFFFFF"/>
          <w:lang w:val="en-GB"/>
        </w:rPr>
        <w:t>Figure 1</w:t>
      </w:r>
      <w:r w:rsidRPr="00F372FF">
        <w:rPr>
          <w:shd w:val="clear" w:color="auto" w:fill="FFFFFF"/>
          <w:lang w:val="en-GB"/>
        </w:rPr>
        <w:t xml:space="preserve">). </w:t>
      </w:r>
    </w:p>
    <w:p w14:paraId="3E362A91" w14:textId="69A9421B" w:rsidR="00C167F7" w:rsidRPr="00F372FF" w:rsidRDefault="00C167F7" w:rsidP="00C167F7">
      <w:pPr>
        <w:jc w:val="center"/>
        <w:rPr>
          <w:shd w:val="clear" w:color="auto" w:fill="FFFFFF"/>
          <w:lang w:val="en-GB"/>
        </w:rPr>
      </w:pPr>
      <w:r w:rsidRPr="00EF631E">
        <w:rPr>
          <w:noProof/>
          <w:shd w:val="clear" w:color="auto" w:fill="FFFFFF"/>
          <w:lang w:val="en-GB"/>
        </w:rPr>
        <w:drawing>
          <wp:inline distT="0" distB="0" distL="0" distR="0" wp14:anchorId="791A626A" wp14:editId="75877BE7">
            <wp:extent cx="3937000" cy="652145"/>
            <wp:effectExtent l="0" t="0" r="0" b="0"/>
            <wp:docPr id="8" name="Picture 8" descr="A picture containing clock, drawing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clock, drawing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7000" cy="652145"/>
                    </a:xfrm>
                    <a:prstGeom prst="rect">
                      <a:avLst/>
                    </a:prstGeom>
                    <a:noFill/>
                    <a:ln>
                      <a:noFill/>
                    </a:ln>
                  </pic:spPr>
                </pic:pic>
              </a:graphicData>
            </a:graphic>
          </wp:inline>
        </w:drawing>
      </w:r>
    </w:p>
    <w:p w14:paraId="3F0BC488" w14:textId="77777777" w:rsidR="00C167F7" w:rsidRPr="00F372FF" w:rsidRDefault="00C167F7" w:rsidP="00C167F7">
      <w:pPr>
        <w:ind w:left="1843"/>
        <w:rPr>
          <w:sz w:val="18"/>
          <w:szCs w:val="18"/>
          <w:shd w:val="clear" w:color="auto" w:fill="FFFFFF"/>
          <w:lang w:val="en-GB"/>
        </w:rPr>
      </w:pPr>
      <w:r w:rsidRPr="00F372FF">
        <w:rPr>
          <w:b/>
          <w:bCs/>
          <w:sz w:val="18"/>
          <w:szCs w:val="18"/>
          <w:shd w:val="clear" w:color="auto" w:fill="FFFFFF"/>
          <w:lang w:val="en-GB"/>
        </w:rPr>
        <w:t xml:space="preserve">Figure 1. </w:t>
      </w:r>
      <w:r w:rsidRPr="00F372FF">
        <w:rPr>
          <w:sz w:val="18"/>
          <w:szCs w:val="18"/>
          <w:shd w:val="clear" w:color="auto" w:fill="FFFFFF"/>
          <w:lang w:val="en-GB"/>
        </w:rPr>
        <w:t>The emotional faces task</w:t>
      </w:r>
    </w:p>
    <w:p w14:paraId="417F76AA" w14:textId="77777777" w:rsidR="00C167F7" w:rsidRPr="00F372FF" w:rsidRDefault="00C167F7" w:rsidP="00C167F7">
      <w:pPr>
        <w:rPr>
          <w:shd w:val="clear" w:color="auto" w:fill="FFFFFF"/>
          <w:lang w:val="en-GB"/>
        </w:rPr>
      </w:pPr>
      <w:r w:rsidRPr="00F372FF">
        <w:rPr>
          <w:rFonts w:eastAsiaTheme="minorEastAsia"/>
          <w:color w:val="000000" w:themeColor="text1"/>
          <w:lang w:val="en-GB"/>
        </w:rPr>
        <w:t xml:space="preserve">The task was programmed in Paradigm software and </w:t>
      </w:r>
      <w:r w:rsidRPr="00F372FF">
        <w:rPr>
          <w:color w:val="000000"/>
          <w:lang w:val="en-GB"/>
        </w:rPr>
        <w:t>was delivered using MRI-compatible high-resolution goggles (</w:t>
      </w:r>
      <w:proofErr w:type="spellStart"/>
      <w:r w:rsidRPr="00F372FF">
        <w:rPr>
          <w:color w:val="000000"/>
          <w:lang w:val="en-GB"/>
        </w:rPr>
        <w:t>VisuaStim</w:t>
      </w:r>
      <w:proofErr w:type="spellEnd"/>
      <w:r w:rsidRPr="00F372FF">
        <w:rPr>
          <w:color w:val="000000"/>
          <w:lang w:val="en-GB"/>
        </w:rPr>
        <w:t xml:space="preserve"> Digital, Resonance Technology Inc.). Participants’ responses were registered with a </w:t>
      </w:r>
      <w:proofErr w:type="spellStart"/>
      <w:r w:rsidRPr="00F372FF">
        <w:rPr>
          <w:color w:val="000000"/>
          <w:lang w:val="en-GB"/>
        </w:rPr>
        <w:t>fORP</w:t>
      </w:r>
      <w:proofErr w:type="spellEnd"/>
      <w:r w:rsidRPr="00F372FF">
        <w:rPr>
          <w:color w:val="000000"/>
          <w:lang w:val="en-GB"/>
        </w:rPr>
        <w:t xml:space="preserve"> 4-button response box (Cambridge Research Systems Ltd.), which participants were familiar</w:t>
      </w:r>
      <w:r>
        <w:rPr>
          <w:color w:val="000000"/>
          <w:lang w:val="en-GB"/>
        </w:rPr>
        <w:t>ise</w:t>
      </w:r>
      <w:r w:rsidRPr="00F372FF">
        <w:rPr>
          <w:color w:val="000000"/>
          <w:lang w:val="en-GB"/>
        </w:rPr>
        <w:t>d with prior to scanning</w:t>
      </w:r>
      <w:r w:rsidRPr="00F372FF">
        <w:rPr>
          <w:lang w:val="en-GB"/>
        </w:rPr>
        <w:t xml:space="preserve">. Participants were required to achieve a minimum accuracy level of 80% across the face matching conditions, indicating that they had correctly understood the instructions and had properly engaged in the task, </w:t>
      </w:r>
      <w:proofErr w:type="gramStart"/>
      <w:r w:rsidRPr="00F372FF">
        <w:rPr>
          <w:lang w:val="en-GB"/>
        </w:rPr>
        <w:t>in order for</w:t>
      </w:r>
      <w:proofErr w:type="gramEnd"/>
      <w:r w:rsidRPr="00F372FF">
        <w:rPr>
          <w:lang w:val="en-GB"/>
        </w:rPr>
        <w:t xml:space="preserve"> them to be included in analyses</w:t>
      </w:r>
      <w:r w:rsidRPr="00F372FF">
        <w:rPr>
          <w:color w:val="000000" w:themeColor="text1"/>
          <w:lang w:val="en-GB"/>
        </w:rPr>
        <w:t>.</w:t>
      </w:r>
    </w:p>
    <w:p w14:paraId="51F828C1" w14:textId="77777777" w:rsidR="00C167F7" w:rsidRPr="00F372FF" w:rsidRDefault="00C167F7" w:rsidP="00C167F7">
      <w:pPr>
        <w:pStyle w:val="Heading3"/>
        <w:rPr>
          <w:lang w:val="en-GB"/>
        </w:rPr>
      </w:pPr>
      <w:r w:rsidRPr="00F372FF">
        <w:rPr>
          <w:lang w:val="en-GB"/>
        </w:rPr>
        <w:t>Image acquisition and pre-processing</w:t>
      </w:r>
    </w:p>
    <w:p w14:paraId="38405B84" w14:textId="77777777" w:rsidR="00C167F7" w:rsidRPr="00F372FF" w:rsidRDefault="00C167F7" w:rsidP="00C167F7">
      <w:pPr>
        <w:rPr>
          <w:lang w:val="en-GB"/>
        </w:rPr>
      </w:pPr>
      <w:r w:rsidRPr="00F372FF">
        <w:rPr>
          <w:lang w:val="en-GB"/>
        </w:rPr>
        <w:t xml:space="preserve">A 3T General Electric Signa Excite system equipped with an eight-channel phased-array head coil was used in combination with ASSET parallel imaging. The functional sequence consisted of a single shot gradient-recalled echo-planar imaging sequence in the steady state (repetition time, 2 s; echo time, 35 </w:t>
      </w:r>
      <w:proofErr w:type="spellStart"/>
      <w:r w:rsidRPr="00F372FF">
        <w:rPr>
          <w:lang w:val="en-GB"/>
        </w:rPr>
        <w:t>ms</w:t>
      </w:r>
      <w:proofErr w:type="spellEnd"/>
      <w:r w:rsidRPr="00F372FF">
        <w:rPr>
          <w:lang w:val="en-GB"/>
        </w:rPr>
        <w:t xml:space="preserve">; and pulse angle, 90°) in a 23-cm field-of-view, with a 64×64-pixel matrix and a slice thickness of 3.5 mm (no gap). Thirty-six interleaved slices were acquired parallel to the anterior-posterior commissure line with a 20° anterior tilt to better cover ventral prefrontal cortical brain regions. The total sequence time was 10 min 32 s, corresponding to 311 whole brain echo-planar imaging volumes. The first four volumes from each run were automatically discarded to allow for signal equilibration. A T1-weighted high-resolution anatomical image was acquired for each participant to assist with functional time-series co-registration (140 contiguous slices; repetition time, 7.9 s; echo time, 3 s; flip angle, 13°; in a 25.6 cm field-of- view, with a 256 × </w:t>
      </w:r>
      <w:proofErr w:type="gramStart"/>
      <w:r w:rsidRPr="00F372FF">
        <w:rPr>
          <w:lang w:val="en-GB"/>
        </w:rPr>
        <w:t>256 pixel</w:t>
      </w:r>
      <w:proofErr w:type="gramEnd"/>
      <w:r w:rsidRPr="00F372FF">
        <w:rPr>
          <w:lang w:val="en-GB"/>
        </w:rPr>
        <w:t xml:space="preserve"> matrix and a slice thickness of 1 mm).</w:t>
      </w:r>
    </w:p>
    <w:p w14:paraId="1803A3E8" w14:textId="77777777" w:rsidR="00C167F7" w:rsidRPr="00F372FF" w:rsidRDefault="00C167F7" w:rsidP="00C167F7">
      <w:pPr>
        <w:rPr>
          <w:lang w:val="en-GB"/>
        </w:rPr>
      </w:pPr>
      <w:r w:rsidRPr="00F372FF">
        <w:rPr>
          <w:lang w:val="en-GB"/>
        </w:rPr>
        <w:t xml:space="preserve">Imaging data were processed with Statistical Parametric Mapping software (SPM12; </w:t>
      </w:r>
      <w:proofErr w:type="spellStart"/>
      <w:r w:rsidRPr="00F372FF">
        <w:rPr>
          <w:lang w:val="en-GB"/>
        </w:rPr>
        <w:t>Wellcome</w:t>
      </w:r>
      <w:proofErr w:type="spellEnd"/>
      <w:r w:rsidRPr="00F372FF">
        <w:rPr>
          <w:lang w:val="en-GB"/>
        </w:rPr>
        <w:t xml:space="preserve"> Trust Centre for Neuroimaging, London, UK) using MATLAB version 9.6 (The MathWorks Inc, Natick, USA). Motion correction was performed by aligning each participant’s time series to the first image using least-squares minimization and a six-parameter rigid-body spatial transformation.</w:t>
      </w:r>
      <w:r w:rsidRPr="00F372FF">
        <w:rPr>
          <w:rFonts w:eastAsiaTheme="minorEastAsia"/>
          <w:lang w:val="en-GB"/>
        </w:rPr>
        <w:t xml:space="preserve"> </w:t>
      </w:r>
      <w:r w:rsidRPr="00F372FF">
        <w:rPr>
          <w:color w:val="000000"/>
          <w:lang w:val="en-GB"/>
        </w:rPr>
        <w:t>The SPM motion fingerprint toolbox</w:t>
      </w:r>
      <w:r>
        <w:rPr>
          <w:color w:val="000000"/>
          <w:lang w:val="en-GB"/>
        </w:rPr>
        <w:t xml:space="preserve"> </w:t>
      </w:r>
      <w:r>
        <w:fldChar w:fldCharType="begin"/>
      </w:r>
      <w:r>
        <w:instrText>ADDIN BEC{Wilke, 2012, #55421}</w:instrText>
      </w:r>
      <w:r>
        <w:fldChar w:fldCharType="separate"/>
      </w:r>
      <w:r>
        <w:t>(Wilke, 2012)</w:t>
      </w:r>
      <w:r>
        <w:fldChar w:fldCharType="end"/>
      </w:r>
      <w:r w:rsidRPr="00F372FF">
        <w:rPr>
          <w:color w:val="000000"/>
          <w:lang w:val="en-GB"/>
        </w:rPr>
        <w:t xml:space="preserve"> was used to quantify </w:t>
      </w:r>
      <w:r w:rsidRPr="00F372FF">
        <w:rPr>
          <w:lang w:val="en-GB"/>
        </w:rPr>
        <w:t>scan-to-scan</w:t>
      </w:r>
      <w:r w:rsidRPr="00F372FF">
        <w:rPr>
          <w:color w:val="000000"/>
          <w:lang w:val="en-GB"/>
        </w:rPr>
        <w:t xml:space="preserve"> head motion </w:t>
      </w:r>
      <w:proofErr w:type="gramStart"/>
      <w:r w:rsidRPr="00F372FF">
        <w:rPr>
          <w:color w:val="000000"/>
          <w:lang w:val="en-GB"/>
        </w:rPr>
        <w:t>on the basis of</w:t>
      </w:r>
      <w:proofErr w:type="gramEnd"/>
      <w:r w:rsidRPr="00F372FF">
        <w:rPr>
          <w:color w:val="000000"/>
          <w:lang w:val="en-GB"/>
        </w:rPr>
        <w:t xml:space="preserve"> the SPM motion parameters. Participants were excluded if movement exceeded 3 mm (~1 native voxel) mean total sca</w:t>
      </w:r>
      <w:r w:rsidRPr="00F372FF">
        <w:rPr>
          <w:lang w:val="en-GB"/>
        </w:rPr>
        <w:t xml:space="preserve">n-to-scan </w:t>
      </w:r>
      <w:r w:rsidRPr="00F372FF">
        <w:rPr>
          <w:color w:val="000000"/>
          <w:lang w:val="en-GB"/>
        </w:rPr>
        <w:t>displacement</w:t>
      </w:r>
      <w:r w:rsidRPr="00F372FF">
        <w:rPr>
          <w:rFonts w:eastAsiaTheme="minorEastAsia"/>
          <w:lang w:val="en-GB"/>
        </w:rPr>
        <w:t>.</w:t>
      </w:r>
      <w:r w:rsidRPr="00F372FF">
        <w:rPr>
          <w:lang w:val="en-GB"/>
        </w:rPr>
        <w:t xml:space="preserve"> Subsequently, these realigned functional images were then co-registered to each participant’s respective T1 anatomical scans, which were segmented and spatially normal</w:t>
      </w:r>
      <w:r>
        <w:rPr>
          <w:lang w:val="en-GB"/>
        </w:rPr>
        <w:t>ise</w:t>
      </w:r>
      <w:r w:rsidRPr="00F372FF">
        <w:rPr>
          <w:lang w:val="en-GB"/>
        </w:rPr>
        <w:t>d to the International Consortium for Brain Mapping template using the unified segmentation approach. The functional images were interpolated to 2 mm isotropic resolution and smoothed with a 5-mm full-width-at-half-maximum (FWHM) gaussian filter.</w:t>
      </w:r>
    </w:p>
    <w:p w14:paraId="5EB3C3A9" w14:textId="77777777" w:rsidR="00C167F7" w:rsidRPr="00F372FF" w:rsidRDefault="00C167F7" w:rsidP="00C167F7">
      <w:pPr>
        <w:pStyle w:val="Heading3"/>
        <w:rPr>
          <w:lang w:val="en-GB"/>
        </w:rPr>
      </w:pPr>
      <w:r w:rsidRPr="00F372FF">
        <w:rPr>
          <w:lang w:val="en-GB"/>
        </w:rPr>
        <w:lastRenderedPageBreak/>
        <w:t>References</w:t>
      </w:r>
    </w:p>
    <w:p w14:paraId="31661611" w14:textId="77777777" w:rsidR="00C167F7" w:rsidRPr="00C167F7" w:rsidRDefault="00C167F7" w:rsidP="00C167F7">
      <w:pPr>
        <w:tabs>
          <w:tab w:val="left" w:pos="560"/>
        </w:tabs>
        <w:autoSpaceDE w:val="0"/>
        <w:autoSpaceDN w:val="0"/>
        <w:adjustRightInd w:val="0"/>
        <w:spacing w:after="0"/>
        <w:ind w:left="540" w:hanging="540"/>
        <w:rPr>
          <w:szCs w:val="20"/>
          <w:lang w:val="en-GB" w:eastAsia="en-US"/>
        </w:rPr>
      </w:pPr>
      <w:r w:rsidRPr="00C167F7">
        <w:rPr>
          <w:szCs w:val="20"/>
        </w:rPr>
        <w:fldChar w:fldCharType="begin"/>
      </w:r>
      <w:r w:rsidRPr="00C167F7">
        <w:rPr>
          <w:szCs w:val="20"/>
        </w:rPr>
        <w:instrText>ADDIN BB</w:instrText>
      </w:r>
      <w:r w:rsidRPr="00C167F7">
        <w:rPr>
          <w:szCs w:val="20"/>
        </w:rPr>
        <w:fldChar w:fldCharType="separate"/>
      </w:r>
      <w:r w:rsidRPr="00C167F7">
        <w:rPr>
          <w:szCs w:val="20"/>
          <w:lang w:val="en-GB" w:eastAsia="en-US"/>
        </w:rPr>
        <w:t xml:space="preserve">First, M. B., Spitzer, R. L., Gibbon, M., &amp; Williams, J. B. W. (1997). </w:t>
      </w:r>
      <w:r w:rsidRPr="00C167F7">
        <w:rPr>
          <w:i/>
          <w:szCs w:val="20"/>
          <w:lang w:val="en-GB" w:eastAsia="en-US"/>
        </w:rPr>
        <w:t>Structured Clinical Interview for DSM-IV Axis I Disorders (SCID-I)</w:t>
      </w:r>
      <w:r w:rsidRPr="00C167F7">
        <w:rPr>
          <w:szCs w:val="20"/>
          <w:lang w:val="en-GB" w:eastAsia="en-US"/>
        </w:rPr>
        <w:t>. Washington: American Psychiatric Publishing.</w:t>
      </w:r>
    </w:p>
    <w:p w14:paraId="346964B1" w14:textId="77777777" w:rsidR="00C167F7" w:rsidRPr="00C167F7" w:rsidRDefault="00C167F7" w:rsidP="00C167F7">
      <w:pPr>
        <w:tabs>
          <w:tab w:val="left" w:pos="560"/>
        </w:tabs>
        <w:autoSpaceDE w:val="0"/>
        <w:autoSpaceDN w:val="0"/>
        <w:adjustRightInd w:val="0"/>
        <w:spacing w:after="0"/>
        <w:ind w:left="540" w:hanging="540"/>
        <w:rPr>
          <w:szCs w:val="20"/>
          <w:lang w:val="en-GB" w:eastAsia="en-US"/>
        </w:rPr>
      </w:pPr>
      <w:r w:rsidRPr="00C167F7">
        <w:rPr>
          <w:szCs w:val="20"/>
          <w:lang w:val="en-GB" w:eastAsia="en-US"/>
        </w:rPr>
        <w:t xml:space="preserve">Langner, O., Dotsch, R., Bijlstra, G., Wigboldus, D. H. J., Hawk, S. T., &amp; van Knippenberg, A. (2010). Presentation and validation of the Radboud Faces Database. </w:t>
      </w:r>
      <w:r w:rsidRPr="00C167F7">
        <w:rPr>
          <w:i/>
          <w:szCs w:val="20"/>
          <w:lang w:val="en-GB" w:eastAsia="en-US"/>
        </w:rPr>
        <w:t>Cognition &amp; Emotion</w:t>
      </w:r>
      <w:r w:rsidRPr="00C167F7">
        <w:rPr>
          <w:szCs w:val="20"/>
          <w:lang w:val="en-GB" w:eastAsia="en-US"/>
        </w:rPr>
        <w:t xml:space="preserve">, </w:t>
      </w:r>
      <w:r w:rsidRPr="00C167F7">
        <w:rPr>
          <w:i/>
          <w:szCs w:val="20"/>
          <w:lang w:val="en-GB" w:eastAsia="en-US"/>
        </w:rPr>
        <w:t>24</w:t>
      </w:r>
      <w:r w:rsidRPr="00C167F7">
        <w:rPr>
          <w:szCs w:val="20"/>
          <w:lang w:val="en-GB" w:eastAsia="en-US"/>
        </w:rPr>
        <w:t>(8), 1377-1388.</w:t>
      </w:r>
    </w:p>
    <w:p w14:paraId="4A489DF6" w14:textId="77777777" w:rsidR="00C167F7" w:rsidRPr="00C167F7" w:rsidRDefault="00C167F7" w:rsidP="00C167F7">
      <w:pPr>
        <w:tabs>
          <w:tab w:val="left" w:pos="560"/>
        </w:tabs>
        <w:autoSpaceDE w:val="0"/>
        <w:autoSpaceDN w:val="0"/>
        <w:adjustRightInd w:val="0"/>
        <w:spacing w:after="0"/>
        <w:ind w:left="540" w:hanging="540"/>
        <w:rPr>
          <w:szCs w:val="20"/>
          <w:lang w:val="en-GB" w:eastAsia="en-US"/>
        </w:rPr>
      </w:pPr>
      <w:r w:rsidRPr="00C167F7">
        <w:rPr>
          <w:szCs w:val="20"/>
          <w:lang w:val="en-GB" w:eastAsia="en-US"/>
        </w:rPr>
        <w:t xml:space="preserve">Montgomery, S. A., &amp; Asberg, M. (1979). A new depression scale designed to be sensitive to change. </w:t>
      </w:r>
      <w:r w:rsidRPr="00C167F7">
        <w:rPr>
          <w:i/>
          <w:szCs w:val="20"/>
          <w:lang w:val="en-GB" w:eastAsia="en-US"/>
        </w:rPr>
        <w:t>British Journal of Psychiatry</w:t>
      </w:r>
      <w:r w:rsidRPr="00C167F7">
        <w:rPr>
          <w:szCs w:val="20"/>
          <w:lang w:val="en-GB" w:eastAsia="en-US"/>
        </w:rPr>
        <w:t xml:space="preserve">, </w:t>
      </w:r>
      <w:r w:rsidRPr="00C167F7">
        <w:rPr>
          <w:i/>
          <w:szCs w:val="20"/>
          <w:lang w:val="en-GB" w:eastAsia="en-US"/>
        </w:rPr>
        <w:t>134</w:t>
      </w:r>
      <w:r w:rsidRPr="00C167F7">
        <w:rPr>
          <w:szCs w:val="20"/>
          <w:lang w:val="en-GB" w:eastAsia="en-US"/>
        </w:rPr>
        <w:t>, 382-389.</w:t>
      </w:r>
    </w:p>
    <w:p w14:paraId="5EE0C107" w14:textId="77777777" w:rsidR="00C167F7" w:rsidRPr="00C167F7" w:rsidRDefault="00C167F7" w:rsidP="00C167F7">
      <w:pPr>
        <w:tabs>
          <w:tab w:val="left" w:pos="560"/>
        </w:tabs>
        <w:autoSpaceDE w:val="0"/>
        <w:autoSpaceDN w:val="0"/>
        <w:adjustRightInd w:val="0"/>
        <w:spacing w:after="0"/>
        <w:ind w:left="540" w:hanging="540"/>
        <w:rPr>
          <w:szCs w:val="20"/>
          <w:lang w:val="en-GB" w:eastAsia="en-US"/>
        </w:rPr>
      </w:pPr>
      <w:r w:rsidRPr="00C167F7">
        <w:rPr>
          <w:szCs w:val="20"/>
          <w:lang w:val="en-GB" w:eastAsia="en-US"/>
        </w:rPr>
        <w:t xml:space="preserve">Wilke, M. (2012). An alternative approach towards assessing and accounting for individual motion in fMRI timeseries. </w:t>
      </w:r>
      <w:r w:rsidRPr="00C167F7">
        <w:rPr>
          <w:i/>
          <w:szCs w:val="20"/>
          <w:lang w:val="en-GB" w:eastAsia="en-US"/>
        </w:rPr>
        <w:t>Neuroimage</w:t>
      </w:r>
      <w:r w:rsidRPr="00C167F7">
        <w:rPr>
          <w:szCs w:val="20"/>
          <w:lang w:val="en-GB" w:eastAsia="en-US"/>
        </w:rPr>
        <w:t xml:space="preserve">, </w:t>
      </w:r>
      <w:r w:rsidRPr="00C167F7">
        <w:rPr>
          <w:i/>
          <w:szCs w:val="20"/>
          <w:lang w:val="en-GB" w:eastAsia="en-US"/>
        </w:rPr>
        <w:t>59</w:t>
      </w:r>
      <w:r w:rsidRPr="00C167F7">
        <w:rPr>
          <w:szCs w:val="20"/>
          <w:lang w:val="en-GB" w:eastAsia="en-US"/>
        </w:rPr>
        <w:t>(3), 2062-2072.</w:t>
      </w:r>
    </w:p>
    <w:p w14:paraId="6F5A2180" w14:textId="77777777" w:rsidR="00C167F7" w:rsidRPr="00F372FF" w:rsidRDefault="00C167F7" w:rsidP="00C167F7">
      <w:pPr>
        <w:rPr>
          <w:lang w:val="en-GB"/>
        </w:rPr>
      </w:pPr>
      <w:r w:rsidRPr="00C167F7">
        <w:rPr>
          <w:szCs w:val="20"/>
        </w:rPr>
        <w:fldChar w:fldCharType="end"/>
      </w:r>
    </w:p>
    <w:p w14:paraId="6FC42448" w14:textId="77777777" w:rsidR="00C167F7" w:rsidRPr="00F372FF" w:rsidRDefault="00C167F7" w:rsidP="00C167F7">
      <w:pPr>
        <w:rPr>
          <w:lang w:val="en-GB"/>
        </w:rPr>
      </w:pPr>
    </w:p>
    <w:p w14:paraId="52B0D6DD" w14:textId="77777777" w:rsidR="00C167F7" w:rsidRPr="00F372FF" w:rsidRDefault="00C167F7" w:rsidP="00C167F7">
      <w:pPr>
        <w:tabs>
          <w:tab w:val="left" w:pos="560"/>
        </w:tabs>
        <w:autoSpaceDE w:val="0"/>
        <w:autoSpaceDN w:val="0"/>
        <w:adjustRightInd w:val="0"/>
        <w:spacing w:after="0"/>
        <w:ind w:left="540" w:hanging="540"/>
        <w:rPr>
          <w:szCs w:val="20"/>
          <w:lang w:val="en-GB"/>
        </w:rPr>
      </w:pPr>
    </w:p>
    <w:p w14:paraId="652FCE19" w14:textId="77777777" w:rsidR="00C167F7" w:rsidRPr="00F372FF" w:rsidRDefault="00C167F7" w:rsidP="00C167F7">
      <w:pPr>
        <w:tabs>
          <w:tab w:val="left" w:pos="560"/>
        </w:tabs>
        <w:autoSpaceDE w:val="0"/>
        <w:autoSpaceDN w:val="0"/>
        <w:adjustRightInd w:val="0"/>
        <w:spacing w:after="0"/>
        <w:ind w:left="540" w:hanging="540"/>
        <w:rPr>
          <w:szCs w:val="20"/>
          <w:lang w:val="en-GB"/>
        </w:rPr>
      </w:pPr>
    </w:p>
    <w:p w14:paraId="760291E9" w14:textId="77777777" w:rsidR="00C167F7" w:rsidRPr="00F372FF" w:rsidRDefault="00C167F7" w:rsidP="00C167F7">
      <w:pPr>
        <w:spacing w:after="0"/>
        <w:rPr>
          <w:szCs w:val="20"/>
          <w:lang w:val="en-GB"/>
        </w:rPr>
      </w:pPr>
      <w:r w:rsidRPr="00F372FF">
        <w:rPr>
          <w:szCs w:val="20"/>
          <w:lang w:val="en-GB"/>
        </w:rPr>
        <w:br w:type="page"/>
      </w:r>
    </w:p>
    <w:p w14:paraId="5BA48902" w14:textId="77777777" w:rsidR="00C167F7" w:rsidRPr="00F372FF" w:rsidRDefault="00C167F7" w:rsidP="00C167F7">
      <w:pPr>
        <w:rPr>
          <w:u w:val="single"/>
          <w:lang w:val="en-GB"/>
        </w:rPr>
      </w:pPr>
    </w:p>
    <w:p w14:paraId="52290B2F" w14:textId="77777777" w:rsidR="00C167F7" w:rsidRPr="00F372FF" w:rsidRDefault="00C167F7" w:rsidP="00C167F7">
      <w:pPr>
        <w:rPr>
          <w:b/>
          <w:u w:val="single"/>
          <w:lang w:val="en-GB"/>
        </w:rPr>
      </w:pPr>
    </w:p>
    <w:p w14:paraId="0B9EF4C7" w14:textId="57CBAB2B" w:rsidR="00C167F7" w:rsidRPr="00F372FF" w:rsidRDefault="00C167F7" w:rsidP="00C167F7">
      <w:pPr>
        <w:pStyle w:val="Nospacing-centred"/>
        <w:rPr>
          <w:lang w:val="en-GB"/>
        </w:rPr>
      </w:pPr>
      <w:r w:rsidRPr="00EF631E">
        <w:rPr>
          <w:noProof/>
          <w:lang w:val="en-GB"/>
        </w:rPr>
        <w:drawing>
          <wp:inline distT="0" distB="0" distL="0" distR="0" wp14:anchorId="043E7931" wp14:editId="5B90A9B7">
            <wp:extent cx="4233545" cy="3200400"/>
            <wp:effectExtent l="0" t="0" r="0" b="0"/>
            <wp:docPr id="7" name="Picture 7" descr="A close up of a blue wall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blue wall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3545" cy="3200400"/>
                    </a:xfrm>
                    <a:prstGeom prst="rect">
                      <a:avLst/>
                    </a:prstGeom>
                    <a:noFill/>
                    <a:ln>
                      <a:noFill/>
                    </a:ln>
                  </pic:spPr>
                </pic:pic>
              </a:graphicData>
            </a:graphic>
          </wp:inline>
        </w:drawing>
      </w:r>
    </w:p>
    <w:p w14:paraId="6C211C94" w14:textId="77777777" w:rsidR="00C167F7" w:rsidRPr="00F372FF" w:rsidRDefault="00C167F7" w:rsidP="00C167F7">
      <w:pPr>
        <w:spacing w:after="0"/>
        <w:rPr>
          <w:b/>
          <w:u w:val="single"/>
          <w:lang w:val="en-GB"/>
        </w:rPr>
      </w:pPr>
    </w:p>
    <w:p w14:paraId="4D525300" w14:textId="77777777" w:rsidR="00C167F7" w:rsidRPr="00F372FF" w:rsidRDefault="00C167F7" w:rsidP="00C167F7">
      <w:pPr>
        <w:pStyle w:val="Heading2"/>
        <w:rPr>
          <w:rFonts w:eastAsiaTheme="minorEastAsia"/>
          <w:b w:val="0"/>
          <w:bCs/>
          <w:lang w:val="en-GB"/>
        </w:rPr>
      </w:pPr>
      <w:r w:rsidRPr="00F372FF">
        <w:rPr>
          <w:lang w:val="en-GB"/>
        </w:rPr>
        <w:t>Supplementary Figure 1.</w:t>
      </w:r>
      <w:r w:rsidRPr="00F372FF">
        <w:rPr>
          <w:rFonts w:eastAsiaTheme="minorEastAsia"/>
          <w:lang w:val="en-GB"/>
        </w:rPr>
        <w:t xml:space="preserve"> </w:t>
      </w:r>
      <w:r w:rsidRPr="00F372FF">
        <w:rPr>
          <w:rFonts w:eastAsiaTheme="minorEastAsia"/>
          <w:b w:val="0"/>
          <w:bCs/>
          <w:lang w:val="en-GB"/>
        </w:rPr>
        <w:t xml:space="preserve">The shapes &gt; faces contrast, showing suppression of activity in the anterior and posterior midline cortices, and other regions, during performance of the face-matching task. The maps are </w:t>
      </w:r>
      <w:proofErr w:type="spellStart"/>
      <w:r w:rsidRPr="00F372FF">
        <w:rPr>
          <w:rFonts w:eastAsiaTheme="minorEastAsia"/>
          <w:b w:val="0"/>
          <w:bCs/>
          <w:lang w:val="en-GB"/>
        </w:rPr>
        <w:t>thresholded</w:t>
      </w:r>
      <w:proofErr w:type="spellEnd"/>
      <w:r w:rsidRPr="00F372FF">
        <w:rPr>
          <w:rFonts w:eastAsiaTheme="minorEastAsia"/>
          <w:b w:val="0"/>
          <w:bCs/>
          <w:lang w:val="en-GB"/>
        </w:rPr>
        <w:t xml:space="preserve"> at whole-brain </w:t>
      </w:r>
      <w:r w:rsidRPr="00F372FF">
        <w:rPr>
          <w:rFonts w:eastAsiaTheme="minorEastAsia"/>
          <w:b w:val="0"/>
          <w:bCs/>
          <w:i/>
          <w:iCs/>
          <w:lang w:val="en-GB"/>
        </w:rPr>
        <w:t>P</w:t>
      </w:r>
      <w:r w:rsidRPr="00F372FF">
        <w:rPr>
          <w:rFonts w:eastAsiaTheme="minorEastAsia"/>
          <w:b w:val="0"/>
          <w:bCs/>
          <w:i/>
          <w:iCs/>
          <w:vertAlign w:val="subscript"/>
          <w:lang w:val="en-GB"/>
        </w:rPr>
        <w:t>FDR</w:t>
      </w:r>
      <w:r w:rsidRPr="00F372FF">
        <w:rPr>
          <w:rFonts w:eastAsiaTheme="minorEastAsia"/>
          <w:b w:val="0"/>
          <w:bCs/>
          <w:lang w:val="en-GB"/>
        </w:rPr>
        <w:t xml:space="preserve"> &lt; 0.01.</w:t>
      </w:r>
    </w:p>
    <w:p w14:paraId="6A46FCF1" w14:textId="77777777" w:rsidR="00C167F7" w:rsidRPr="00F372FF" w:rsidRDefault="00C167F7" w:rsidP="00C167F7">
      <w:pPr>
        <w:spacing w:after="0"/>
        <w:rPr>
          <w:rFonts w:eastAsiaTheme="minorEastAsia"/>
          <w:bCs/>
          <w:lang w:val="en-GB"/>
        </w:rPr>
      </w:pPr>
      <w:r w:rsidRPr="00F372FF">
        <w:rPr>
          <w:rFonts w:eastAsiaTheme="minorEastAsia"/>
          <w:b/>
          <w:bCs/>
          <w:lang w:val="en-GB"/>
        </w:rPr>
        <w:br w:type="page"/>
      </w:r>
    </w:p>
    <w:p w14:paraId="40629081" w14:textId="77777777" w:rsidR="00C167F7" w:rsidRPr="00F372FF" w:rsidRDefault="00C167F7" w:rsidP="00C167F7">
      <w:pPr>
        <w:pStyle w:val="Heading2"/>
        <w:rPr>
          <w:lang w:val="en-GB"/>
        </w:rPr>
      </w:pPr>
    </w:p>
    <w:p w14:paraId="204E6E5F" w14:textId="27C1DDA1" w:rsidR="00C167F7" w:rsidRPr="00F372FF" w:rsidRDefault="00C167F7" w:rsidP="00C167F7">
      <w:pPr>
        <w:pStyle w:val="Nospacing-centred"/>
        <w:rPr>
          <w:lang w:val="en-GB"/>
        </w:rPr>
      </w:pPr>
      <w:r w:rsidRPr="00EF631E">
        <w:rPr>
          <w:noProof/>
          <w:lang w:val="en-GB"/>
        </w:rPr>
        <w:drawing>
          <wp:inline distT="0" distB="0" distL="0" distR="0" wp14:anchorId="6BBC09DD" wp14:editId="51398C22">
            <wp:extent cx="5207000" cy="4191000"/>
            <wp:effectExtent l="0" t="0" r="0" b="0"/>
            <wp:docPr id="6" name="Picture 6" descr="A close up of a map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map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7000" cy="4191000"/>
                    </a:xfrm>
                    <a:prstGeom prst="rect">
                      <a:avLst/>
                    </a:prstGeom>
                    <a:noFill/>
                    <a:ln>
                      <a:noFill/>
                    </a:ln>
                  </pic:spPr>
                </pic:pic>
              </a:graphicData>
            </a:graphic>
          </wp:inline>
        </w:drawing>
      </w:r>
    </w:p>
    <w:p w14:paraId="7BECED41" w14:textId="77777777" w:rsidR="00C167F7" w:rsidRPr="00F372FF" w:rsidRDefault="00C167F7" w:rsidP="00C167F7">
      <w:pPr>
        <w:pStyle w:val="Heading2"/>
        <w:rPr>
          <w:b w:val="0"/>
          <w:lang w:val="en-GB"/>
        </w:rPr>
      </w:pPr>
      <w:r w:rsidRPr="00F372FF">
        <w:rPr>
          <w:lang w:val="en-GB"/>
        </w:rPr>
        <w:t xml:space="preserve">Supplementary Figure 2. </w:t>
      </w:r>
      <w:r w:rsidRPr="00F372FF">
        <w:rPr>
          <w:b w:val="0"/>
          <w:bCs/>
          <w:lang w:val="en-GB"/>
        </w:rPr>
        <w:t>Area under the receiver operator characteristic curve (ROC-AUC) for the fMRI classifier. Trades-offs between true and false positives are observed as the decision threshold for the models underlying probabilities is changed.</w:t>
      </w:r>
      <w:r w:rsidRPr="00F372FF">
        <w:rPr>
          <w:b w:val="0"/>
          <w:lang w:val="en-GB"/>
        </w:rPr>
        <w:t xml:space="preserve"> </w:t>
      </w:r>
    </w:p>
    <w:p w14:paraId="4B56C009" w14:textId="77777777" w:rsidR="00C167F7" w:rsidRPr="00F372FF" w:rsidRDefault="00C167F7" w:rsidP="00C167F7">
      <w:pPr>
        <w:spacing w:after="0"/>
        <w:rPr>
          <w:b/>
          <w:lang w:val="en-GB"/>
        </w:rPr>
      </w:pPr>
      <w:r w:rsidRPr="00F372FF">
        <w:rPr>
          <w:lang w:val="en-GB"/>
        </w:rPr>
        <w:br w:type="page"/>
      </w:r>
    </w:p>
    <w:p w14:paraId="5A1208FD" w14:textId="2B805C4A" w:rsidR="00C167F7" w:rsidRPr="00F372FF" w:rsidRDefault="00C167F7" w:rsidP="00C167F7">
      <w:pPr>
        <w:pStyle w:val="Nospacing-centred"/>
        <w:rPr>
          <w:lang w:val="en-GB"/>
        </w:rPr>
      </w:pPr>
      <w:r w:rsidRPr="00EF631E">
        <w:rPr>
          <w:noProof/>
          <w:lang w:val="en-GB"/>
        </w:rPr>
        <w:lastRenderedPageBreak/>
        <w:drawing>
          <wp:inline distT="0" distB="0" distL="0" distR="0" wp14:anchorId="27D364EA" wp14:editId="25B1A7D5">
            <wp:extent cx="5003800" cy="4919345"/>
            <wp:effectExtent l="0" t="0" r="0" b="0"/>
            <wp:docPr id="5" name="Picture 5" descr="A close up of a map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map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3800" cy="4919345"/>
                    </a:xfrm>
                    <a:prstGeom prst="rect">
                      <a:avLst/>
                    </a:prstGeom>
                    <a:noFill/>
                    <a:ln>
                      <a:noFill/>
                    </a:ln>
                  </pic:spPr>
                </pic:pic>
              </a:graphicData>
            </a:graphic>
          </wp:inline>
        </w:drawing>
      </w:r>
    </w:p>
    <w:p w14:paraId="00EFA516" w14:textId="77777777" w:rsidR="00C167F7" w:rsidRPr="00F372FF" w:rsidRDefault="00C167F7" w:rsidP="00C167F7">
      <w:pPr>
        <w:pStyle w:val="Heading2"/>
        <w:rPr>
          <w:bCs/>
          <w:lang w:val="en-GB"/>
        </w:rPr>
      </w:pPr>
      <w:r w:rsidRPr="00F372FF">
        <w:rPr>
          <w:bCs/>
          <w:lang w:val="en-GB"/>
        </w:rPr>
        <w:t xml:space="preserve">Supplementary Figure 3. </w:t>
      </w:r>
      <w:r w:rsidRPr="00F372FF">
        <w:rPr>
          <w:b w:val="0"/>
          <w:bCs/>
          <w:lang w:val="en-GB"/>
        </w:rPr>
        <w:t>Null distribution for the fMRI classifier after permutation testing (</w:t>
      </w:r>
      <w:r w:rsidRPr="00F372FF">
        <w:rPr>
          <w:b w:val="0"/>
          <w:bCs/>
          <w:i/>
          <w:lang w:val="en-GB"/>
        </w:rPr>
        <w:t xml:space="preserve">m </w:t>
      </w:r>
      <w:r w:rsidRPr="00F372FF">
        <w:rPr>
          <w:b w:val="0"/>
          <w:bCs/>
          <w:lang w:val="en-GB"/>
        </w:rPr>
        <w:t>= 10,000). In this procedure, we randomly shuffled class labels (response/non-response) and made predictions with our trained classifier 10,000 times, deriving a null distribution of chance scores for our fMRI model.</w:t>
      </w:r>
      <w:r w:rsidRPr="00F372FF">
        <w:rPr>
          <w:lang w:val="en-GB"/>
        </w:rPr>
        <w:br w:type="page"/>
      </w:r>
    </w:p>
    <w:p w14:paraId="049CE1F0" w14:textId="77777777" w:rsidR="00C167F7" w:rsidRPr="00F372FF" w:rsidRDefault="00C167F7" w:rsidP="00C167F7">
      <w:pPr>
        <w:pStyle w:val="Heading2"/>
        <w:rPr>
          <w:b w:val="0"/>
          <w:bCs/>
          <w:lang w:val="en-GB"/>
        </w:rPr>
      </w:pPr>
      <w:r w:rsidRPr="00F372FF">
        <w:rPr>
          <w:lang w:val="en-GB"/>
        </w:rPr>
        <w:lastRenderedPageBreak/>
        <w:t>Supplementary Table 1.</w:t>
      </w:r>
      <w:r w:rsidRPr="00F372FF">
        <w:rPr>
          <w:b w:val="0"/>
          <w:bCs/>
          <w:lang w:val="en-GB"/>
        </w:rPr>
        <w:t xml:space="preserve"> Table of all clinical predictors </w:t>
      </w:r>
      <w:proofErr w:type="gramStart"/>
      <w:r w:rsidRPr="00F372FF">
        <w:rPr>
          <w:b w:val="0"/>
          <w:bCs/>
          <w:lang w:val="en-GB"/>
        </w:rPr>
        <w:t>entered into</w:t>
      </w:r>
      <w:proofErr w:type="gramEnd"/>
      <w:r w:rsidRPr="00F372FF">
        <w:rPr>
          <w:b w:val="0"/>
          <w:bCs/>
          <w:lang w:val="en-GB"/>
        </w:rPr>
        <w:t xml:space="preserve"> the exploratory clinical model for consideration by the elastic net.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6668"/>
      </w:tblGrid>
      <w:tr w:rsidR="00C167F7" w:rsidRPr="00F372FF" w14:paraId="5DE7F4C4" w14:textId="77777777" w:rsidTr="00154EE6">
        <w:trPr>
          <w:cantSplit/>
          <w:trHeight w:val="274"/>
        </w:trPr>
        <w:tc>
          <w:tcPr>
            <w:tcW w:w="0" w:type="auto"/>
            <w:tcBorders>
              <w:right w:val="nil"/>
            </w:tcBorders>
            <w:noWrap/>
            <w:vAlign w:val="center"/>
            <w:hideMark/>
          </w:tcPr>
          <w:p w14:paraId="1194565C" w14:textId="77777777" w:rsidR="00C167F7" w:rsidRPr="00F372FF" w:rsidRDefault="00C167F7" w:rsidP="00154EE6">
            <w:pPr>
              <w:pStyle w:val="Tableheading"/>
              <w:rPr>
                <w:lang w:val="en-GB"/>
              </w:rPr>
            </w:pPr>
            <w:r w:rsidRPr="00F372FF">
              <w:rPr>
                <w:lang w:val="en-GB"/>
              </w:rPr>
              <w:t>Variable</w:t>
            </w:r>
          </w:p>
        </w:tc>
        <w:tc>
          <w:tcPr>
            <w:tcW w:w="0" w:type="auto"/>
            <w:tcBorders>
              <w:left w:val="nil"/>
            </w:tcBorders>
            <w:noWrap/>
            <w:vAlign w:val="center"/>
            <w:hideMark/>
          </w:tcPr>
          <w:p w14:paraId="02C1BFCE" w14:textId="77777777" w:rsidR="00C167F7" w:rsidRPr="00F372FF" w:rsidRDefault="00C167F7" w:rsidP="00154EE6">
            <w:pPr>
              <w:pStyle w:val="Tableheading"/>
              <w:rPr>
                <w:lang w:val="en-GB"/>
              </w:rPr>
            </w:pPr>
            <w:r w:rsidRPr="00F372FF">
              <w:rPr>
                <w:lang w:val="en-GB"/>
              </w:rPr>
              <w:t>Description</w:t>
            </w:r>
          </w:p>
        </w:tc>
      </w:tr>
      <w:tr w:rsidR="00C167F7" w:rsidRPr="00F372FF" w14:paraId="4841D000" w14:textId="77777777" w:rsidTr="00154EE6">
        <w:trPr>
          <w:cantSplit/>
          <w:trHeight w:val="278"/>
        </w:trPr>
        <w:tc>
          <w:tcPr>
            <w:tcW w:w="0" w:type="auto"/>
            <w:gridSpan w:val="2"/>
            <w:tcBorders>
              <w:top w:val="nil"/>
              <w:bottom w:val="nil"/>
            </w:tcBorders>
            <w:noWrap/>
            <w:vAlign w:val="center"/>
          </w:tcPr>
          <w:p w14:paraId="26A5F8AD" w14:textId="77777777" w:rsidR="00C167F7" w:rsidRPr="00F372FF" w:rsidRDefault="00C167F7" w:rsidP="00154EE6">
            <w:pPr>
              <w:pStyle w:val="NoSpacing"/>
              <w:rPr>
                <w:i/>
                <w:iCs/>
                <w:color w:val="010205"/>
                <w:lang w:val="en-GB"/>
              </w:rPr>
            </w:pPr>
            <w:r w:rsidRPr="00F372FF">
              <w:rPr>
                <w:i/>
                <w:iCs/>
                <w:color w:val="010205"/>
                <w:lang w:val="en-GB"/>
              </w:rPr>
              <w:t>Demographic and clinical variables</w:t>
            </w:r>
          </w:p>
        </w:tc>
      </w:tr>
      <w:tr w:rsidR="00C167F7" w:rsidRPr="00F372FF" w14:paraId="7A12AD4B" w14:textId="77777777" w:rsidTr="00154EE6">
        <w:trPr>
          <w:cantSplit/>
          <w:trHeight w:val="278"/>
        </w:trPr>
        <w:tc>
          <w:tcPr>
            <w:tcW w:w="0" w:type="auto"/>
            <w:tcBorders>
              <w:top w:val="nil"/>
              <w:bottom w:val="nil"/>
              <w:right w:val="nil"/>
            </w:tcBorders>
            <w:noWrap/>
            <w:vAlign w:val="center"/>
            <w:hideMark/>
          </w:tcPr>
          <w:p w14:paraId="1FD570F6" w14:textId="77777777" w:rsidR="00C167F7" w:rsidRPr="00F372FF" w:rsidRDefault="00C167F7" w:rsidP="00154EE6">
            <w:pPr>
              <w:pStyle w:val="NoSpacing"/>
              <w:rPr>
                <w:lang w:val="en-GB"/>
              </w:rPr>
            </w:pPr>
            <w:r w:rsidRPr="00F372FF">
              <w:rPr>
                <w:lang w:val="en-GB"/>
              </w:rPr>
              <w:t>Sex</w:t>
            </w:r>
          </w:p>
        </w:tc>
        <w:tc>
          <w:tcPr>
            <w:tcW w:w="0" w:type="auto"/>
            <w:tcBorders>
              <w:top w:val="nil"/>
              <w:left w:val="nil"/>
              <w:bottom w:val="nil"/>
            </w:tcBorders>
            <w:vAlign w:val="center"/>
            <w:hideMark/>
          </w:tcPr>
          <w:p w14:paraId="5A5B427D" w14:textId="77777777" w:rsidR="00C167F7" w:rsidRPr="00F372FF" w:rsidRDefault="00C167F7" w:rsidP="00154EE6">
            <w:pPr>
              <w:pStyle w:val="NoSpacing"/>
              <w:rPr>
                <w:color w:val="010205"/>
                <w:lang w:val="en-GB"/>
              </w:rPr>
            </w:pPr>
            <w:r w:rsidRPr="00F372FF">
              <w:rPr>
                <w:color w:val="010205"/>
                <w:lang w:val="en-GB"/>
              </w:rPr>
              <w:t>Birth sex</w:t>
            </w:r>
          </w:p>
        </w:tc>
      </w:tr>
      <w:tr w:rsidR="00C167F7" w:rsidRPr="00F372FF" w14:paraId="74C08907" w14:textId="77777777" w:rsidTr="00154EE6">
        <w:trPr>
          <w:cantSplit/>
          <w:trHeight w:val="278"/>
        </w:trPr>
        <w:tc>
          <w:tcPr>
            <w:tcW w:w="0" w:type="auto"/>
            <w:tcBorders>
              <w:top w:val="nil"/>
              <w:bottom w:val="nil"/>
              <w:right w:val="nil"/>
            </w:tcBorders>
            <w:noWrap/>
            <w:vAlign w:val="center"/>
            <w:hideMark/>
          </w:tcPr>
          <w:p w14:paraId="398F0810" w14:textId="77777777" w:rsidR="00C167F7" w:rsidRPr="00F372FF" w:rsidRDefault="00C167F7" w:rsidP="00154EE6">
            <w:pPr>
              <w:pStyle w:val="NoSpacing"/>
              <w:rPr>
                <w:lang w:val="en-GB"/>
              </w:rPr>
            </w:pPr>
            <w:proofErr w:type="spellStart"/>
            <w:r w:rsidRPr="00F372FF">
              <w:rPr>
                <w:lang w:val="en-GB"/>
              </w:rPr>
              <w:t>Age_calc</w:t>
            </w:r>
            <w:proofErr w:type="spellEnd"/>
          </w:p>
        </w:tc>
        <w:tc>
          <w:tcPr>
            <w:tcW w:w="0" w:type="auto"/>
            <w:tcBorders>
              <w:top w:val="nil"/>
              <w:left w:val="nil"/>
              <w:bottom w:val="nil"/>
            </w:tcBorders>
            <w:vAlign w:val="center"/>
            <w:hideMark/>
          </w:tcPr>
          <w:p w14:paraId="3F35245B" w14:textId="77777777" w:rsidR="00C167F7" w:rsidRPr="00F372FF" w:rsidRDefault="00C167F7" w:rsidP="00154EE6">
            <w:pPr>
              <w:pStyle w:val="NoSpacing"/>
              <w:rPr>
                <w:color w:val="010205"/>
                <w:lang w:val="en-GB"/>
              </w:rPr>
            </w:pPr>
            <w:r w:rsidRPr="00F372FF">
              <w:rPr>
                <w:color w:val="010205"/>
                <w:lang w:val="en-GB"/>
              </w:rPr>
              <w:t>Age in years</w:t>
            </w:r>
          </w:p>
        </w:tc>
      </w:tr>
      <w:tr w:rsidR="00C167F7" w:rsidRPr="00F372FF" w14:paraId="6A6BBAAC" w14:textId="77777777" w:rsidTr="00154EE6">
        <w:trPr>
          <w:cantSplit/>
          <w:trHeight w:val="278"/>
        </w:trPr>
        <w:tc>
          <w:tcPr>
            <w:tcW w:w="0" w:type="auto"/>
            <w:tcBorders>
              <w:top w:val="nil"/>
              <w:bottom w:val="nil"/>
              <w:right w:val="nil"/>
            </w:tcBorders>
            <w:noWrap/>
            <w:vAlign w:val="center"/>
            <w:hideMark/>
          </w:tcPr>
          <w:p w14:paraId="1955C6CF" w14:textId="77777777" w:rsidR="00C167F7" w:rsidRPr="00F372FF" w:rsidRDefault="00C167F7" w:rsidP="00154EE6">
            <w:pPr>
              <w:pStyle w:val="NoSpacing"/>
              <w:rPr>
                <w:lang w:val="en-GB"/>
              </w:rPr>
            </w:pPr>
            <w:r w:rsidRPr="00F372FF">
              <w:rPr>
                <w:lang w:val="en-GB"/>
              </w:rPr>
              <w:t>Site</w:t>
            </w:r>
          </w:p>
        </w:tc>
        <w:tc>
          <w:tcPr>
            <w:tcW w:w="0" w:type="auto"/>
            <w:tcBorders>
              <w:top w:val="nil"/>
              <w:left w:val="nil"/>
              <w:bottom w:val="nil"/>
            </w:tcBorders>
            <w:vAlign w:val="center"/>
            <w:hideMark/>
          </w:tcPr>
          <w:p w14:paraId="0AB8B105" w14:textId="77777777" w:rsidR="00C167F7" w:rsidRPr="00F372FF" w:rsidRDefault="00C167F7" w:rsidP="00154EE6">
            <w:pPr>
              <w:pStyle w:val="NoSpacing"/>
              <w:rPr>
                <w:color w:val="010205"/>
                <w:lang w:val="en-GB"/>
              </w:rPr>
            </w:pPr>
            <w:r w:rsidRPr="00F372FF">
              <w:rPr>
                <w:color w:val="010205"/>
                <w:lang w:val="en-GB"/>
              </w:rPr>
              <w:t>Recruitment site</w:t>
            </w:r>
          </w:p>
        </w:tc>
      </w:tr>
      <w:tr w:rsidR="00C167F7" w:rsidRPr="00F372FF" w14:paraId="22F815DC" w14:textId="77777777" w:rsidTr="00154EE6">
        <w:trPr>
          <w:cantSplit/>
          <w:trHeight w:val="278"/>
        </w:trPr>
        <w:tc>
          <w:tcPr>
            <w:tcW w:w="0" w:type="auto"/>
            <w:tcBorders>
              <w:top w:val="nil"/>
              <w:bottom w:val="nil"/>
              <w:right w:val="nil"/>
            </w:tcBorders>
            <w:noWrap/>
            <w:vAlign w:val="center"/>
            <w:hideMark/>
          </w:tcPr>
          <w:p w14:paraId="41E5389E" w14:textId="77777777" w:rsidR="00C167F7" w:rsidRPr="00F372FF" w:rsidRDefault="00C167F7" w:rsidP="00154EE6">
            <w:pPr>
              <w:pStyle w:val="NoSpacing"/>
              <w:rPr>
                <w:lang w:val="en-GB"/>
              </w:rPr>
            </w:pPr>
            <w:r w:rsidRPr="00F372FF">
              <w:rPr>
                <w:lang w:val="en-GB"/>
              </w:rPr>
              <w:t>Ethnicity</w:t>
            </w:r>
          </w:p>
        </w:tc>
        <w:tc>
          <w:tcPr>
            <w:tcW w:w="0" w:type="auto"/>
            <w:tcBorders>
              <w:top w:val="nil"/>
              <w:left w:val="nil"/>
              <w:bottom w:val="nil"/>
            </w:tcBorders>
            <w:vAlign w:val="center"/>
            <w:hideMark/>
          </w:tcPr>
          <w:p w14:paraId="11B9E0F7" w14:textId="77777777" w:rsidR="00C167F7" w:rsidRPr="00F372FF" w:rsidRDefault="00C167F7" w:rsidP="00154EE6">
            <w:pPr>
              <w:pStyle w:val="NoSpacing"/>
              <w:rPr>
                <w:color w:val="010205"/>
                <w:lang w:val="en-GB"/>
              </w:rPr>
            </w:pPr>
            <w:r w:rsidRPr="00F372FF">
              <w:rPr>
                <w:color w:val="010205"/>
                <w:lang w:val="en-GB"/>
              </w:rPr>
              <w:t>Identified ethnicity</w:t>
            </w:r>
          </w:p>
        </w:tc>
      </w:tr>
      <w:tr w:rsidR="00C167F7" w:rsidRPr="00F372FF" w14:paraId="387873FC" w14:textId="77777777" w:rsidTr="00154EE6">
        <w:trPr>
          <w:cantSplit/>
          <w:trHeight w:val="278"/>
        </w:trPr>
        <w:tc>
          <w:tcPr>
            <w:tcW w:w="0" w:type="auto"/>
            <w:tcBorders>
              <w:top w:val="nil"/>
              <w:bottom w:val="nil"/>
              <w:right w:val="nil"/>
            </w:tcBorders>
            <w:noWrap/>
            <w:vAlign w:val="center"/>
            <w:hideMark/>
          </w:tcPr>
          <w:p w14:paraId="226B6041" w14:textId="77777777" w:rsidR="00C167F7" w:rsidRPr="00F372FF" w:rsidRDefault="00C167F7" w:rsidP="00154EE6">
            <w:pPr>
              <w:pStyle w:val="NoSpacing"/>
              <w:rPr>
                <w:lang w:val="en-GB"/>
              </w:rPr>
            </w:pPr>
            <w:r w:rsidRPr="00F372FF">
              <w:rPr>
                <w:lang w:val="en-GB"/>
              </w:rPr>
              <w:t>Occupation</w:t>
            </w:r>
          </w:p>
        </w:tc>
        <w:tc>
          <w:tcPr>
            <w:tcW w:w="0" w:type="auto"/>
            <w:tcBorders>
              <w:top w:val="nil"/>
              <w:left w:val="nil"/>
              <w:bottom w:val="nil"/>
            </w:tcBorders>
            <w:vAlign w:val="center"/>
            <w:hideMark/>
          </w:tcPr>
          <w:p w14:paraId="0C587475" w14:textId="77777777" w:rsidR="00C167F7" w:rsidRPr="00F372FF" w:rsidRDefault="00C167F7" w:rsidP="00154EE6">
            <w:pPr>
              <w:pStyle w:val="NoSpacing"/>
              <w:rPr>
                <w:color w:val="010205"/>
                <w:lang w:val="en-GB"/>
              </w:rPr>
            </w:pPr>
            <w:r w:rsidRPr="00F372FF">
              <w:rPr>
                <w:color w:val="010205"/>
                <w:lang w:val="en-GB"/>
              </w:rPr>
              <w:t>Current occupation</w:t>
            </w:r>
          </w:p>
        </w:tc>
      </w:tr>
      <w:tr w:rsidR="00C167F7" w:rsidRPr="00F372FF" w14:paraId="4BFBD9A4" w14:textId="77777777" w:rsidTr="00154EE6">
        <w:trPr>
          <w:cantSplit/>
          <w:trHeight w:val="278"/>
        </w:trPr>
        <w:tc>
          <w:tcPr>
            <w:tcW w:w="0" w:type="auto"/>
            <w:tcBorders>
              <w:top w:val="nil"/>
              <w:bottom w:val="nil"/>
              <w:right w:val="nil"/>
            </w:tcBorders>
            <w:noWrap/>
            <w:vAlign w:val="center"/>
            <w:hideMark/>
          </w:tcPr>
          <w:p w14:paraId="00066F54" w14:textId="77777777" w:rsidR="00C167F7" w:rsidRPr="00F372FF" w:rsidRDefault="00C167F7" w:rsidP="00154EE6">
            <w:pPr>
              <w:pStyle w:val="NoSpacing"/>
              <w:rPr>
                <w:lang w:val="en-GB"/>
              </w:rPr>
            </w:pPr>
            <w:proofErr w:type="spellStart"/>
            <w:r w:rsidRPr="00F372FF">
              <w:rPr>
                <w:lang w:val="en-GB"/>
              </w:rPr>
              <w:t>Education_level</w:t>
            </w:r>
            <w:proofErr w:type="spellEnd"/>
          </w:p>
        </w:tc>
        <w:tc>
          <w:tcPr>
            <w:tcW w:w="0" w:type="auto"/>
            <w:tcBorders>
              <w:top w:val="nil"/>
              <w:left w:val="nil"/>
              <w:bottom w:val="nil"/>
            </w:tcBorders>
            <w:vAlign w:val="center"/>
            <w:hideMark/>
          </w:tcPr>
          <w:p w14:paraId="11E9A8C2" w14:textId="77777777" w:rsidR="00C167F7" w:rsidRPr="00F372FF" w:rsidRDefault="00C167F7" w:rsidP="00154EE6">
            <w:pPr>
              <w:pStyle w:val="NoSpacing"/>
              <w:rPr>
                <w:color w:val="010205"/>
                <w:lang w:val="en-GB"/>
              </w:rPr>
            </w:pPr>
            <w:r w:rsidRPr="00F372FF">
              <w:rPr>
                <w:color w:val="010205"/>
                <w:lang w:val="en-GB"/>
              </w:rPr>
              <w:t>Maximum achieved level of education</w:t>
            </w:r>
          </w:p>
        </w:tc>
      </w:tr>
      <w:tr w:rsidR="00C167F7" w:rsidRPr="00F372FF" w14:paraId="3F3BEB9A" w14:textId="77777777" w:rsidTr="00154EE6">
        <w:trPr>
          <w:cantSplit/>
          <w:trHeight w:val="278"/>
        </w:trPr>
        <w:tc>
          <w:tcPr>
            <w:tcW w:w="0" w:type="auto"/>
            <w:tcBorders>
              <w:top w:val="nil"/>
              <w:bottom w:val="nil"/>
              <w:right w:val="nil"/>
            </w:tcBorders>
            <w:noWrap/>
            <w:vAlign w:val="center"/>
            <w:hideMark/>
          </w:tcPr>
          <w:p w14:paraId="17D954CC" w14:textId="77777777" w:rsidR="00C167F7" w:rsidRPr="00F372FF" w:rsidRDefault="00C167F7" w:rsidP="00154EE6">
            <w:pPr>
              <w:pStyle w:val="NoSpacing"/>
              <w:rPr>
                <w:lang w:val="en-GB"/>
              </w:rPr>
            </w:pPr>
            <w:proofErr w:type="spellStart"/>
            <w:r w:rsidRPr="00F372FF">
              <w:rPr>
                <w:lang w:val="en-GB"/>
              </w:rPr>
              <w:t>Education_years</w:t>
            </w:r>
            <w:proofErr w:type="spellEnd"/>
          </w:p>
        </w:tc>
        <w:tc>
          <w:tcPr>
            <w:tcW w:w="0" w:type="auto"/>
            <w:tcBorders>
              <w:top w:val="nil"/>
              <w:left w:val="nil"/>
              <w:bottom w:val="nil"/>
            </w:tcBorders>
            <w:vAlign w:val="center"/>
            <w:hideMark/>
          </w:tcPr>
          <w:p w14:paraId="0796CCD0" w14:textId="77777777" w:rsidR="00C167F7" w:rsidRPr="00F372FF" w:rsidRDefault="00C167F7" w:rsidP="00154EE6">
            <w:pPr>
              <w:pStyle w:val="NoSpacing"/>
              <w:rPr>
                <w:color w:val="010205"/>
                <w:lang w:val="en-GB"/>
              </w:rPr>
            </w:pPr>
            <w:r w:rsidRPr="00F372FF">
              <w:rPr>
                <w:color w:val="010205"/>
                <w:lang w:val="en-GB"/>
              </w:rPr>
              <w:t>Number of years of education</w:t>
            </w:r>
          </w:p>
        </w:tc>
      </w:tr>
      <w:tr w:rsidR="00C167F7" w:rsidRPr="00F372FF" w14:paraId="284E691A" w14:textId="77777777" w:rsidTr="00154EE6">
        <w:trPr>
          <w:cantSplit/>
          <w:trHeight w:val="278"/>
        </w:trPr>
        <w:tc>
          <w:tcPr>
            <w:tcW w:w="0" w:type="auto"/>
            <w:tcBorders>
              <w:top w:val="nil"/>
              <w:bottom w:val="nil"/>
              <w:right w:val="nil"/>
            </w:tcBorders>
            <w:noWrap/>
            <w:vAlign w:val="center"/>
            <w:hideMark/>
          </w:tcPr>
          <w:p w14:paraId="78CA5AF1" w14:textId="77777777" w:rsidR="00C167F7" w:rsidRPr="00F372FF" w:rsidRDefault="00C167F7" w:rsidP="00154EE6">
            <w:pPr>
              <w:pStyle w:val="NoSpacing"/>
              <w:rPr>
                <w:lang w:val="en-GB"/>
              </w:rPr>
            </w:pPr>
            <w:proofErr w:type="spellStart"/>
            <w:r w:rsidRPr="00F372FF">
              <w:rPr>
                <w:lang w:val="en-GB"/>
              </w:rPr>
              <w:t>Primary_language</w:t>
            </w:r>
            <w:proofErr w:type="spellEnd"/>
          </w:p>
        </w:tc>
        <w:tc>
          <w:tcPr>
            <w:tcW w:w="0" w:type="auto"/>
            <w:tcBorders>
              <w:top w:val="nil"/>
              <w:left w:val="nil"/>
              <w:bottom w:val="nil"/>
            </w:tcBorders>
            <w:vAlign w:val="center"/>
            <w:hideMark/>
          </w:tcPr>
          <w:p w14:paraId="060FD441" w14:textId="77777777" w:rsidR="00C167F7" w:rsidRPr="00F372FF" w:rsidRDefault="00C167F7" w:rsidP="00154EE6">
            <w:pPr>
              <w:pStyle w:val="NoSpacing"/>
              <w:rPr>
                <w:color w:val="010205"/>
                <w:lang w:val="en-GB"/>
              </w:rPr>
            </w:pPr>
            <w:r w:rsidRPr="00F372FF">
              <w:rPr>
                <w:color w:val="010205"/>
                <w:lang w:val="en-GB"/>
              </w:rPr>
              <w:t>Language spoken at home</w:t>
            </w:r>
          </w:p>
        </w:tc>
      </w:tr>
      <w:tr w:rsidR="00C167F7" w:rsidRPr="00F372FF" w14:paraId="71725C9B" w14:textId="77777777" w:rsidTr="00154EE6">
        <w:trPr>
          <w:cantSplit/>
          <w:trHeight w:val="278"/>
        </w:trPr>
        <w:tc>
          <w:tcPr>
            <w:tcW w:w="0" w:type="auto"/>
            <w:tcBorders>
              <w:top w:val="nil"/>
              <w:bottom w:val="nil"/>
              <w:right w:val="nil"/>
            </w:tcBorders>
            <w:noWrap/>
            <w:vAlign w:val="center"/>
            <w:hideMark/>
          </w:tcPr>
          <w:p w14:paraId="6322D9B8" w14:textId="77777777" w:rsidR="00C167F7" w:rsidRPr="00F372FF" w:rsidRDefault="00C167F7" w:rsidP="00154EE6">
            <w:pPr>
              <w:pStyle w:val="NoSpacing"/>
              <w:rPr>
                <w:lang w:val="en-GB"/>
              </w:rPr>
            </w:pPr>
            <w:r w:rsidRPr="00F372FF">
              <w:rPr>
                <w:lang w:val="en-GB"/>
              </w:rPr>
              <w:t>AO</w:t>
            </w:r>
          </w:p>
        </w:tc>
        <w:tc>
          <w:tcPr>
            <w:tcW w:w="0" w:type="auto"/>
            <w:tcBorders>
              <w:top w:val="nil"/>
              <w:left w:val="nil"/>
              <w:bottom w:val="nil"/>
            </w:tcBorders>
            <w:vAlign w:val="center"/>
            <w:hideMark/>
          </w:tcPr>
          <w:p w14:paraId="4B07486D" w14:textId="77777777" w:rsidR="00C167F7" w:rsidRPr="00F372FF" w:rsidRDefault="00C167F7" w:rsidP="00154EE6">
            <w:pPr>
              <w:pStyle w:val="NoSpacing"/>
              <w:rPr>
                <w:color w:val="010205"/>
                <w:lang w:val="en-GB"/>
              </w:rPr>
            </w:pPr>
            <w:r w:rsidRPr="00F372FF">
              <w:rPr>
                <w:color w:val="010205"/>
                <w:lang w:val="en-GB"/>
              </w:rPr>
              <w:t>Age of MDD onset in years</w:t>
            </w:r>
          </w:p>
        </w:tc>
      </w:tr>
      <w:tr w:rsidR="00C167F7" w:rsidRPr="00F372FF" w14:paraId="169CEEA7" w14:textId="77777777" w:rsidTr="00154EE6">
        <w:trPr>
          <w:cantSplit/>
          <w:trHeight w:val="278"/>
        </w:trPr>
        <w:tc>
          <w:tcPr>
            <w:tcW w:w="0" w:type="auto"/>
            <w:tcBorders>
              <w:top w:val="nil"/>
              <w:bottom w:val="nil"/>
              <w:right w:val="nil"/>
            </w:tcBorders>
            <w:noWrap/>
            <w:vAlign w:val="center"/>
            <w:hideMark/>
          </w:tcPr>
          <w:p w14:paraId="4B578C6F" w14:textId="77777777" w:rsidR="00C167F7" w:rsidRPr="00F372FF" w:rsidRDefault="00C167F7" w:rsidP="00154EE6">
            <w:pPr>
              <w:pStyle w:val="NoSpacing"/>
              <w:rPr>
                <w:lang w:val="en-GB"/>
              </w:rPr>
            </w:pPr>
            <w:proofErr w:type="spellStart"/>
            <w:r w:rsidRPr="00F372FF">
              <w:rPr>
                <w:lang w:val="en-GB"/>
              </w:rPr>
              <w:t>Epi_total</w:t>
            </w:r>
            <w:proofErr w:type="spellEnd"/>
          </w:p>
        </w:tc>
        <w:tc>
          <w:tcPr>
            <w:tcW w:w="0" w:type="auto"/>
            <w:tcBorders>
              <w:top w:val="nil"/>
              <w:left w:val="nil"/>
              <w:bottom w:val="nil"/>
            </w:tcBorders>
            <w:vAlign w:val="center"/>
            <w:hideMark/>
          </w:tcPr>
          <w:p w14:paraId="78B36E57" w14:textId="77777777" w:rsidR="00C167F7" w:rsidRPr="00F372FF" w:rsidRDefault="00C167F7" w:rsidP="00154EE6">
            <w:pPr>
              <w:pStyle w:val="NoSpacing"/>
              <w:rPr>
                <w:color w:val="010205"/>
                <w:lang w:val="en-GB"/>
              </w:rPr>
            </w:pPr>
            <w:r w:rsidRPr="00F372FF">
              <w:rPr>
                <w:color w:val="010205"/>
                <w:lang w:val="en-GB"/>
              </w:rPr>
              <w:t>Total number of MDD episodes</w:t>
            </w:r>
          </w:p>
        </w:tc>
      </w:tr>
      <w:tr w:rsidR="00C167F7" w:rsidRPr="00F372FF" w14:paraId="63FE07FD" w14:textId="77777777" w:rsidTr="00154EE6">
        <w:trPr>
          <w:cantSplit/>
          <w:trHeight w:val="278"/>
        </w:trPr>
        <w:tc>
          <w:tcPr>
            <w:tcW w:w="0" w:type="auto"/>
            <w:tcBorders>
              <w:top w:val="nil"/>
              <w:bottom w:val="nil"/>
              <w:right w:val="nil"/>
            </w:tcBorders>
            <w:noWrap/>
            <w:vAlign w:val="center"/>
          </w:tcPr>
          <w:p w14:paraId="1D7C37A4" w14:textId="77777777" w:rsidR="00C167F7" w:rsidRPr="00F372FF" w:rsidRDefault="00C167F7" w:rsidP="00154EE6">
            <w:pPr>
              <w:pStyle w:val="NoSpacing"/>
              <w:rPr>
                <w:highlight w:val="yellow"/>
                <w:lang w:val="en-GB"/>
              </w:rPr>
            </w:pPr>
            <w:r w:rsidRPr="00F372FF">
              <w:rPr>
                <w:lang w:val="en-GB"/>
              </w:rPr>
              <w:t>Duration</w:t>
            </w:r>
          </w:p>
        </w:tc>
        <w:tc>
          <w:tcPr>
            <w:tcW w:w="0" w:type="auto"/>
            <w:tcBorders>
              <w:top w:val="nil"/>
              <w:left w:val="nil"/>
              <w:bottom w:val="nil"/>
            </w:tcBorders>
            <w:vAlign w:val="center"/>
          </w:tcPr>
          <w:p w14:paraId="416F402E" w14:textId="77777777" w:rsidR="00C167F7" w:rsidRPr="00F372FF" w:rsidRDefault="00C167F7" w:rsidP="00154EE6">
            <w:pPr>
              <w:pStyle w:val="NoSpacing"/>
              <w:rPr>
                <w:color w:val="010205"/>
                <w:lang w:val="en-GB"/>
              </w:rPr>
            </w:pPr>
            <w:r w:rsidRPr="00F372FF">
              <w:rPr>
                <w:color w:val="010205"/>
                <w:lang w:val="en-GB"/>
              </w:rPr>
              <w:t>Duration of current episode in weeks</w:t>
            </w:r>
          </w:p>
        </w:tc>
      </w:tr>
      <w:tr w:rsidR="00C167F7" w:rsidRPr="00F372FF" w14:paraId="42C7D5E7" w14:textId="77777777" w:rsidTr="00154EE6">
        <w:trPr>
          <w:cantSplit/>
          <w:trHeight w:val="278"/>
        </w:trPr>
        <w:tc>
          <w:tcPr>
            <w:tcW w:w="0" w:type="auto"/>
            <w:tcBorders>
              <w:top w:val="nil"/>
              <w:bottom w:val="nil"/>
              <w:right w:val="nil"/>
            </w:tcBorders>
            <w:noWrap/>
            <w:vAlign w:val="center"/>
          </w:tcPr>
          <w:p w14:paraId="2385689A" w14:textId="77777777" w:rsidR="00C167F7" w:rsidRPr="00F372FF" w:rsidRDefault="00C167F7" w:rsidP="00154EE6">
            <w:pPr>
              <w:pStyle w:val="NoSpacing"/>
              <w:rPr>
                <w:highlight w:val="yellow"/>
                <w:lang w:val="en-GB"/>
              </w:rPr>
            </w:pPr>
            <w:proofErr w:type="spellStart"/>
            <w:r w:rsidRPr="00F372FF">
              <w:rPr>
                <w:lang w:val="en-GB"/>
              </w:rPr>
              <w:t>RxGroup</w:t>
            </w:r>
            <w:proofErr w:type="spellEnd"/>
          </w:p>
        </w:tc>
        <w:tc>
          <w:tcPr>
            <w:tcW w:w="0" w:type="auto"/>
            <w:tcBorders>
              <w:top w:val="nil"/>
              <w:left w:val="nil"/>
              <w:bottom w:val="nil"/>
            </w:tcBorders>
            <w:vAlign w:val="center"/>
          </w:tcPr>
          <w:p w14:paraId="500AA0CE" w14:textId="77777777" w:rsidR="00C167F7" w:rsidRPr="00F372FF" w:rsidRDefault="00C167F7" w:rsidP="00154EE6">
            <w:pPr>
              <w:pStyle w:val="NoSpacing"/>
              <w:rPr>
                <w:color w:val="010205"/>
                <w:lang w:val="en-GB"/>
              </w:rPr>
            </w:pPr>
            <w:r w:rsidRPr="00F372FF">
              <w:rPr>
                <w:lang w:val="en-GB"/>
              </w:rPr>
              <w:t>Treatment allocation: CBT and fluoxetine or CBT and placebo</w:t>
            </w:r>
          </w:p>
        </w:tc>
      </w:tr>
      <w:tr w:rsidR="00C167F7" w:rsidRPr="00F372FF" w14:paraId="7DEB0779" w14:textId="77777777" w:rsidTr="00154EE6">
        <w:trPr>
          <w:cantSplit/>
          <w:trHeight w:val="278"/>
        </w:trPr>
        <w:tc>
          <w:tcPr>
            <w:tcW w:w="0" w:type="auto"/>
            <w:tcBorders>
              <w:top w:val="nil"/>
              <w:bottom w:val="nil"/>
              <w:right w:val="nil"/>
            </w:tcBorders>
            <w:noWrap/>
            <w:vAlign w:val="center"/>
          </w:tcPr>
          <w:p w14:paraId="0765DB4F" w14:textId="77777777" w:rsidR="00C167F7" w:rsidRPr="00F372FF" w:rsidRDefault="00C167F7" w:rsidP="00154EE6">
            <w:pPr>
              <w:pStyle w:val="NoSpacing"/>
              <w:rPr>
                <w:lang w:val="en-GB"/>
              </w:rPr>
            </w:pPr>
            <w:r w:rsidRPr="00F372FF">
              <w:rPr>
                <w:lang w:val="en-GB"/>
              </w:rPr>
              <w:t>CGI_S</w:t>
            </w:r>
          </w:p>
        </w:tc>
        <w:tc>
          <w:tcPr>
            <w:tcW w:w="0" w:type="auto"/>
            <w:tcBorders>
              <w:top w:val="nil"/>
              <w:left w:val="nil"/>
              <w:bottom w:val="nil"/>
            </w:tcBorders>
            <w:vAlign w:val="center"/>
          </w:tcPr>
          <w:p w14:paraId="699B17C0" w14:textId="77777777" w:rsidR="00C167F7" w:rsidRPr="00F372FF" w:rsidRDefault="00C167F7" w:rsidP="00154EE6">
            <w:pPr>
              <w:pStyle w:val="NoSpacing"/>
              <w:rPr>
                <w:lang w:val="en-GB"/>
              </w:rPr>
            </w:pPr>
            <w:r w:rsidRPr="00F372FF">
              <w:rPr>
                <w:lang w:val="en-GB"/>
              </w:rPr>
              <w:t>Clinical Global Impression – Severity score</w:t>
            </w:r>
          </w:p>
        </w:tc>
      </w:tr>
      <w:tr w:rsidR="00C167F7" w:rsidRPr="00F372FF" w14:paraId="354ABB2B" w14:textId="77777777" w:rsidTr="00154EE6">
        <w:trPr>
          <w:cantSplit/>
          <w:trHeight w:val="278"/>
        </w:trPr>
        <w:tc>
          <w:tcPr>
            <w:tcW w:w="0" w:type="auto"/>
            <w:tcBorders>
              <w:top w:val="nil"/>
              <w:right w:val="nil"/>
            </w:tcBorders>
            <w:noWrap/>
            <w:vAlign w:val="center"/>
          </w:tcPr>
          <w:p w14:paraId="3C8AAE49" w14:textId="77777777" w:rsidR="00C167F7" w:rsidRPr="00F372FF" w:rsidRDefault="00C167F7" w:rsidP="00154EE6">
            <w:pPr>
              <w:pStyle w:val="NoSpacing"/>
              <w:rPr>
                <w:lang w:val="en-GB"/>
              </w:rPr>
            </w:pPr>
            <w:proofErr w:type="spellStart"/>
            <w:r w:rsidRPr="00F372FF">
              <w:rPr>
                <w:lang w:val="en-GB"/>
              </w:rPr>
              <w:t>Prev_meds</w:t>
            </w:r>
            <w:proofErr w:type="spellEnd"/>
          </w:p>
        </w:tc>
        <w:tc>
          <w:tcPr>
            <w:tcW w:w="0" w:type="auto"/>
            <w:tcBorders>
              <w:top w:val="nil"/>
              <w:left w:val="nil"/>
            </w:tcBorders>
            <w:vAlign w:val="center"/>
          </w:tcPr>
          <w:p w14:paraId="2F4CEDC7" w14:textId="77777777" w:rsidR="00C167F7" w:rsidRPr="00F372FF" w:rsidRDefault="00C167F7" w:rsidP="00154EE6">
            <w:pPr>
              <w:pStyle w:val="NoSpacing"/>
              <w:rPr>
                <w:lang w:val="en-GB"/>
              </w:rPr>
            </w:pPr>
            <w:r w:rsidRPr="00F372FF">
              <w:rPr>
                <w:lang w:val="en-GB"/>
              </w:rPr>
              <w:t>Previous treatment with antidepressant medications</w:t>
            </w:r>
          </w:p>
        </w:tc>
      </w:tr>
      <w:tr w:rsidR="00C167F7" w:rsidRPr="00F372FF" w14:paraId="54DC6B1C" w14:textId="77777777" w:rsidTr="00154EE6">
        <w:trPr>
          <w:cantSplit/>
          <w:trHeight w:val="278"/>
        </w:trPr>
        <w:tc>
          <w:tcPr>
            <w:tcW w:w="0" w:type="auto"/>
            <w:gridSpan w:val="2"/>
            <w:tcBorders>
              <w:bottom w:val="nil"/>
            </w:tcBorders>
            <w:noWrap/>
            <w:vAlign w:val="center"/>
            <w:hideMark/>
          </w:tcPr>
          <w:p w14:paraId="0EFB2C3A" w14:textId="77777777" w:rsidR="00C167F7" w:rsidRPr="00F372FF" w:rsidRDefault="00C167F7" w:rsidP="00154EE6">
            <w:pPr>
              <w:pStyle w:val="NoSpacing"/>
              <w:rPr>
                <w:color w:val="010205"/>
                <w:lang w:val="en-GB"/>
              </w:rPr>
            </w:pPr>
            <w:r w:rsidRPr="00F372FF">
              <w:rPr>
                <w:i/>
                <w:iCs/>
                <w:lang w:val="en-GB"/>
              </w:rPr>
              <w:t>Montgomery-</w:t>
            </w:r>
            <w:proofErr w:type="spellStart"/>
            <w:r w:rsidRPr="00F372FF">
              <w:rPr>
                <w:i/>
                <w:iCs/>
                <w:lang w:val="en-GB"/>
              </w:rPr>
              <w:t>Asberg</w:t>
            </w:r>
            <w:proofErr w:type="spellEnd"/>
            <w:r w:rsidRPr="00F372FF">
              <w:rPr>
                <w:i/>
                <w:iCs/>
                <w:lang w:val="en-GB"/>
              </w:rPr>
              <w:t xml:space="preserve"> Depression Scale (MADRS)</w:t>
            </w:r>
            <w:r w:rsidRPr="00F372FF">
              <w:rPr>
                <w:color w:val="010205"/>
                <w:lang w:val="en-GB"/>
              </w:rPr>
              <w:t> </w:t>
            </w:r>
          </w:p>
        </w:tc>
      </w:tr>
      <w:tr w:rsidR="00C167F7" w:rsidRPr="00F372FF" w14:paraId="1E54AAED" w14:textId="77777777" w:rsidTr="00154EE6">
        <w:trPr>
          <w:cantSplit/>
          <w:trHeight w:val="278"/>
        </w:trPr>
        <w:tc>
          <w:tcPr>
            <w:tcW w:w="0" w:type="auto"/>
            <w:tcBorders>
              <w:top w:val="nil"/>
              <w:bottom w:val="nil"/>
              <w:right w:val="nil"/>
            </w:tcBorders>
            <w:noWrap/>
            <w:vAlign w:val="center"/>
          </w:tcPr>
          <w:p w14:paraId="2705FA4C" w14:textId="77777777" w:rsidR="00C167F7" w:rsidRPr="00F372FF" w:rsidRDefault="00C167F7" w:rsidP="00154EE6">
            <w:pPr>
              <w:pStyle w:val="NoSpacing"/>
              <w:rPr>
                <w:lang w:val="en-GB"/>
              </w:rPr>
            </w:pPr>
            <w:proofErr w:type="spellStart"/>
            <w:r w:rsidRPr="00F372FF">
              <w:rPr>
                <w:lang w:val="en-GB"/>
              </w:rPr>
              <w:t>MADRS_total_score</w:t>
            </w:r>
            <w:proofErr w:type="spellEnd"/>
          </w:p>
        </w:tc>
        <w:tc>
          <w:tcPr>
            <w:tcW w:w="0" w:type="auto"/>
            <w:tcBorders>
              <w:top w:val="nil"/>
              <w:left w:val="nil"/>
              <w:bottom w:val="nil"/>
            </w:tcBorders>
            <w:noWrap/>
            <w:vAlign w:val="center"/>
          </w:tcPr>
          <w:p w14:paraId="2B600961" w14:textId="77777777" w:rsidR="00C167F7" w:rsidRPr="00F372FF" w:rsidRDefault="00C167F7" w:rsidP="00154EE6">
            <w:pPr>
              <w:pStyle w:val="NoSpacing"/>
              <w:rPr>
                <w:lang w:val="en-GB"/>
              </w:rPr>
            </w:pPr>
            <w:r w:rsidRPr="00F372FF">
              <w:rPr>
                <w:color w:val="010205"/>
                <w:lang w:val="en-GB"/>
              </w:rPr>
              <w:t>MADRS total score</w:t>
            </w:r>
          </w:p>
        </w:tc>
      </w:tr>
      <w:tr w:rsidR="00C167F7" w:rsidRPr="00F372FF" w14:paraId="06F40BB3" w14:textId="77777777" w:rsidTr="00154EE6">
        <w:trPr>
          <w:cantSplit/>
          <w:trHeight w:val="278"/>
        </w:trPr>
        <w:tc>
          <w:tcPr>
            <w:tcW w:w="0" w:type="auto"/>
            <w:tcBorders>
              <w:top w:val="nil"/>
              <w:bottom w:val="nil"/>
              <w:right w:val="nil"/>
            </w:tcBorders>
            <w:noWrap/>
            <w:vAlign w:val="center"/>
            <w:hideMark/>
          </w:tcPr>
          <w:p w14:paraId="312E1406" w14:textId="77777777" w:rsidR="00C167F7" w:rsidRPr="00F372FF" w:rsidRDefault="00C167F7" w:rsidP="00154EE6">
            <w:pPr>
              <w:pStyle w:val="NoSpacing"/>
              <w:rPr>
                <w:lang w:val="en-GB"/>
              </w:rPr>
            </w:pPr>
            <w:r w:rsidRPr="00F372FF">
              <w:rPr>
                <w:lang w:val="en-GB"/>
              </w:rPr>
              <w:t>MADRS_Q1</w:t>
            </w:r>
          </w:p>
        </w:tc>
        <w:tc>
          <w:tcPr>
            <w:tcW w:w="0" w:type="auto"/>
            <w:tcBorders>
              <w:top w:val="nil"/>
              <w:left w:val="nil"/>
              <w:bottom w:val="nil"/>
            </w:tcBorders>
            <w:noWrap/>
            <w:vAlign w:val="center"/>
            <w:hideMark/>
          </w:tcPr>
          <w:p w14:paraId="4FC3006C" w14:textId="77777777" w:rsidR="00C167F7" w:rsidRPr="00F372FF" w:rsidRDefault="00C167F7" w:rsidP="00154EE6">
            <w:pPr>
              <w:pStyle w:val="NoSpacing"/>
              <w:rPr>
                <w:lang w:val="en-GB"/>
              </w:rPr>
            </w:pPr>
            <w:r w:rsidRPr="00F372FF">
              <w:rPr>
                <w:lang w:val="en-GB"/>
              </w:rPr>
              <w:t>MADRS Q1: Reports of depressed mood</w:t>
            </w:r>
          </w:p>
        </w:tc>
      </w:tr>
      <w:tr w:rsidR="00C167F7" w:rsidRPr="00F372FF" w14:paraId="72203811" w14:textId="77777777" w:rsidTr="00154EE6">
        <w:trPr>
          <w:cantSplit/>
          <w:trHeight w:val="278"/>
        </w:trPr>
        <w:tc>
          <w:tcPr>
            <w:tcW w:w="0" w:type="auto"/>
            <w:tcBorders>
              <w:top w:val="nil"/>
              <w:bottom w:val="nil"/>
              <w:right w:val="nil"/>
            </w:tcBorders>
            <w:noWrap/>
            <w:vAlign w:val="center"/>
          </w:tcPr>
          <w:p w14:paraId="5B718B0C" w14:textId="77777777" w:rsidR="00C167F7" w:rsidRPr="00F372FF" w:rsidRDefault="00C167F7" w:rsidP="00154EE6">
            <w:pPr>
              <w:pStyle w:val="NoSpacing"/>
              <w:rPr>
                <w:lang w:val="en-GB"/>
              </w:rPr>
            </w:pPr>
            <w:r w:rsidRPr="00F372FF">
              <w:rPr>
                <w:lang w:val="en-GB"/>
              </w:rPr>
              <w:t>MADRS_Q2</w:t>
            </w:r>
          </w:p>
        </w:tc>
        <w:tc>
          <w:tcPr>
            <w:tcW w:w="0" w:type="auto"/>
            <w:tcBorders>
              <w:top w:val="nil"/>
              <w:left w:val="nil"/>
              <w:bottom w:val="nil"/>
            </w:tcBorders>
            <w:noWrap/>
            <w:vAlign w:val="center"/>
            <w:hideMark/>
          </w:tcPr>
          <w:p w14:paraId="2DF02DF7" w14:textId="77777777" w:rsidR="00C167F7" w:rsidRPr="00F372FF" w:rsidRDefault="00C167F7" w:rsidP="00154EE6">
            <w:pPr>
              <w:pStyle w:val="NoSpacing"/>
              <w:rPr>
                <w:lang w:val="en-GB"/>
              </w:rPr>
            </w:pPr>
            <w:r w:rsidRPr="00F372FF">
              <w:rPr>
                <w:lang w:val="en-GB"/>
              </w:rPr>
              <w:t xml:space="preserve">MADRS Q2: Representing despondency, </w:t>
            </w:r>
            <w:proofErr w:type="gramStart"/>
            <w:r w:rsidRPr="00F372FF">
              <w:rPr>
                <w:lang w:val="en-GB"/>
              </w:rPr>
              <w:t>gloom</w:t>
            </w:r>
            <w:proofErr w:type="gramEnd"/>
            <w:r w:rsidRPr="00F372FF">
              <w:rPr>
                <w:lang w:val="en-GB"/>
              </w:rPr>
              <w:t xml:space="preserve"> and despair</w:t>
            </w:r>
          </w:p>
        </w:tc>
      </w:tr>
      <w:tr w:rsidR="00C167F7" w:rsidRPr="00F372FF" w14:paraId="4FC2603F" w14:textId="77777777" w:rsidTr="00154EE6">
        <w:trPr>
          <w:cantSplit/>
          <w:trHeight w:val="278"/>
        </w:trPr>
        <w:tc>
          <w:tcPr>
            <w:tcW w:w="0" w:type="auto"/>
            <w:tcBorders>
              <w:top w:val="nil"/>
              <w:bottom w:val="nil"/>
              <w:right w:val="nil"/>
            </w:tcBorders>
            <w:noWrap/>
            <w:vAlign w:val="center"/>
          </w:tcPr>
          <w:p w14:paraId="5913CE20" w14:textId="77777777" w:rsidR="00C167F7" w:rsidRPr="00F372FF" w:rsidRDefault="00C167F7" w:rsidP="00154EE6">
            <w:pPr>
              <w:pStyle w:val="NoSpacing"/>
              <w:rPr>
                <w:lang w:val="en-GB"/>
              </w:rPr>
            </w:pPr>
            <w:r w:rsidRPr="00F372FF">
              <w:rPr>
                <w:lang w:val="en-GB"/>
              </w:rPr>
              <w:t>MADRS_Q3</w:t>
            </w:r>
          </w:p>
        </w:tc>
        <w:tc>
          <w:tcPr>
            <w:tcW w:w="0" w:type="auto"/>
            <w:tcBorders>
              <w:top w:val="nil"/>
              <w:left w:val="nil"/>
              <w:bottom w:val="nil"/>
            </w:tcBorders>
            <w:noWrap/>
            <w:vAlign w:val="center"/>
            <w:hideMark/>
          </w:tcPr>
          <w:p w14:paraId="67D77578" w14:textId="77777777" w:rsidR="00C167F7" w:rsidRPr="00F372FF" w:rsidRDefault="00C167F7" w:rsidP="00154EE6">
            <w:pPr>
              <w:pStyle w:val="NoSpacing"/>
              <w:rPr>
                <w:lang w:val="en-GB"/>
              </w:rPr>
            </w:pPr>
            <w:r w:rsidRPr="00F372FF">
              <w:rPr>
                <w:lang w:val="en-GB"/>
              </w:rPr>
              <w:t>MADRS Q3: Feelings of ill-defined discomfort, edginess, inner turmoil</w:t>
            </w:r>
          </w:p>
        </w:tc>
      </w:tr>
      <w:tr w:rsidR="00C167F7" w:rsidRPr="00F372FF" w14:paraId="5A09AE54" w14:textId="77777777" w:rsidTr="00154EE6">
        <w:trPr>
          <w:cantSplit/>
          <w:trHeight w:val="278"/>
        </w:trPr>
        <w:tc>
          <w:tcPr>
            <w:tcW w:w="0" w:type="auto"/>
            <w:tcBorders>
              <w:top w:val="nil"/>
              <w:bottom w:val="nil"/>
              <w:right w:val="nil"/>
            </w:tcBorders>
            <w:noWrap/>
            <w:vAlign w:val="center"/>
          </w:tcPr>
          <w:p w14:paraId="6EF3410D" w14:textId="77777777" w:rsidR="00C167F7" w:rsidRPr="00F372FF" w:rsidRDefault="00C167F7" w:rsidP="00154EE6">
            <w:pPr>
              <w:pStyle w:val="NoSpacing"/>
              <w:rPr>
                <w:lang w:val="en-GB"/>
              </w:rPr>
            </w:pPr>
            <w:r w:rsidRPr="00F372FF">
              <w:rPr>
                <w:lang w:val="en-GB"/>
              </w:rPr>
              <w:t>MADRS_Q4</w:t>
            </w:r>
          </w:p>
        </w:tc>
        <w:tc>
          <w:tcPr>
            <w:tcW w:w="0" w:type="auto"/>
            <w:tcBorders>
              <w:top w:val="nil"/>
              <w:left w:val="nil"/>
              <w:bottom w:val="nil"/>
            </w:tcBorders>
            <w:noWrap/>
            <w:vAlign w:val="center"/>
            <w:hideMark/>
          </w:tcPr>
          <w:p w14:paraId="05138CB5" w14:textId="77777777" w:rsidR="00C167F7" w:rsidRPr="00F372FF" w:rsidRDefault="00C167F7" w:rsidP="00154EE6">
            <w:pPr>
              <w:pStyle w:val="NoSpacing"/>
              <w:rPr>
                <w:lang w:val="en-GB"/>
              </w:rPr>
            </w:pPr>
            <w:r w:rsidRPr="00F372FF">
              <w:rPr>
                <w:lang w:val="en-GB"/>
              </w:rPr>
              <w:t>MADRS Q4: Reduced duration or depth of sleep</w:t>
            </w:r>
          </w:p>
        </w:tc>
      </w:tr>
      <w:tr w:rsidR="00C167F7" w:rsidRPr="00F372FF" w14:paraId="3350FD52" w14:textId="77777777" w:rsidTr="00154EE6">
        <w:trPr>
          <w:cantSplit/>
          <w:trHeight w:val="278"/>
        </w:trPr>
        <w:tc>
          <w:tcPr>
            <w:tcW w:w="0" w:type="auto"/>
            <w:tcBorders>
              <w:top w:val="nil"/>
              <w:bottom w:val="nil"/>
              <w:right w:val="nil"/>
            </w:tcBorders>
            <w:noWrap/>
            <w:vAlign w:val="center"/>
          </w:tcPr>
          <w:p w14:paraId="4071BDA8" w14:textId="77777777" w:rsidR="00C167F7" w:rsidRPr="00F372FF" w:rsidRDefault="00C167F7" w:rsidP="00154EE6">
            <w:pPr>
              <w:pStyle w:val="NoSpacing"/>
              <w:rPr>
                <w:lang w:val="en-GB"/>
              </w:rPr>
            </w:pPr>
            <w:r w:rsidRPr="00F372FF">
              <w:rPr>
                <w:lang w:val="en-GB"/>
              </w:rPr>
              <w:t>MADRS_Q5</w:t>
            </w:r>
          </w:p>
        </w:tc>
        <w:tc>
          <w:tcPr>
            <w:tcW w:w="0" w:type="auto"/>
            <w:tcBorders>
              <w:top w:val="nil"/>
              <w:left w:val="nil"/>
              <w:bottom w:val="nil"/>
            </w:tcBorders>
            <w:noWrap/>
            <w:vAlign w:val="center"/>
            <w:hideMark/>
          </w:tcPr>
          <w:p w14:paraId="6685BA82" w14:textId="77777777" w:rsidR="00C167F7" w:rsidRPr="00F372FF" w:rsidRDefault="00C167F7" w:rsidP="00154EE6">
            <w:pPr>
              <w:pStyle w:val="NoSpacing"/>
              <w:rPr>
                <w:lang w:val="en-GB"/>
              </w:rPr>
            </w:pPr>
            <w:r w:rsidRPr="00F372FF">
              <w:rPr>
                <w:lang w:val="en-GB"/>
              </w:rPr>
              <w:t>MADRS Q5: Loss of appetite compared with when-well</w:t>
            </w:r>
          </w:p>
        </w:tc>
      </w:tr>
      <w:tr w:rsidR="00C167F7" w:rsidRPr="00F372FF" w14:paraId="1DD31328" w14:textId="77777777" w:rsidTr="00154EE6">
        <w:trPr>
          <w:cantSplit/>
          <w:trHeight w:val="278"/>
        </w:trPr>
        <w:tc>
          <w:tcPr>
            <w:tcW w:w="0" w:type="auto"/>
            <w:tcBorders>
              <w:top w:val="nil"/>
              <w:bottom w:val="nil"/>
              <w:right w:val="nil"/>
            </w:tcBorders>
            <w:noWrap/>
            <w:vAlign w:val="center"/>
          </w:tcPr>
          <w:p w14:paraId="45130270" w14:textId="77777777" w:rsidR="00C167F7" w:rsidRPr="00F372FF" w:rsidRDefault="00C167F7" w:rsidP="00154EE6">
            <w:pPr>
              <w:pStyle w:val="NoSpacing"/>
              <w:rPr>
                <w:lang w:val="en-GB"/>
              </w:rPr>
            </w:pPr>
            <w:r w:rsidRPr="00F372FF">
              <w:rPr>
                <w:lang w:val="en-GB"/>
              </w:rPr>
              <w:t>MADRS_Q6</w:t>
            </w:r>
          </w:p>
        </w:tc>
        <w:tc>
          <w:tcPr>
            <w:tcW w:w="0" w:type="auto"/>
            <w:tcBorders>
              <w:top w:val="nil"/>
              <w:left w:val="nil"/>
              <w:bottom w:val="nil"/>
            </w:tcBorders>
            <w:noWrap/>
            <w:vAlign w:val="center"/>
            <w:hideMark/>
          </w:tcPr>
          <w:p w14:paraId="05515FC1" w14:textId="77777777" w:rsidR="00C167F7" w:rsidRPr="00F372FF" w:rsidRDefault="00C167F7" w:rsidP="00154EE6">
            <w:pPr>
              <w:pStyle w:val="NoSpacing"/>
              <w:rPr>
                <w:lang w:val="en-GB"/>
              </w:rPr>
            </w:pPr>
            <w:r w:rsidRPr="00F372FF">
              <w:rPr>
                <w:lang w:val="en-GB"/>
              </w:rPr>
              <w:t>MADRS Q6: Difficulties in collecting one's thoughts mounting</w:t>
            </w:r>
          </w:p>
        </w:tc>
      </w:tr>
      <w:tr w:rsidR="00C167F7" w:rsidRPr="00F372FF" w14:paraId="4D5F56C7" w14:textId="77777777" w:rsidTr="00154EE6">
        <w:trPr>
          <w:cantSplit/>
          <w:trHeight w:val="278"/>
        </w:trPr>
        <w:tc>
          <w:tcPr>
            <w:tcW w:w="0" w:type="auto"/>
            <w:tcBorders>
              <w:top w:val="nil"/>
              <w:bottom w:val="nil"/>
              <w:right w:val="nil"/>
            </w:tcBorders>
            <w:noWrap/>
            <w:vAlign w:val="center"/>
          </w:tcPr>
          <w:p w14:paraId="4592A72B" w14:textId="77777777" w:rsidR="00C167F7" w:rsidRPr="00F372FF" w:rsidRDefault="00C167F7" w:rsidP="00154EE6">
            <w:pPr>
              <w:pStyle w:val="NoSpacing"/>
              <w:rPr>
                <w:lang w:val="en-GB"/>
              </w:rPr>
            </w:pPr>
            <w:r w:rsidRPr="00F372FF">
              <w:rPr>
                <w:lang w:val="en-GB"/>
              </w:rPr>
              <w:t>MADRS_Q7</w:t>
            </w:r>
          </w:p>
        </w:tc>
        <w:tc>
          <w:tcPr>
            <w:tcW w:w="0" w:type="auto"/>
            <w:tcBorders>
              <w:top w:val="nil"/>
              <w:left w:val="nil"/>
              <w:bottom w:val="nil"/>
            </w:tcBorders>
            <w:noWrap/>
            <w:vAlign w:val="center"/>
            <w:hideMark/>
          </w:tcPr>
          <w:p w14:paraId="2623FAF5" w14:textId="77777777" w:rsidR="00C167F7" w:rsidRPr="00F372FF" w:rsidRDefault="00C167F7" w:rsidP="00154EE6">
            <w:pPr>
              <w:pStyle w:val="NoSpacing"/>
              <w:rPr>
                <w:lang w:val="en-GB"/>
              </w:rPr>
            </w:pPr>
            <w:r w:rsidRPr="00F372FF">
              <w:rPr>
                <w:lang w:val="en-GB"/>
              </w:rPr>
              <w:t>MADRS Q7: Difficulty in getting started</w:t>
            </w:r>
          </w:p>
        </w:tc>
      </w:tr>
      <w:tr w:rsidR="00C167F7" w:rsidRPr="00F372FF" w14:paraId="634C792C" w14:textId="77777777" w:rsidTr="00154EE6">
        <w:trPr>
          <w:cantSplit/>
          <w:trHeight w:val="278"/>
        </w:trPr>
        <w:tc>
          <w:tcPr>
            <w:tcW w:w="0" w:type="auto"/>
            <w:tcBorders>
              <w:top w:val="nil"/>
              <w:bottom w:val="nil"/>
              <w:right w:val="nil"/>
            </w:tcBorders>
            <w:noWrap/>
            <w:vAlign w:val="center"/>
          </w:tcPr>
          <w:p w14:paraId="5D90FEF6" w14:textId="77777777" w:rsidR="00C167F7" w:rsidRPr="00F372FF" w:rsidRDefault="00C167F7" w:rsidP="00154EE6">
            <w:pPr>
              <w:pStyle w:val="NoSpacing"/>
              <w:rPr>
                <w:lang w:val="en-GB"/>
              </w:rPr>
            </w:pPr>
            <w:r w:rsidRPr="00F372FF">
              <w:rPr>
                <w:lang w:val="en-GB"/>
              </w:rPr>
              <w:t>MADRS_Q8</w:t>
            </w:r>
          </w:p>
        </w:tc>
        <w:tc>
          <w:tcPr>
            <w:tcW w:w="0" w:type="auto"/>
            <w:tcBorders>
              <w:top w:val="nil"/>
              <w:left w:val="nil"/>
              <w:bottom w:val="nil"/>
            </w:tcBorders>
            <w:noWrap/>
            <w:vAlign w:val="center"/>
            <w:hideMark/>
          </w:tcPr>
          <w:p w14:paraId="1E920813" w14:textId="77777777" w:rsidR="00C167F7" w:rsidRPr="00F372FF" w:rsidRDefault="00C167F7" w:rsidP="00154EE6">
            <w:pPr>
              <w:pStyle w:val="NoSpacing"/>
              <w:rPr>
                <w:lang w:val="en-GB"/>
              </w:rPr>
            </w:pPr>
            <w:r w:rsidRPr="00F372FF">
              <w:rPr>
                <w:lang w:val="en-GB"/>
              </w:rPr>
              <w:t>MADRS Q8: Reduced interest in the surroundings or activities</w:t>
            </w:r>
          </w:p>
        </w:tc>
      </w:tr>
      <w:tr w:rsidR="00C167F7" w:rsidRPr="00F372FF" w14:paraId="4C9E5679" w14:textId="77777777" w:rsidTr="00154EE6">
        <w:trPr>
          <w:cantSplit/>
          <w:trHeight w:val="278"/>
        </w:trPr>
        <w:tc>
          <w:tcPr>
            <w:tcW w:w="0" w:type="auto"/>
            <w:tcBorders>
              <w:top w:val="nil"/>
              <w:bottom w:val="nil"/>
              <w:right w:val="nil"/>
            </w:tcBorders>
            <w:noWrap/>
            <w:vAlign w:val="center"/>
          </w:tcPr>
          <w:p w14:paraId="07D176A3" w14:textId="77777777" w:rsidR="00C167F7" w:rsidRPr="00F372FF" w:rsidRDefault="00C167F7" w:rsidP="00154EE6">
            <w:pPr>
              <w:pStyle w:val="NoSpacing"/>
              <w:rPr>
                <w:lang w:val="en-GB"/>
              </w:rPr>
            </w:pPr>
            <w:r w:rsidRPr="00F372FF">
              <w:rPr>
                <w:lang w:val="en-GB"/>
              </w:rPr>
              <w:t>MADRS_Q9</w:t>
            </w:r>
          </w:p>
        </w:tc>
        <w:tc>
          <w:tcPr>
            <w:tcW w:w="0" w:type="auto"/>
            <w:tcBorders>
              <w:top w:val="nil"/>
              <w:left w:val="nil"/>
              <w:bottom w:val="nil"/>
            </w:tcBorders>
            <w:noWrap/>
            <w:vAlign w:val="center"/>
            <w:hideMark/>
          </w:tcPr>
          <w:p w14:paraId="09C1030A" w14:textId="77777777" w:rsidR="00C167F7" w:rsidRPr="00F372FF" w:rsidRDefault="00C167F7" w:rsidP="00154EE6">
            <w:pPr>
              <w:pStyle w:val="NoSpacing"/>
              <w:rPr>
                <w:lang w:val="en-GB"/>
              </w:rPr>
            </w:pPr>
            <w:r w:rsidRPr="00F372FF">
              <w:rPr>
                <w:lang w:val="en-GB"/>
              </w:rPr>
              <w:t xml:space="preserve">MADRS Q9: Thoughts of guilt, inferiority, self-reproach, sinfulness, </w:t>
            </w:r>
            <w:proofErr w:type="gramStart"/>
            <w:r w:rsidRPr="00F372FF">
              <w:rPr>
                <w:lang w:val="en-GB"/>
              </w:rPr>
              <w:t>remorse</w:t>
            </w:r>
            <w:proofErr w:type="gramEnd"/>
            <w:r w:rsidRPr="00F372FF">
              <w:rPr>
                <w:lang w:val="en-GB"/>
              </w:rPr>
              <w:t xml:space="preserve"> and ruin</w:t>
            </w:r>
          </w:p>
        </w:tc>
      </w:tr>
      <w:tr w:rsidR="00C167F7" w:rsidRPr="00F372FF" w14:paraId="046E3FC2" w14:textId="77777777" w:rsidTr="00154EE6">
        <w:trPr>
          <w:cantSplit/>
          <w:trHeight w:val="278"/>
        </w:trPr>
        <w:tc>
          <w:tcPr>
            <w:tcW w:w="0" w:type="auto"/>
            <w:tcBorders>
              <w:top w:val="nil"/>
              <w:right w:val="nil"/>
            </w:tcBorders>
            <w:noWrap/>
            <w:vAlign w:val="center"/>
          </w:tcPr>
          <w:p w14:paraId="71683081" w14:textId="77777777" w:rsidR="00C167F7" w:rsidRPr="00F372FF" w:rsidRDefault="00C167F7" w:rsidP="00154EE6">
            <w:pPr>
              <w:pStyle w:val="NoSpacing"/>
              <w:rPr>
                <w:lang w:val="en-GB"/>
              </w:rPr>
            </w:pPr>
            <w:r w:rsidRPr="00F372FF">
              <w:rPr>
                <w:lang w:val="en-GB"/>
              </w:rPr>
              <w:t>MADRS_Q10</w:t>
            </w:r>
          </w:p>
        </w:tc>
        <w:tc>
          <w:tcPr>
            <w:tcW w:w="0" w:type="auto"/>
            <w:tcBorders>
              <w:top w:val="nil"/>
              <w:left w:val="nil"/>
            </w:tcBorders>
            <w:noWrap/>
            <w:vAlign w:val="center"/>
            <w:hideMark/>
          </w:tcPr>
          <w:p w14:paraId="4519A8D1" w14:textId="77777777" w:rsidR="00C167F7" w:rsidRPr="00F372FF" w:rsidRDefault="00C167F7" w:rsidP="00154EE6">
            <w:pPr>
              <w:pStyle w:val="NoSpacing"/>
              <w:rPr>
                <w:lang w:val="en-GB"/>
              </w:rPr>
            </w:pPr>
            <w:r w:rsidRPr="00F372FF">
              <w:rPr>
                <w:lang w:val="en-GB"/>
              </w:rPr>
              <w:t>MADRS Q10: The feeling that life is not worth living</w:t>
            </w:r>
          </w:p>
        </w:tc>
      </w:tr>
      <w:tr w:rsidR="00C167F7" w:rsidRPr="00F372FF" w14:paraId="0BD11446" w14:textId="77777777" w:rsidTr="00154EE6">
        <w:trPr>
          <w:cantSplit/>
          <w:trHeight w:val="278"/>
        </w:trPr>
        <w:tc>
          <w:tcPr>
            <w:tcW w:w="0" w:type="auto"/>
            <w:gridSpan w:val="2"/>
            <w:tcBorders>
              <w:bottom w:val="nil"/>
            </w:tcBorders>
            <w:noWrap/>
            <w:vAlign w:val="center"/>
            <w:hideMark/>
          </w:tcPr>
          <w:p w14:paraId="1490A330" w14:textId="77777777" w:rsidR="00C167F7" w:rsidRPr="00F372FF" w:rsidRDefault="00C167F7" w:rsidP="00154EE6">
            <w:pPr>
              <w:pStyle w:val="NoSpacing"/>
              <w:rPr>
                <w:i/>
                <w:iCs/>
                <w:lang w:val="en-GB"/>
              </w:rPr>
            </w:pPr>
            <w:r w:rsidRPr="00F372FF">
              <w:rPr>
                <w:i/>
                <w:iCs/>
                <w:lang w:val="en-GB"/>
              </w:rPr>
              <w:t>Quick Inventory of Depressive Symptomatology (QIDS)</w:t>
            </w:r>
          </w:p>
        </w:tc>
      </w:tr>
      <w:tr w:rsidR="00C167F7" w:rsidRPr="00F372FF" w14:paraId="1887A291" w14:textId="77777777" w:rsidTr="00154EE6">
        <w:trPr>
          <w:cantSplit/>
          <w:trHeight w:val="278"/>
        </w:trPr>
        <w:tc>
          <w:tcPr>
            <w:tcW w:w="0" w:type="auto"/>
            <w:tcBorders>
              <w:top w:val="nil"/>
              <w:bottom w:val="nil"/>
              <w:right w:val="nil"/>
            </w:tcBorders>
            <w:noWrap/>
            <w:vAlign w:val="center"/>
          </w:tcPr>
          <w:p w14:paraId="6F037EDE" w14:textId="77777777" w:rsidR="00C167F7" w:rsidRPr="00F372FF" w:rsidRDefault="00C167F7" w:rsidP="00154EE6">
            <w:pPr>
              <w:pStyle w:val="NoSpacing"/>
              <w:rPr>
                <w:lang w:val="en-GB"/>
              </w:rPr>
            </w:pPr>
            <w:proofErr w:type="spellStart"/>
            <w:r w:rsidRPr="00F372FF">
              <w:rPr>
                <w:lang w:val="en-GB"/>
              </w:rPr>
              <w:t>QIDS_total_baseline</w:t>
            </w:r>
            <w:proofErr w:type="spellEnd"/>
          </w:p>
        </w:tc>
        <w:tc>
          <w:tcPr>
            <w:tcW w:w="0" w:type="auto"/>
            <w:tcBorders>
              <w:top w:val="nil"/>
              <w:left w:val="nil"/>
              <w:bottom w:val="nil"/>
            </w:tcBorders>
            <w:vAlign w:val="center"/>
          </w:tcPr>
          <w:p w14:paraId="742708C0" w14:textId="77777777" w:rsidR="00C167F7" w:rsidRPr="00F372FF" w:rsidRDefault="00C167F7" w:rsidP="00154EE6">
            <w:pPr>
              <w:pStyle w:val="NoSpacing"/>
              <w:rPr>
                <w:color w:val="010205"/>
                <w:lang w:val="en-GB"/>
              </w:rPr>
            </w:pPr>
            <w:r w:rsidRPr="00F372FF">
              <w:rPr>
                <w:color w:val="010205"/>
                <w:lang w:val="en-GB"/>
              </w:rPr>
              <w:t>QIDS total score</w:t>
            </w:r>
          </w:p>
        </w:tc>
      </w:tr>
      <w:tr w:rsidR="00C167F7" w:rsidRPr="00F372FF" w14:paraId="19CD0C70" w14:textId="77777777" w:rsidTr="00154EE6">
        <w:trPr>
          <w:cantSplit/>
          <w:trHeight w:val="278"/>
        </w:trPr>
        <w:tc>
          <w:tcPr>
            <w:tcW w:w="0" w:type="auto"/>
            <w:tcBorders>
              <w:top w:val="nil"/>
              <w:bottom w:val="nil"/>
              <w:right w:val="nil"/>
            </w:tcBorders>
            <w:noWrap/>
            <w:vAlign w:val="center"/>
            <w:hideMark/>
          </w:tcPr>
          <w:p w14:paraId="26744F0C" w14:textId="77777777" w:rsidR="00C167F7" w:rsidRPr="00F372FF" w:rsidRDefault="00C167F7" w:rsidP="00154EE6">
            <w:pPr>
              <w:pStyle w:val="NoSpacing"/>
              <w:rPr>
                <w:lang w:val="en-GB"/>
              </w:rPr>
            </w:pPr>
            <w:r w:rsidRPr="00F372FF">
              <w:rPr>
                <w:lang w:val="en-GB"/>
              </w:rPr>
              <w:t>QIDS_Q1</w:t>
            </w:r>
          </w:p>
        </w:tc>
        <w:tc>
          <w:tcPr>
            <w:tcW w:w="0" w:type="auto"/>
            <w:tcBorders>
              <w:top w:val="nil"/>
              <w:left w:val="nil"/>
              <w:bottom w:val="nil"/>
            </w:tcBorders>
            <w:vAlign w:val="center"/>
            <w:hideMark/>
          </w:tcPr>
          <w:p w14:paraId="570945F1" w14:textId="77777777" w:rsidR="00C167F7" w:rsidRPr="00F372FF" w:rsidRDefault="00C167F7" w:rsidP="00154EE6">
            <w:pPr>
              <w:pStyle w:val="NoSpacing"/>
              <w:rPr>
                <w:color w:val="010205"/>
                <w:lang w:val="en-GB"/>
              </w:rPr>
            </w:pPr>
            <w:r w:rsidRPr="00F372FF">
              <w:rPr>
                <w:color w:val="010205"/>
                <w:lang w:val="en-GB"/>
              </w:rPr>
              <w:t>QIDS Q1: Falling asleep</w:t>
            </w:r>
          </w:p>
        </w:tc>
      </w:tr>
      <w:tr w:rsidR="00C167F7" w:rsidRPr="00F372FF" w14:paraId="52417080" w14:textId="77777777" w:rsidTr="00154EE6">
        <w:trPr>
          <w:cantSplit/>
          <w:trHeight w:val="278"/>
        </w:trPr>
        <w:tc>
          <w:tcPr>
            <w:tcW w:w="0" w:type="auto"/>
            <w:tcBorders>
              <w:top w:val="nil"/>
              <w:bottom w:val="nil"/>
              <w:right w:val="nil"/>
            </w:tcBorders>
            <w:noWrap/>
            <w:vAlign w:val="center"/>
            <w:hideMark/>
          </w:tcPr>
          <w:p w14:paraId="6A62EF04" w14:textId="77777777" w:rsidR="00C167F7" w:rsidRPr="00F372FF" w:rsidRDefault="00C167F7" w:rsidP="00154EE6">
            <w:pPr>
              <w:pStyle w:val="NoSpacing"/>
              <w:rPr>
                <w:lang w:val="en-GB"/>
              </w:rPr>
            </w:pPr>
            <w:r w:rsidRPr="00F372FF">
              <w:rPr>
                <w:lang w:val="en-GB"/>
              </w:rPr>
              <w:t>QIDS_Q2</w:t>
            </w:r>
          </w:p>
        </w:tc>
        <w:tc>
          <w:tcPr>
            <w:tcW w:w="0" w:type="auto"/>
            <w:tcBorders>
              <w:top w:val="nil"/>
              <w:left w:val="nil"/>
              <w:bottom w:val="nil"/>
            </w:tcBorders>
            <w:vAlign w:val="center"/>
            <w:hideMark/>
          </w:tcPr>
          <w:p w14:paraId="70784D7C" w14:textId="77777777" w:rsidR="00C167F7" w:rsidRPr="00F372FF" w:rsidRDefault="00C167F7" w:rsidP="00154EE6">
            <w:pPr>
              <w:pStyle w:val="NoSpacing"/>
              <w:rPr>
                <w:color w:val="010205"/>
                <w:lang w:val="en-GB"/>
              </w:rPr>
            </w:pPr>
            <w:r w:rsidRPr="00F372FF">
              <w:rPr>
                <w:color w:val="010205"/>
                <w:lang w:val="en-GB"/>
              </w:rPr>
              <w:t>QIDS Q2: Sleep at night</w:t>
            </w:r>
          </w:p>
        </w:tc>
      </w:tr>
      <w:tr w:rsidR="00C167F7" w:rsidRPr="00F372FF" w14:paraId="268B7623" w14:textId="77777777" w:rsidTr="00154EE6">
        <w:trPr>
          <w:cantSplit/>
          <w:trHeight w:val="278"/>
        </w:trPr>
        <w:tc>
          <w:tcPr>
            <w:tcW w:w="0" w:type="auto"/>
            <w:tcBorders>
              <w:top w:val="nil"/>
              <w:bottom w:val="nil"/>
              <w:right w:val="nil"/>
            </w:tcBorders>
            <w:noWrap/>
            <w:vAlign w:val="center"/>
            <w:hideMark/>
          </w:tcPr>
          <w:p w14:paraId="3385D26A" w14:textId="77777777" w:rsidR="00C167F7" w:rsidRPr="00F372FF" w:rsidRDefault="00C167F7" w:rsidP="00154EE6">
            <w:pPr>
              <w:pStyle w:val="NoSpacing"/>
              <w:rPr>
                <w:lang w:val="en-GB"/>
              </w:rPr>
            </w:pPr>
            <w:r w:rsidRPr="00F372FF">
              <w:rPr>
                <w:lang w:val="en-GB"/>
              </w:rPr>
              <w:t>QIDS_Q3</w:t>
            </w:r>
          </w:p>
        </w:tc>
        <w:tc>
          <w:tcPr>
            <w:tcW w:w="0" w:type="auto"/>
            <w:tcBorders>
              <w:top w:val="nil"/>
              <w:left w:val="nil"/>
              <w:bottom w:val="nil"/>
            </w:tcBorders>
            <w:vAlign w:val="center"/>
            <w:hideMark/>
          </w:tcPr>
          <w:p w14:paraId="2FE60646" w14:textId="77777777" w:rsidR="00C167F7" w:rsidRPr="00F372FF" w:rsidRDefault="00C167F7" w:rsidP="00154EE6">
            <w:pPr>
              <w:pStyle w:val="NoSpacing"/>
              <w:rPr>
                <w:color w:val="010205"/>
                <w:lang w:val="en-GB"/>
              </w:rPr>
            </w:pPr>
            <w:r w:rsidRPr="00F372FF">
              <w:rPr>
                <w:color w:val="010205"/>
                <w:lang w:val="en-GB"/>
              </w:rPr>
              <w:t>QIDS Q3: Waking early</w:t>
            </w:r>
          </w:p>
        </w:tc>
      </w:tr>
      <w:tr w:rsidR="00C167F7" w:rsidRPr="00F372FF" w14:paraId="10AC74FE" w14:textId="77777777" w:rsidTr="00154EE6">
        <w:trPr>
          <w:cantSplit/>
          <w:trHeight w:val="278"/>
        </w:trPr>
        <w:tc>
          <w:tcPr>
            <w:tcW w:w="0" w:type="auto"/>
            <w:tcBorders>
              <w:top w:val="nil"/>
              <w:bottom w:val="nil"/>
              <w:right w:val="nil"/>
            </w:tcBorders>
            <w:noWrap/>
            <w:vAlign w:val="center"/>
            <w:hideMark/>
          </w:tcPr>
          <w:p w14:paraId="4F3FD3DD" w14:textId="77777777" w:rsidR="00C167F7" w:rsidRPr="00F372FF" w:rsidRDefault="00C167F7" w:rsidP="00154EE6">
            <w:pPr>
              <w:pStyle w:val="NoSpacing"/>
              <w:rPr>
                <w:lang w:val="en-GB"/>
              </w:rPr>
            </w:pPr>
            <w:r w:rsidRPr="00F372FF">
              <w:rPr>
                <w:lang w:val="en-GB"/>
              </w:rPr>
              <w:t>QIDS_Q4</w:t>
            </w:r>
          </w:p>
        </w:tc>
        <w:tc>
          <w:tcPr>
            <w:tcW w:w="0" w:type="auto"/>
            <w:tcBorders>
              <w:top w:val="nil"/>
              <w:left w:val="nil"/>
              <w:bottom w:val="nil"/>
            </w:tcBorders>
            <w:vAlign w:val="center"/>
            <w:hideMark/>
          </w:tcPr>
          <w:p w14:paraId="5EAF9322" w14:textId="77777777" w:rsidR="00C167F7" w:rsidRPr="00F372FF" w:rsidRDefault="00C167F7" w:rsidP="00154EE6">
            <w:pPr>
              <w:pStyle w:val="NoSpacing"/>
              <w:rPr>
                <w:color w:val="010205"/>
                <w:lang w:val="en-GB"/>
              </w:rPr>
            </w:pPr>
            <w:r w:rsidRPr="00F372FF">
              <w:rPr>
                <w:color w:val="010205"/>
                <w:lang w:val="en-GB"/>
              </w:rPr>
              <w:t>QIDS Q4: Sleeping too much</w:t>
            </w:r>
          </w:p>
        </w:tc>
      </w:tr>
      <w:tr w:rsidR="00C167F7" w:rsidRPr="00F372FF" w14:paraId="66347CC8" w14:textId="77777777" w:rsidTr="00154EE6">
        <w:trPr>
          <w:cantSplit/>
          <w:trHeight w:val="278"/>
        </w:trPr>
        <w:tc>
          <w:tcPr>
            <w:tcW w:w="0" w:type="auto"/>
            <w:tcBorders>
              <w:top w:val="nil"/>
              <w:bottom w:val="nil"/>
              <w:right w:val="nil"/>
            </w:tcBorders>
            <w:noWrap/>
            <w:vAlign w:val="center"/>
            <w:hideMark/>
          </w:tcPr>
          <w:p w14:paraId="4310EE7E" w14:textId="77777777" w:rsidR="00C167F7" w:rsidRPr="00F372FF" w:rsidRDefault="00C167F7" w:rsidP="00154EE6">
            <w:pPr>
              <w:pStyle w:val="NoSpacing"/>
              <w:rPr>
                <w:lang w:val="en-GB"/>
              </w:rPr>
            </w:pPr>
            <w:r w:rsidRPr="00F372FF">
              <w:rPr>
                <w:lang w:val="en-GB"/>
              </w:rPr>
              <w:t>QIDS_Q5</w:t>
            </w:r>
          </w:p>
        </w:tc>
        <w:tc>
          <w:tcPr>
            <w:tcW w:w="0" w:type="auto"/>
            <w:tcBorders>
              <w:top w:val="nil"/>
              <w:left w:val="nil"/>
              <w:bottom w:val="nil"/>
            </w:tcBorders>
            <w:vAlign w:val="center"/>
            <w:hideMark/>
          </w:tcPr>
          <w:p w14:paraId="7B9A36C7" w14:textId="77777777" w:rsidR="00C167F7" w:rsidRPr="00F372FF" w:rsidRDefault="00C167F7" w:rsidP="00154EE6">
            <w:pPr>
              <w:pStyle w:val="NoSpacing"/>
              <w:rPr>
                <w:color w:val="010205"/>
                <w:lang w:val="en-GB"/>
              </w:rPr>
            </w:pPr>
            <w:r w:rsidRPr="00F372FF">
              <w:rPr>
                <w:color w:val="010205"/>
                <w:lang w:val="en-GB"/>
              </w:rPr>
              <w:t>QIDS Q5: Feeling sad</w:t>
            </w:r>
          </w:p>
        </w:tc>
      </w:tr>
      <w:tr w:rsidR="00C167F7" w:rsidRPr="00F372FF" w14:paraId="04ED713B" w14:textId="77777777" w:rsidTr="00154EE6">
        <w:trPr>
          <w:cantSplit/>
          <w:trHeight w:val="278"/>
        </w:trPr>
        <w:tc>
          <w:tcPr>
            <w:tcW w:w="0" w:type="auto"/>
            <w:tcBorders>
              <w:top w:val="nil"/>
              <w:bottom w:val="nil"/>
              <w:right w:val="nil"/>
            </w:tcBorders>
            <w:noWrap/>
            <w:vAlign w:val="center"/>
            <w:hideMark/>
          </w:tcPr>
          <w:p w14:paraId="06A3F4AE" w14:textId="77777777" w:rsidR="00C167F7" w:rsidRPr="00F372FF" w:rsidRDefault="00C167F7" w:rsidP="00154EE6">
            <w:pPr>
              <w:pStyle w:val="NoSpacing"/>
              <w:rPr>
                <w:lang w:val="en-GB"/>
              </w:rPr>
            </w:pPr>
            <w:r w:rsidRPr="00F372FF">
              <w:rPr>
                <w:lang w:val="en-GB"/>
              </w:rPr>
              <w:t>QIDS_Q6</w:t>
            </w:r>
          </w:p>
        </w:tc>
        <w:tc>
          <w:tcPr>
            <w:tcW w:w="0" w:type="auto"/>
            <w:tcBorders>
              <w:top w:val="nil"/>
              <w:left w:val="nil"/>
              <w:bottom w:val="nil"/>
            </w:tcBorders>
            <w:vAlign w:val="center"/>
            <w:hideMark/>
          </w:tcPr>
          <w:p w14:paraId="5AEE5987" w14:textId="77777777" w:rsidR="00C167F7" w:rsidRPr="00F372FF" w:rsidRDefault="00C167F7" w:rsidP="00154EE6">
            <w:pPr>
              <w:pStyle w:val="NoSpacing"/>
              <w:rPr>
                <w:color w:val="010205"/>
                <w:lang w:val="en-GB"/>
              </w:rPr>
            </w:pPr>
            <w:r w:rsidRPr="00F372FF">
              <w:rPr>
                <w:color w:val="010205"/>
                <w:lang w:val="en-GB"/>
              </w:rPr>
              <w:t>QIDS Q6: Decreased appetite</w:t>
            </w:r>
          </w:p>
        </w:tc>
      </w:tr>
      <w:tr w:rsidR="00C167F7" w:rsidRPr="00F372FF" w14:paraId="0A0590E4" w14:textId="77777777" w:rsidTr="00154EE6">
        <w:trPr>
          <w:cantSplit/>
          <w:trHeight w:val="278"/>
        </w:trPr>
        <w:tc>
          <w:tcPr>
            <w:tcW w:w="0" w:type="auto"/>
            <w:tcBorders>
              <w:top w:val="nil"/>
              <w:bottom w:val="nil"/>
              <w:right w:val="nil"/>
            </w:tcBorders>
            <w:noWrap/>
            <w:vAlign w:val="center"/>
            <w:hideMark/>
          </w:tcPr>
          <w:p w14:paraId="241D881A" w14:textId="77777777" w:rsidR="00C167F7" w:rsidRPr="00F372FF" w:rsidRDefault="00C167F7" w:rsidP="00154EE6">
            <w:pPr>
              <w:pStyle w:val="NoSpacing"/>
              <w:rPr>
                <w:lang w:val="en-GB"/>
              </w:rPr>
            </w:pPr>
            <w:r w:rsidRPr="00F372FF">
              <w:rPr>
                <w:lang w:val="en-GB"/>
              </w:rPr>
              <w:t>QIDS_Q7</w:t>
            </w:r>
          </w:p>
        </w:tc>
        <w:tc>
          <w:tcPr>
            <w:tcW w:w="0" w:type="auto"/>
            <w:tcBorders>
              <w:top w:val="nil"/>
              <w:left w:val="nil"/>
              <w:bottom w:val="nil"/>
            </w:tcBorders>
            <w:vAlign w:val="center"/>
            <w:hideMark/>
          </w:tcPr>
          <w:p w14:paraId="1BFB129B" w14:textId="77777777" w:rsidR="00C167F7" w:rsidRPr="00F372FF" w:rsidRDefault="00C167F7" w:rsidP="00154EE6">
            <w:pPr>
              <w:pStyle w:val="NoSpacing"/>
              <w:rPr>
                <w:color w:val="010205"/>
                <w:lang w:val="en-GB"/>
              </w:rPr>
            </w:pPr>
            <w:r w:rsidRPr="00F372FF">
              <w:rPr>
                <w:color w:val="010205"/>
                <w:lang w:val="en-GB"/>
              </w:rPr>
              <w:t>QIDS Q7: Increased appetite</w:t>
            </w:r>
          </w:p>
        </w:tc>
      </w:tr>
      <w:tr w:rsidR="00C167F7" w:rsidRPr="00F372FF" w14:paraId="45658E74" w14:textId="77777777" w:rsidTr="00154EE6">
        <w:trPr>
          <w:cantSplit/>
          <w:trHeight w:val="278"/>
        </w:trPr>
        <w:tc>
          <w:tcPr>
            <w:tcW w:w="0" w:type="auto"/>
            <w:tcBorders>
              <w:top w:val="nil"/>
              <w:bottom w:val="nil"/>
              <w:right w:val="nil"/>
            </w:tcBorders>
            <w:noWrap/>
            <w:vAlign w:val="center"/>
            <w:hideMark/>
          </w:tcPr>
          <w:p w14:paraId="1294205F" w14:textId="77777777" w:rsidR="00C167F7" w:rsidRPr="00F372FF" w:rsidRDefault="00C167F7" w:rsidP="00154EE6">
            <w:pPr>
              <w:pStyle w:val="NoSpacing"/>
              <w:rPr>
                <w:lang w:val="en-GB"/>
              </w:rPr>
            </w:pPr>
            <w:r w:rsidRPr="00F372FF">
              <w:rPr>
                <w:lang w:val="en-GB"/>
              </w:rPr>
              <w:t>QIDS_Q8</w:t>
            </w:r>
          </w:p>
        </w:tc>
        <w:tc>
          <w:tcPr>
            <w:tcW w:w="0" w:type="auto"/>
            <w:tcBorders>
              <w:top w:val="nil"/>
              <w:left w:val="nil"/>
              <w:bottom w:val="nil"/>
            </w:tcBorders>
            <w:vAlign w:val="center"/>
            <w:hideMark/>
          </w:tcPr>
          <w:p w14:paraId="57AA9010" w14:textId="77777777" w:rsidR="00C167F7" w:rsidRPr="00F372FF" w:rsidRDefault="00C167F7" w:rsidP="00154EE6">
            <w:pPr>
              <w:pStyle w:val="NoSpacing"/>
              <w:rPr>
                <w:color w:val="010205"/>
                <w:lang w:val="en-GB"/>
              </w:rPr>
            </w:pPr>
            <w:r w:rsidRPr="00F372FF">
              <w:rPr>
                <w:color w:val="010205"/>
                <w:lang w:val="en-GB"/>
              </w:rPr>
              <w:t>QIDS Q8: Decreased weight</w:t>
            </w:r>
          </w:p>
        </w:tc>
      </w:tr>
      <w:tr w:rsidR="00C167F7" w:rsidRPr="00F372FF" w14:paraId="0F437E9F" w14:textId="77777777" w:rsidTr="00154EE6">
        <w:trPr>
          <w:cantSplit/>
          <w:trHeight w:val="278"/>
        </w:trPr>
        <w:tc>
          <w:tcPr>
            <w:tcW w:w="0" w:type="auto"/>
            <w:tcBorders>
              <w:top w:val="nil"/>
              <w:bottom w:val="nil"/>
              <w:right w:val="nil"/>
            </w:tcBorders>
            <w:noWrap/>
            <w:vAlign w:val="center"/>
            <w:hideMark/>
          </w:tcPr>
          <w:p w14:paraId="6416CD68" w14:textId="77777777" w:rsidR="00C167F7" w:rsidRPr="00F372FF" w:rsidRDefault="00C167F7" w:rsidP="00154EE6">
            <w:pPr>
              <w:pStyle w:val="NoSpacing"/>
              <w:rPr>
                <w:lang w:val="en-GB"/>
              </w:rPr>
            </w:pPr>
            <w:r w:rsidRPr="00F372FF">
              <w:rPr>
                <w:lang w:val="en-GB"/>
              </w:rPr>
              <w:t>QIDS_Q9</w:t>
            </w:r>
          </w:p>
        </w:tc>
        <w:tc>
          <w:tcPr>
            <w:tcW w:w="0" w:type="auto"/>
            <w:tcBorders>
              <w:top w:val="nil"/>
              <w:left w:val="nil"/>
              <w:bottom w:val="nil"/>
            </w:tcBorders>
            <w:vAlign w:val="center"/>
            <w:hideMark/>
          </w:tcPr>
          <w:p w14:paraId="59D303BE" w14:textId="77777777" w:rsidR="00C167F7" w:rsidRPr="00F372FF" w:rsidRDefault="00C167F7" w:rsidP="00154EE6">
            <w:pPr>
              <w:pStyle w:val="NoSpacing"/>
              <w:rPr>
                <w:color w:val="010205"/>
                <w:lang w:val="en-GB"/>
              </w:rPr>
            </w:pPr>
            <w:r w:rsidRPr="00F372FF">
              <w:rPr>
                <w:color w:val="010205"/>
                <w:lang w:val="en-GB"/>
              </w:rPr>
              <w:t>QIDS Q9: Increased weight</w:t>
            </w:r>
          </w:p>
        </w:tc>
      </w:tr>
      <w:tr w:rsidR="00C167F7" w:rsidRPr="00F372FF" w14:paraId="7BECBD14" w14:textId="77777777" w:rsidTr="00154EE6">
        <w:trPr>
          <w:cantSplit/>
          <w:trHeight w:val="278"/>
        </w:trPr>
        <w:tc>
          <w:tcPr>
            <w:tcW w:w="0" w:type="auto"/>
            <w:tcBorders>
              <w:top w:val="nil"/>
              <w:bottom w:val="nil"/>
              <w:right w:val="nil"/>
            </w:tcBorders>
            <w:noWrap/>
            <w:vAlign w:val="center"/>
            <w:hideMark/>
          </w:tcPr>
          <w:p w14:paraId="2B5D5123" w14:textId="77777777" w:rsidR="00C167F7" w:rsidRPr="00F372FF" w:rsidRDefault="00C167F7" w:rsidP="00154EE6">
            <w:pPr>
              <w:pStyle w:val="NoSpacing"/>
              <w:rPr>
                <w:lang w:val="en-GB"/>
              </w:rPr>
            </w:pPr>
            <w:r w:rsidRPr="00F372FF">
              <w:rPr>
                <w:lang w:val="en-GB"/>
              </w:rPr>
              <w:t>QIDS_Q10</w:t>
            </w:r>
          </w:p>
        </w:tc>
        <w:tc>
          <w:tcPr>
            <w:tcW w:w="0" w:type="auto"/>
            <w:tcBorders>
              <w:top w:val="nil"/>
              <w:left w:val="nil"/>
              <w:bottom w:val="nil"/>
            </w:tcBorders>
            <w:vAlign w:val="center"/>
            <w:hideMark/>
          </w:tcPr>
          <w:p w14:paraId="35FE681C" w14:textId="77777777" w:rsidR="00C167F7" w:rsidRPr="00F372FF" w:rsidRDefault="00C167F7" w:rsidP="00154EE6">
            <w:pPr>
              <w:pStyle w:val="NoSpacing"/>
              <w:rPr>
                <w:color w:val="010205"/>
                <w:lang w:val="en-GB"/>
              </w:rPr>
            </w:pPr>
            <w:r w:rsidRPr="00F372FF">
              <w:rPr>
                <w:color w:val="010205"/>
                <w:lang w:val="en-GB"/>
              </w:rPr>
              <w:t>QIDS Q10: Concentration</w:t>
            </w:r>
          </w:p>
        </w:tc>
      </w:tr>
      <w:tr w:rsidR="00C167F7" w:rsidRPr="00F372FF" w14:paraId="38B0D99D" w14:textId="77777777" w:rsidTr="00154EE6">
        <w:trPr>
          <w:cantSplit/>
          <w:trHeight w:val="278"/>
        </w:trPr>
        <w:tc>
          <w:tcPr>
            <w:tcW w:w="0" w:type="auto"/>
            <w:tcBorders>
              <w:top w:val="nil"/>
              <w:bottom w:val="nil"/>
              <w:right w:val="nil"/>
            </w:tcBorders>
            <w:noWrap/>
            <w:vAlign w:val="center"/>
            <w:hideMark/>
          </w:tcPr>
          <w:p w14:paraId="441EB056" w14:textId="77777777" w:rsidR="00C167F7" w:rsidRPr="00F372FF" w:rsidRDefault="00C167F7" w:rsidP="00154EE6">
            <w:pPr>
              <w:pStyle w:val="NoSpacing"/>
              <w:rPr>
                <w:lang w:val="en-GB"/>
              </w:rPr>
            </w:pPr>
            <w:r w:rsidRPr="00F372FF">
              <w:rPr>
                <w:lang w:val="en-GB"/>
              </w:rPr>
              <w:t>QIDS_Q11</w:t>
            </w:r>
          </w:p>
        </w:tc>
        <w:tc>
          <w:tcPr>
            <w:tcW w:w="0" w:type="auto"/>
            <w:tcBorders>
              <w:top w:val="nil"/>
              <w:left w:val="nil"/>
              <w:bottom w:val="nil"/>
            </w:tcBorders>
            <w:vAlign w:val="center"/>
            <w:hideMark/>
          </w:tcPr>
          <w:p w14:paraId="685FA7AF" w14:textId="77777777" w:rsidR="00C167F7" w:rsidRPr="00F372FF" w:rsidRDefault="00C167F7" w:rsidP="00154EE6">
            <w:pPr>
              <w:pStyle w:val="NoSpacing"/>
              <w:rPr>
                <w:color w:val="010205"/>
                <w:lang w:val="en-GB"/>
              </w:rPr>
            </w:pPr>
            <w:r w:rsidRPr="00F372FF">
              <w:rPr>
                <w:color w:val="010205"/>
                <w:lang w:val="en-GB"/>
              </w:rPr>
              <w:t>QIDS Q11: View of myself</w:t>
            </w:r>
          </w:p>
        </w:tc>
      </w:tr>
      <w:tr w:rsidR="00C167F7" w:rsidRPr="00F372FF" w14:paraId="1CF77D47" w14:textId="77777777" w:rsidTr="00154EE6">
        <w:trPr>
          <w:cantSplit/>
          <w:trHeight w:val="278"/>
        </w:trPr>
        <w:tc>
          <w:tcPr>
            <w:tcW w:w="0" w:type="auto"/>
            <w:tcBorders>
              <w:top w:val="nil"/>
              <w:bottom w:val="nil"/>
              <w:right w:val="nil"/>
            </w:tcBorders>
            <w:noWrap/>
            <w:vAlign w:val="center"/>
            <w:hideMark/>
          </w:tcPr>
          <w:p w14:paraId="73992B3B" w14:textId="77777777" w:rsidR="00C167F7" w:rsidRPr="00F372FF" w:rsidRDefault="00C167F7" w:rsidP="00154EE6">
            <w:pPr>
              <w:pStyle w:val="NoSpacing"/>
              <w:rPr>
                <w:lang w:val="en-GB"/>
              </w:rPr>
            </w:pPr>
            <w:r w:rsidRPr="00F372FF">
              <w:rPr>
                <w:lang w:val="en-GB"/>
              </w:rPr>
              <w:t>QIDS_Q12</w:t>
            </w:r>
          </w:p>
        </w:tc>
        <w:tc>
          <w:tcPr>
            <w:tcW w:w="0" w:type="auto"/>
            <w:tcBorders>
              <w:top w:val="nil"/>
              <w:left w:val="nil"/>
              <w:bottom w:val="nil"/>
            </w:tcBorders>
            <w:vAlign w:val="center"/>
            <w:hideMark/>
          </w:tcPr>
          <w:p w14:paraId="561C7669" w14:textId="77777777" w:rsidR="00C167F7" w:rsidRPr="00F372FF" w:rsidRDefault="00C167F7" w:rsidP="00154EE6">
            <w:pPr>
              <w:pStyle w:val="NoSpacing"/>
              <w:rPr>
                <w:color w:val="010205"/>
                <w:lang w:val="en-GB"/>
              </w:rPr>
            </w:pPr>
            <w:r w:rsidRPr="00F372FF">
              <w:rPr>
                <w:color w:val="010205"/>
                <w:lang w:val="en-GB"/>
              </w:rPr>
              <w:t>QIDS Q12: Thoughts of death or suicide</w:t>
            </w:r>
          </w:p>
        </w:tc>
      </w:tr>
      <w:tr w:rsidR="00C167F7" w:rsidRPr="00F372FF" w14:paraId="3B4A38AA" w14:textId="77777777" w:rsidTr="00154EE6">
        <w:trPr>
          <w:cantSplit/>
          <w:trHeight w:val="278"/>
        </w:trPr>
        <w:tc>
          <w:tcPr>
            <w:tcW w:w="0" w:type="auto"/>
            <w:tcBorders>
              <w:top w:val="nil"/>
              <w:bottom w:val="nil"/>
              <w:right w:val="nil"/>
            </w:tcBorders>
            <w:noWrap/>
            <w:vAlign w:val="center"/>
            <w:hideMark/>
          </w:tcPr>
          <w:p w14:paraId="5D8DCC2E" w14:textId="77777777" w:rsidR="00C167F7" w:rsidRPr="00F372FF" w:rsidRDefault="00C167F7" w:rsidP="00154EE6">
            <w:pPr>
              <w:pStyle w:val="NoSpacing"/>
              <w:rPr>
                <w:lang w:val="en-GB"/>
              </w:rPr>
            </w:pPr>
            <w:r w:rsidRPr="00F372FF">
              <w:rPr>
                <w:lang w:val="en-GB"/>
              </w:rPr>
              <w:t>QIDS_Q13</w:t>
            </w:r>
          </w:p>
        </w:tc>
        <w:tc>
          <w:tcPr>
            <w:tcW w:w="0" w:type="auto"/>
            <w:tcBorders>
              <w:top w:val="nil"/>
              <w:left w:val="nil"/>
              <w:bottom w:val="nil"/>
            </w:tcBorders>
            <w:vAlign w:val="center"/>
            <w:hideMark/>
          </w:tcPr>
          <w:p w14:paraId="23DEF42D" w14:textId="77777777" w:rsidR="00C167F7" w:rsidRPr="00F372FF" w:rsidRDefault="00C167F7" w:rsidP="00154EE6">
            <w:pPr>
              <w:pStyle w:val="NoSpacing"/>
              <w:rPr>
                <w:color w:val="010205"/>
                <w:lang w:val="en-GB"/>
              </w:rPr>
            </w:pPr>
            <w:r w:rsidRPr="00F372FF">
              <w:rPr>
                <w:color w:val="010205"/>
                <w:lang w:val="en-GB"/>
              </w:rPr>
              <w:t>QIDS Q13: General interest</w:t>
            </w:r>
          </w:p>
        </w:tc>
      </w:tr>
      <w:tr w:rsidR="00C167F7" w:rsidRPr="00F372FF" w14:paraId="3E332F02" w14:textId="77777777" w:rsidTr="00154EE6">
        <w:trPr>
          <w:cantSplit/>
          <w:trHeight w:val="278"/>
        </w:trPr>
        <w:tc>
          <w:tcPr>
            <w:tcW w:w="0" w:type="auto"/>
            <w:tcBorders>
              <w:top w:val="nil"/>
              <w:bottom w:val="nil"/>
              <w:right w:val="nil"/>
            </w:tcBorders>
            <w:noWrap/>
            <w:vAlign w:val="center"/>
            <w:hideMark/>
          </w:tcPr>
          <w:p w14:paraId="296CB530" w14:textId="77777777" w:rsidR="00C167F7" w:rsidRPr="00F372FF" w:rsidRDefault="00C167F7" w:rsidP="00154EE6">
            <w:pPr>
              <w:pStyle w:val="NoSpacing"/>
              <w:rPr>
                <w:lang w:val="en-GB"/>
              </w:rPr>
            </w:pPr>
            <w:r w:rsidRPr="00F372FF">
              <w:rPr>
                <w:lang w:val="en-GB"/>
              </w:rPr>
              <w:t>QIDS_Q14</w:t>
            </w:r>
          </w:p>
        </w:tc>
        <w:tc>
          <w:tcPr>
            <w:tcW w:w="0" w:type="auto"/>
            <w:tcBorders>
              <w:top w:val="nil"/>
              <w:left w:val="nil"/>
              <w:bottom w:val="nil"/>
            </w:tcBorders>
            <w:vAlign w:val="center"/>
            <w:hideMark/>
          </w:tcPr>
          <w:p w14:paraId="4A6FCDB3" w14:textId="77777777" w:rsidR="00C167F7" w:rsidRPr="00F372FF" w:rsidRDefault="00C167F7" w:rsidP="00154EE6">
            <w:pPr>
              <w:pStyle w:val="NoSpacing"/>
              <w:rPr>
                <w:color w:val="010205"/>
                <w:lang w:val="en-GB"/>
              </w:rPr>
            </w:pPr>
            <w:r w:rsidRPr="00F372FF">
              <w:rPr>
                <w:color w:val="010205"/>
                <w:lang w:val="en-GB"/>
              </w:rPr>
              <w:t>QIDS Q14: Energy level</w:t>
            </w:r>
          </w:p>
        </w:tc>
      </w:tr>
      <w:tr w:rsidR="00C167F7" w:rsidRPr="00F372FF" w14:paraId="331AA1AD" w14:textId="77777777" w:rsidTr="00154EE6">
        <w:trPr>
          <w:cantSplit/>
          <w:trHeight w:val="278"/>
        </w:trPr>
        <w:tc>
          <w:tcPr>
            <w:tcW w:w="0" w:type="auto"/>
            <w:tcBorders>
              <w:top w:val="nil"/>
              <w:bottom w:val="nil"/>
              <w:right w:val="nil"/>
            </w:tcBorders>
            <w:noWrap/>
            <w:vAlign w:val="center"/>
            <w:hideMark/>
          </w:tcPr>
          <w:p w14:paraId="4C9F378B" w14:textId="77777777" w:rsidR="00C167F7" w:rsidRPr="00F372FF" w:rsidRDefault="00C167F7" w:rsidP="00154EE6">
            <w:pPr>
              <w:pStyle w:val="NoSpacing"/>
              <w:rPr>
                <w:lang w:val="en-GB"/>
              </w:rPr>
            </w:pPr>
            <w:r w:rsidRPr="00F372FF">
              <w:rPr>
                <w:lang w:val="en-GB"/>
              </w:rPr>
              <w:t>QIDS_Q15</w:t>
            </w:r>
          </w:p>
        </w:tc>
        <w:tc>
          <w:tcPr>
            <w:tcW w:w="0" w:type="auto"/>
            <w:tcBorders>
              <w:top w:val="nil"/>
              <w:left w:val="nil"/>
              <w:bottom w:val="nil"/>
            </w:tcBorders>
            <w:vAlign w:val="center"/>
            <w:hideMark/>
          </w:tcPr>
          <w:p w14:paraId="1322A4D8" w14:textId="77777777" w:rsidR="00C167F7" w:rsidRPr="00F372FF" w:rsidRDefault="00C167F7" w:rsidP="00154EE6">
            <w:pPr>
              <w:pStyle w:val="NoSpacing"/>
              <w:rPr>
                <w:color w:val="010205"/>
                <w:lang w:val="en-GB"/>
              </w:rPr>
            </w:pPr>
            <w:r w:rsidRPr="00F372FF">
              <w:rPr>
                <w:color w:val="010205"/>
                <w:lang w:val="en-GB"/>
              </w:rPr>
              <w:t>QIDS Q15: Feeling slow</w:t>
            </w:r>
          </w:p>
        </w:tc>
      </w:tr>
      <w:tr w:rsidR="00C167F7" w:rsidRPr="00F372FF" w14:paraId="09CFADC6" w14:textId="77777777" w:rsidTr="00154EE6">
        <w:trPr>
          <w:cantSplit/>
          <w:trHeight w:val="278"/>
        </w:trPr>
        <w:tc>
          <w:tcPr>
            <w:tcW w:w="0" w:type="auto"/>
            <w:tcBorders>
              <w:top w:val="nil"/>
              <w:right w:val="nil"/>
            </w:tcBorders>
            <w:noWrap/>
            <w:vAlign w:val="center"/>
            <w:hideMark/>
          </w:tcPr>
          <w:p w14:paraId="1FB92DF6" w14:textId="77777777" w:rsidR="00C167F7" w:rsidRPr="00F372FF" w:rsidRDefault="00C167F7" w:rsidP="00154EE6">
            <w:pPr>
              <w:pStyle w:val="NoSpacing"/>
              <w:rPr>
                <w:lang w:val="en-GB"/>
              </w:rPr>
            </w:pPr>
            <w:r w:rsidRPr="00F372FF">
              <w:rPr>
                <w:lang w:val="en-GB"/>
              </w:rPr>
              <w:t>QIDS_Q16</w:t>
            </w:r>
          </w:p>
        </w:tc>
        <w:tc>
          <w:tcPr>
            <w:tcW w:w="0" w:type="auto"/>
            <w:tcBorders>
              <w:top w:val="nil"/>
              <w:left w:val="nil"/>
            </w:tcBorders>
            <w:vAlign w:val="center"/>
            <w:hideMark/>
          </w:tcPr>
          <w:p w14:paraId="1E24EE1E" w14:textId="77777777" w:rsidR="00C167F7" w:rsidRPr="00F372FF" w:rsidRDefault="00C167F7" w:rsidP="00154EE6">
            <w:pPr>
              <w:pStyle w:val="NoSpacing"/>
              <w:rPr>
                <w:color w:val="010205"/>
                <w:lang w:val="en-GB"/>
              </w:rPr>
            </w:pPr>
            <w:r w:rsidRPr="00F372FF">
              <w:rPr>
                <w:color w:val="010205"/>
                <w:lang w:val="en-GB"/>
              </w:rPr>
              <w:t>QIDS Q16: Feeling restless</w:t>
            </w:r>
          </w:p>
        </w:tc>
      </w:tr>
      <w:tr w:rsidR="00C167F7" w:rsidRPr="00F372FF" w14:paraId="775D1425" w14:textId="77777777" w:rsidTr="00154EE6">
        <w:trPr>
          <w:cantSplit/>
          <w:trHeight w:val="278"/>
        </w:trPr>
        <w:tc>
          <w:tcPr>
            <w:tcW w:w="0" w:type="auto"/>
            <w:tcBorders>
              <w:bottom w:val="nil"/>
              <w:right w:val="nil"/>
            </w:tcBorders>
            <w:noWrap/>
            <w:vAlign w:val="center"/>
            <w:hideMark/>
          </w:tcPr>
          <w:p w14:paraId="7F4A333B" w14:textId="77777777" w:rsidR="00C167F7" w:rsidRPr="00F372FF" w:rsidRDefault="00C167F7" w:rsidP="00154EE6">
            <w:pPr>
              <w:pStyle w:val="NoSpacing"/>
              <w:rPr>
                <w:i/>
                <w:iCs/>
                <w:lang w:val="en-GB"/>
              </w:rPr>
            </w:pPr>
            <w:r w:rsidRPr="00F372FF">
              <w:rPr>
                <w:i/>
                <w:iCs/>
                <w:lang w:val="en-GB"/>
              </w:rPr>
              <w:t>Generalized Anxiety Disorder 7-item scale</w:t>
            </w:r>
          </w:p>
        </w:tc>
        <w:tc>
          <w:tcPr>
            <w:tcW w:w="0" w:type="auto"/>
            <w:tcBorders>
              <w:left w:val="nil"/>
              <w:bottom w:val="nil"/>
            </w:tcBorders>
            <w:vAlign w:val="center"/>
            <w:hideMark/>
          </w:tcPr>
          <w:p w14:paraId="5C9C6860" w14:textId="77777777" w:rsidR="00C167F7" w:rsidRPr="00F372FF" w:rsidRDefault="00C167F7" w:rsidP="00154EE6">
            <w:pPr>
              <w:pStyle w:val="NoSpacing"/>
              <w:rPr>
                <w:color w:val="010205"/>
                <w:lang w:val="en-GB"/>
              </w:rPr>
            </w:pPr>
            <w:r w:rsidRPr="00F372FF">
              <w:rPr>
                <w:color w:val="010205"/>
                <w:lang w:val="en-GB"/>
              </w:rPr>
              <w:t> </w:t>
            </w:r>
          </w:p>
        </w:tc>
      </w:tr>
      <w:tr w:rsidR="00C167F7" w:rsidRPr="00F372FF" w14:paraId="74EAD4F1" w14:textId="77777777" w:rsidTr="00154EE6">
        <w:trPr>
          <w:cantSplit/>
          <w:trHeight w:val="278"/>
        </w:trPr>
        <w:tc>
          <w:tcPr>
            <w:tcW w:w="0" w:type="auto"/>
            <w:tcBorders>
              <w:top w:val="nil"/>
              <w:bottom w:val="nil"/>
              <w:right w:val="nil"/>
            </w:tcBorders>
            <w:noWrap/>
            <w:vAlign w:val="center"/>
          </w:tcPr>
          <w:p w14:paraId="48DAD783" w14:textId="77777777" w:rsidR="00C167F7" w:rsidRPr="00F372FF" w:rsidRDefault="00C167F7" w:rsidP="00154EE6">
            <w:pPr>
              <w:pStyle w:val="NoSpacing"/>
              <w:rPr>
                <w:lang w:val="en-GB"/>
              </w:rPr>
            </w:pPr>
            <w:r w:rsidRPr="00F372FF">
              <w:rPr>
                <w:rFonts w:ascii="Times" w:hAnsi="Times" w:cs="Times"/>
                <w:szCs w:val="16"/>
                <w:lang w:val="en-GB"/>
              </w:rPr>
              <w:t>GAD7_total</w:t>
            </w:r>
          </w:p>
        </w:tc>
        <w:tc>
          <w:tcPr>
            <w:tcW w:w="0" w:type="auto"/>
            <w:tcBorders>
              <w:top w:val="nil"/>
              <w:left w:val="nil"/>
              <w:bottom w:val="nil"/>
            </w:tcBorders>
            <w:noWrap/>
            <w:vAlign w:val="center"/>
          </w:tcPr>
          <w:p w14:paraId="0E8A910A" w14:textId="77777777" w:rsidR="00C167F7" w:rsidRPr="00F372FF" w:rsidRDefault="00C167F7" w:rsidP="00154EE6">
            <w:pPr>
              <w:pStyle w:val="NoSpacing"/>
              <w:rPr>
                <w:lang w:val="en-GB"/>
              </w:rPr>
            </w:pPr>
            <w:r w:rsidRPr="00F372FF">
              <w:rPr>
                <w:rFonts w:ascii="Times" w:hAnsi="Times" w:cs="Times"/>
                <w:color w:val="010205"/>
                <w:szCs w:val="16"/>
                <w:lang w:val="en-GB"/>
              </w:rPr>
              <w:t>GAD7 total</w:t>
            </w:r>
          </w:p>
        </w:tc>
      </w:tr>
      <w:tr w:rsidR="00C167F7" w:rsidRPr="00F372FF" w14:paraId="3985ADE2" w14:textId="77777777" w:rsidTr="00154EE6">
        <w:trPr>
          <w:cantSplit/>
          <w:trHeight w:val="278"/>
        </w:trPr>
        <w:tc>
          <w:tcPr>
            <w:tcW w:w="0" w:type="auto"/>
            <w:tcBorders>
              <w:top w:val="nil"/>
              <w:bottom w:val="nil"/>
              <w:right w:val="nil"/>
            </w:tcBorders>
            <w:noWrap/>
            <w:vAlign w:val="center"/>
            <w:hideMark/>
          </w:tcPr>
          <w:p w14:paraId="6FF8171C" w14:textId="77777777" w:rsidR="00C167F7" w:rsidRPr="00F372FF" w:rsidRDefault="00C167F7" w:rsidP="00154EE6">
            <w:pPr>
              <w:pStyle w:val="NoSpacing"/>
              <w:rPr>
                <w:lang w:val="en-GB"/>
              </w:rPr>
            </w:pPr>
            <w:r w:rsidRPr="00F372FF">
              <w:rPr>
                <w:lang w:val="en-GB"/>
              </w:rPr>
              <w:t>GAD7_Q1</w:t>
            </w:r>
          </w:p>
        </w:tc>
        <w:tc>
          <w:tcPr>
            <w:tcW w:w="0" w:type="auto"/>
            <w:tcBorders>
              <w:top w:val="nil"/>
              <w:left w:val="nil"/>
              <w:bottom w:val="nil"/>
            </w:tcBorders>
            <w:noWrap/>
            <w:vAlign w:val="center"/>
            <w:hideMark/>
          </w:tcPr>
          <w:p w14:paraId="1B9B8D3A" w14:textId="77777777" w:rsidR="00C167F7" w:rsidRPr="00F372FF" w:rsidRDefault="00C167F7" w:rsidP="00154EE6">
            <w:pPr>
              <w:pStyle w:val="NoSpacing"/>
              <w:rPr>
                <w:lang w:val="en-GB"/>
              </w:rPr>
            </w:pPr>
            <w:r w:rsidRPr="00F372FF">
              <w:rPr>
                <w:lang w:val="en-GB"/>
              </w:rPr>
              <w:t>GAD7 Q1: Feeling nervous, anxious, or on edge</w:t>
            </w:r>
          </w:p>
        </w:tc>
      </w:tr>
      <w:tr w:rsidR="00C167F7" w:rsidRPr="00F372FF" w14:paraId="123EFB8A" w14:textId="77777777" w:rsidTr="00154EE6">
        <w:trPr>
          <w:cantSplit/>
          <w:trHeight w:val="278"/>
        </w:trPr>
        <w:tc>
          <w:tcPr>
            <w:tcW w:w="0" w:type="auto"/>
            <w:tcBorders>
              <w:top w:val="nil"/>
              <w:bottom w:val="nil"/>
              <w:right w:val="nil"/>
            </w:tcBorders>
            <w:noWrap/>
            <w:vAlign w:val="center"/>
            <w:hideMark/>
          </w:tcPr>
          <w:p w14:paraId="586C7956" w14:textId="77777777" w:rsidR="00C167F7" w:rsidRPr="00F372FF" w:rsidRDefault="00C167F7" w:rsidP="00154EE6">
            <w:pPr>
              <w:pStyle w:val="NoSpacing"/>
              <w:rPr>
                <w:lang w:val="en-GB"/>
              </w:rPr>
            </w:pPr>
            <w:r w:rsidRPr="00F372FF">
              <w:rPr>
                <w:lang w:val="en-GB"/>
              </w:rPr>
              <w:t>GAD7_Q2</w:t>
            </w:r>
          </w:p>
        </w:tc>
        <w:tc>
          <w:tcPr>
            <w:tcW w:w="0" w:type="auto"/>
            <w:tcBorders>
              <w:top w:val="nil"/>
              <w:left w:val="nil"/>
              <w:bottom w:val="nil"/>
            </w:tcBorders>
            <w:noWrap/>
            <w:vAlign w:val="center"/>
            <w:hideMark/>
          </w:tcPr>
          <w:p w14:paraId="5477C7F6" w14:textId="77777777" w:rsidR="00C167F7" w:rsidRPr="00F372FF" w:rsidRDefault="00C167F7" w:rsidP="00154EE6">
            <w:pPr>
              <w:pStyle w:val="NoSpacing"/>
              <w:rPr>
                <w:lang w:val="en-GB"/>
              </w:rPr>
            </w:pPr>
            <w:r w:rsidRPr="00F372FF">
              <w:rPr>
                <w:lang w:val="en-GB"/>
              </w:rPr>
              <w:t>GAD7 Q2: Not being able to stop or control worrying</w:t>
            </w:r>
          </w:p>
        </w:tc>
      </w:tr>
      <w:tr w:rsidR="00C167F7" w:rsidRPr="00F372FF" w14:paraId="1348CC98" w14:textId="77777777" w:rsidTr="00154EE6">
        <w:trPr>
          <w:cantSplit/>
          <w:trHeight w:val="278"/>
        </w:trPr>
        <w:tc>
          <w:tcPr>
            <w:tcW w:w="0" w:type="auto"/>
            <w:tcBorders>
              <w:top w:val="nil"/>
              <w:bottom w:val="nil"/>
              <w:right w:val="nil"/>
            </w:tcBorders>
            <w:noWrap/>
            <w:vAlign w:val="center"/>
            <w:hideMark/>
          </w:tcPr>
          <w:p w14:paraId="1544A870" w14:textId="77777777" w:rsidR="00C167F7" w:rsidRPr="00F372FF" w:rsidRDefault="00C167F7" w:rsidP="00154EE6">
            <w:pPr>
              <w:pStyle w:val="NoSpacing"/>
              <w:rPr>
                <w:lang w:val="en-GB"/>
              </w:rPr>
            </w:pPr>
            <w:r w:rsidRPr="00F372FF">
              <w:rPr>
                <w:lang w:val="en-GB"/>
              </w:rPr>
              <w:lastRenderedPageBreak/>
              <w:t>GAD7_Q3</w:t>
            </w:r>
          </w:p>
        </w:tc>
        <w:tc>
          <w:tcPr>
            <w:tcW w:w="0" w:type="auto"/>
            <w:tcBorders>
              <w:top w:val="nil"/>
              <w:left w:val="nil"/>
              <w:bottom w:val="nil"/>
            </w:tcBorders>
            <w:noWrap/>
            <w:vAlign w:val="center"/>
            <w:hideMark/>
          </w:tcPr>
          <w:p w14:paraId="05FE9939" w14:textId="77777777" w:rsidR="00C167F7" w:rsidRPr="00F372FF" w:rsidRDefault="00C167F7" w:rsidP="00154EE6">
            <w:pPr>
              <w:pStyle w:val="NoSpacing"/>
              <w:rPr>
                <w:lang w:val="en-GB"/>
              </w:rPr>
            </w:pPr>
            <w:r w:rsidRPr="00F372FF">
              <w:rPr>
                <w:lang w:val="en-GB"/>
              </w:rPr>
              <w:t>GAD7 Q3: Worrying too much about different things</w:t>
            </w:r>
          </w:p>
        </w:tc>
      </w:tr>
      <w:tr w:rsidR="00C167F7" w:rsidRPr="00F372FF" w14:paraId="3D1781C0" w14:textId="77777777" w:rsidTr="00154EE6">
        <w:trPr>
          <w:cantSplit/>
          <w:trHeight w:val="278"/>
        </w:trPr>
        <w:tc>
          <w:tcPr>
            <w:tcW w:w="0" w:type="auto"/>
            <w:tcBorders>
              <w:top w:val="nil"/>
              <w:bottom w:val="nil"/>
              <w:right w:val="nil"/>
            </w:tcBorders>
            <w:noWrap/>
            <w:vAlign w:val="center"/>
            <w:hideMark/>
          </w:tcPr>
          <w:p w14:paraId="6ADD8F20" w14:textId="77777777" w:rsidR="00C167F7" w:rsidRPr="00F372FF" w:rsidRDefault="00C167F7" w:rsidP="00154EE6">
            <w:pPr>
              <w:pStyle w:val="NoSpacing"/>
              <w:rPr>
                <w:lang w:val="en-GB"/>
              </w:rPr>
            </w:pPr>
            <w:r w:rsidRPr="00F372FF">
              <w:rPr>
                <w:lang w:val="en-GB"/>
              </w:rPr>
              <w:t>GAD7_Q4</w:t>
            </w:r>
          </w:p>
        </w:tc>
        <w:tc>
          <w:tcPr>
            <w:tcW w:w="0" w:type="auto"/>
            <w:tcBorders>
              <w:top w:val="nil"/>
              <w:left w:val="nil"/>
              <w:bottom w:val="nil"/>
            </w:tcBorders>
            <w:noWrap/>
            <w:vAlign w:val="center"/>
            <w:hideMark/>
          </w:tcPr>
          <w:p w14:paraId="50C8A966" w14:textId="77777777" w:rsidR="00C167F7" w:rsidRPr="00F372FF" w:rsidRDefault="00C167F7" w:rsidP="00154EE6">
            <w:pPr>
              <w:pStyle w:val="NoSpacing"/>
              <w:rPr>
                <w:lang w:val="en-GB"/>
              </w:rPr>
            </w:pPr>
            <w:r w:rsidRPr="00F372FF">
              <w:rPr>
                <w:lang w:val="en-GB"/>
              </w:rPr>
              <w:t>GAD7 Q4: Trouble relaxing</w:t>
            </w:r>
          </w:p>
        </w:tc>
      </w:tr>
      <w:tr w:rsidR="00C167F7" w:rsidRPr="00F372FF" w14:paraId="191B1A73" w14:textId="77777777" w:rsidTr="00154EE6">
        <w:trPr>
          <w:cantSplit/>
          <w:trHeight w:val="278"/>
        </w:trPr>
        <w:tc>
          <w:tcPr>
            <w:tcW w:w="0" w:type="auto"/>
            <w:tcBorders>
              <w:top w:val="nil"/>
              <w:bottom w:val="nil"/>
              <w:right w:val="nil"/>
            </w:tcBorders>
            <w:noWrap/>
            <w:vAlign w:val="center"/>
            <w:hideMark/>
          </w:tcPr>
          <w:p w14:paraId="49D97878" w14:textId="77777777" w:rsidR="00C167F7" w:rsidRPr="00F372FF" w:rsidRDefault="00C167F7" w:rsidP="00154EE6">
            <w:pPr>
              <w:pStyle w:val="NoSpacing"/>
              <w:rPr>
                <w:lang w:val="en-GB"/>
              </w:rPr>
            </w:pPr>
            <w:r w:rsidRPr="00F372FF">
              <w:rPr>
                <w:lang w:val="en-GB"/>
              </w:rPr>
              <w:t>GAD7_Q5</w:t>
            </w:r>
          </w:p>
        </w:tc>
        <w:tc>
          <w:tcPr>
            <w:tcW w:w="0" w:type="auto"/>
            <w:tcBorders>
              <w:top w:val="nil"/>
              <w:left w:val="nil"/>
              <w:bottom w:val="nil"/>
            </w:tcBorders>
            <w:noWrap/>
            <w:vAlign w:val="center"/>
            <w:hideMark/>
          </w:tcPr>
          <w:p w14:paraId="36EF65A4" w14:textId="77777777" w:rsidR="00C167F7" w:rsidRPr="00F372FF" w:rsidRDefault="00C167F7" w:rsidP="00154EE6">
            <w:pPr>
              <w:pStyle w:val="NoSpacing"/>
              <w:rPr>
                <w:lang w:val="en-GB"/>
              </w:rPr>
            </w:pPr>
            <w:r w:rsidRPr="00F372FF">
              <w:rPr>
                <w:lang w:val="en-GB"/>
              </w:rPr>
              <w:t>GAD7 Q5: Being so restless that it's hard to sit still</w:t>
            </w:r>
          </w:p>
        </w:tc>
      </w:tr>
      <w:tr w:rsidR="00C167F7" w:rsidRPr="00F372FF" w14:paraId="6ADCD0F1" w14:textId="77777777" w:rsidTr="00154EE6">
        <w:trPr>
          <w:cantSplit/>
          <w:trHeight w:val="278"/>
        </w:trPr>
        <w:tc>
          <w:tcPr>
            <w:tcW w:w="0" w:type="auto"/>
            <w:tcBorders>
              <w:top w:val="nil"/>
              <w:bottom w:val="nil"/>
              <w:right w:val="nil"/>
            </w:tcBorders>
            <w:noWrap/>
            <w:vAlign w:val="center"/>
            <w:hideMark/>
          </w:tcPr>
          <w:p w14:paraId="3FD26766" w14:textId="77777777" w:rsidR="00C167F7" w:rsidRPr="00F372FF" w:rsidRDefault="00C167F7" w:rsidP="00154EE6">
            <w:pPr>
              <w:pStyle w:val="NoSpacing"/>
              <w:rPr>
                <w:lang w:val="en-GB"/>
              </w:rPr>
            </w:pPr>
            <w:r w:rsidRPr="00F372FF">
              <w:rPr>
                <w:lang w:val="en-GB"/>
              </w:rPr>
              <w:t>GAD7_Q6</w:t>
            </w:r>
          </w:p>
        </w:tc>
        <w:tc>
          <w:tcPr>
            <w:tcW w:w="0" w:type="auto"/>
            <w:tcBorders>
              <w:top w:val="nil"/>
              <w:left w:val="nil"/>
              <w:bottom w:val="nil"/>
            </w:tcBorders>
            <w:noWrap/>
            <w:vAlign w:val="center"/>
            <w:hideMark/>
          </w:tcPr>
          <w:p w14:paraId="05D581AF" w14:textId="77777777" w:rsidR="00C167F7" w:rsidRPr="00F372FF" w:rsidRDefault="00C167F7" w:rsidP="00154EE6">
            <w:pPr>
              <w:pStyle w:val="NoSpacing"/>
              <w:rPr>
                <w:lang w:val="en-GB"/>
              </w:rPr>
            </w:pPr>
            <w:r w:rsidRPr="00F372FF">
              <w:rPr>
                <w:lang w:val="en-GB"/>
              </w:rPr>
              <w:t>GAD7 Q6: Becoming easily annoyed or irritable</w:t>
            </w:r>
          </w:p>
        </w:tc>
      </w:tr>
      <w:tr w:rsidR="00C167F7" w:rsidRPr="00F372FF" w14:paraId="3E80E840" w14:textId="77777777" w:rsidTr="00154EE6">
        <w:trPr>
          <w:cantSplit/>
          <w:trHeight w:val="278"/>
        </w:trPr>
        <w:tc>
          <w:tcPr>
            <w:tcW w:w="0" w:type="auto"/>
            <w:tcBorders>
              <w:top w:val="nil"/>
              <w:bottom w:val="nil"/>
              <w:right w:val="nil"/>
            </w:tcBorders>
            <w:noWrap/>
            <w:vAlign w:val="center"/>
            <w:hideMark/>
          </w:tcPr>
          <w:p w14:paraId="34489A7F" w14:textId="77777777" w:rsidR="00C167F7" w:rsidRPr="00F372FF" w:rsidRDefault="00C167F7" w:rsidP="00154EE6">
            <w:pPr>
              <w:pStyle w:val="NoSpacing"/>
              <w:rPr>
                <w:lang w:val="en-GB"/>
              </w:rPr>
            </w:pPr>
            <w:r w:rsidRPr="00F372FF">
              <w:rPr>
                <w:lang w:val="en-GB"/>
              </w:rPr>
              <w:t>GAD7_Q7</w:t>
            </w:r>
          </w:p>
        </w:tc>
        <w:tc>
          <w:tcPr>
            <w:tcW w:w="0" w:type="auto"/>
            <w:tcBorders>
              <w:top w:val="nil"/>
              <w:left w:val="nil"/>
              <w:bottom w:val="nil"/>
            </w:tcBorders>
            <w:noWrap/>
            <w:vAlign w:val="center"/>
            <w:hideMark/>
          </w:tcPr>
          <w:p w14:paraId="605BD82C" w14:textId="77777777" w:rsidR="00C167F7" w:rsidRPr="00F372FF" w:rsidRDefault="00C167F7" w:rsidP="00154EE6">
            <w:pPr>
              <w:pStyle w:val="NoSpacing"/>
              <w:rPr>
                <w:lang w:val="en-GB"/>
              </w:rPr>
            </w:pPr>
            <w:r w:rsidRPr="00F372FF">
              <w:rPr>
                <w:lang w:val="en-GB"/>
              </w:rPr>
              <w:t>GAD7 Q7: Feeling afraid as if something awful might happen</w:t>
            </w:r>
          </w:p>
        </w:tc>
      </w:tr>
      <w:tr w:rsidR="00C167F7" w:rsidRPr="00F372FF" w14:paraId="1D051077" w14:textId="77777777" w:rsidTr="00154EE6">
        <w:trPr>
          <w:cantSplit/>
          <w:trHeight w:val="278"/>
        </w:trPr>
        <w:tc>
          <w:tcPr>
            <w:tcW w:w="0" w:type="auto"/>
            <w:tcBorders>
              <w:top w:val="nil"/>
              <w:right w:val="nil"/>
            </w:tcBorders>
            <w:noWrap/>
            <w:vAlign w:val="center"/>
            <w:hideMark/>
          </w:tcPr>
          <w:p w14:paraId="725AB80A" w14:textId="77777777" w:rsidR="00C167F7" w:rsidRPr="00F372FF" w:rsidRDefault="00C167F7" w:rsidP="00154EE6">
            <w:pPr>
              <w:pStyle w:val="NoSpacing"/>
              <w:rPr>
                <w:lang w:val="en-GB"/>
              </w:rPr>
            </w:pPr>
            <w:r w:rsidRPr="00F372FF">
              <w:rPr>
                <w:lang w:val="en-GB"/>
              </w:rPr>
              <w:t>GAD7_difficulty_total</w:t>
            </w:r>
          </w:p>
        </w:tc>
        <w:tc>
          <w:tcPr>
            <w:tcW w:w="0" w:type="auto"/>
            <w:tcBorders>
              <w:top w:val="nil"/>
              <w:left w:val="nil"/>
            </w:tcBorders>
            <w:vAlign w:val="center"/>
            <w:hideMark/>
          </w:tcPr>
          <w:p w14:paraId="1D533AD7" w14:textId="77777777" w:rsidR="00C167F7" w:rsidRPr="00F372FF" w:rsidRDefault="00C167F7" w:rsidP="00154EE6">
            <w:pPr>
              <w:pStyle w:val="NoSpacing"/>
              <w:rPr>
                <w:lang w:val="en-GB"/>
              </w:rPr>
            </w:pPr>
            <w:r w:rsidRPr="00F372FF">
              <w:rPr>
                <w:lang w:val="en-GB"/>
              </w:rPr>
              <w:t>GAD7: How difficult have these made it for you to do your work, take care of things at home, or get along with other people?</w:t>
            </w:r>
          </w:p>
        </w:tc>
      </w:tr>
      <w:tr w:rsidR="00C167F7" w:rsidRPr="00F372FF" w14:paraId="7671E44E" w14:textId="77777777" w:rsidTr="00154EE6">
        <w:trPr>
          <w:cantSplit/>
          <w:trHeight w:val="278"/>
        </w:trPr>
        <w:tc>
          <w:tcPr>
            <w:tcW w:w="0" w:type="auto"/>
            <w:gridSpan w:val="2"/>
            <w:tcBorders>
              <w:bottom w:val="nil"/>
            </w:tcBorders>
            <w:noWrap/>
            <w:vAlign w:val="center"/>
          </w:tcPr>
          <w:p w14:paraId="66556E35" w14:textId="77777777" w:rsidR="00C167F7" w:rsidRPr="00F372FF" w:rsidRDefault="00C167F7" w:rsidP="00154EE6">
            <w:pPr>
              <w:pStyle w:val="NoSpacing"/>
              <w:rPr>
                <w:i/>
                <w:iCs/>
                <w:lang w:val="en-GB"/>
              </w:rPr>
            </w:pPr>
            <w:r w:rsidRPr="00F372FF">
              <w:rPr>
                <w:i/>
                <w:iCs/>
                <w:lang w:val="en-GB"/>
              </w:rPr>
              <w:t>Suicidal Ideation Questionnaire (SIQ)</w:t>
            </w:r>
          </w:p>
        </w:tc>
      </w:tr>
      <w:tr w:rsidR="00C167F7" w:rsidRPr="00F372FF" w14:paraId="5A24005E" w14:textId="77777777" w:rsidTr="00154EE6">
        <w:trPr>
          <w:cantSplit/>
          <w:trHeight w:val="278"/>
        </w:trPr>
        <w:tc>
          <w:tcPr>
            <w:tcW w:w="0" w:type="auto"/>
            <w:tcBorders>
              <w:top w:val="nil"/>
              <w:bottom w:val="nil"/>
              <w:right w:val="nil"/>
            </w:tcBorders>
            <w:noWrap/>
            <w:vAlign w:val="center"/>
          </w:tcPr>
          <w:p w14:paraId="0A508A9C" w14:textId="77777777" w:rsidR="00C167F7" w:rsidRPr="00F372FF" w:rsidRDefault="00C167F7" w:rsidP="00154EE6">
            <w:pPr>
              <w:pStyle w:val="NoSpacing"/>
              <w:rPr>
                <w:lang w:val="en-GB"/>
              </w:rPr>
            </w:pPr>
            <w:proofErr w:type="spellStart"/>
            <w:r w:rsidRPr="00F372FF">
              <w:rPr>
                <w:lang w:val="en-GB"/>
              </w:rPr>
              <w:t>SIQ_total</w:t>
            </w:r>
            <w:proofErr w:type="spellEnd"/>
          </w:p>
        </w:tc>
        <w:tc>
          <w:tcPr>
            <w:tcW w:w="0" w:type="auto"/>
            <w:tcBorders>
              <w:top w:val="nil"/>
              <w:left w:val="nil"/>
              <w:bottom w:val="nil"/>
            </w:tcBorders>
            <w:vAlign w:val="center"/>
          </w:tcPr>
          <w:p w14:paraId="4EE24954" w14:textId="77777777" w:rsidR="00C167F7" w:rsidRPr="00F372FF" w:rsidRDefault="00C167F7" w:rsidP="00154EE6">
            <w:pPr>
              <w:pStyle w:val="NoSpacing"/>
              <w:rPr>
                <w:lang w:val="en-GB"/>
              </w:rPr>
            </w:pPr>
            <w:r w:rsidRPr="00F372FF">
              <w:rPr>
                <w:lang w:val="en-GB"/>
              </w:rPr>
              <w:t>SIQ total score</w:t>
            </w:r>
          </w:p>
        </w:tc>
      </w:tr>
      <w:tr w:rsidR="00C167F7" w:rsidRPr="00F372FF" w14:paraId="13632C30" w14:textId="77777777" w:rsidTr="00154EE6">
        <w:trPr>
          <w:cantSplit/>
          <w:trHeight w:val="278"/>
        </w:trPr>
        <w:tc>
          <w:tcPr>
            <w:tcW w:w="0" w:type="auto"/>
            <w:tcBorders>
              <w:top w:val="nil"/>
              <w:right w:val="nil"/>
            </w:tcBorders>
            <w:noWrap/>
            <w:vAlign w:val="center"/>
          </w:tcPr>
          <w:p w14:paraId="322F02B8" w14:textId="77777777" w:rsidR="00C167F7" w:rsidRPr="00F372FF" w:rsidRDefault="00C167F7" w:rsidP="00154EE6">
            <w:pPr>
              <w:pStyle w:val="NoSpacing"/>
              <w:rPr>
                <w:lang w:val="en-GB"/>
              </w:rPr>
            </w:pPr>
            <w:proofErr w:type="spellStart"/>
            <w:r w:rsidRPr="00F372FF">
              <w:rPr>
                <w:lang w:val="en-GB"/>
              </w:rPr>
              <w:t>SIQ_critical</w:t>
            </w:r>
            <w:proofErr w:type="spellEnd"/>
          </w:p>
        </w:tc>
        <w:tc>
          <w:tcPr>
            <w:tcW w:w="0" w:type="auto"/>
            <w:tcBorders>
              <w:top w:val="nil"/>
              <w:left w:val="nil"/>
            </w:tcBorders>
            <w:vAlign w:val="center"/>
          </w:tcPr>
          <w:p w14:paraId="50882E40" w14:textId="77777777" w:rsidR="00C167F7" w:rsidRPr="00F372FF" w:rsidRDefault="00C167F7" w:rsidP="00154EE6">
            <w:pPr>
              <w:pStyle w:val="NoSpacing"/>
              <w:rPr>
                <w:lang w:val="en-GB"/>
              </w:rPr>
            </w:pPr>
            <w:r w:rsidRPr="00F372FF">
              <w:rPr>
                <w:lang w:val="en-GB"/>
              </w:rPr>
              <w:t>SIQ critical items subscale</w:t>
            </w:r>
          </w:p>
        </w:tc>
      </w:tr>
      <w:tr w:rsidR="00C167F7" w:rsidRPr="00F372FF" w14:paraId="2A675980" w14:textId="77777777" w:rsidTr="00154EE6">
        <w:trPr>
          <w:cantSplit/>
          <w:trHeight w:val="278"/>
        </w:trPr>
        <w:tc>
          <w:tcPr>
            <w:tcW w:w="0" w:type="auto"/>
            <w:gridSpan w:val="2"/>
            <w:tcBorders>
              <w:bottom w:val="nil"/>
            </w:tcBorders>
            <w:noWrap/>
            <w:vAlign w:val="center"/>
          </w:tcPr>
          <w:p w14:paraId="5EA2E63B" w14:textId="77777777" w:rsidR="00C167F7" w:rsidRPr="00F372FF" w:rsidRDefault="00C167F7" w:rsidP="00154EE6">
            <w:pPr>
              <w:pStyle w:val="NoSpacing"/>
              <w:rPr>
                <w:color w:val="010205"/>
                <w:lang w:val="en-GB"/>
              </w:rPr>
            </w:pPr>
            <w:r w:rsidRPr="00F372FF">
              <w:rPr>
                <w:i/>
                <w:iCs/>
                <w:color w:val="010205"/>
                <w:lang w:val="en-GB"/>
              </w:rPr>
              <w:t>Multidimensional Scale of Perceived Social Support (MSPSS)</w:t>
            </w:r>
          </w:p>
        </w:tc>
      </w:tr>
      <w:tr w:rsidR="00C167F7" w:rsidRPr="00F372FF" w14:paraId="44A7CEF0" w14:textId="77777777" w:rsidTr="00154EE6">
        <w:trPr>
          <w:cantSplit/>
          <w:trHeight w:val="278"/>
        </w:trPr>
        <w:tc>
          <w:tcPr>
            <w:tcW w:w="0" w:type="auto"/>
            <w:tcBorders>
              <w:top w:val="nil"/>
              <w:bottom w:val="nil"/>
              <w:right w:val="nil"/>
            </w:tcBorders>
            <w:noWrap/>
            <w:vAlign w:val="center"/>
          </w:tcPr>
          <w:p w14:paraId="59E144D6" w14:textId="77777777" w:rsidR="00C167F7" w:rsidRPr="00F372FF" w:rsidRDefault="00C167F7" w:rsidP="00154EE6">
            <w:pPr>
              <w:pStyle w:val="NoSpacing"/>
              <w:rPr>
                <w:lang w:val="en-GB"/>
              </w:rPr>
            </w:pPr>
            <w:proofErr w:type="spellStart"/>
            <w:r w:rsidRPr="00F372FF">
              <w:rPr>
                <w:lang w:val="en-GB"/>
              </w:rPr>
              <w:t>MSPSS_total</w:t>
            </w:r>
            <w:proofErr w:type="spellEnd"/>
          </w:p>
        </w:tc>
        <w:tc>
          <w:tcPr>
            <w:tcW w:w="0" w:type="auto"/>
            <w:tcBorders>
              <w:top w:val="nil"/>
              <w:left w:val="nil"/>
              <w:bottom w:val="nil"/>
            </w:tcBorders>
            <w:vAlign w:val="center"/>
          </w:tcPr>
          <w:p w14:paraId="321AAE91" w14:textId="77777777" w:rsidR="00C167F7" w:rsidRPr="00F372FF" w:rsidRDefault="00C167F7" w:rsidP="00154EE6">
            <w:pPr>
              <w:pStyle w:val="NoSpacing"/>
              <w:rPr>
                <w:lang w:val="en-GB"/>
              </w:rPr>
            </w:pPr>
            <w:r w:rsidRPr="00F372FF">
              <w:rPr>
                <w:color w:val="010205"/>
                <w:lang w:val="en-GB"/>
              </w:rPr>
              <w:t xml:space="preserve"> MSPSS total score</w:t>
            </w:r>
          </w:p>
        </w:tc>
      </w:tr>
      <w:tr w:rsidR="00C167F7" w:rsidRPr="00F372FF" w14:paraId="210DCC25" w14:textId="77777777" w:rsidTr="00154EE6">
        <w:trPr>
          <w:cantSplit/>
          <w:trHeight w:val="278"/>
        </w:trPr>
        <w:tc>
          <w:tcPr>
            <w:tcW w:w="0" w:type="auto"/>
            <w:tcBorders>
              <w:top w:val="nil"/>
              <w:bottom w:val="nil"/>
              <w:right w:val="nil"/>
            </w:tcBorders>
            <w:noWrap/>
            <w:vAlign w:val="center"/>
          </w:tcPr>
          <w:p w14:paraId="74BA93FE" w14:textId="77777777" w:rsidR="00C167F7" w:rsidRPr="00F372FF" w:rsidRDefault="00C167F7" w:rsidP="00154EE6">
            <w:pPr>
              <w:pStyle w:val="NoSpacing"/>
              <w:rPr>
                <w:lang w:val="en-GB"/>
              </w:rPr>
            </w:pPr>
            <w:proofErr w:type="spellStart"/>
            <w:r w:rsidRPr="00F372FF">
              <w:rPr>
                <w:lang w:val="en-GB"/>
              </w:rPr>
              <w:t>MSPSS_sigother</w:t>
            </w:r>
            <w:proofErr w:type="spellEnd"/>
          </w:p>
        </w:tc>
        <w:tc>
          <w:tcPr>
            <w:tcW w:w="0" w:type="auto"/>
            <w:tcBorders>
              <w:top w:val="nil"/>
              <w:left w:val="nil"/>
              <w:bottom w:val="nil"/>
            </w:tcBorders>
            <w:vAlign w:val="center"/>
          </w:tcPr>
          <w:p w14:paraId="34CC6A11" w14:textId="77777777" w:rsidR="00C167F7" w:rsidRPr="00F372FF" w:rsidRDefault="00C167F7" w:rsidP="00154EE6">
            <w:pPr>
              <w:pStyle w:val="NoSpacing"/>
              <w:rPr>
                <w:lang w:val="en-GB"/>
              </w:rPr>
            </w:pPr>
            <w:r w:rsidRPr="00F372FF">
              <w:rPr>
                <w:color w:val="010205"/>
                <w:lang w:val="en-GB"/>
              </w:rPr>
              <w:t xml:space="preserve"> MSPSS support from significant </w:t>
            </w:r>
            <w:proofErr w:type="gramStart"/>
            <w:r w:rsidRPr="00F372FF">
              <w:rPr>
                <w:color w:val="010205"/>
                <w:lang w:val="en-GB"/>
              </w:rPr>
              <w:t>other</w:t>
            </w:r>
            <w:proofErr w:type="gramEnd"/>
            <w:r w:rsidRPr="00F372FF">
              <w:rPr>
                <w:color w:val="010205"/>
                <w:lang w:val="en-GB"/>
              </w:rPr>
              <w:t xml:space="preserve"> subscale</w:t>
            </w:r>
          </w:p>
        </w:tc>
      </w:tr>
      <w:tr w:rsidR="00C167F7" w:rsidRPr="00F372FF" w14:paraId="791D583F" w14:textId="77777777" w:rsidTr="00154EE6">
        <w:trPr>
          <w:cantSplit/>
          <w:trHeight w:val="278"/>
        </w:trPr>
        <w:tc>
          <w:tcPr>
            <w:tcW w:w="0" w:type="auto"/>
            <w:tcBorders>
              <w:top w:val="nil"/>
              <w:bottom w:val="nil"/>
              <w:right w:val="nil"/>
            </w:tcBorders>
            <w:noWrap/>
            <w:vAlign w:val="center"/>
          </w:tcPr>
          <w:p w14:paraId="295D633C" w14:textId="77777777" w:rsidR="00C167F7" w:rsidRPr="00F372FF" w:rsidRDefault="00C167F7" w:rsidP="00154EE6">
            <w:pPr>
              <w:pStyle w:val="NoSpacing"/>
              <w:rPr>
                <w:lang w:val="en-GB"/>
              </w:rPr>
            </w:pPr>
            <w:proofErr w:type="spellStart"/>
            <w:r w:rsidRPr="00F372FF">
              <w:rPr>
                <w:lang w:val="en-GB"/>
              </w:rPr>
              <w:t>MSPSS_family</w:t>
            </w:r>
            <w:proofErr w:type="spellEnd"/>
          </w:p>
        </w:tc>
        <w:tc>
          <w:tcPr>
            <w:tcW w:w="0" w:type="auto"/>
            <w:tcBorders>
              <w:top w:val="nil"/>
              <w:left w:val="nil"/>
              <w:bottom w:val="nil"/>
            </w:tcBorders>
            <w:vAlign w:val="center"/>
          </w:tcPr>
          <w:p w14:paraId="7EB4CCAF" w14:textId="77777777" w:rsidR="00C167F7" w:rsidRPr="00F372FF" w:rsidRDefault="00C167F7" w:rsidP="00154EE6">
            <w:pPr>
              <w:pStyle w:val="NoSpacing"/>
              <w:rPr>
                <w:lang w:val="en-GB"/>
              </w:rPr>
            </w:pPr>
            <w:r w:rsidRPr="00F372FF">
              <w:rPr>
                <w:color w:val="010205"/>
                <w:lang w:val="en-GB"/>
              </w:rPr>
              <w:t> MSPSS support from family subscale</w:t>
            </w:r>
          </w:p>
        </w:tc>
      </w:tr>
      <w:tr w:rsidR="00C167F7" w:rsidRPr="00F372FF" w14:paraId="12A19720" w14:textId="77777777" w:rsidTr="00154EE6">
        <w:trPr>
          <w:cantSplit/>
          <w:trHeight w:val="278"/>
        </w:trPr>
        <w:tc>
          <w:tcPr>
            <w:tcW w:w="0" w:type="auto"/>
            <w:tcBorders>
              <w:top w:val="nil"/>
              <w:bottom w:val="nil"/>
              <w:right w:val="nil"/>
            </w:tcBorders>
            <w:noWrap/>
            <w:vAlign w:val="center"/>
          </w:tcPr>
          <w:p w14:paraId="75CF60B2" w14:textId="77777777" w:rsidR="00C167F7" w:rsidRPr="00F372FF" w:rsidRDefault="00C167F7" w:rsidP="00154EE6">
            <w:pPr>
              <w:pStyle w:val="NoSpacing"/>
              <w:rPr>
                <w:lang w:val="en-GB"/>
              </w:rPr>
            </w:pPr>
            <w:proofErr w:type="spellStart"/>
            <w:r w:rsidRPr="00F372FF">
              <w:rPr>
                <w:lang w:val="en-GB"/>
              </w:rPr>
              <w:t>MSPSS_friend</w:t>
            </w:r>
            <w:proofErr w:type="spellEnd"/>
          </w:p>
        </w:tc>
        <w:tc>
          <w:tcPr>
            <w:tcW w:w="0" w:type="auto"/>
            <w:tcBorders>
              <w:top w:val="nil"/>
              <w:left w:val="nil"/>
              <w:bottom w:val="nil"/>
            </w:tcBorders>
            <w:vAlign w:val="center"/>
          </w:tcPr>
          <w:p w14:paraId="2FBD7797" w14:textId="77777777" w:rsidR="00C167F7" w:rsidRPr="00F372FF" w:rsidRDefault="00C167F7" w:rsidP="00154EE6">
            <w:pPr>
              <w:pStyle w:val="NoSpacing"/>
              <w:rPr>
                <w:lang w:val="en-GB"/>
              </w:rPr>
            </w:pPr>
            <w:r w:rsidRPr="00F372FF">
              <w:rPr>
                <w:color w:val="010205"/>
                <w:lang w:val="en-GB"/>
              </w:rPr>
              <w:t xml:space="preserve"> MSPSS: support from </w:t>
            </w:r>
            <w:proofErr w:type="gramStart"/>
            <w:r w:rsidRPr="00F372FF">
              <w:rPr>
                <w:color w:val="010205"/>
                <w:lang w:val="en-GB"/>
              </w:rPr>
              <w:t>friends</w:t>
            </w:r>
            <w:proofErr w:type="gramEnd"/>
            <w:r w:rsidRPr="00F372FF">
              <w:rPr>
                <w:color w:val="010205"/>
                <w:lang w:val="en-GB"/>
              </w:rPr>
              <w:t xml:space="preserve"> subscale</w:t>
            </w:r>
          </w:p>
        </w:tc>
      </w:tr>
      <w:tr w:rsidR="00C167F7" w:rsidRPr="00F372FF" w14:paraId="615F0559" w14:textId="77777777" w:rsidTr="00154EE6">
        <w:trPr>
          <w:cantSplit/>
          <w:trHeight w:val="278"/>
        </w:trPr>
        <w:tc>
          <w:tcPr>
            <w:tcW w:w="0" w:type="auto"/>
            <w:tcBorders>
              <w:top w:val="nil"/>
              <w:right w:val="nil"/>
            </w:tcBorders>
            <w:noWrap/>
            <w:vAlign w:val="center"/>
          </w:tcPr>
          <w:p w14:paraId="5C2F7419" w14:textId="77777777" w:rsidR="00C167F7" w:rsidRPr="00F372FF" w:rsidRDefault="00C167F7" w:rsidP="00154EE6">
            <w:pPr>
              <w:pStyle w:val="NoSpacing"/>
              <w:rPr>
                <w:lang w:val="en-GB"/>
              </w:rPr>
            </w:pPr>
            <w:proofErr w:type="spellStart"/>
            <w:r w:rsidRPr="00F372FF">
              <w:rPr>
                <w:lang w:val="en-GB"/>
              </w:rPr>
              <w:t>MSPSS_total</w:t>
            </w:r>
            <w:proofErr w:type="spellEnd"/>
          </w:p>
        </w:tc>
        <w:tc>
          <w:tcPr>
            <w:tcW w:w="0" w:type="auto"/>
            <w:tcBorders>
              <w:top w:val="nil"/>
              <w:left w:val="nil"/>
            </w:tcBorders>
            <w:vAlign w:val="center"/>
          </w:tcPr>
          <w:p w14:paraId="2385DC3E" w14:textId="77777777" w:rsidR="00C167F7" w:rsidRPr="00F372FF" w:rsidRDefault="00C167F7" w:rsidP="00154EE6">
            <w:pPr>
              <w:pStyle w:val="NoSpacing"/>
              <w:rPr>
                <w:lang w:val="en-GB"/>
              </w:rPr>
            </w:pPr>
            <w:r w:rsidRPr="00F372FF">
              <w:rPr>
                <w:color w:val="010205"/>
                <w:lang w:val="en-GB"/>
              </w:rPr>
              <w:t xml:space="preserve"> MSPSS total score</w:t>
            </w:r>
          </w:p>
        </w:tc>
      </w:tr>
      <w:tr w:rsidR="00C167F7" w:rsidRPr="00F372FF" w14:paraId="2C8140F8" w14:textId="77777777" w:rsidTr="00154EE6">
        <w:trPr>
          <w:cantSplit/>
          <w:trHeight w:val="278"/>
        </w:trPr>
        <w:tc>
          <w:tcPr>
            <w:tcW w:w="0" w:type="auto"/>
            <w:gridSpan w:val="2"/>
            <w:tcBorders>
              <w:bottom w:val="nil"/>
            </w:tcBorders>
            <w:noWrap/>
            <w:vAlign w:val="center"/>
          </w:tcPr>
          <w:p w14:paraId="155D0479" w14:textId="77777777" w:rsidR="00C167F7" w:rsidRPr="00F372FF" w:rsidRDefault="00C167F7" w:rsidP="00154EE6">
            <w:pPr>
              <w:pStyle w:val="NoSpacing"/>
              <w:rPr>
                <w:i/>
                <w:iCs/>
                <w:color w:val="010205"/>
                <w:lang w:val="en-GB"/>
              </w:rPr>
            </w:pPr>
            <w:r w:rsidRPr="00F372FF">
              <w:rPr>
                <w:i/>
                <w:iCs/>
                <w:color w:val="010205"/>
                <w:lang w:val="en-GB"/>
              </w:rPr>
              <w:t>Rumination response scale (RRS)</w:t>
            </w:r>
          </w:p>
        </w:tc>
      </w:tr>
      <w:tr w:rsidR="00C167F7" w:rsidRPr="00F372FF" w14:paraId="7BDFFBDA" w14:textId="77777777" w:rsidTr="00154EE6">
        <w:trPr>
          <w:cantSplit/>
          <w:trHeight w:val="278"/>
        </w:trPr>
        <w:tc>
          <w:tcPr>
            <w:tcW w:w="0" w:type="auto"/>
            <w:tcBorders>
              <w:top w:val="nil"/>
              <w:bottom w:val="nil"/>
              <w:right w:val="nil"/>
            </w:tcBorders>
            <w:noWrap/>
            <w:vAlign w:val="center"/>
          </w:tcPr>
          <w:p w14:paraId="75A6279B" w14:textId="77777777" w:rsidR="00C167F7" w:rsidRPr="00F372FF" w:rsidRDefault="00C167F7" w:rsidP="00154EE6">
            <w:pPr>
              <w:pStyle w:val="NoSpacing"/>
              <w:rPr>
                <w:lang w:val="en-GB"/>
              </w:rPr>
            </w:pPr>
            <w:proofErr w:type="spellStart"/>
            <w:r w:rsidRPr="00F372FF">
              <w:rPr>
                <w:lang w:val="en-GB"/>
              </w:rPr>
              <w:t>RRS_total</w:t>
            </w:r>
            <w:proofErr w:type="spellEnd"/>
          </w:p>
        </w:tc>
        <w:tc>
          <w:tcPr>
            <w:tcW w:w="0" w:type="auto"/>
            <w:tcBorders>
              <w:top w:val="nil"/>
              <w:left w:val="nil"/>
              <w:bottom w:val="nil"/>
            </w:tcBorders>
            <w:vAlign w:val="center"/>
          </w:tcPr>
          <w:p w14:paraId="024A6A63" w14:textId="77777777" w:rsidR="00C167F7" w:rsidRPr="00F372FF" w:rsidRDefault="00C167F7" w:rsidP="00154EE6">
            <w:pPr>
              <w:pStyle w:val="NoSpacing"/>
              <w:rPr>
                <w:color w:val="010205"/>
                <w:lang w:val="en-GB"/>
              </w:rPr>
            </w:pPr>
            <w:r w:rsidRPr="00F372FF">
              <w:rPr>
                <w:color w:val="010205"/>
                <w:lang w:val="en-GB"/>
              </w:rPr>
              <w:t>RRS total score</w:t>
            </w:r>
          </w:p>
        </w:tc>
      </w:tr>
      <w:tr w:rsidR="00C167F7" w:rsidRPr="00F372FF" w14:paraId="5A14EACC" w14:textId="77777777" w:rsidTr="00154EE6">
        <w:trPr>
          <w:cantSplit/>
          <w:trHeight w:val="278"/>
        </w:trPr>
        <w:tc>
          <w:tcPr>
            <w:tcW w:w="0" w:type="auto"/>
            <w:tcBorders>
              <w:top w:val="nil"/>
              <w:bottom w:val="nil"/>
              <w:right w:val="nil"/>
            </w:tcBorders>
            <w:noWrap/>
            <w:vAlign w:val="center"/>
          </w:tcPr>
          <w:p w14:paraId="5ACDDAA0" w14:textId="77777777" w:rsidR="00C167F7" w:rsidRPr="00F372FF" w:rsidRDefault="00C167F7" w:rsidP="00154EE6">
            <w:pPr>
              <w:pStyle w:val="NoSpacing"/>
              <w:rPr>
                <w:lang w:val="en-GB"/>
              </w:rPr>
            </w:pPr>
            <w:proofErr w:type="spellStart"/>
            <w:r w:rsidRPr="00F372FF">
              <w:rPr>
                <w:lang w:val="en-GB"/>
              </w:rPr>
              <w:t>RRS_reflection</w:t>
            </w:r>
            <w:proofErr w:type="spellEnd"/>
          </w:p>
        </w:tc>
        <w:tc>
          <w:tcPr>
            <w:tcW w:w="0" w:type="auto"/>
            <w:tcBorders>
              <w:top w:val="nil"/>
              <w:left w:val="nil"/>
              <w:bottom w:val="nil"/>
            </w:tcBorders>
            <w:vAlign w:val="center"/>
          </w:tcPr>
          <w:p w14:paraId="2649036B" w14:textId="77777777" w:rsidR="00C167F7" w:rsidRPr="00F372FF" w:rsidRDefault="00C167F7" w:rsidP="00154EE6">
            <w:pPr>
              <w:pStyle w:val="NoSpacing"/>
              <w:rPr>
                <w:color w:val="010205"/>
                <w:lang w:val="en-GB"/>
              </w:rPr>
            </w:pPr>
            <w:r w:rsidRPr="00F372FF">
              <w:rPr>
                <w:color w:val="010205"/>
                <w:lang w:val="en-GB"/>
              </w:rPr>
              <w:t>RRS reflection subscale</w:t>
            </w:r>
          </w:p>
        </w:tc>
      </w:tr>
      <w:tr w:rsidR="00C167F7" w:rsidRPr="00F372FF" w14:paraId="445BF3F4" w14:textId="77777777" w:rsidTr="00154EE6">
        <w:trPr>
          <w:cantSplit/>
          <w:trHeight w:val="278"/>
        </w:trPr>
        <w:tc>
          <w:tcPr>
            <w:tcW w:w="0" w:type="auto"/>
            <w:tcBorders>
              <w:top w:val="nil"/>
              <w:bottom w:val="nil"/>
              <w:right w:val="nil"/>
            </w:tcBorders>
            <w:noWrap/>
            <w:vAlign w:val="center"/>
          </w:tcPr>
          <w:p w14:paraId="6F808686" w14:textId="77777777" w:rsidR="00C167F7" w:rsidRPr="00F372FF" w:rsidRDefault="00C167F7" w:rsidP="00154EE6">
            <w:pPr>
              <w:pStyle w:val="NoSpacing"/>
              <w:rPr>
                <w:lang w:val="en-GB"/>
              </w:rPr>
            </w:pPr>
            <w:proofErr w:type="spellStart"/>
            <w:r w:rsidRPr="00F372FF">
              <w:rPr>
                <w:lang w:val="en-GB"/>
              </w:rPr>
              <w:t>RRS_brooding</w:t>
            </w:r>
            <w:proofErr w:type="spellEnd"/>
          </w:p>
        </w:tc>
        <w:tc>
          <w:tcPr>
            <w:tcW w:w="0" w:type="auto"/>
            <w:tcBorders>
              <w:top w:val="nil"/>
              <w:left w:val="nil"/>
              <w:bottom w:val="nil"/>
            </w:tcBorders>
            <w:vAlign w:val="center"/>
          </w:tcPr>
          <w:p w14:paraId="30B5AA88" w14:textId="77777777" w:rsidR="00C167F7" w:rsidRPr="00F372FF" w:rsidRDefault="00C167F7" w:rsidP="00154EE6">
            <w:pPr>
              <w:pStyle w:val="NoSpacing"/>
              <w:rPr>
                <w:color w:val="010205"/>
                <w:lang w:val="en-GB"/>
              </w:rPr>
            </w:pPr>
            <w:r w:rsidRPr="00F372FF">
              <w:rPr>
                <w:color w:val="010205"/>
                <w:lang w:val="en-GB"/>
              </w:rPr>
              <w:t>RRS brooding subscale</w:t>
            </w:r>
          </w:p>
        </w:tc>
      </w:tr>
      <w:tr w:rsidR="00C167F7" w:rsidRPr="00F372FF" w14:paraId="1FC88CB1" w14:textId="77777777" w:rsidTr="00154EE6">
        <w:trPr>
          <w:cantSplit/>
          <w:trHeight w:val="278"/>
        </w:trPr>
        <w:tc>
          <w:tcPr>
            <w:tcW w:w="0" w:type="auto"/>
            <w:tcBorders>
              <w:top w:val="nil"/>
              <w:right w:val="nil"/>
            </w:tcBorders>
            <w:noWrap/>
            <w:vAlign w:val="center"/>
          </w:tcPr>
          <w:p w14:paraId="16AABB99" w14:textId="77777777" w:rsidR="00C167F7" w:rsidRPr="00F372FF" w:rsidRDefault="00C167F7" w:rsidP="00154EE6">
            <w:pPr>
              <w:pStyle w:val="NoSpacing"/>
              <w:rPr>
                <w:lang w:val="en-GB"/>
              </w:rPr>
            </w:pPr>
            <w:proofErr w:type="spellStart"/>
            <w:r w:rsidRPr="00F372FF">
              <w:rPr>
                <w:lang w:val="en-GB"/>
              </w:rPr>
              <w:t>RRS_deprelated</w:t>
            </w:r>
            <w:proofErr w:type="spellEnd"/>
          </w:p>
        </w:tc>
        <w:tc>
          <w:tcPr>
            <w:tcW w:w="0" w:type="auto"/>
            <w:tcBorders>
              <w:top w:val="nil"/>
              <w:left w:val="nil"/>
            </w:tcBorders>
            <w:vAlign w:val="center"/>
          </w:tcPr>
          <w:p w14:paraId="2EEB9BE6" w14:textId="77777777" w:rsidR="00C167F7" w:rsidRPr="00F372FF" w:rsidRDefault="00C167F7" w:rsidP="00154EE6">
            <w:pPr>
              <w:pStyle w:val="NoSpacing"/>
              <w:rPr>
                <w:color w:val="010205"/>
                <w:lang w:val="en-GB"/>
              </w:rPr>
            </w:pPr>
            <w:r w:rsidRPr="00F372FF">
              <w:rPr>
                <w:color w:val="010205"/>
                <w:lang w:val="en-GB"/>
              </w:rPr>
              <w:t>RRS depression related subscale</w:t>
            </w:r>
          </w:p>
        </w:tc>
      </w:tr>
      <w:tr w:rsidR="00C167F7" w:rsidRPr="00F372FF" w14:paraId="42C943EE" w14:textId="77777777" w:rsidTr="00154EE6">
        <w:trPr>
          <w:cantSplit/>
          <w:trHeight w:val="278"/>
        </w:trPr>
        <w:tc>
          <w:tcPr>
            <w:tcW w:w="0" w:type="auto"/>
            <w:gridSpan w:val="2"/>
            <w:tcBorders>
              <w:bottom w:val="nil"/>
            </w:tcBorders>
            <w:noWrap/>
            <w:vAlign w:val="center"/>
          </w:tcPr>
          <w:p w14:paraId="6BCA1660" w14:textId="77777777" w:rsidR="00C167F7" w:rsidRPr="00F372FF" w:rsidRDefault="00C167F7" w:rsidP="00154EE6">
            <w:pPr>
              <w:pStyle w:val="NoSpacing"/>
              <w:rPr>
                <w:color w:val="010205"/>
                <w:lang w:val="en-GB"/>
              </w:rPr>
            </w:pPr>
            <w:r w:rsidRPr="00F372FF">
              <w:rPr>
                <w:i/>
                <w:iCs/>
                <w:lang w:val="en-GB"/>
              </w:rPr>
              <w:t>Emotional Regulation Questionnaire (ERQ)</w:t>
            </w:r>
          </w:p>
        </w:tc>
      </w:tr>
      <w:tr w:rsidR="00C167F7" w:rsidRPr="00F372FF" w14:paraId="4506B5E5" w14:textId="77777777" w:rsidTr="00154EE6">
        <w:trPr>
          <w:cantSplit/>
          <w:trHeight w:val="278"/>
        </w:trPr>
        <w:tc>
          <w:tcPr>
            <w:tcW w:w="0" w:type="auto"/>
            <w:tcBorders>
              <w:top w:val="nil"/>
              <w:bottom w:val="nil"/>
              <w:right w:val="nil"/>
            </w:tcBorders>
            <w:noWrap/>
            <w:vAlign w:val="center"/>
            <w:hideMark/>
          </w:tcPr>
          <w:p w14:paraId="3E3FE065" w14:textId="77777777" w:rsidR="00C167F7" w:rsidRPr="00F372FF" w:rsidRDefault="00C167F7" w:rsidP="00154EE6">
            <w:pPr>
              <w:pStyle w:val="NoSpacing"/>
              <w:rPr>
                <w:lang w:val="en-GB"/>
              </w:rPr>
            </w:pPr>
            <w:proofErr w:type="spellStart"/>
            <w:r w:rsidRPr="00F372FF">
              <w:rPr>
                <w:lang w:val="en-GB"/>
              </w:rPr>
              <w:t>ERQ_reappraisal</w:t>
            </w:r>
            <w:proofErr w:type="spellEnd"/>
          </w:p>
        </w:tc>
        <w:tc>
          <w:tcPr>
            <w:tcW w:w="0" w:type="auto"/>
            <w:tcBorders>
              <w:top w:val="nil"/>
              <w:left w:val="nil"/>
              <w:bottom w:val="nil"/>
            </w:tcBorders>
            <w:vAlign w:val="center"/>
            <w:hideMark/>
          </w:tcPr>
          <w:p w14:paraId="339061DA" w14:textId="77777777" w:rsidR="00C167F7" w:rsidRPr="00F372FF" w:rsidRDefault="00C167F7" w:rsidP="00154EE6">
            <w:pPr>
              <w:pStyle w:val="NoSpacing"/>
              <w:rPr>
                <w:color w:val="010205"/>
                <w:lang w:val="en-GB"/>
              </w:rPr>
            </w:pPr>
            <w:r w:rsidRPr="00F372FF">
              <w:rPr>
                <w:color w:val="010205"/>
                <w:lang w:val="en-GB"/>
              </w:rPr>
              <w:t> ERQ cognitive reappraisal subscale</w:t>
            </w:r>
          </w:p>
        </w:tc>
      </w:tr>
      <w:tr w:rsidR="00C167F7" w:rsidRPr="00F372FF" w14:paraId="3A064CEE" w14:textId="77777777" w:rsidTr="00154EE6">
        <w:trPr>
          <w:cantSplit/>
          <w:trHeight w:val="278"/>
        </w:trPr>
        <w:tc>
          <w:tcPr>
            <w:tcW w:w="0" w:type="auto"/>
            <w:tcBorders>
              <w:top w:val="nil"/>
              <w:right w:val="nil"/>
            </w:tcBorders>
            <w:noWrap/>
            <w:vAlign w:val="center"/>
            <w:hideMark/>
          </w:tcPr>
          <w:p w14:paraId="2D7CF9E5" w14:textId="77777777" w:rsidR="00C167F7" w:rsidRPr="00F372FF" w:rsidRDefault="00C167F7" w:rsidP="00154EE6">
            <w:pPr>
              <w:pStyle w:val="NoSpacing"/>
              <w:rPr>
                <w:lang w:val="en-GB"/>
              </w:rPr>
            </w:pPr>
            <w:proofErr w:type="spellStart"/>
            <w:r w:rsidRPr="00F372FF">
              <w:rPr>
                <w:lang w:val="en-GB"/>
              </w:rPr>
              <w:t>ERQ_suppression</w:t>
            </w:r>
            <w:proofErr w:type="spellEnd"/>
          </w:p>
        </w:tc>
        <w:tc>
          <w:tcPr>
            <w:tcW w:w="0" w:type="auto"/>
            <w:tcBorders>
              <w:top w:val="nil"/>
              <w:left w:val="nil"/>
            </w:tcBorders>
            <w:vAlign w:val="center"/>
            <w:hideMark/>
          </w:tcPr>
          <w:p w14:paraId="2E8B88A7" w14:textId="77777777" w:rsidR="00C167F7" w:rsidRPr="00F372FF" w:rsidRDefault="00C167F7" w:rsidP="00154EE6">
            <w:pPr>
              <w:pStyle w:val="NoSpacing"/>
              <w:rPr>
                <w:color w:val="010205"/>
                <w:lang w:val="en-GB"/>
              </w:rPr>
            </w:pPr>
            <w:r w:rsidRPr="00F372FF">
              <w:rPr>
                <w:color w:val="010205"/>
                <w:lang w:val="en-GB"/>
              </w:rPr>
              <w:t> ERQ expressive suppression subscale</w:t>
            </w:r>
          </w:p>
        </w:tc>
      </w:tr>
      <w:tr w:rsidR="00C167F7" w:rsidRPr="00F372FF" w14:paraId="1583DC7F" w14:textId="77777777" w:rsidTr="00154EE6">
        <w:trPr>
          <w:cantSplit/>
          <w:trHeight w:val="278"/>
        </w:trPr>
        <w:tc>
          <w:tcPr>
            <w:tcW w:w="0" w:type="auto"/>
            <w:gridSpan w:val="2"/>
            <w:tcBorders>
              <w:bottom w:val="nil"/>
            </w:tcBorders>
            <w:noWrap/>
            <w:vAlign w:val="center"/>
          </w:tcPr>
          <w:p w14:paraId="1EC20D45" w14:textId="77777777" w:rsidR="00C167F7" w:rsidRPr="00F372FF" w:rsidRDefault="00C167F7" w:rsidP="00154EE6">
            <w:pPr>
              <w:pStyle w:val="NoSpacing"/>
              <w:rPr>
                <w:i/>
                <w:iCs/>
                <w:color w:val="010205"/>
                <w:lang w:val="en-GB"/>
              </w:rPr>
            </w:pPr>
            <w:r w:rsidRPr="00F372FF">
              <w:rPr>
                <w:i/>
                <w:iCs/>
                <w:lang w:val="en-GB"/>
              </w:rPr>
              <w:t>Cognitive Emotion Regulation Questionnaire (CERQ)</w:t>
            </w:r>
          </w:p>
        </w:tc>
      </w:tr>
      <w:tr w:rsidR="00C167F7" w:rsidRPr="00F372FF" w14:paraId="2C59F8FD" w14:textId="77777777" w:rsidTr="00154EE6">
        <w:trPr>
          <w:cantSplit/>
          <w:trHeight w:val="278"/>
        </w:trPr>
        <w:tc>
          <w:tcPr>
            <w:tcW w:w="0" w:type="auto"/>
            <w:tcBorders>
              <w:top w:val="nil"/>
              <w:bottom w:val="nil"/>
              <w:right w:val="nil"/>
            </w:tcBorders>
            <w:noWrap/>
            <w:vAlign w:val="center"/>
            <w:hideMark/>
          </w:tcPr>
          <w:p w14:paraId="7EAEB219" w14:textId="77777777" w:rsidR="00C167F7" w:rsidRPr="00F372FF" w:rsidRDefault="00C167F7" w:rsidP="00154EE6">
            <w:pPr>
              <w:pStyle w:val="NoSpacing"/>
              <w:rPr>
                <w:lang w:val="en-GB"/>
              </w:rPr>
            </w:pPr>
            <w:r w:rsidRPr="00F372FF">
              <w:rPr>
                <w:lang w:val="en-GB"/>
              </w:rPr>
              <w:t>CERQ total</w:t>
            </w:r>
          </w:p>
        </w:tc>
        <w:tc>
          <w:tcPr>
            <w:tcW w:w="0" w:type="auto"/>
            <w:tcBorders>
              <w:top w:val="nil"/>
              <w:left w:val="nil"/>
              <w:bottom w:val="nil"/>
            </w:tcBorders>
            <w:vAlign w:val="center"/>
            <w:hideMark/>
          </w:tcPr>
          <w:p w14:paraId="0EF3719B" w14:textId="77777777" w:rsidR="00C167F7" w:rsidRPr="00F372FF" w:rsidRDefault="00C167F7" w:rsidP="00154EE6">
            <w:pPr>
              <w:pStyle w:val="NoSpacing"/>
              <w:rPr>
                <w:color w:val="010205"/>
                <w:lang w:val="en-GB"/>
              </w:rPr>
            </w:pPr>
            <w:r w:rsidRPr="00F372FF">
              <w:rPr>
                <w:color w:val="010205"/>
                <w:lang w:val="en-GB"/>
              </w:rPr>
              <w:t xml:space="preserve"> CERQ total score</w:t>
            </w:r>
          </w:p>
        </w:tc>
      </w:tr>
      <w:tr w:rsidR="00C167F7" w:rsidRPr="00F372FF" w14:paraId="505FA4A9" w14:textId="77777777" w:rsidTr="00154EE6">
        <w:trPr>
          <w:cantSplit/>
          <w:trHeight w:val="278"/>
        </w:trPr>
        <w:tc>
          <w:tcPr>
            <w:tcW w:w="0" w:type="auto"/>
            <w:tcBorders>
              <w:top w:val="nil"/>
              <w:bottom w:val="nil"/>
              <w:right w:val="nil"/>
            </w:tcBorders>
            <w:noWrap/>
            <w:vAlign w:val="center"/>
            <w:hideMark/>
          </w:tcPr>
          <w:p w14:paraId="12B1C5CC" w14:textId="77777777" w:rsidR="00C167F7" w:rsidRPr="00F372FF" w:rsidRDefault="00C167F7" w:rsidP="00154EE6">
            <w:pPr>
              <w:pStyle w:val="NoSpacing"/>
              <w:rPr>
                <w:lang w:val="en-GB"/>
              </w:rPr>
            </w:pPr>
            <w:proofErr w:type="spellStart"/>
            <w:r w:rsidRPr="00F372FF">
              <w:rPr>
                <w:lang w:val="en-GB"/>
              </w:rPr>
              <w:t>CERQ_selfblame</w:t>
            </w:r>
            <w:proofErr w:type="spellEnd"/>
          </w:p>
        </w:tc>
        <w:tc>
          <w:tcPr>
            <w:tcW w:w="0" w:type="auto"/>
            <w:tcBorders>
              <w:top w:val="nil"/>
              <w:left w:val="nil"/>
              <w:bottom w:val="nil"/>
            </w:tcBorders>
            <w:vAlign w:val="center"/>
            <w:hideMark/>
          </w:tcPr>
          <w:p w14:paraId="48FDEC50" w14:textId="77777777" w:rsidR="00C167F7" w:rsidRPr="00F372FF" w:rsidRDefault="00C167F7" w:rsidP="00154EE6">
            <w:pPr>
              <w:pStyle w:val="NoSpacing"/>
              <w:rPr>
                <w:color w:val="010205"/>
                <w:lang w:val="en-GB"/>
              </w:rPr>
            </w:pPr>
            <w:r w:rsidRPr="00F372FF">
              <w:rPr>
                <w:color w:val="010205"/>
                <w:lang w:val="en-GB"/>
              </w:rPr>
              <w:t xml:space="preserve"> CERQ self-blame subscale</w:t>
            </w:r>
          </w:p>
        </w:tc>
      </w:tr>
      <w:tr w:rsidR="00C167F7" w:rsidRPr="00F372FF" w14:paraId="08DAD22C" w14:textId="77777777" w:rsidTr="00154EE6">
        <w:trPr>
          <w:cantSplit/>
          <w:trHeight w:val="278"/>
        </w:trPr>
        <w:tc>
          <w:tcPr>
            <w:tcW w:w="0" w:type="auto"/>
            <w:tcBorders>
              <w:top w:val="nil"/>
              <w:bottom w:val="nil"/>
              <w:right w:val="nil"/>
            </w:tcBorders>
            <w:noWrap/>
            <w:vAlign w:val="center"/>
            <w:hideMark/>
          </w:tcPr>
          <w:p w14:paraId="003CBAF2" w14:textId="77777777" w:rsidR="00C167F7" w:rsidRPr="00F372FF" w:rsidRDefault="00C167F7" w:rsidP="00154EE6">
            <w:pPr>
              <w:pStyle w:val="NoSpacing"/>
              <w:rPr>
                <w:lang w:val="en-GB"/>
              </w:rPr>
            </w:pPr>
            <w:proofErr w:type="spellStart"/>
            <w:r w:rsidRPr="00F372FF">
              <w:rPr>
                <w:lang w:val="en-GB"/>
              </w:rPr>
              <w:t>CERQ_accept</w:t>
            </w:r>
            <w:proofErr w:type="spellEnd"/>
          </w:p>
        </w:tc>
        <w:tc>
          <w:tcPr>
            <w:tcW w:w="0" w:type="auto"/>
            <w:tcBorders>
              <w:top w:val="nil"/>
              <w:left w:val="nil"/>
              <w:bottom w:val="nil"/>
            </w:tcBorders>
            <w:vAlign w:val="center"/>
            <w:hideMark/>
          </w:tcPr>
          <w:p w14:paraId="34DC7755" w14:textId="77777777" w:rsidR="00C167F7" w:rsidRPr="00F372FF" w:rsidRDefault="00C167F7" w:rsidP="00154EE6">
            <w:pPr>
              <w:pStyle w:val="NoSpacing"/>
              <w:rPr>
                <w:color w:val="010205"/>
                <w:lang w:val="en-GB"/>
              </w:rPr>
            </w:pPr>
            <w:r w:rsidRPr="00F372FF">
              <w:rPr>
                <w:color w:val="010205"/>
                <w:lang w:val="en-GB"/>
              </w:rPr>
              <w:t xml:space="preserve"> CERQ acceptance subscale</w:t>
            </w:r>
          </w:p>
        </w:tc>
      </w:tr>
      <w:tr w:rsidR="00C167F7" w:rsidRPr="00F372FF" w14:paraId="398C606B" w14:textId="77777777" w:rsidTr="00154EE6">
        <w:trPr>
          <w:cantSplit/>
          <w:trHeight w:val="278"/>
        </w:trPr>
        <w:tc>
          <w:tcPr>
            <w:tcW w:w="0" w:type="auto"/>
            <w:tcBorders>
              <w:top w:val="nil"/>
              <w:bottom w:val="nil"/>
              <w:right w:val="nil"/>
            </w:tcBorders>
            <w:noWrap/>
            <w:vAlign w:val="center"/>
            <w:hideMark/>
          </w:tcPr>
          <w:p w14:paraId="4DBD9F20" w14:textId="77777777" w:rsidR="00C167F7" w:rsidRPr="00F372FF" w:rsidRDefault="00C167F7" w:rsidP="00154EE6">
            <w:pPr>
              <w:pStyle w:val="NoSpacing"/>
              <w:rPr>
                <w:lang w:val="en-GB"/>
              </w:rPr>
            </w:pPr>
            <w:proofErr w:type="spellStart"/>
            <w:r w:rsidRPr="00F372FF">
              <w:rPr>
                <w:lang w:val="en-GB"/>
              </w:rPr>
              <w:t>CERQ_ruminate</w:t>
            </w:r>
            <w:proofErr w:type="spellEnd"/>
          </w:p>
        </w:tc>
        <w:tc>
          <w:tcPr>
            <w:tcW w:w="0" w:type="auto"/>
            <w:tcBorders>
              <w:top w:val="nil"/>
              <w:left w:val="nil"/>
              <w:bottom w:val="nil"/>
            </w:tcBorders>
            <w:vAlign w:val="center"/>
            <w:hideMark/>
          </w:tcPr>
          <w:p w14:paraId="7E8E70DA" w14:textId="77777777" w:rsidR="00C167F7" w:rsidRPr="00F372FF" w:rsidRDefault="00C167F7" w:rsidP="00154EE6">
            <w:pPr>
              <w:pStyle w:val="NoSpacing"/>
              <w:rPr>
                <w:color w:val="010205"/>
                <w:lang w:val="en-GB"/>
              </w:rPr>
            </w:pPr>
            <w:r w:rsidRPr="00F372FF">
              <w:rPr>
                <w:color w:val="010205"/>
                <w:lang w:val="en-GB"/>
              </w:rPr>
              <w:t xml:space="preserve"> CERQ rumination subscale</w:t>
            </w:r>
          </w:p>
        </w:tc>
      </w:tr>
      <w:tr w:rsidR="00C167F7" w:rsidRPr="00F372FF" w14:paraId="73EA85F5" w14:textId="77777777" w:rsidTr="00154EE6">
        <w:trPr>
          <w:cantSplit/>
          <w:trHeight w:val="278"/>
        </w:trPr>
        <w:tc>
          <w:tcPr>
            <w:tcW w:w="0" w:type="auto"/>
            <w:tcBorders>
              <w:top w:val="nil"/>
              <w:bottom w:val="nil"/>
              <w:right w:val="nil"/>
            </w:tcBorders>
            <w:noWrap/>
            <w:vAlign w:val="center"/>
            <w:hideMark/>
          </w:tcPr>
          <w:p w14:paraId="595BC136" w14:textId="77777777" w:rsidR="00C167F7" w:rsidRPr="00F372FF" w:rsidRDefault="00C167F7" w:rsidP="00154EE6">
            <w:pPr>
              <w:pStyle w:val="NoSpacing"/>
              <w:rPr>
                <w:lang w:val="en-GB"/>
              </w:rPr>
            </w:pPr>
            <w:proofErr w:type="spellStart"/>
            <w:r w:rsidRPr="00F372FF">
              <w:rPr>
                <w:lang w:val="en-GB"/>
              </w:rPr>
              <w:t>CERQ_posrefocus</w:t>
            </w:r>
            <w:proofErr w:type="spellEnd"/>
          </w:p>
        </w:tc>
        <w:tc>
          <w:tcPr>
            <w:tcW w:w="0" w:type="auto"/>
            <w:tcBorders>
              <w:top w:val="nil"/>
              <w:left w:val="nil"/>
              <w:bottom w:val="nil"/>
            </w:tcBorders>
            <w:vAlign w:val="center"/>
            <w:hideMark/>
          </w:tcPr>
          <w:p w14:paraId="30101460" w14:textId="77777777" w:rsidR="00C167F7" w:rsidRPr="00F372FF" w:rsidRDefault="00C167F7" w:rsidP="00154EE6">
            <w:pPr>
              <w:pStyle w:val="NoSpacing"/>
              <w:rPr>
                <w:color w:val="010205"/>
                <w:lang w:val="en-GB"/>
              </w:rPr>
            </w:pPr>
            <w:r w:rsidRPr="00F372FF">
              <w:rPr>
                <w:color w:val="010205"/>
                <w:lang w:val="en-GB"/>
              </w:rPr>
              <w:t> CERQ positive refocusing subscale</w:t>
            </w:r>
          </w:p>
        </w:tc>
      </w:tr>
      <w:tr w:rsidR="00C167F7" w:rsidRPr="00F372FF" w14:paraId="6003A55E" w14:textId="77777777" w:rsidTr="00154EE6">
        <w:trPr>
          <w:cantSplit/>
          <w:trHeight w:val="278"/>
        </w:trPr>
        <w:tc>
          <w:tcPr>
            <w:tcW w:w="0" w:type="auto"/>
            <w:tcBorders>
              <w:top w:val="nil"/>
              <w:bottom w:val="nil"/>
              <w:right w:val="nil"/>
            </w:tcBorders>
            <w:noWrap/>
            <w:vAlign w:val="center"/>
            <w:hideMark/>
          </w:tcPr>
          <w:p w14:paraId="0721F51A" w14:textId="77777777" w:rsidR="00C167F7" w:rsidRPr="00F372FF" w:rsidRDefault="00C167F7" w:rsidP="00154EE6">
            <w:pPr>
              <w:pStyle w:val="NoSpacing"/>
              <w:rPr>
                <w:lang w:val="en-GB"/>
              </w:rPr>
            </w:pPr>
            <w:proofErr w:type="spellStart"/>
            <w:r w:rsidRPr="00F372FF">
              <w:rPr>
                <w:lang w:val="en-GB"/>
              </w:rPr>
              <w:t>CERQ_plan</w:t>
            </w:r>
            <w:proofErr w:type="spellEnd"/>
          </w:p>
        </w:tc>
        <w:tc>
          <w:tcPr>
            <w:tcW w:w="0" w:type="auto"/>
            <w:tcBorders>
              <w:top w:val="nil"/>
              <w:left w:val="nil"/>
              <w:bottom w:val="nil"/>
            </w:tcBorders>
            <w:vAlign w:val="center"/>
            <w:hideMark/>
          </w:tcPr>
          <w:p w14:paraId="3CC4ABE8" w14:textId="77777777" w:rsidR="00C167F7" w:rsidRPr="00F372FF" w:rsidRDefault="00C167F7" w:rsidP="00154EE6">
            <w:pPr>
              <w:pStyle w:val="NoSpacing"/>
              <w:rPr>
                <w:color w:val="010205"/>
                <w:lang w:val="en-GB"/>
              </w:rPr>
            </w:pPr>
            <w:r w:rsidRPr="00F372FF">
              <w:rPr>
                <w:color w:val="010205"/>
                <w:lang w:val="en-GB"/>
              </w:rPr>
              <w:t> CERQ refocus on planning subscale</w:t>
            </w:r>
          </w:p>
        </w:tc>
      </w:tr>
      <w:tr w:rsidR="00C167F7" w:rsidRPr="00F372FF" w14:paraId="610DD4ED" w14:textId="77777777" w:rsidTr="00154EE6">
        <w:trPr>
          <w:cantSplit/>
          <w:trHeight w:val="278"/>
        </w:trPr>
        <w:tc>
          <w:tcPr>
            <w:tcW w:w="0" w:type="auto"/>
            <w:tcBorders>
              <w:top w:val="nil"/>
              <w:bottom w:val="nil"/>
              <w:right w:val="nil"/>
            </w:tcBorders>
            <w:noWrap/>
            <w:vAlign w:val="center"/>
            <w:hideMark/>
          </w:tcPr>
          <w:p w14:paraId="06EBE8EF" w14:textId="77777777" w:rsidR="00C167F7" w:rsidRPr="00F372FF" w:rsidRDefault="00C167F7" w:rsidP="00154EE6">
            <w:pPr>
              <w:pStyle w:val="NoSpacing"/>
              <w:rPr>
                <w:lang w:val="en-GB"/>
              </w:rPr>
            </w:pPr>
            <w:proofErr w:type="spellStart"/>
            <w:r w:rsidRPr="00F372FF">
              <w:rPr>
                <w:lang w:val="en-GB"/>
              </w:rPr>
              <w:t>CERQ_posreapp</w:t>
            </w:r>
            <w:proofErr w:type="spellEnd"/>
          </w:p>
        </w:tc>
        <w:tc>
          <w:tcPr>
            <w:tcW w:w="0" w:type="auto"/>
            <w:tcBorders>
              <w:top w:val="nil"/>
              <w:left w:val="nil"/>
              <w:bottom w:val="nil"/>
            </w:tcBorders>
            <w:vAlign w:val="center"/>
            <w:hideMark/>
          </w:tcPr>
          <w:p w14:paraId="2353CDE0" w14:textId="77777777" w:rsidR="00C167F7" w:rsidRPr="00F372FF" w:rsidRDefault="00C167F7" w:rsidP="00154EE6">
            <w:pPr>
              <w:pStyle w:val="NoSpacing"/>
              <w:rPr>
                <w:color w:val="010205"/>
                <w:lang w:val="en-GB"/>
              </w:rPr>
            </w:pPr>
            <w:r w:rsidRPr="00F372FF">
              <w:rPr>
                <w:color w:val="010205"/>
                <w:lang w:val="en-GB"/>
              </w:rPr>
              <w:t> CERQ positive reappraisal subscale</w:t>
            </w:r>
          </w:p>
        </w:tc>
      </w:tr>
      <w:tr w:rsidR="00C167F7" w:rsidRPr="00F372FF" w14:paraId="2242BF50" w14:textId="77777777" w:rsidTr="00154EE6">
        <w:trPr>
          <w:cantSplit/>
          <w:trHeight w:val="278"/>
        </w:trPr>
        <w:tc>
          <w:tcPr>
            <w:tcW w:w="0" w:type="auto"/>
            <w:tcBorders>
              <w:top w:val="nil"/>
              <w:bottom w:val="nil"/>
              <w:right w:val="nil"/>
            </w:tcBorders>
            <w:noWrap/>
            <w:vAlign w:val="center"/>
            <w:hideMark/>
          </w:tcPr>
          <w:p w14:paraId="6AAE7E08" w14:textId="77777777" w:rsidR="00C167F7" w:rsidRPr="00F372FF" w:rsidRDefault="00C167F7" w:rsidP="00154EE6">
            <w:pPr>
              <w:pStyle w:val="NoSpacing"/>
              <w:rPr>
                <w:lang w:val="en-GB"/>
              </w:rPr>
            </w:pPr>
            <w:proofErr w:type="spellStart"/>
            <w:r w:rsidRPr="00F372FF">
              <w:rPr>
                <w:lang w:val="en-GB"/>
              </w:rPr>
              <w:t>CERQ_perspec</w:t>
            </w:r>
            <w:proofErr w:type="spellEnd"/>
          </w:p>
        </w:tc>
        <w:tc>
          <w:tcPr>
            <w:tcW w:w="0" w:type="auto"/>
            <w:tcBorders>
              <w:top w:val="nil"/>
              <w:left w:val="nil"/>
              <w:bottom w:val="nil"/>
            </w:tcBorders>
            <w:vAlign w:val="center"/>
            <w:hideMark/>
          </w:tcPr>
          <w:p w14:paraId="4325F55D" w14:textId="77777777" w:rsidR="00C167F7" w:rsidRPr="00F372FF" w:rsidRDefault="00C167F7" w:rsidP="00154EE6">
            <w:pPr>
              <w:pStyle w:val="NoSpacing"/>
              <w:rPr>
                <w:color w:val="010205"/>
                <w:lang w:val="en-GB"/>
              </w:rPr>
            </w:pPr>
            <w:r w:rsidRPr="00F372FF">
              <w:rPr>
                <w:color w:val="010205"/>
                <w:lang w:val="en-GB"/>
              </w:rPr>
              <w:t> CERQ putting into perspective subscale</w:t>
            </w:r>
          </w:p>
        </w:tc>
      </w:tr>
      <w:tr w:rsidR="00C167F7" w:rsidRPr="00F372FF" w14:paraId="3FA4E242" w14:textId="77777777" w:rsidTr="00154EE6">
        <w:trPr>
          <w:cantSplit/>
          <w:trHeight w:val="278"/>
        </w:trPr>
        <w:tc>
          <w:tcPr>
            <w:tcW w:w="0" w:type="auto"/>
            <w:tcBorders>
              <w:top w:val="nil"/>
              <w:bottom w:val="nil"/>
              <w:right w:val="nil"/>
            </w:tcBorders>
            <w:noWrap/>
            <w:vAlign w:val="center"/>
            <w:hideMark/>
          </w:tcPr>
          <w:p w14:paraId="75B22152" w14:textId="77777777" w:rsidR="00C167F7" w:rsidRPr="00F372FF" w:rsidRDefault="00C167F7" w:rsidP="00154EE6">
            <w:pPr>
              <w:pStyle w:val="NoSpacing"/>
              <w:rPr>
                <w:lang w:val="en-GB"/>
              </w:rPr>
            </w:pPr>
            <w:proofErr w:type="spellStart"/>
            <w:r w:rsidRPr="00F372FF">
              <w:rPr>
                <w:lang w:val="en-GB"/>
              </w:rPr>
              <w:t>CERQ_catastroph</w:t>
            </w:r>
            <w:proofErr w:type="spellEnd"/>
          </w:p>
        </w:tc>
        <w:tc>
          <w:tcPr>
            <w:tcW w:w="0" w:type="auto"/>
            <w:tcBorders>
              <w:top w:val="nil"/>
              <w:left w:val="nil"/>
              <w:bottom w:val="nil"/>
            </w:tcBorders>
            <w:vAlign w:val="center"/>
            <w:hideMark/>
          </w:tcPr>
          <w:p w14:paraId="4DB54F02" w14:textId="77777777" w:rsidR="00C167F7" w:rsidRPr="00F372FF" w:rsidRDefault="00C167F7" w:rsidP="00154EE6">
            <w:pPr>
              <w:pStyle w:val="NoSpacing"/>
              <w:rPr>
                <w:color w:val="010205"/>
                <w:lang w:val="en-GB"/>
              </w:rPr>
            </w:pPr>
            <w:r w:rsidRPr="00F372FF">
              <w:rPr>
                <w:color w:val="010205"/>
                <w:lang w:val="en-GB"/>
              </w:rPr>
              <w:t> CERQ catastrophizing subscale</w:t>
            </w:r>
          </w:p>
        </w:tc>
      </w:tr>
      <w:tr w:rsidR="00C167F7" w:rsidRPr="00F372FF" w14:paraId="7B761AF3" w14:textId="77777777" w:rsidTr="00154EE6">
        <w:trPr>
          <w:cantSplit/>
          <w:trHeight w:val="278"/>
        </w:trPr>
        <w:tc>
          <w:tcPr>
            <w:tcW w:w="0" w:type="auto"/>
            <w:tcBorders>
              <w:top w:val="nil"/>
              <w:right w:val="nil"/>
            </w:tcBorders>
            <w:noWrap/>
            <w:vAlign w:val="center"/>
            <w:hideMark/>
          </w:tcPr>
          <w:p w14:paraId="3388D259" w14:textId="77777777" w:rsidR="00C167F7" w:rsidRPr="00F372FF" w:rsidRDefault="00C167F7" w:rsidP="00154EE6">
            <w:pPr>
              <w:pStyle w:val="NoSpacing"/>
              <w:rPr>
                <w:lang w:val="en-GB"/>
              </w:rPr>
            </w:pPr>
            <w:proofErr w:type="spellStart"/>
            <w:r w:rsidRPr="00F372FF">
              <w:rPr>
                <w:lang w:val="en-GB"/>
              </w:rPr>
              <w:t>CERQ_blameothers</w:t>
            </w:r>
            <w:proofErr w:type="spellEnd"/>
          </w:p>
        </w:tc>
        <w:tc>
          <w:tcPr>
            <w:tcW w:w="0" w:type="auto"/>
            <w:tcBorders>
              <w:top w:val="nil"/>
              <w:left w:val="nil"/>
            </w:tcBorders>
            <w:vAlign w:val="center"/>
            <w:hideMark/>
          </w:tcPr>
          <w:p w14:paraId="22FA680A" w14:textId="77777777" w:rsidR="00C167F7" w:rsidRPr="00F372FF" w:rsidRDefault="00C167F7" w:rsidP="00154EE6">
            <w:pPr>
              <w:pStyle w:val="NoSpacing"/>
              <w:rPr>
                <w:color w:val="010205"/>
                <w:lang w:val="en-GB"/>
              </w:rPr>
            </w:pPr>
            <w:r w:rsidRPr="00F372FF">
              <w:rPr>
                <w:color w:val="010205"/>
                <w:lang w:val="en-GB"/>
              </w:rPr>
              <w:t> CERQ blaming others subscale</w:t>
            </w:r>
          </w:p>
        </w:tc>
      </w:tr>
      <w:tr w:rsidR="00C167F7" w:rsidRPr="00F372FF" w14:paraId="58A42D77" w14:textId="77777777" w:rsidTr="00154EE6">
        <w:trPr>
          <w:cantSplit/>
          <w:trHeight w:val="278"/>
        </w:trPr>
        <w:tc>
          <w:tcPr>
            <w:tcW w:w="0" w:type="auto"/>
            <w:gridSpan w:val="2"/>
            <w:tcBorders>
              <w:bottom w:val="nil"/>
            </w:tcBorders>
            <w:noWrap/>
            <w:vAlign w:val="center"/>
          </w:tcPr>
          <w:p w14:paraId="7CF4DBE0" w14:textId="77777777" w:rsidR="00C167F7" w:rsidRPr="00F372FF" w:rsidRDefault="00C167F7" w:rsidP="00154EE6">
            <w:pPr>
              <w:pStyle w:val="NoSpacing"/>
              <w:rPr>
                <w:i/>
                <w:iCs/>
                <w:color w:val="010205"/>
                <w:lang w:val="en-GB"/>
              </w:rPr>
            </w:pPr>
            <w:r w:rsidRPr="00F372FF">
              <w:rPr>
                <w:i/>
                <w:iCs/>
                <w:color w:val="010205"/>
                <w:lang w:val="en-GB"/>
              </w:rPr>
              <w:t xml:space="preserve">Cognitive </w:t>
            </w:r>
            <w:proofErr w:type="spellStart"/>
            <w:r w:rsidRPr="00F372FF">
              <w:rPr>
                <w:i/>
                <w:iCs/>
                <w:color w:val="010205"/>
                <w:lang w:val="en-GB"/>
              </w:rPr>
              <w:t>Behavior</w:t>
            </w:r>
            <w:proofErr w:type="spellEnd"/>
            <w:r w:rsidRPr="00F372FF">
              <w:rPr>
                <w:i/>
                <w:iCs/>
                <w:color w:val="010205"/>
                <w:lang w:val="en-GB"/>
              </w:rPr>
              <w:t xml:space="preserve"> Therapy Skills Questionnaire (CBTSQ)</w:t>
            </w:r>
          </w:p>
        </w:tc>
      </w:tr>
      <w:tr w:rsidR="00C167F7" w:rsidRPr="00F372FF" w14:paraId="3A5DCB42" w14:textId="77777777" w:rsidTr="00154EE6">
        <w:trPr>
          <w:cantSplit/>
          <w:trHeight w:val="278"/>
        </w:trPr>
        <w:tc>
          <w:tcPr>
            <w:tcW w:w="0" w:type="auto"/>
            <w:tcBorders>
              <w:top w:val="nil"/>
              <w:bottom w:val="nil"/>
              <w:right w:val="nil"/>
            </w:tcBorders>
            <w:noWrap/>
            <w:vAlign w:val="center"/>
          </w:tcPr>
          <w:p w14:paraId="2D710945" w14:textId="77777777" w:rsidR="00C167F7" w:rsidRPr="00F372FF" w:rsidRDefault="00C167F7" w:rsidP="00154EE6">
            <w:pPr>
              <w:pStyle w:val="NoSpacing"/>
              <w:rPr>
                <w:lang w:val="en-GB"/>
              </w:rPr>
            </w:pPr>
            <w:proofErr w:type="spellStart"/>
            <w:r w:rsidRPr="00F372FF">
              <w:rPr>
                <w:lang w:val="en-GB"/>
              </w:rPr>
              <w:t>CBTSQ_total</w:t>
            </w:r>
            <w:proofErr w:type="spellEnd"/>
          </w:p>
        </w:tc>
        <w:tc>
          <w:tcPr>
            <w:tcW w:w="0" w:type="auto"/>
            <w:tcBorders>
              <w:top w:val="nil"/>
              <w:left w:val="nil"/>
              <w:bottom w:val="nil"/>
            </w:tcBorders>
            <w:vAlign w:val="center"/>
          </w:tcPr>
          <w:p w14:paraId="647D6A24" w14:textId="77777777" w:rsidR="00C167F7" w:rsidRPr="00F372FF" w:rsidRDefault="00C167F7" w:rsidP="00154EE6">
            <w:pPr>
              <w:pStyle w:val="NoSpacing"/>
              <w:rPr>
                <w:color w:val="010205"/>
                <w:lang w:val="en-GB"/>
              </w:rPr>
            </w:pPr>
            <w:r w:rsidRPr="00F372FF">
              <w:rPr>
                <w:color w:val="010205"/>
                <w:lang w:val="en-GB"/>
              </w:rPr>
              <w:t>CBTSQ total score</w:t>
            </w:r>
          </w:p>
        </w:tc>
      </w:tr>
      <w:tr w:rsidR="00C167F7" w:rsidRPr="00F372FF" w14:paraId="058DD42D" w14:textId="77777777" w:rsidTr="00154EE6">
        <w:trPr>
          <w:cantSplit/>
          <w:trHeight w:val="278"/>
        </w:trPr>
        <w:tc>
          <w:tcPr>
            <w:tcW w:w="0" w:type="auto"/>
            <w:tcBorders>
              <w:top w:val="nil"/>
              <w:bottom w:val="nil"/>
              <w:right w:val="nil"/>
            </w:tcBorders>
            <w:noWrap/>
            <w:vAlign w:val="center"/>
          </w:tcPr>
          <w:p w14:paraId="3B4B7732" w14:textId="77777777" w:rsidR="00C167F7" w:rsidRPr="00F372FF" w:rsidRDefault="00C167F7" w:rsidP="00154EE6">
            <w:pPr>
              <w:pStyle w:val="NoSpacing"/>
              <w:rPr>
                <w:lang w:val="en-GB"/>
              </w:rPr>
            </w:pPr>
            <w:proofErr w:type="spellStart"/>
            <w:r w:rsidRPr="00F372FF">
              <w:rPr>
                <w:lang w:val="en-GB"/>
              </w:rPr>
              <w:t>CBTSQ_behavioural_activation</w:t>
            </w:r>
            <w:proofErr w:type="spellEnd"/>
          </w:p>
        </w:tc>
        <w:tc>
          <w:tcPr>
            <w:tcW w:w="0" w:type="auto"/>
            <w:tcBorders>
              <w:top w:val="nil"/>
              <w:left w:val="nil"/>
              <w:bottom w:val="nil"/>
            </w:tcBorders>
            <w:vAlign w:val="center"/>
          </w:tcPr>
          <w:p w14:paraId="5928994C" w14:textId="77777777" w:rsidR="00C167F7" w:rsidRPr="00F372FF" w:rsidRDefault="00C167F7" w:rsidP="00154EE6">
            <w:pPr>
              <w:pStyle w:val="NoSpacing"/>
              <w:rPr>
                <w:color w:val="010205"/>
                <w:lang w:val="en-GB"/>
              </w:rPr>
            </w:pPr>
            <w:r w:rsidRPr="00F372FF">
              <w:rPr>
                <w:color w:val="010205"/>
                <w:lang w:val="en-GB"/>
              </w:rPr>
              <w:t>CBTSQ behavio</w:t>
            </w:r>
            <w:r>
              <w:rPr>
                <w:color w:val="010205"/>
                <w:lang w:val="en-GB"/>
              </w:rPr>
              <w:t>u</w:t>
            </w:r>
            <w:r w:rsidRPr="00F372FF">
              <w:rPr>
                <w:color w:val="010205"/>
                <w:lang w:val="en-GB"/>
              </w:rPr>
              <w:t>ral activation subscale</w:t>
            </w:r>
          </w:p>
        </w:tc>
      </w:tr>
      <w:tr w:rsidR="00C167F7" w:rsidRPr="00F372FF" w14:paraId="63006482" w14:textId="77777777" w:rsidTr="00154EE6">
        <w:trPr>
          <w:cantSplit/>
          <w:trHeight w:val="278"/>
        </w:trPr>
        <w:tc>
          <w:tcPr>
            <w:tcW w:w="0" w:type="auto"/>
            <w:tcBorders>
              <w:top w:val="nil"/>
              <w:right w:val="nil"/>
            </w:tcBorders>
            <w:noWrap/>
            <w:vAlign w:val="center"/>
          </w:tcPr>
          <w:p w14:paraId="2D11747A" w14:textId="77777777" w:rsidR="00C167F7" w:rsidRPr="00F372FF" w:rsidRDefault="00C167F7" w:rsidP="00154EE6">
            <w:pPr>
              <w:pStyle w:val="NoSpacing"/>
              <w:rPr>
                <w:lang w:val="en-GB"/>
              </w:rPr>
            </w:pPr>
            <w:proofErr w:type="spellStart"/>
            <w:r w:rsidRPr="00F372FF">
              <w:rPr>
                <w:lang w:val="en-GB"/>
              </w:rPr>
              <w:t>CBTSQ_cognitive_restructuring</w:t>
            </w:r>
            <w:proofErr w:type="spellEnd"/>
          </w:p>
        </w:tc>
        <w:tc>
          <w:tcPr>
            <w:tcW w:w="0" w:type="auto"/>
            <w:tcBorders>
              <w:top w:val="nil"/>
              <w:left w:val="nil"/>
            </w:tcBorders>
            <w:vAlign w:val="center"/>
          </w:tcPr>
          <w:p w14:paraId="11AE33A8" w14:textId="77777777" w:rsidR="00C167F7" w:rsidRPr="00F372FF" w:rsidRDefault="00C167F7" w:rsidP="00154EE6">
            <w:pPr>
              <w:pStyle w:val="NoSpacing"/>
              <w:rPr>
                <w:color w:val="010205"/>
                <w:lang w:val="en-GB"/>
              </w:rPr>
            </w:pPr>
            <w:r w:rsidRPr="00F372FF">
              <w:rPr>
                <w:color w:val="010205"/>
                <w:lang w:val="en-GB"/>
              </w:rPr>
              <w:t>CBTSQ cognitive restructuring subscale</w:t>
            </w:r>
          </w:p>
        </w:tc>
      </w:tr>
      <w:tr w:rsidR="00C167F7" w:rsidRPr="00F372FF" w14:paraId="668E4051" w14:textId="77777777" w:rsidTr="00154EE6">
        <w:trPr>
          <w:cantSplit/>
          <w:trHeight w:val="278"/>
        </w:trPr>
        <w:tc>
          <w:tcPr>
            <w:tcW w:w="0" w:type="auto"/>
            <w:gridSpan w:val="2"/>
            <w:tcBorders>
              <w:bottom w:val="nil"/>
            </w:tcBorders>
            <w:noWrap/>
            <w:vAlign w:val="center"/>
          </w:tcPr>
          <w:p w14:paraId="211CBD13" w14:textId="77777777" w:rsidR="00C167F7" w:rsidRPr="00F372FF" w:rsidRDefault="00C167F7" w:rsidP="00154EE6">
            <w:pPr>
              <w:pStyle w:val="NoSpacing"/>
              <w:rPr>
                <w:i/>
                <w:iCs/>
                <w:color w:val="010205"/>
                <w:lang w:val="en-GB"/>
              </w:rPr>
            </w:pPr>
            <w:r w:rsidRPr="00F372FF">
              <w:rPr>
                <w:i/>
                <w:iCs/>
                <w:color w:val="010205"/>
                <w:lang w:val="en-GB"/>
              </w:rPr>
              <w:t>Other measures</w:t>
            </w:r>
          </w:p>
        </w:tc>
      </w:tr>
      <w:tr w:rsidR="00C167F7" w:rsidRPr="00F372FF" w14:paraId="5D20CC2C" w14:textId="77777777" w:rsidTr="00154EE6">
        <w:trPr>
          <w:cantSplit/>
          <w:trHeight w:val="278"/>
        </w:trPr>
        <w:tc>
          <w:tcPr>
            <w:tcW w:w="0" w:type="auto"/>
            <w:tcBorders>
              <w:top w:val="nil"/>
              <w:bottom w:val="nil"/>
              <w:right w:val="nil"/>
            </w:tcBorders>
            <w:noWrap/>
            <w:vAlign w:val="center"/>
          </w:tcPr>
          <w:p w14:paraId="7A464906" w14:textId="77777777" w:rsidR="00C167F7" w:rsidRPr="00F372FF" w:rsidRDefault="00C167F7" w:rsidP="00154EE6">
            <w:pPr>
              <w:pStyle w:val="NoSpacing"/>
              <w:rPr>
                <w:lang w:val="en-GB"/>
              </w:rPr>
            </w:pPr>
            <w:proofErr w:type="spellStart"/>
            <w:r w:rsidRPr="00F372FF">
              <w:rPr>
                <w:lang w:val="en-GB"/>
              </w:rPr>
              <w:t>YMRS_total</w:t>
            </w:r>
            <w:proofErr w:type="spellEnd"/>
          </w:p>
        </w:tc>
        <w:tc>
          <w:tcPr>
            <w:tcW w:w="0" w:type="auto"/>
            <w:tcBorders>
              <w:top w:val="nil"/>
              <w:left w:val="nil"/>
              <w:bottom w:val="nil"/>
            </w:tcBorders>
            <w:vAlign w:val="center"/>
          </w:tcPr>
          <w:p w14:paraId="756C7711" w14:textId="77777777" w:rsidR="00C167F7" w:rsidRPr="00F372FF" w:rsidRDefault="00C167F7" w:rsidP="00154EE6">
            <w:pPr>
              <w:pStyle w:val="NoSpacing"/>
              <w:rPr>
                <w:color w:val="010205"/>
                <w:lang w:val="en-GB"/>
              </w:rPr>
            </w:pPr>
            <w:r w:rsidRPr="00F372FF">
              <w:rPr>
                <w:color w:val="010205"/>
                <w:lang w:val="en-GB"/>
              </w:rPr>
              <w:t>Young Mania Rating Scale total score</w:t>
            </w:r>
          </w:p>
        </w:tc>
      </w:tr>
      <w:tr w:rsidR="00C167F7" w:rsidRPr="00F372FF" w14:paraId="65E25F5C" w14:textId="77777777" w:rsidTr="00154EE6">
        <w:trPr>
          <w:cantSplit/>
          <w:trHeight w:val="278"/>
        </w:trPr>
        <w:tc>
          <w:tcPr>
            <w:tcW w:w="0" w:type="auto"/>
            <w:tcBorders>
              <w:top w:val="nil"/>
              <w:bottom w:val="nil"/>
              <w:right w:val="nil"/>
            </w:tcBorders>
            <w:noWrap/>
            <w:vAlign w:val="center"/>
            <w:hideMark/>
          </w:tcPr>
          <w:p w14:paraId="4E459DB5" w14:textId="77777777" w:rsidR="00C167F7" w:rsidRPr="00F372FF" w:rsidRDefault="00C167F7" w:rsidP="00154EE6">
            <w:pPr>
              <w:pStyle w:val="NoSpacing"/>
              <w:rPr>
                <w:lang w:val="en-GB"/>
              </w:rPr>
            </w:pPr>
            <w:proofErr w:type="spellStart"/>
            <w:r w:rsidRPr="00F372FF">
              <w:rPr>
                <w:lang w:val="en-GB"/>
              </w:rPr>
              <w:t>BSDS_total</w:t>
            </w:r>
            <w:proofErr w:type="spellEnd"/>
          </w:p>
        </w:tc>
        <w:tc>
          <w:tcPr>
            <w:tcW w:w="0" w:type="auto"/>
            <w:tcBorders>
              <w:top w:val="nil"/>
              <w:left w:val="nil"/>
              <w:bottom w:val="nil"/>
            </w:tcBorders>
            <w:vAlign w:val="center"/>
            <w:hideMark/>
          </w:tcPr>
          <w:p w14:paraId="5FC00DE8" w14:textId="77777777" w:rsidR="00C167F7" w:rsidRPr="00F372FF" w:rsidRDefault="00C167F7" w:rsidP="00154EE6">
            <w:pPr>
              <w:pStyle w:val="NoSpacing"/>
              <w:rPr>
                <w:color w:val="010205"/>
                <w:lang w:val="en-GB"/>
              </w:rPr>
            </w:pPr>
            <w:r w:rsidRPr="00F372FF">
              <w:rPr>
                <w:color w:val="010205"/>
                <w:lang w:val="en-GB"/>
              </w:rPr>
              <w:t>Bipolar Disorder Spectrum Diagnostic Scale total score</w:t>
            </w:r>
          </w:p>
        </w:tc>
      </w:tr>
      <w:tr w:rsidR="00C167F7" w:rsidRPr="00F372FF" w14:paraId="55009D82" w14:textId="77777777" w:rsidTr="00154EE6">
        <w:trPr>
          <w:cantSplit/>
          <w:trHeight w:val="278"/>
        </w:trPr>
        <w:tc>
          <w:tcPr>
            <w:tcW w:w="0" w:type="auto"/>
            <w:tcBorders>
              <w:top w:val="nil"/>
              <w:bottom w:val="nil"/>
              <w:right w:val="nil"/>
            </w:tcBorders>
            <w:noWrap/>
            <w:vAlign w:val="center"/>
          </w:tcPr>
          <w:p w14:paraId="387143B5" w14:textId="77777777" w:rsidR="00C167F7" w:rsidRPr="00F372FF" w:rsidRDefault="00C167F7" w:rsidP="00154EE6">
            <w:pPr>
              <w:pStyle w:val="NoSpacing"/>
              <w:rPr>
                <w:lang w:val="en-GB"/>
              </w:rPr>
            </w:pPr>
            <w:proofErr w:type="spellStart"/>
            <w:r w:rsidRPr="00F372FF">
              <w:rPr>
                <w:lang w:val="en-GB"/>
              </w:rPr>
              <w:t>AUDIT_total</w:t>
            </w:r>
            <w:proofErr w:type="spellEnd"/>
          </w:p>
        </w:tc>
        <w:tc>
          <w:tcPr>
            <w:tcW w:w="0" w:type="auto"/>
            <w:tcBorders>
              <w:top w:val="nil"/>
              <w:left w:val="nil"/>
              <w:bottom w:val="nil"/>
            </w:tcBorders>
            <w:vAlign w:val="center"/>
          </w:tcPr>
          <w:p w14:paraId="6C3F572F" w14:textId="77777777" w:rsidR="00C167F7" w:rsidRPr="00F372FF" w:rsidRDefault="00C167F7" w:rsidP="00154EE6">
            <w:pPr>
              <w:pStyle w:val="NoSpacing"/>
              <w:rPr>
                <w:color w:val="010205"/>
                <w:lang w:val="en-GB"/>
              </w:rPr>
            </w:pPr>
            <w:r w:rsidRPr="00F372FF">
              <w:rPr>
                <w:color w:val="010205"/>
                <w:lang w:val="en-GB"/>
              </w:rPr>
              <w:t>Alcohol Use Disorders Identification Test total score</w:t>
            </w:r>
          </w:p>
        </w:tc>
      </w:tr>
      <w:tr w:rsidR="00C167F7" w:rsidRPr="00F372FF" w14:paraId="3C491F0C" w14:textId="77777777" w:rsidTr="00154EE6">
        <w:trPr>
          <w:cantSplit/>
          <w:trHeight w:val="278"/>
        </w:trPr>
        <w:tc>
          <w:tcPr>
            <w:tcW w:w="0" w:type="auto"/>
            <w:tcBorders>
              <w:top w:val="nil"/>
              <w:bottom w:val="nil"/>
              <w:right w:val="nil"/>
            </w:tcBorders>
            <w:noWrap/>
            <w:vAlign w:val="center"/>
          </w:tcPr>
          <w:p w14:paraId="13A772C0" w14:textId="77777777" w:rsidR="00C167F7" w:rsidRPr="00F372FF" w:rsidRDefault="00C167F7" w:rsidP="00154EE6">
            <w:pPr>
              <w:pStyle w:val="NoSpacing"/>
              <w:rPr>
                <w:lang w:val="en-GB"/>
              </w:rPr>
            </w:pPr>
            <w:proofErr w:type="spellStart"/>
            <w:r w:rsidRPr="00F372FF">
              <w:rPr>
                <w:lang w:val="en-GB"/>
              </w:rPr>
              <w:t>SOFAS_total</w:t>
            </w:r>
            <w:proofErr w:type="spellEnd"/>
          </w:p>
        </w:tc>
        <w:tc>
          <w:tcPr>
            <w:tcW w:w="0" w:type="auto"/>
            <w:tcBorders>
              <w:top w:val="nil"/>
              <w:left w:val="nil"/>
              <w:bottom w:val="nil"/>
            </w:tcBorders>
            <w:vAlign w:val="center"/>
          </w:tcPr>
          <w:p w14:paraId="19E9E028" w14:textId="77777777" w:rsidR="00C167F7" w:rsidRPr="00F372FF" w:rsidRDefault="00C167F7" w:rsidP="00154EE6">
            <w:pPr>
              <w:pStyle w:val="NoSpacing"/>
              <w:rPr>
                <w:color w:val="010205"/>
                <w:lang w:val="en-GB"/>
              </w:rPr>
            </w:pPr>
            <w:r w:rsidRPr="00F372FF">
              <w:rPr>
                <w:lang w:val="en-GB"/>
              </w:rPr>
              <w:t>Social and Occupational Functioning Assessment Scale total score</w:t>
            </w:r>
          </w:p>
        </w:tc>
      </w:tr>
      <w:tr w:rsidR="00C167F7" w:rsidRPr="00F372FF" w14:paraId="4730A8EC" w14:textId="77777777" w:rsidTr="00154EE6">
        <w:trPr>
          <w:cantSplit/>
          <w:trHeight w:val="283"/>
        </w:trPr>
        <w:tc>
          <w:tcPr>
            <w:tcW w:w="0" w:type="auto"/>
            <w:tcBorders>
              <w:top w:val="nil"/>
              <w:bottom w:val="nil"/>
              <w:right w:val="nil"/>
            </w:tcBorders>
            <w:noWrap/>
            <w:vAlign w:val="center"/>
            <w:hideMark/>
          </w:tcPr>
          <w:p w14:paraId="5C38D1E5" w14:textId="77777777" w:rsidR="00C167F7" w:rsidRPr="00F372FF" w:rsidRDefault="00C167F7" w:rsidP="00154EE6">
            <w:pPr>
              <w:pStyle w:val="NoSpacing"/>
              <w:rPr>
                <w:lang w:val="en-GB"/>
              </w:rPr>
            </w:pPr>
            <w:proofErr w:type="spellStart"/>
            <w:r w:rsidRPr="00F372FF">
              <w:rPr>
                <w:lang w:val="en-GB"/>
              </w:rPr>
              <w:t>QLES_total</w:t>
            </w:r>
            <w:proofErr w:type="spellEnd"/>
          </w:p>
        </w:tc>
        <w:tc>
          <w:tcPr>
            <w:tcW w:w="0" w:type="auto"/>
            <w:tcBorders>
              <w:top w:val="nil"/>
              <w:left w:val="nil"/>
              <w:bottom w:val="nil"/>
            </w:tcBorders>
            <w:vAlign w:val="center"/>
            <w:hideMark/>
          </w:tcPr>
          <w:p w14:paraId="0AD9236C" w14:textId="77777777" w:rsidR="00C167F7" w:rsidRPr="00F372FF" w:rsidRDefault="00C167F7" w:rsidP="00154EE6">
            <w:pPr>
              <w:pStyle w:val="NoSpacing"/>
              <w:rPr>
                <w:color w:val="010205"/>
                <w:lang w:val="en-GB"/>
              </w:rPr>
            </w:pPr>
            <w:r w:rsidRPr="00F372FF">
              <w:rPr>
                <w:color w:val="010205"/>
                <w:lang w:val="en-GB"/>
              </w:rPr>
              <w:t>Quality of Life Enjoyment and Satisfaction total score</w:t>
            </w:r>
          </w:p>
        </w:tc>
      </w:tr>
      <w:tr w:rsidR="00C167F7" w:rsidRPr="00F372FF" w14:paraId="08BC0552" w14:textId="77777777" w:rsidTr="00154EE6">
        <w:trPr>
          <w:cantSplit/>
          <w:trHeight w:val="283"/>
        </w:trPr>
        <w:tc>
          <w:tcPr>
            <w:tcW w:w="0" w:type="auto"/>
            <w:tcBorders>
              <w:top w:val="nil"/>
              <w:bottom w:val="nil"/>
              <w:right w:val="nil"/>
            </w:tcBorders>
            <w:noWrap/>
            <w:vAlign w:val="center"/>
            <w:hideMark/>
          </w:tcPr>
          <w:p w14:paraId="30CD328A" w14:textId="77777777" w:rsidR="00C167F7" w:rsidRPr="00F372FF" w:rsidRDefault="00C167F7" w:rsidP="00154EE6">
            <w:pPr>
              <w:pStyle w:val="NoSpacing"/>
              <w:rPr>
                <w:lang w:val="en-GB"/>
              </w:rPr>
            </w:pPr>
            <w:proofErr w:type="spellStart"/>
            <w:r w:rsidRPr="00F372FF">
              <w:rPr>
                <w:lang w:val="en-GB"/>
              </w:rPr>
              <w:t>SASSR_total</w:t>
            </w:r>
            <w:proofErr w:type="spellEnd"/>
          </w:p>
        </w:tc>
        <w:tc>
          <w:tcPr>
            <w:tcW w:w="0" w:type="auto"/>
            <w:tcBorders>
              <w:top w:val="nil"/>
              <w:left w:val="nil"/>
              <w:bottom w:val="nil"/>
            </w:tcBorders>
            <w:vAlign w:val="center"/>
            <w:hideMark/>
          </w:tcPr>
          <w:p w14:paraId="4B189294" w14:textId="77777777" w:rsidR="00C167F7" w:rsidRPr="00F372FF" w:rsidRDefault="00C167F7" w:rsidP="00154EE6">
            <w:pPr>
              <w:pStyle w:val="NoSpacing"/>
              <w:rPr>
                <w:lang w:val="en-GB"/>
              </w:rPr>
            </w:pPr>
            <w:r w:rsidRPr="00F372FF">
              <w:rPr>
                <w:lang w:val="en-GB"/>
              </w:rPr>
              <w:t>Social Adjustment Scale-Self-Report total score</w:t>
            </w:r>
          </w:p>
        </w:tc>
      </w:tr>
      <w:tr w:rsidR="00C167F7" w:rsidRPr="00F372FF" w14:paraId="19784A60" w14:textId="77777777" w:rsidTr="00154EE6">
        <w:trPr>
          <w:cantSplit/>
          <w:trHeight w:val="283"/>
        </w:trPr>
        <w:tc>
          <w:tcPr>
            <w:tcW w:w="0" w:type="auto"/>
            <w:tcBorders>
              <w:top w:val="nil"/>
              <w:bottom w:val="nil"/>
              <w:right w:val="nil"/>
            </w:tcBorders>
            <w:noWrap/>
            <w:vAlign w:val="center"/>
          </w:tcPr>
          <w:p w14:paraId="3024CE31" w14:textId="77777777" w:rsidR="00C167F7" w:rsidRPr="00F372FF" w:rsidRDefault="00C167F7" w:rsidP="00154EE6">
            <w:pPr>
              <w:pStyle w:val="NoSpacing"/>
              <w:rPr>
                <w:lang w:val="en-GB"/>
              </w:rPr>
            </w:pPr>
            <w:proofErr w:type="spellStart"/>
            <w:r w:rsidRPr="00F372FF">
              <w:rPr>
                <w:lang w:val="en-GB"/>
              </w:rPr>
              <w:t>WTAR_total</w:t>
            </w:r>
            <w:proofErr w:type="spellEnd"/>
          </w:p>
        </w:tc>
        <w:tc>
          <w:tcPr>
            <w:tcW w:w="0" w:type="auto"/>
            <w:tcBorders>
              <w:top w:val="nil"/>
              <w:left w:val="nil"/>
              <w:bottom w:val="nil"/>
            </w:tcBorders>
            <w:vAlign w:val="center"/>
          </w:tcPr>
          <w:p w14:paraId="0F06F882" w14:textId="77777777" w:rsidR="00C167F7" w:rsidRPr="00F372FF" w:rsidRDefault="00C167F7" w:rsidP="00154EE6">
            <w:pPr>
              <w:pStyle w:val="NoSpacing"/>
              <w:rPr>
                <w:lang w:val="en-GB"/>
              </w:rPr>
            </w:pPr>
            <w:r w:rsidRPr="00F372FF">
              <w:rPr>
                <w:color w:val="010205"/>
                <w:lang w:val="en-GB"/>
              </w:rPr>
              <w:t>Weschler Test of Adult Reading total score</w:t>
            </w:r>
          </w:p>
        </w:tc>
      </w:tr>
      <w:tr w:rsidR="00C167F7" w:rsidRPr="00F372FF" w14:paraId="24BA970E" w14:textId="77777777" w:rsidTr="00154EE6">
        <w:trPr>
          <w:cantSplit/>
          <w:trHeight w:val="283"/>
        </w:trPr>
        <w:tc>
          <w:tcPr>
            <w:tcW w:w="0" w:type="auto"/>
            <w:tcBorders>
              <w:top w:val="nil"/>
              <w:right w:val="nil"/>
            </w:tcBorders>
            <w:noWrap/>
            <w:vAlign w:val="center"/>
            <w:hideMark/>
          </w:tcPr>
          <w:p w14:paraId="36CA12BA" w14:textId="77777777" w:rsidR="00C167F7" w:rsidRPr="00F372FF" w:rsidRDefault="00C167F7" w:rsidP="00154EE6">
            <w:pPr>
              <w:pStyle w:val="NoSpacing"/>
              <w:rPr>
                <w:lang w:val="en-GB"/>
              </w:rPr>
            </w:pPr>
            <w:proofErr w:type="spellStart"/>
            <w:r w:rsidRPr="00F372FF">
              <w:rPr>
                <w:lang w:val="en-GB"/>
              </w:rPr>
              <w:t>NPOQ_total</w:t>
            </w:r>
            <w:proofErr w:type="spellEnd"/>
          </w:p>
        </w:tc>
        <w:tc>
          <w:tcPr>
            <w:tcW w:w="0" w:type="auto"/>
            <w:tcBorders>
              <w:top w:val="nil"/>
              <w:left w:val="nil"/>
            </w:tcBorders>
            <w:vAlign w:val="center"/>
            <w:hideMark/>
          </w:tcPr>
          <w:p w14:paraId="013D38D9" w14:textId="77777777" w:rsidR="00C167F7" w:rsidRPr="00F372FF" w:rsidRDefault="00C167F7" w:rsidP="00154EE6">
            <w:pPr>
              <w:pStyle w:val="NoSpacing"/>
              <w:rPr>
                <w:lang w:val="en-GB"/>
              </w:rPr>
            </w:pPr>
            <w:r w:rsidRPr="00F372FF">
              <w:rPr>
                <w:lang w:val="en-GB"/>
              </w:rPr>
              <w:t>Negative Problem Orientation Questionnaire total score</w:t>
            </w:r>
          </w:p>
        </w:tc>
      </w:tr>
    </w:tbl>
    <w:p w14:paraId="2541ACBC" w14:textId="77777777" w:rsidR="00C167F7" w:rsidRPr="00F372FF" w:rsidRDefault="00C167F7" w:rsidP="00C167F7">
      <w:pPr>
        <w:spacing w:after="0"/>
        <w:rPr>
          <w:b/>
          <w:lang w:val="en-GB"/>
        </w:rPr>
      </w:pPr>
      <w:r w:rsidRPr="00F372FF">
        <w:rPr>
          <w:lang w:val="en-GB"/>
        </w:rPr>
        <w:br w:type="page"/>
      </w:r>
    </w:p>
    <w:p w14:paraId="638C738F" w14:textId="77777777" w:rsidR="00C167F7" w:rsidRPr="00F372FF" w:rsidRDefault="00C167F7" w:rsidP="00C167F7">
      <w:pPr>
        <w:pStyle w:val="Heading2"/>
        <w:rPr>
          <w:lang w:val="en-GB"/>
        </w:rPr>
      </w:pPr>
      <w:bookmarkStart w:id="2" w:name="OLE_LINK147"/>
      <w:bookmarkStart w:id="3" w:name="OLE_LINK148"/>
      <w:bookmarkStart w:id="4" w:name="OLE_LINK269"/>
      <w:bookmarkStart w:id="5" w:name="OLE_LINK270"/>
      <w:r w:rsidRPr="00F372FF">
        <w:rPr>
          <w:lang w:val="en-GB"/>
        </w:rPr>
        <w:lastRenderedPageBreak/>
        <w:t xml:space="preserve">Supplementary Table 2: </w:t>
      </w:r>
      <w:r w:rsidRPr="00F372FF">
        <w:rPr>
          <w:b w:val="0"/>
          <w:bCs/>
          <w:lang w:val="en-GB"/>
        </w:rPr>
        <w:t>Baseline characteristics of the trial participants</w:t>
      </w:r>
      <w:bookmarkStart w:id="6" w:name="OLE_LINK12"/>
      <w:bookmarkStart w:id="7" w:name="OLE_LINK13"/>
      <w:r w:rsidRPr="00F372FF">
        <w:rPr>
          <w:b w:val="0"/>
          <w:bCs/>
          <w:lang w:val="en-GB"/>
        </w:rPr>
        <w:t xml:space="preserve"> included in fMRI analyses compared to trial participants who were not included.</w:t>
      </w:r>
    </w:p>
    <w:tbl>
      <w:tblPr>
        <w:tblpPr w:leftFromText="180" w:rightFromText="180" w:vertAnchor="text" w:tblpY="1"/>
        <w:tblOverlap w:val="never"/>
        <w:tblW w:w="3615" w:type="pct"/>
        <w:tblLook w:val="04A0" w:firstRow="1" w:lastRow="0" w:firstColumn="1" w:lastColumn="0" w:noHBand="0" w:noVBand="1"/>
      </w:tblPr>
      <w:tblGrid>
        <w:gridCol w:w="2082"/>
        <w:gridCol w:w="1252"/>
        <w:gridCol w:w="1210"/>
        <w:gridCol w:w="1210"/>
        <w:gridCol w:w="1210"/>
      </w:tblGrid>
      <w:tr w:rsidR="00C167F7" w:rsidRPr="00F372FF" w14:paraId="07E2C3F1" w14:textId="77777777" w:rsidTr="00154EE6">
        <w:trPr>
          <w:trHeight w:val="284"/>
        </w:trPr>
        <w:tc>
          <w:tcPr>
            <w:tcW w:w="1494" w:type="pct"/>
            <w:tcBorders>
              <w:top w:val="nil"/>
              <w:left w:val="nil"/>
              <w:right w:val="nil"/>
            </w:tcBorders>
            <w:vAlign w:val="bottom"/>
          </w:tcPr>
          <w:p w14:paraId="1E3A338B" w14:textId="77777777" w:rsidR="00C167F7" w:rsidRPr="00F372FF" w:rsidRDefault="00C167F7" w:rsidP="00154EE6">
            <w:pPr>
              <w:pStyle w:val="NoSpacing"/>
              <w:rPr>
                <w:lang w:val="en-GB"/>
              </w:rPr>
            </w:pPr>
            <w:bookmarkStart w:id="8" w:name="OLE_LINK33"/>
            <w:bookmarkStart w:id="9" w:name="OLE_LINK34"/>
            <w:bookmarkEnd w:id="2"/>
            <w:bookmarkEnd w:id="3"/>
            <w:r w:rsidRPr="00F372FF">
              <w:rPr>
                <w:b/>
                <w:lang w:val="en-GB"/>
              </w:rPr>
              <w:t>Baseline characteristic</w:t>
            </w:r>
          </w:p>
        </w:tc>
        <w:tc>
          <w:tcPr>
            <w:tcW w:w="898" w:type="pct"/>
            <w:tcBorders>
              <w:top w:val="nil"/>
              <w:left w:val="nil"/>
              <w:right w:val="nil"/>
            </w:tcBorders>
            <w:vAlign w:val="bottom"/>
          </w:tcPr>
          <w:p w14:paraId="39D81D95" w14:textId="77777777" w:rsidR="00C167F7" w:rsidRPr="00F372FF" w:rsidRDefault="00C167F7" w:rsidP="00154EE6">
            <w:pPr>
              <w:pStyle w:val="NoSpacing"/>
              <w:rPr>
                <w:lang w:val="en-GB"/>
              </w:rPr>
            </w:pPr>
            <w:r w:rsidRPr="00F372FF">
              <w:rPr>
                <w:b/>
                <w:lang w:val="en-GB"/>
              </w:rPr>
              <w:t>Descriptive statistic</w:t>
            </w:r>
          </w:p>
        </w:tc>
        <w:tc>
          <w:tcPr>
            <w:tcW w:w="869" w:type="pct"/>
            <w:tcBorders>
              <w:top w:val="nil"/>
              <w:left w:val="nil"/>
              <w:right w:val="nil"/>
            </w:tcBorders>
            <w:vAlign w:val="bottom"/>
            <w:hideMark/>
          </w:tcPr>
          <w:p w14:paraId="32F3BEE9" w14:textId="77777777" w:rsidR="00C167F7" w:rsidRPr="00F372FF" w:rsidRDefault="00C167F7" w:rsidP="00154EE6">
            <w:pPr>
              <w:pStyle w:val="Table-right"/>
              <w:rPr>
                <w:b/>
                <w:lang w:val="en-GB"/>
              </w:rPr>
            </w:pPr>
            <w:r w:rsidRPr="00F372FF">
              <w:rPr>
                <w:b/>
                <w:lang w:val="en-GB"/>
              </w:rPr>
              <w:t xml:space="preserve"> Included </w:t>
            </w:r>
          </w:p>
        </w:tc>
        <w:tc>
          <w:tcPr>
            <w:tcW w:w="869" w:type="pct"/>
            <w:tcBorders>
              <w:top w:val="nil"/>
              <w:left w:val="nil"/>
              <w:right w:val="nil"/>
            </w:tcBorders>
            <w:vAlign w:val="bottom"/>
            <w:hideMark/>
          </w:tcPr>
          <w:p w14:paraId="4BEFCC0F" w14:textId="77777777" w:rsidR="00C167F7" w:rsidRPr="00F372FF" w:rsidRDefault="00C167F7" w:rsidP="00154EE6">
            <w:pPr>
              <w:pStyle w:val="Table-right"/>
              <w:rPr>
                <w:b/>
                <w:lang w:val="en-GB"/>
              </w:rPr>
            </w:pPr>
            <w:r w:rsidRPr="00F372FF">
              <w:rPr>
                <w:b/>
                <w:lang w:val="en-GB"/>
              </w:rPr>
              <w:t xml:space="preserve">Not included </w:t>
            </w:r>
          </w:p>
        </w:tc>
        <w:tc>
          <w:tcPr>
            <w:tcW w:w="869" w:type="pct"/>
            <w:tcBorders>
              <w:top w:val="nil"/>
              <w:left w:val="nil"/>
              <w:right w:val="nil"/>
            </w:tcBorders>
            <w:vAlign w:val="bottom"/>
          </w:tcPr>
          <w:p w14:paraId="49742601" w14:textId="77777777" w:rsidR="00C167F7" w:rsidRPr="00F372FF" w:rsidRDefault="00C167F7" w:rsidP="00154EE6">
            <w:pPr>
              <w:pStyle w:val="Table-right"/>
              <w:rPr>
                <w:b/>
                <w:lang w:val="en-GB"/>
              </w:rPr>
            </w:pPr>
            <w:r w:rsidRPr="00F372FF">
              <w:rPr>
                <w:b/>
                <w:lang w:val="en-GB"/>
              </w:rPr>
              <w:t>Included vs non-included</w:t>
            </w:r>
          </w:p>
        </w:tc>
      </w:tr>
      <w:tr w:rsidR="00C167F7" w:rsidRPr="00F372FF" w14:paraId="6B6C9629" w14:textId="77777777" w:rsidTr="00154EE6">
        <w:trPr>
          <w:trHeight w:val="154"/>
        </w:trPr>
        <w:tc>
          <w:tcPr>
            <w:tcW w:w="1494" w:type="pct"/>
            <w:tcBorders>
              <w:left w:val="nil"/>
              <w:bottom w:val="single" w:sz="4" w:space="0" w:color="auto"/>
              <w:right w:val="nil"/>
            </w:tcBorders>
            <w:vAlign w:val="bottom"/>
          </w:tcPr>
          <w:p w14:paraId="2183A448" w14:textId="77777777" w:rsidR="00C167F7" w:rsidRPr="00F372FF" w:rsidRDefault="00C167F7" w:rsidP="00154EE6">
            <w:pPr>
              <w:pStyle w:val="NoSpacing"/>
              <w:rPr>
                <w:b/>
                <w:lang w:val="en-GB"/>
              </w:rPr>
            </w:pPr>
          </w:p>
        </w:tc>
        <w:tc>
          <w:tcPr>
            <w:tcW w:w="898" w:type="pct"/>
            <w:tcBorders>
              <w:left w:val="nil"/>
              <w:bottom w:val="single" w:sz="4" w:space="0" w:color="auto"/>
              <w:right w:val="nil"/>
            </w:tcBorders>
            <w:vAlign w:val="bottom"/>
          </w:tcPr>
          <w:p w14:paraId="52422CAE" w14:textId="77777777" w:rsidR="00C167F7" w:rsidRPr="00F372FF" w:rsidRDefault="00C167F7" w:rsidP="00154EE6">
            <w:pPr>
              <w:pStyle w:val="NoSpacing"/>
              <w:rPr>
                <w:b/>
                <w:lang w:val="en-GB"/>
              </w:rPr>
            </w:pPr>
          </w:p>
        </w:tc>
        <w:tc>
          <w:tcPr>
            <w:tcW w:w="869" w:type="pct"/>
            <w:tcBorders>
              <w:left w:val="nil"/>
              <w:bottom w:val="single" w:sz="4" w:space="0" w:color="auto"/>
              <w:right w:val="nil"/>
            </w:tcBorders>
            <w:vAlign w:val="bottom"/>
            <w:hideMark/>
          </w:tcPr>
          <w:p w14:paraId="4FB8F6D6" w14:textId="77777777" w:rsidR="00C167F7" w:rsidRPr="00F372FF" w:rsidRDefault="00C167F7" w:rsidP="00154EE6">
            <w:pPr>
              <w:pStyle w:val="Table-right"/>
              <w:rPr>
                <w:lang w:val="en-GB"/>
              </w:rPr>
            </w:pPr>
            <w:r w:rsidRPr="00F372FF">
              <w:rPr>
                <w:lang w:val="en-GB"/>
              </w:rPr>
              <w:t>N = 81</w:t>
            </w:r>
          </w:p>
        </w:tc>
        <w:tc>
          <w:tcPr>
            <w:tcW w:w="869" w:type="pct"/>
            <w:tcBorders>
              <w:left w:val="nil"/>
              <w:bottom w:val="single" w:sz="4" w:space="0" w:color="auto"/>
              <w:right w:val="nil"/>
            </w:tcBorders>
            <w:vAlign w:val="bottom"/>
            <w:hideMark/>
          </w:tcPr>
          <w:p w14:paraId="05E2519A" w14:textId="77777777" w:rsidR="00C167F7" w:rsidRPr="00F372FF" w:rsidRDefault="00C167F7" w:rsidP="00154EE6">
            <w:pPr>
              <w:pStyle w:val="Table-right"/>
              <w:rPr>
                <w:lang w:val="en-GB"/>
              </w:rPr>
            </w:pPr>
            <w:r w:rsidRPr="00F372FF">
              <w:rPr>
                <w:lang w:val="en-GB"/>
              </w:rPr>
              <w:t>N = 72</w:t>
            </w:r>
          </w:p>
        </w:tc>
        <w:tc>
          <w:tcPr>
            <w:tcW w:w="869" w:type="pct"/>
            <w:tcBorders>
              <w:left w:val="nil"/>
              <w:bottom w:val="single" w:sz="4" w:space="0" w:color="auto"/>
              <w:right w:val="nil"/>
            </w:tcBorders>
            <w:vAlign w:val="bottom"/>
          </w:tcPr>
          <w:p w14:paraId="56613CF6" w14:textId="77777777" w:rsidR="00C167F7" w:rsidRPr="00F372FF" w:rsidRDefault="00C167F7" w:rsidP="00154EE6">
            <w:pPr>
              <w:pStyle w:val="Table-right"/>
              <w:rPr>
                <w:lang w:val="en-GB"/>
              </w:rPr>
            </w:pPr>
            <w:r w:rsidRPr="00F372FF">
              <w:rPr>
                <w:lang w:val="en-GB"/>
              </w:rPr>
              <w:t>p-value*</w:t>
            </w:r>
          </w:p>
        </w:tc>
      </w:tr>
      <w:tr w:rsidR="00C167F7" w:rsidRPr="00F372FF" w14:paraId="64B2A6DE" w14:textId="77777777" w:rsidTr="00154EE6">
        <w:trPr>
          <w:trHeight w:val="284"/>
        </w:trPr>
        <w:tc>
          <w:tcPr>
            <w:tcW w:w="1494" w:type="pct"/>
            <w:tcBorders>
              <w:top w:val="nil"/>
              <w:left w:val="nil"/>
              <w:bottom w:val="nil"/>
              <w:right w:val="nil"/>
            </w:tcBorders>
            <w:vAlign w:val="bottom"/>
            <w:hideMark/>
          </w:tcPr>
          <w:p w14:paraId="3FC99935" w14:textId="77777777" w:rsidR="00C167F7" w:rsidRPr="00F372FF" w:rsidRDefault="00C167F7" w:rsidP="00154EE6">
            <w:pPr>
              <w:pStyle w:val="NoSpacing"/>
              <w:rPr>
                <w:lang w:val="en-GB"/>
              </w:rPr>
            </w:pPr>
            <w:bookmarkStart w:id="10" w:name="_Hlk533368131"/>
            <w:r w:rsidRPr="00F372FF">
              <w:rPr>
                <w:lang w:val="en-GB"/>
              </w:rPr>
              <w:t>Age</w:t>
            </w:r>
          </w:p>
        </w:tc>
        <w:tc>
          <w:tcPr>
            <w:tcW w:w="898" w:type="pct"/>
            <w:tcBorders>
              <w:top w:val="nil"/>
              <w:left w:val="nil"/>
              <w:bottom w:val="nil"/>
              <w:right w:val="nil"/>
            </w:tcBorders>
            <w:vAlign w:val="bottom"/>
            <w:hideMark/>
          </w:tcPr>
          <w:p w14:paraId="340758E7" w14:textId="77777777" w:rsidR="00C167F7" w:rsidRPr="00F372FF" w:rsidRDefault="00C167F7" w:rsidP="00154EE6">
            <w:pPr>
              <w:pStyle w:val="NoSpacing"/>
              <w:rPr>
                <w:lang w:val="en-GB"/>
              </w:rPr>
            </w:pPr>
            <w:r w:rsidRPr="00F372FF">
              <w:rPr>
                <w:lang w:val="en-GB"/>
              </w:rPr>
              <w:t>mean (SD)</w:t>
            </w:r>
          </w:p>
        </w:tc>
        <w:tc>
          <w:tcPr>
            <w:tcW w:w="869" w:type="pct"/>
            <w:tcBorders>
              <w:top w:val="nil"/>
              <w:left w:val="nil"/>
              <w:bottom w:val="nil"/>
              <w:right w:val="nil"/>
            </w:tcBorders>
            <w:vAlign w:val="bottom"/>
          </w:tcPr>
          <w:p w14:paraId="18EA56CF" w14:textId="77777777" w:rsidR="00C167F7" w:rsidRPr="00F372FF" w:rsidRDefault="00C167F7" w:rsidP="00154EE6">
            <w:pPr>
              <w:pStyle w:val="Table-right"/>
              <w:rPr>
                <w:lang w:val="en-GB"/>
              </w:rPr>
            </w:pPr>
            <w:r w:rsidRPr="00F372FF">
              <w:rPr>
                <w:lang w:val="en-GB"/>
              </w:rPr>
              <w:t>19.7 (2.7)</w:t>
            </w:r>
          </w:p>
        </w:tc>
        <w:tc>
          <w:tcPr>
            <w:tcW w:w="869" w:type="pct"/>
            <w:tcBorders>
              <w:top w:val="nil"/>
              <w:left w:val="nil"/>
              <w:bottom w:val="nil"/>
              <w:right w:val="nil"/>
            </w:tcBorders>
            <w:vAlign w:val="bottom"/>
          </w:tcPr>
          <w:p w14:paraId="71110236" w14:textId="77777777" w:rsidR="00C167F7" w:rsidRPr="00F372FF" w:rsidRDefault="00C167F7" w:rsidP="00154EE6">
            <w:pPr>
              <w:pStyle w:val="Table-right"/>
              <w:rPr>
                <w:lang w:val="en-GB"/>
              </w:rPr>
            </w:pPr>
            <w:r w:rsidRPr="00F372FF">
              <w:rPr>
                <w:lang w:val="en-GB"/>
              </w:rPr>
              <w:t>19.4 (2.8)</w:t>
            </w:r>
          </w:p>
        </w:tc>
        <w:tc>
          <w:tcPr>
            <w:tcW w:w="869" w:type="pct"/>
            <w:tcBorders>
              <w:top w:val="nil"/>
              <w:left w:val="nil"/>
              <w:bottom w:val="nil"/>
              <w:right w:val="nil"/>
            </w:tcBorders>
            <w:vAlign w:val="bottom"/>
          </w:tcPr>
          <w:p w14:paraId="348EC89B" w14:textId="77777777" w:rsidR="00C167F7" w:rsidRPr="00F372FF" w:rsidRDefault="00C167F7" w:rsidP="00154EE6">
            <w:pPr>
              <w:pStyle w:val="Table-right"/>
              <w:rPr>
                <w:lang w:val="en-GB"/>
              </w:rPr>
            </w:pPr>
            <w:r w:rsidRPr="00F372FF">
              <w:rPr>
                <w:lang w:val="en-GB"/>
              </w:rPr>
              <w:t>0.41</w:t>
            </w:r>
          </w:p>
        </w:tc>
      </w:tr>
      <w:bookmarkEnd w:id="10"/>
      <w:tr w:rsidR="00C167F7" w:rsidRPr="00F372FF" w14:paraId="36DF1C17" w14:textId="77777777" w:rsidTr="00154EE6">
        <w:trPr>
          <w:trHeight w:val="284"/>
        </w:trPr>
        <w:tc>
          <w:tcPr>
            <w:tcW w:w="1494" w:type="pct"/>
            <w:tcBorders>
              <w:top w:val="nil"/>
              <w:left w:val="nil"/>
              <w:bottom w:val="nil"/>
              <w:right w:val="nil"/>
            </w:tcBorders>
            <w:vAlign w:val="bottom"/>
            <w:hideMark/>
          </w:tcPr>
          <w:p w14:paraId="34B87435" w14:textId="77777777" w:rsidR="00C167F7" w:rsidRPr="00F372FF" w:rsidRDefault="00C167F7" w:rsidP="00154EE6">
            <w:pPr>
              <w:pStyle w:val="NoSpacing"/>
              <w:rPr>
                <w:lang w:val="en-GB"/>
              </w:rPr>
            </w:pPr>
            <w:r w:rsidRPr="00F372FF">
              <w:rPr>
                <w:lang w:val="en-GB"/>
              </w:rPr>
              <w:t>Sex, female</w:t>
            </w:r>
          </w:p>
        </w:tc>
        <w:tc>
          <w:tcPr>
            <w:tcW w:w="898" w:type="pct"/>
            <w:tcBorders>
              <w:top w:val="nil"/>
              <w:left w:val="nil"/>
              <w:bottom w:val="nil"/>
              <w:right w:val="nil"/>
            </w:tcBorders>
            <w:vAlign w:val="bottom"/>
            <w:hideMark/>
          </w:tcPr>
          <w:p w14:paraId="234EDBC3" w14:textId="77777777" w:rsidR="00C167F7" w:rsidRPr="00F372FF" w:rsidRDefault="00C167F7" w:rsidP="00154EE6">
            <w:pPr>
              <w:pStyle w:val="NoSpacing"/>
              <w:rPr>
                <w:lang w:val="en-GB"/>
              </w:rPr>
            </w:pPr>
            <w:bookmarkStart w:id="11" w:name="OLE_LINK25"/>
            <w:bookmarkStart w:id="12" w:name="OLE_LINK26"/>
            <w:r w:rsidRPr="00F372FF">
              <w:rPr>
                <w:lang w:val="en-GB"/>
              </w:rPr>
              <w:t>N (%)</w:t>
            </w:r>
            <w:bookmarkEnd w:id="11"/>
            <w:bookmarkEnd w:id="12"/>
          </w:p>
        </w:tc>
        <w:tc>
          <w:tcPr>
            <w:tcW w:w="869" w:type="pct"/>
            <w:tcBorders>
              <w:top w:val="nil"/>
              <w:left w:val="nil"/>
              <w:bottom w:val="nil"/>
              <w:right w:val="nil"/>
            </w:tcBorders>
            <w:vAlign w:val="bottom"/>
          </w:tcPr>
          <w:p w14:paraId="23519EC2" w14:textId="77777777" w:rsidR="00C167F7" w:rsidRPr="00F372FF" w:rsidRDefault="00C167F7" w:rsidP="00154EE6">
            <w:pPr>
              <w:pStyle w:val="Table-right"/>
              <w:rPr>
                <w:lang w:val="en-GB"/>
              </w:rPr>
            </w:pPr>
            <w:r w:rsidRPr="00F372FF">
              <w:rPr>
                <w:lang w:val="en-GB"/>
              </w:rPr>
              <w:t>51 (63%)</w:t>
            </w:r>
          </w:p>
        </w:tc>
        <w:tc>
          <w:tcPr>
            <w:tcW w:w="869" w:type="pct"/>
            <w:tcBorders>
              <w:top w:val="nil"/>
              <w:left w:val="nil"/>
              <w:bottom w:val="nil"/>
              <w:right w:val="nil"/>
            </w:tcBorders>
            <w:vAlign w:val="bottom"/>
          </w:tcPr>
          <w:p w14:paraId="0D4446EE" w14:textId="77777777" w:rsidR="00C167F7" w:rsidRPr="00F372FF" w:rsidRDefault="00C167F7" w:rsidP="00154EE6">
            <w:pPr>
              <w:pStyle w:val="Table-right"/>
              <w:rPr>
                <w:lang w:val="en-GB"/>
              </w:rPr>
            </w:pPr>
            <w:r w:rsidRPr="00F372FF">
              <w:rPr>
                <w:lang w:val="en-GB"/>
              </w:rPr>
              <w:t>39 (54%)</w:t>
            </w:r>
          </w:p>
        </w:tc>
        <w:tc>
          <w:tcPr>
            <w:tcW w:w="869" w:type="pct"/>
            <w:tcBorders>
              <w:top w:val="nil"/>
              <w:left w:val="nil"/>
              <w:bottom w:val="nil"/>
              <w:right w:val="nil"/>
            </w:tcBorders>
            <w:vAlign w:val="bottom"/>
          </w:tcPr>
          <w:p w14:paraId="0F61D2C2" w14:textId="77777777" w:rsidR="00C167F7" w:rsidRPr="00F372FF" w:rsidRDefault="00C167F7" w:rsidP="00154EE6">
            <w:pPr>
              <w:pStyle w:val="Table-right"/>
              <w:rPr>
                <w:lang w:val="en-GB"/>
              </w:rPr>
            </w:pPr>
            <w:r w:rsidRPr="00F372FF">
              <w:rPr>
                <w:lang w:val="en-GB"/>
              </w:rPr>
              <w:t>0.32</w:t>
            </w:r>
          </w:p>
        </w:tc>
      </w:tr>
      <w:tr w:rsidR="00C167F7" w:rsidRPr="00F372FF" w14:paraId="61777018" w14:textId="77777777" w:rsidTr="00154EE6">
        <w:trPr>
          <w:trHeight w:val="284"/>
        </w:trPr>
        <w:tc>
          <w:tcPr>
            <w:tcW w:w="1494" w:type="pct"/>
            <w:tcBorders>
              <w:top w:val="nil"/>
              <w:left w:val="nil"/>
              <w:bottom w:val="nil"/>
              <w:right w:val="nil"/>
            </w:tcBorders>
            <w:vAlign w:val="bottom"/>
            <w:hideMark/>
          </w:tcPr>
          <w:p w14:paraId="2845805D" w14:textId="77777777" w:rsidR="00C167F7" w:rsidRPr="00F372FF" w:rsidRDefault="00C167F7" w:rsidP="00154EE6">
            <w:pPr>
              <w:pStyle w:val="NoSpacing"/>
              <w:rPr>
                <w:lang w:val="en-GB"/>
              </w:rPr>
            </w:pPr>
            <w:r w:rsidRPr="00F372FF">
              <w:rPr>
                <w:lang w:val="en-GB"/>
              </w:rPr>
              <w:t>MADRS score</w:t>
            </w:r>
          </w:p>
        </w:tc>
        <w:tc>
          <w:tcPr>
            <w:tcW w:w="898" w:type="pct"/>
            <w:tcBorders>
              <w:top w:val="nil"/>
              <w:left w:val="nil"/>
              <w:bottom w:val="nil"/>
              <w:right w:val="nil"/>
            </w:tcBorders>
            <w:vAlign w:val="bottom"/>
            <w:hideMark/>
          </w:tcPr>
          <w:p w14:paraId="0D5A39BE" w14:textId="77777777" w:rsidR="00C167F7" w:rsidRPr="00F372FF" w:rsidRDefault="00C167F7" w:rsidP="00154EE6">
            <w:pPr>
              <w:pStyle w:val="NoSpacing"/>
              <w:rPr>
                <w:lang w:val="en-GB"/>
              </w:rPr>
            </w:pPr>
            <w:r w:rsidRPr="00F372FF">
              <w:rPr>
                <w:lang w:val="en-GB"/>
              </w:rPr>
              <w:t>mean (SD)</w:t>
            </w:r>
          </w:p>
        </w:tc>
        <w:tc>
          <w:tcPr>
            <w:tcW w:w="869" w:type="pct"/>
            <w:tcBorders>
              <w:top w:val="nil"/>
              <w:left w:val="nil"/>
              <w:bottom w:val="nil"/>
              <w:right w:val="nil"/>
            </w:tcBorders>
            <w:vAlign w:val="bottom"/>
          </w:tcPr>
          <w:p w14:paraId="5965EC36" w14:textId="77777777" w:rsidR="00C167F7" w:rsidRPr="00F372FF" w:rsidRDefault="00C167F7" w:rsidP="00154EE6">
            <w:pPr>
              <w:pStyle w:val="Table-right"/>
              <w:rPr>
                <w:lang w:val="en-GB"/>
              </w:rPr>
            </w:pPr>
            <w:r w:rsidRPr="00F372FF">
              <w:rPr>
                <w:lang w:val="en-GB"/>
              </w:rPr>
              <w:t>32.6 (5.5)</w:t>
            </w:r>
          </w:p>
        </w:tc>
        <w:tc>
          <w:tcPr>
            <w:tcW w:w="869" w:type="pct"/>
            <w:tcBorders>
              <w:top w:val="nil"/>
              <w:left w:val="nil"/>
              <w:bottom w:val="nil"/>
              <w:right w:val="nil"/>
            </w:tcBorders>
            <w:vAlign w:val="bottom"/>
          </w:tcPr>
          <w:p w14:paraId="3623CAAE" w14:textId="77777777" w:rsidR="00C167F7" w:rsidRPr="00F372FF" w:rsidRDefault="00C167F7" w:rsidP="00154EE6">
            <w:pPr>
              <w:pStyle w:val="Table-right"/>
              <w:rPr>
                <w:lang w:val="en-GB"/>
              </w:rPr>
            </w:pPr>
            <w:r w:rsidRPr="00F372FF">
              <w:rPr>
                <w:lang w:val="en-GB"/>
              </w:rPr>
              <w:t>33.2 (5.3)</w:t>
            </w:r>
          </w:p>
        </w:tc>
        <w:tc>
          <w:tcPr>
            <w:tcW w:w="869" w:type="pct"/>
            <w:tcBorders>
              <w:top w:val="nil"/>
              <w:left w:val="nil"/>
              <w:bottom w:val="nil"/>
              <w:right w:val="nil"/>
            </w:tcBorders>
            <w:vAlign w:val="bottom"/>
          </w:tcPr>
          <w:p w14:paraId="162340BE" w14:textId="77777777" w:rsidR="00C167F7" w:rsidRPr="00F372FF" w:rsidRDefault="00C167F7" w:rsidP="00154EE6">
            <w:pPr>
              <w:pStyle w:val="Table-right"/>
              <w:rPr>
                <w:lang w:val="en-GB"/>
              </w:rPr>
            </w:pPr>
            <w:r w:rsidRPr="00F372FF">
              <w:rPr>
                <w:lang w:val="en-GB"/>
              </w:rPr>
              <w:t>0.50</w:t>
            </w:r>
          </w:p>
        </w:tc>
      </w:tr>
      <w:tr w:rsidR="00C167F7" w:rsidRPr="00F372FF" w14:paraId="2B08A829" w14:textId="77777777" w:rsidTr="00154EE6">
        <w:trPr>
          <w:trHeight w:val="284"/>
        </w:trPr>
        <w:tc>
          <w:tcPr>
            <w:tcW w:w="1494" w:type="pct"/>
            <w:tcBorders>
              <w:top w:val="nil"/>
              <w:left w:val="nil"/>
              <w:bottom w:val="nil"/>
              <w:right w:val="nil"/>
            </w:tcBorders>
            <w:vAlign w:val="bottom"/>
            <w:hideMark/>
          </w:tcPr>
          <w:p w14:paraId="3E1435F7" w14:textId="77777777" w:rsidR="00C167F7" w:rsidRPr="00F372FF" w:rsidRDefault="00C167F7" w:rsidP="00154EE6">
            <w:pPr>
              <w:pStyle w:val="NoSpacing"/>
              <w:rPr>
                <w:lang w:val="en-GB"/>
              </w:rPr>
            </w:pPr>
            <w:r w:rsidRPr="00F372FF">
              <w:rPr>
                <w:lang w:val="en-GB"/>
              </w:rPr>
              <w:t>QIDS score</w:t>
            </w:r>
          </w:p>
        </w:tc>
        <w:tc>
          <w:tcPr>
            <w:tcW w:w="898" w:type="pct"/>
            <w:tcBorders>
              <w:top w:val="nil"/>
              <w:left w:val="nil"/>
              <w:bottom w:val="nil"/>
              <w:right w:val="nil"/>
            </w:tcBorders>
            <w:vAlign w:val="bottom"/>
            <w:hideMark/>
          </w:tcPr>
          <w:p w14:paraId="28671821" w14:textId="77777777" w:rsidR="00C167F7" w:rsidRPr="00F372FF" w:rsidRDefault="00C167F7" w:rsidP="00154EE6">
            <w:pPr>
              <w:pStyle w:val="NoSpacing"/>
              <w:rPr>
                <w:lang w:val="en-GB"/>
              </w:rPr>
            </w:pPr>
            <w:r w:rsidRPr="00F372FF">
              <w:rPr>
                <w:lang w:val="en-GB"/>
              </w:rPr>
              <w:t>mean (SD)</w:t>
            </w:r>
          </w:p>
        </w:tc>
        <w:tc>
          <w:tcPr>
            <w:tcW w:w="869" w:type="pct"/>
            <w:tcBorders>
              <w:top w:val="nil"/>
              <w:left w:val="nil"/>
              <w:bottom w:val="nil"/>
              <w:right w:val="nil"/>
            </w:tcBorders>
            <w:vAlign w:val="bottom"/>
          </w:tcPr>
          <w:p w14:paraId="161563D6" w14:textId="77777777" w:rsidR="00C167F7" w:rsidRPr="00F372FF" w:rsidRDefault="00C167F7" w:rsidP="00154EE6">
            <w:pPr>
              <w:pStyle w:val="Table-right"/>
              <w:rPr>
                <w:lang w:val="en-GB"/>
              </w:rPr>
            </w:pPr>
            <w:r w:rsidRPr="00F372FF">
              <w:rPr>
                <w:lang w:val="en-GB"/>
              </w:rPr>
              <w:t>17.0 (3.1)</w:t>
            </w:r>
          </w:p>
        </w:tc>
        <w:tc>
          <w:tcPr>
            <w:tcW w:w="869" w:type="pct"/>
            <w:tcBorders>
              <w:top w:val="nil"/>
              <w:left w:val="nil"/>
              <w:bottom w:val="nil"/>
              <w:right w:val="nil"/>
            </w:tcBorders>
            <w:vAlign w:val="bottom"/>
          </w:tcPr>
          <w:p w14:paraId="4DA3C4E9" w14:textId="77777777" w:rsidR="00C167F7" w:rsidRPr="00F372FF" w:rsidRDefault="00C167F7" w:rsidP="00154EE6">
            <w:pPr>
              <w:pStyle w:val="Table-right"/>
              <w:rPr>
                <w:lang w:val="en-GB"/>
              </w:rPr>
            </w:pPr>
            <w:r w:rsidRPr="00F372FF">
              <w:rPr>
                <w:lang w:val="en-GB"/>
              </w:rPr>
              <w:t>17.3 (3.4)</w:t>
            </w:r>
          </w:p>
        </w:tc>
        <w:tc>
          <w:tcPr>
            <w:tcW w:w="869" w:type="pct"/>
            <w:tcBorders>
              <w:top w:val="nil"/>
              <w:left w:val="nil"/>
              <w:bottom w:val="nil"/>
              <w:right w:val="nil"/>
            </w:tcBorders>
            <w:vAlign w:val="bottom"/>
          </w:tcPr>
          <w:p w14:paraId="1EC5F304" w14:textId="77777777" w:rsidR="00C167F7" w:rsidRPr="00F372FF" w:rsidRDefault="00C167F7" w:rsidP="00154EE6">
            <w:pPr>
              <w:pStyle w:val="Table-right"/>
              <w:rPr>
                <w:lang w:val="en-GB"/>
              </w:rPr>
            </w:pPr>
            <w:r w:rsidRPr="00F372FF">
              <w:rPr>
                <w:lang w:val="en-GB"/>
              </w:rPr>
              <w:t>0.55</w:t>
            </w:r>
          </w:p>
        </w:tc>
      </w:tr>
      <w:tr w:rsidR="00C167F7" w:rsidRPr="00F372FF" w14:paraId="2A666423" w14:textId="77777777" w:rsidTr="00154EE6">
        <w:trPr>
          <w:trHeight w:val="284"/>
        </w:trPr>
        <w:tc>
          <w:tcPr>
            <w:tcW w:w="1494" w:type="pct"/>
            <w:tcBorders>
              <w:top w:val="nil"/>
              <w:left w:val="nil"/>
              <w:bottom w:val="nil"/>
              <w:right w:val="nil"/>
            </w:tcBorders>
            <w:vAlign w:val="bottom"/>
            <w:hideMark/>
          </w:tcPr>
          <w:p w14:paraId="06280038" w14:textId="77777777" w:rsidR="00C167F7" w:rsidRPr="00F372FF" w:rsidRDefault="00C167F7" w:rsidP="00154EE6">
            <w:pPr>
              <w:pStyle w:val="NoSpacing"/>
              <w:rPr>
                <w:lang w:val="en-GB"/>
              </w:rPr>
            </w:pPr>
            <w:r w:rsidRPr="00F372FF">
              <w:rPr>
                <w:lang w:val="en-GB"/>
              </w:rPr>
              <w:t>GAD7 score</w:t>
            </w:r>
          </w:p>
        </w:tc>
        <w:tc>
          <w:tcPr>
            <w:tcW w:w="898" w:type="pct"/>
            <w:tcBorders>
              <w:top w:val="nil"/>
              <w:left w:val="nil"/>
              <w:bottom w:val="nil"/>
              <w:right w:val="nil"/>
            </w:tcBorders>
            <w:vAlign w:val="bottom"/>
            <w:hideMark/>
          </w:tcPr>
          <w:p w14:paraId="479D1738" w14:textId="77777777" w:rsidR="00C167F7" w:rsidRPr="00F372FF" w:rsidRDefault="00C167F7" w:rsidP="00154EE6">
            <w:pPr>
              <w:pStyle w:val="NoSpacing"/>
              <w:rPr>
                <w:lang w:val="en-GB"/>
              </w:rPr>
            </w:pPr>
            <w:r w:rsidRPr="00F372FF">
              <w:rPr>
                <w:lang w:val="en-GB"/>
              </w:rPr>
              <w:t>mean (SD)</w:t>
            </w:r>
          </w:p>
        </w:tc>
        <w:tc>
          <w:tcPr>
            <w:tcW w:w="869" w:type="pct"/>
            <w:tcBorders>
              <w:top w:val="nil"/>
              <w:left w:val="nil"/>
              <w:bottom w:val="nil"/>
              <w:right w:val="nil"/>
            </w:tcBorders>
            <w:vAlign w:val="bottom"/>
          </w:tcPr>
          <w:p w14:paraId="7090A5FE" w14:textId="77777777" w:rsidR="00C167F7" w:rsidRPr="00F372FF" w:rsidRDefault="00C167F7" w:rsidP="00154EE6">
            <w:pPr>
              <w:pStyle w:val="Table-right"/>
              <w:rPr>
                <w:lang w:val="en-GB"/>
              </w:rPr>
            </w:pPr>
            <w:r w:rsidRPr="00F372FF">
              <w:rPr>
                <w:lang w:val="en-GB"/>
              </w:rPr>
              <w:t>13.2 (5.3)</w:t>
            </w:r>
          </w:p>
        </w:tc>
        <w:tc>
          <w:tcPr>
            <w:tcW w:w="869" w:type="pct"/>
            <w:tcBorders>
              <w:top w:val="nil"/>
              <w:left w:val="nil"/>
              <w:bottom w:val="nil"/>
              <w:right w:val="nil"/>
            </w:tcBorders>
            <w:vAlign w:val="bottom"/>
          </w:tcPr>
          <w:p w14:paraId="783CFBA1" w14:textId="77777777" w:rsidR="00C167F7" w:rsidRPr="00F372FF" w:rsidRDefault="00C167F7" w:rsidP="00154EE6">
            <w:pPr>
              <w:pStyle w:val="Table-right"/>
              <w:rPr>
                <w:lang w:val="en-GB"/>
              </w:rPr>
            </w:pPr>
            <w:r w:rsidRPr="00F372FF">
              <w:rPr>
                <w:lang w:val="en-GB"/>
              </w:rPr>
              <w:t>13.6 (5.8)</w:t>
            </w:r>
          </w:p>
        </w:tc>
        <w:tc>
          <w:tcPr>
            <w:tcW w:w="869" w:type="pct"/>
            <w:tcBorders>
              <w:top w:val="nil"/>
              <w:left w:val="nil"/>
              <w:bottom w:val="nil"/>
              <w:right w:val="nil"/>
            </w:tcBorders>
            <w:vAlign w:val="bottom"/>
          </w:tcPr>
          <w:p w14:paraId="568E4127" w14:textId="77777777" w:rsidR="00C167F7" w:rsidRPr="00F372FF" w:rsidRDefault="00C167F7" w:rsidP="00154EE6">
            <w:pPr>
              <w:pStyle w:val="Table-right"/>
              <w:rPr>
                <w:lang w:val="en-GB"/>
              </w:rPr>
            </w:pPr>
            <w:r w:rsidRPr="00F372FF">
              <w:rPr>
                <w:lang w:val="en-GB"/>
              </w:rPr>
              <w:t>0.69</w:t>
            </w:r>
          </w:p>
        </w:tc>
      </w:tr>
      <w:tr w:rsidR="00C167F7" w:rsidRPr="00F372FF" w14:paraId="28EAEADF" w14:textId="77777777" w:rsidTr="00154EE6">
        <w:trPr>
          <w:trHeight w:val="284"/>
        </w:trPr>
        <w:tc>
          <w:tcPr>
            <w:tcW w:w="1494" w:type="pct"/>
            <w:tcBorders>
              <w:top w:val="nil"/>
              <w:left w:val="nil"/>
              <w:bottom w:val="nil"/>
              <w:right w:val="nil"/>
            </w:tcBorders>
            <w:vAlign w:val="bottom"/>
            <w:hideMark/>
          </w:tcPr>
          <w:p w14:paraId="351C6CEE" w14:textId="77777777" w:rsidR="00C167F7" w:rsidRPr="00F372FF" w:rsidRDefault="00C167F7" w:rsidP="00154EE6">
            <w:pPr>
              <w:pStyle w:val="NoSpacing"/>
              <w:rPr>
                <w:lang w:val="en-GB"/>
              </w:rPr>
            </w:pPr>
            <w:r w:rsidRPr="00F372FF">
              <w:rPr>
                <w:lang w:val="en-GB"/>
              </w:rPr>
              <w:t>Number of major depressive episodes</w:t>
            </w:r>
          </w:p>
        </w:tc>
        <w:tc>
          <w:tcPr>
            <w:tcW w:w="898" w:type="pct"/>
            <w:tcBorders>
              <w:top w:val="nil"/>
              <w:left w:val="nil"/>
              <w:bottom w:val="nil"/>
              <w:right w:val="nil"/>
            </w:tcBorders>
            <w:vAlign w:val="bottom"/>
            <w:hideMark/>
          </w:tcPr>
          <w:p w14:paraId="1E8BB49D" w14:textId="77777777" w:rsidR="00C167F7" w:rsidRPr="00F372FF" w:rsidRDefault="00C167F7" w:rsidP="00154EE6">
            <w:pPr>
              <w:pStyle w:val="NoSpacing"/>
              <w:rPr>
                <w:lang w:val="en-GB"/>
              </w:rPr>
            </w:pPr>
            <w:r w:rsidRPr="00F372FF">
              <w:rPr>
                <w:lang w:val="en-GB"/>
              </w:rPr>
              <w:t>median (IQR)</w:t>
            </w:r>
          </w:p>
        </w:tc>
        <w:tc>
          <w:tcPr>
            <w:tcW w:w="869" w:type="pct"/>
            <w:tcBorders>
              <w:top w:val="nil"/>
              <w:left w:val="nil"/>
              <w:bottom w:val="nil"/>
              <w:right w:val="nil"/>
            </w:tcBorders>
            <w:vAlign w:val="bottom"/>
          </w:tcPr>
          <w:p w14:paraId="709CAFD1" w14:textId="77777777" w:rsidR="00C167F7" w:rsidRPr="00F372FF" w:rsidRDefault="00C167F7" w:rsidP="00154EE6">
            <w:pPr>
              <w:pStyle w:val="Table-right"/>
              <w:rPr>
                <w:lang w:val="en-GB"/>
              </w:rPr>
            </w:pPr>
            <w:r w:rsidRPr="00F372FF">
              <w:rPr>
                <w:lang w:val="en-GB"/>
              </w:rPr>
              <w:t>3 (1–5+)</w:t>
            </w:r>
          </w:p>
        </w:tc>
        <w:tc>
          <w:tcPr>
            <w:tcW w:w="869" w:type="pct"/>
            <w:tcBorders>
              <w:top w:val="nil"/>
              <w:left w:val="nil"/>
              <w:bottom w:val="nil"/>
              <w:right w:val="nil"/>
            </w:tcBorders>
            <w:vAlign w:val="bottom"/>
          </w:tcPr>
          <w:p w14:paraId="4611DB63" w14:textId="77777777" w:rsidR="00C167F7" w:rsidRPr="00F372FF" w:rsidRDefault="00C167F7" w:rsidP="00154EE6">
            <w:pPr>
              <w:pStyle w:val="Table-right"/>
              <w:rPr>
                <w:lang w:val="en-GB"/>
              </w:rPr>
            </w:pPr>
            <w:r w:rsidRPr="00F372FF">
              <w:rPr>
                <w:lang w:val="en-GB"/>
              </w:rPr>
              <w:t>2 (1–4)</w:t>
            </w:r>
          </w:p>
        </w:tc>
        <w:tc>
          <w:tcPr>
            <w:tcW w:w="869" w:type="pct"/>
            <w:tcBorders>
              <w:top w:val="nil"/>
              <w:left w:val="nil"/>
              <w:bottom w:val="nil"/>
              <w:right w:val="nil"/>
            </w:tcBorders>
            <w:vAlign w:val="bottom"/>
          </w:tcPr>
          <w:p w14:paraId="361A458C" w14:textId="77777777" w:rsidR="00C167F7" w:rsidRPr="00F372FF" w:rsidRDefault="00C167F7" w:rsidP="00154EE6">
            <w:pPr>
              <w:pStyle w:val="Table-right"/>
              <w:rPr>
                <w:lang w:val="en-GB"/>
              </w:rPr>
            </w:pPr>
            <w:r w:rsidRPr="00F372FF">
              <w:rPr>
                <w:lang w:val="en-GB"/>
              </w:rPr>
              <w:t xml:space="preserve">          0.08</w:t>
            </w:r>
          </w:p>
        </w:tc>
      </w:tr>
      <w:tr w:rsidR="00C167F7" w:rsidRPr="00F372FF" w14:paraId="1A421B47" w14:textId="77777777" w:rsidTr="00154EE6">
        <w:trPr>
          <w:trHeight w:val="284"/>
        </w:trPr>
        <w:tc>
          <w:tcPr>
            <w:tcW w:w="1494" w:type="pct"/>
            <w:tcBorders>
              <w:top w:val="nil"/>
              <w:left w:val="nil"/>
              <w:right w:val="nil"/>
            </w:tcBorders>
            <w:vAlign w:val="bottom"/>
            <w:hideMark/>
          </w:tcPr>
          <w:p w14:paraId="57412CC6" w14:textId="77777777" w:rsidR="00C167F7" w:rsidRPr="00F372FF" w:rsidRDefault="00C167F7" w:rsidP="00154EE6">
            <w:pPr>
              <w:pStyle w:val="NoSpacing"/>
              <w:rPr>
                <w:lang w:val="en-GB"/>
              </w:rPr>
            </w:pPr>
            <w:r w:rsidRPr="00F372FF">
              <w:rPr>
                <w:lang w:val="en-GB"/>
              </w:rPr>
              <w:t>Duration, weeks</w:t>
            </w:r>
          </w:p>
        </w:tc>
        <w:tc>
          <w:tcPr>
            <w:tcW w:w="898" w:type="pct"/>
            <w:tcBorders>
              <w:top w:val="nil"/>
              <w:left w:val="nil"/>
              <w:right w:val="nil"/>
            </w:tcBorders>
            <w:vAlign w:val="bottom"/>
            <w:hideMark/>
          </w:tcPr>
          <w:p w14:paraId="7A5F97DF" w14:textId="77777777" w:rsidR="00C167F7" w:rsidRPr="00F372FF" w:rsidRDefault="00C167F7" w:rsidP="00154EE6">
            <w:pPr>
              <w:pStyle w:val="NoSpacing"/>
              <w:rPr>
                <w:lang w:val="en-GB"/>
              </w:rPr>
            </w:pPr>
            <w:r w:rsidRPr="00F372FF">
              <w:rPr>
                <w:lang w:val="en-GB"/>
              </w:rPr>
              <w:t>median (IQR)</w:t>
            </w:r>
          </w:p>
        </w:tc>
        <w:tc>
          <w:tcPr>
            <w:tcW w:w="869" w:type="pct"/>
            <w:tcBorders>
              <w:top w:val="nil"/>
              <w:left w:val="nil"/>
              <w:right w:val="nil"/>
            </w:tcBorders>
            <w:vAlign w:val="bottom"/>
          </w:tcPr>
          <w:p w14:paraId="40522E16" w14:textId="77777777" w:rsidR="00C167F7" w:rsidRPr="00F372FF" w:rsidRDefault="00C167F7" w:rsidP="00154EE6">
            <w:pPr>
              <w:pStyle w:val="Table-right"/>
              <w:rPr>
                <w:lang w:val="en-GB"/>
              </w:rPr>
            </w:pPr>
            <w:r w:rsidRPr="00F372FF">
              <w:rPr>
                <w:lang w:val="en-GB"/>
              </w:rPr>
              <w:t>20 (11–48)</w:t>
            </w:r>
          </w:p>
        </w:tc>
        <w:tc>
          <w:tcPr>
            <w:tcW w:w="869" w:type="pct"/>
            <w:tcBorders>
              <w:top w:val="nil"/>
              <w:left w:val="nil"/>
              <w:right w:val="nil"/>
            </w:tcBorders>
            <w:vAlign w:val="bottom"/>
          </w:tcPr>
          <w:p w14:paraId="2BBEE75F" w14:textId="77777777" w:rsidR="00C167F7" w:rsidRPr="00F372FF" w:rsidRDefault="00C167F7" w:rsidP="00154EE6">
            <w:pPr>
              <w:pStyle w:val="Table-right"/>
              <w:rPr>
                <w:lang w:val="en-GB"/>
              </w:rPr>
            </w:pPr>
            <w:r w:rsidRPr="00F372FF">
              <w:rPr>
                <w:lang w:val="en-GB"/>
              </w:rPr>
              <w:t>23 (12–60)</w:t>
            </w:r>
          </w:p>
        </w:tc>
        <w:tc>
          <w:tcPr>
            <w:tcW w:w="869" w:type="pct"/>
            <w:tcBorders>
              <w:top w:val="nil"/>
              <w:left w:val="nil"/>
              <w:right w:val="nil"/>
            </w:tcBorders>
            <w:vAlign w:val="bottom"/>
          </w:tcPr>
          <w:p w14:paraId="55BEF822" w14:textId="77777777" w:rsidR="00C167F7" w:rsidRPr="00F372FF" w:rsidRDefault="00C167F7" w:rsidP="00154EE6">
            <w:pPr>
              <w:pStyle w:val="Table-right"/>
              <w:rPr>
                <w:lang w:val="en-GB"/>
              </w:rPr>
            </w:pPr>
            <w:r w:rsidRPr="00F372FF">
              <w:rPr>
                <w:lang w:val="en-GB"/>
              </w:rPr>
              <w:t>0.53</w:t>
            </w:r>
          </w:p>
        </w:tc>
      </w:tr>
      <w:tr w:rsidR="00C167F7" w:rsidRPr="00F372FF" w14:paraId="37E35AED" w14:textId="77777777" w:rsidTr="00154EE6">
        <w:trPr>
          <w:trHeight w:val="284"/>
        </w:trPr>
        <w:tc>
          <w:tcPr>
            <w:tcW w:w="1494" w:type="pct"/>
            <w:tcBorders>
              <w:top w:val="nil"/>
              <w:left w:val="nil"/>
              <w:bottom w:val="nil"/>
              <w:right w:val="nil"/>
            </w:tcBorders>
            <w:vAlign w:val="bottom"/>
            <w:hideMark/>
          </w:tcPr>
          <w:p w14:paraId="751D2DFC" w14:textId="77777777" w:rsidR="00C167F7" w:rsidRPr="00F372FF" w:rsidRDefault="00C167F7" w:rsidP="00154EE6">
            <w:pPr>
              <w:pStyle w:val="NoSpacing"/>
              <w:rPr>
                <w:lang w:val="en-GB"/>
              </w:rPr>
            </w:pPr>
            <w:r w:rsidRPr="00F372FF">
              <w:rPr>
                <w:lang w:val="en-GB"/>
              </w:rPr>
              <w:t xml:space="preserve">Treatment allocation, </w:t>
            </w:r>
          </w:p>
          <w:p w14:paraId="7B7A096A" w14:textId="77777777" w:rsidR="00C167F7" w:rsidRPr="00F372FF" w:rsidRDefault="00C167F7" w:rsidP="00154EE6">
            <w:pPr>
              <w:pStyle w:val="NoSpacing"/>
              <w:rPr>
                <w:lang w:val="en-GB"/>
              </w:rPr>
            </w:pPr>
            <w:r w:rsidRPr="00F372FF">
              <w:rPr>
                <w:lang w:val="en-GB"/>
              </w:rPr>
              <w:t>CBT and fluoxetine</w:t>
            </w:r>
          </w:p>
        </w:tc>
        <w:tc>
          <w:tcPr>
            <w:tcW w:w="898" w:type="pct"/>
            <w:tcBorders>
              <w:top w:val="nil"/>
              <w:left w:val="nil"/>
              <w:bottom w:val="nil"/>
              <w:right w:val="nil"/>
            </w:tcBorders>
            <w:vAlign w:val="bottom"/>
            <w:hideMark/>
          </w:tcPr>
          <w:p w14:paraId="13C824DE" w14:textId="77777777" w:rsidR="00C167F7" w:rsidRPr="00F372FF" w:rsidRDefault="00C167F7" w:rsidP="00154EE6">
            <w:pPr>
              <w:pStyle w:val="NoSpacing"/>
              <w:rPr>
                <w:lang w:val="en-GB"/>
              </w:rPr>
            </w:pPr>
            <w:r w:rsidRPr="00F372FF">
              <w:rPr>
                <w:lang w:val="en-GB"/>
              </w:rPr>
              <w:t>N (%)</w:t>
            </w:r>
          </w:p>
        </w:tc>
        <w:tc>
          <w:tcPr>
            <w:tcW w:w="869" w:type="pct"/>
            <w:tcBorders>
              <w:top w:val="nil"/>
              <w:left w:val="nil"/>
              <w:bottom w:val="nil"/>
              <w:right w:val="nil"/>
            </w:tcBorders>
            <w:vAlign w:val="bottom"/>
          </w:tcPr>
          <w:p w14:paraId="003B07C8" w14:textId="77777777" w:rsidR="00C167F7" w:rsidRPr="00F372FF" w:rsidRDefault="00C167F7" w:rsidP="00154EE6">
            <w:pPr>
              <w:pStyle w:val="Table-right"/>
              <w:rPr>
                <w:lang w:val="en-GB"/>
              </w:rPr>
            </w:pPr>
            <w:r w:rsidRPr="00F372FF">
              <w:rPr>
                <w:lang w:val="en-GB"/>
              </w:rPr>
              <w:t>44 (54%)</w:t>
            </w:r>
          </w:p>
        </w:tc>
        <w:tc>
          <w:tcPr>
            <w:tcW w:w="869" w:type="pct"/>
            <w:tcBorders>
              <w:top w:val="nil"/>
              <w:left w:val="nil"/>
              <w:bottom w:val="nil"/>
              <w:right w:val="nil"/>
            </w:tcBorders>
            <w:vAlign w:val="bottom"/>
          </w:tcPr>
          <w:p w14:paraId="73A640CB" w14:textId="77777777" w:rsidR="00C167F7" w:rsidRPr="00F372FF" w:rsidRDefault="00C167F7" w:rsidP="00154EE6">
            <w:pPr>
              <w:pStyle w:val="Table-right"/>
              <w:rPr>
                <w:lang w:val="en-GB"/>
              </w:rPr>
            </w:pPr>
            <w:r w:rsidRPr="00F372FF">
              <w:rPr>
                <w:lang w:val="en-GB"/>
              </w:rPr>
              <w:t>32 (44%)</w:t>
            </w:r>
          </w:p>
        </w:tc>
        <w:tc>
          <w:tcPr>
            <w:tcW w:w="869" w:type="pct"/>
            <w:tcBorders>
              <w:top w:val="nil"/>
              <w:left w:val="nil"/>
              <w:bottom w:val="nil"/>
              <w:right w:val="nil"/>
            </w:tcBorders>
            <w:vAlign w:val="bottom"/>
          </w:tcPr>
          <w:p w14:paraId="4C10B457" w14:textId="77777777" w:rsidR="00C167F7" w:rsidRPr="00F372FF" w:rsidRDefault="00C167F7" w:rsidP="00154EE6">
            <w:pPr>
              <w:pStyle w:val="Table-right"/>
              <w:rPr>
                <w:lang w:val="en-GB"/>
              </w:rPr>
            </w:pPr>
            <w:r w:rsidRPr="00F372FF">
              <w:rPr>
                <w:lang w:val="en-GB"/>
              </w:rPr>
              <w:t xml:space="preserve">          0.26</w:t>
            </w:r>
          </w:p>
        </w:tc>
      </w:tr>
      <w:tr w:rsidR="00C167F7" w:rsidRPr="00F372FF" w14:paraId="425ECA8A" w14:textId="77777777" w:rsidTr="00154EE6">
        <w:trPr>
          <w:trHeight w:val="284"/>
        </w:trPr>
        <w:tc>
          <w:tcPr>
            <w:tcW w:w="1494" w:type="pct"/>
            <w:tcBorders>
              <w:top w:val="nil"/>
              <w:left w:val="nil"/>
              <w:bottom w:val="single" w:sz="4" w:space="0" w:color="auto"/>
              <w:right w:val="nil"/>
            </w:tcBorders>
            <w:vAlign w:val="bottom"/>
          </w:tcPr>
          <w:p w14:paraId="28241077" w14:textId="77777777" w:rsidR="00C167F7" w:rsidRPr="00F372FF" w:rsidRDefault="00C167F7" w:rsidP="00154EE6">
            <w:pPr>
              <w:pStyle w:val="NoSpacing"/>
              <w:rPr>
                <w:lang w:val="en-GB"/>
              </w:rPr>
            </w:pPr>
            <w:r w:rsidRPr="00F372FF">
              <w:rPr>
                <w:lang w:val="en-GB"/>
              </w:rPr>
              <w:t>Remitted (MADRS ≤ 12)</w:t>
            </w:r>
          </w:p>
        </w:tc>
        <w:tc>
          <w:tcPr>
            <w:tcW w:w="898" w:type="pct"/>
            <w:tcBorders>
              <w:top w:val="nil"/>
              <w:left w:val="nil"/>
              <w:bottom w:val="single" w:sz="4" w:space="0" w:color="auto"/>
              <w:right w:val="nil"/>
            </w:tcBorders>
            <w:vAlign w:val="bottom"/>
          </w:tcPr>
          <w:p w14:paraId="0A985AF5" w14:textId="77777777" w:rsidR="00C167F7" w:rsidRPr="00F372FF" w:rsidRDefault="00C167F7" w:rsidP="00154EE6">
            <w:pPr>
              <w:pStyle w:val="NoSpacing"/>
              <w:rPr>
                <w:lang w:val="en-GB"/>
              </w:rPr>
            </w:pPr>
            <w:r w:rsidRPr="00F372FF">
              <w:rPr>
                <w:lang w:val="en-GB"/>
              </w:rPr>
              <w:t>N (%)</w:t>
            </w:r>
          </w:p>
        </w:tc>
        <w:tc>
          <w:tcPr>
            <w:tcW w:w="869" w:type="pct"/>
            <w:tcBorders>
              <w:top w:val="nil"/>
              <w:left w:val="nil"/>
              <w:bottom w:val="single" w:sz="4" w:space="0" w:color="auto"/>
              <w:right w:val="nil"/>
            </w:tcBorders>
            <w:vAlign w:val="bottom"/>
          </w:tcPr>
          <w:p w14:paraId="11E6258D" w14:textId="77777777" w:rsidR="00C167F7" w:rsidRPr="00F372FF" w:rsidRDefault="00C167F7" w:rsidP="00154EE6">
            <w:pPr>
              <w:pStyle w:val="Table-right"/>
              <w:rPr>
                <w:lang w:val="en-GB"/>
              </w:rPr>
            </w:pPr>
            <w:r w:rsidRPr="00F372FF">
              <w:rPr>
                <w:lang w:val="en-GB"/>
              </w:rPr>
              <w:t>36 (44%)</w:t>
            </w:r>
          </w:p>
        </w:tc>
        <w:tc>
          <w:tcPr>
            <w:tcW w:w="869" w:type="pct"/>
            <w:tcBorders>
              <w:top w:val="nil"/>
              <w:left w:val="nil"/>
              <w:bottom w:val="single" w:sz="4" w:space="0" w:color="auto"/>
              <w:right w:val="nil"/>
            </w:tcBorders>
            <w:vAlign w:val="bottom"/>
          </w:tcPr>
          <w:p w14:paraId="453B3CB5" w14:textId="77777777" w:rsidR="00C167F7" w:rsidRPr="00F372FF" w:rsidRDefault="00C167F7" w:rsidP="00154EE6">
            <w:pPr>
              <w:pStyle w:val="Table-right"/>
              <w:rPr>
                <w:lang w:val="en-GB"/>
              </w:rPr>
            </w:pPr>
            <w:r w:rsidRPr="00F372FF">
              <w:rPr>
                <w:lang w:val="en-GB"/>
              </w:rPr>
              <w:t>19/60 (32%)</w:t>
            </w:r>
          </w:p>
        </w:tc>
        <w:tc>
          <w:tcPr>
            <w:tcW w:w="869" w:type="pct"/>
            <w:tcBorders>
              <w:top w:val="nil"/>
              <w:left w:val="nil"/>
              <w:bottom w:val="single" w:sz="4" w:space="0" w:color="auto"/>
              <w:right w:val="nil"/>
            </w:tcBorders>
            <w:vAlign w:val="bottom"/>
          </w:tcPr>
          <w:p w14:paraId="0C94C539" w14:textId="77777777" w:rsidR="00C167F7" w:rsidRPr="00F372FF" w:rsidRDefault="00C167F7" w:rsidP="00154EE6">
            <w:pPr>
              <w:pStyle w:val="Table-right"/>
              <w:rPr>
                <w:lang w:val="en-GB"/>
              </w:rPr>
            </w:pPr>
            <w:r w:rsidRPr="00F372FF">
              <w:rPr>
                <w:lang w:val="en-GB"/>
              </w:rPr>
              <w:t>0.16</w:t>
            </w:r>
          </w:p>
        </w:tc>
      </w:tr>
      <w:bookmarkEnd w:id="8"/>
      <w:bookmarkEnd w:id="9"/>
    </w:tbl>
    <w:p w14:paraId="498CD7C4" w14:textId="77777777" w:rsidR="00C167F7" w:rsidRPr="00F372FF" w:rsidRDefault="00C167F7" w:rsidP="00C167F7">
      <w:pPr>
        <w:pStyle w:val="NoSpacing"/>
        <w:rPr>
          <w:lang w:val="en-GB"/>
        </w:rPr>
      </w:pPr>
    </w:p>
    <w:p w14:paraId="3B3E468E" w14:textId="77777777" w:rsidR="00C167F7" w:rsidRPr="00F372FF" w:rsidRDefault="00C167F7" w:rsidP="00C167F7">
      <w:pPr>
        <w:rPr>
          <w:lang w:val="en-GB" w:eastAsia="en-US"/>
        </w:rPr>
      </w:pPr>
    </w:p>
    <w:p w14:paraId="5F2592F2" w14:textId="77777777" w:rsidR="00C167F7" w:rsidRPr="00F372FF" w:rsidRDefault="00C167F7" w:rsidP="00C167F7">
      <w:pPr>
        <w:pStyle w:val="NoSpacing"/>
        <w:rPr>
          <w:lang w:val="en-GB"/>
        </w:rPr>
      </w:pPr>
    </w:p>
    <w:p w14:paraId="3F833431" w14:textId="77777777" w:rsidR="00C167F7" w:rsidRPr="00F372FF" w:rsidRDefault="00C167F7" w:rsidP="00C167F7">
      <w:pPr>
        <w:pStyle w:val="NoSpacing"/>
        <w:rPr>
          <w:lang w:val="en-GB"/>
        </w:rPr>
      </w:pPr>
    </w:p>
    <w:p w14:paraId="27761352" w14:textId="77777777" w:rsidR="00C167F7" w:rsidRPr="00F372FF" w:rsidRDefault="00C167F7" w:rsidP="00C167F7">
      <w:pPr>
        <w:pStyle w:val="NoSpacing"/>
        <w:rPr>
          <w:lang w:val="en-GB"/>
        </w:rPr>
      </w:pPr>
    </w:p>
    <w:p w14:paraId="77CFEA42" w14:textId="77777777" w:rsidR="00C167F7" w:rsidRPr="00F372FF" w:rsidRDefault="00C167F7" w:rsidP="00C167F7">
      <w:pPr>
        <w:pStyle w:val="NoSpacing"/>
        <w:tabs>
          <w:tab w:val="center" w:pos="2602"/>
        </w:tabs>
        <w:rPr>
          <w:lang w:val="en-GB"/>
        </w:rPr>
      </w:pPr>
      <w:r w:rsidRPr="00F372FF">
        <w:rPr>
          <w:lang w:val="en-GB"/>
        </w:rPr>
        <w:tab/>
      </w:r>
      <w:r w:rsidRPr="00F372FF">
        <w:rPr>
          <w:lang w:val="en-GB"/>
        </w:rPr>
        <w:br w:type="textWrapping" w:clear="all"/>
      </w:r>
    </w:p>
    <w:p w14:paraId="7E5ACC07" w14:textId="77777777" w:rsidR="00C167F7" w:rsidRPr="00F372FF" w:rsidRDefault="00C167F7" w:rsidP="00C167F7">
      <w:pPr>
        <w:pStyle w:val="NoSpacing"/>
        <w:rPr>
          <w:lang w:val="en-GB"/>
        </w:rPr>
      </w:pPr>
      <w:r w:rsidRPr="00F372FF">
        <w:rPr>
          <w:lang w:val="en-GB"/>
        </w:rPr>
        <w:t>*</w:t>
      </w:r>
      <w:proofErr w:type="gramStart"/>
      <w:r w:rsidRPr="00F372FF">
        <w:rPr>
          <w:lang w:val="en-GB"/>
        </w:rPr>
        <w:t>calculated</w:t>
      </w:r>
      <w:proofErr w:type="gramEnd"/>
      <w:r w:rsidRPr="00F372FF">
        <w:rPr>
          <w:lang w:val="en-GB"/>
        </w:rPr>
        <w:t xml:space="preserve"> using t-tests for normally distributed variables, Wilcoxon tests for skewed variables, and Fisher’s exact test for categorical variables.</w:t>
      </w:r>
    </w:p>
    <w:bookmarkEnd w:id="4"/>
    <w:bookmarkEnd w:id="5"/>
    <w:bookmarkEnd w:id="6"/>
    <w:bookmarkEnd w:id="7"/>
    <w:p w14:paraId="7C5211AA" w14:textId="77777777" w:rsidR="00C167F7" w:rsidRPr="00F372FF" w:rsidRDefault="00C167F7" w:rsidP="00C167F7">
      <w:pPr>
        <w:spacing w:after="0"/>
        <w:rPr>
          <w:b/>
          <w:lang w:val="en-GB"/>
        </w:rPr>
      </w:pPr>
      <w:r w:rsidRPr="00F372FF">
        <w:rPr>
          <w:lang w:val="en-GB"/>
        </w:rPr>
        <w:br w:type="page"/>
      </w:r>
    </w:p>
    <w:p w14:paraId="737CA0F7" w14:textId="77777777" w:rsidR="00C167F7" w:rsidRPr="00F372FF" w:rsidRDefault="00C167F7" w:rsidP="00C167F7">
      <w:pPr>
        <w:pStyle w:val="Heading2"/>
        <w:rPr>
          <w:lang w:val="en-GB"/>
        </w:rPr>
      </w:pPr>
      <w:r w:rsidRPr="00F372FF">
        <w:rPr>
          <w:lang w:val="en-GB"/>
        </w:rPr>
        <w:lastRenderedPageBreak/>
        <w:t>Supplementary Table 3</w:t>
      </w:r>
      <w:r w:rsidRPr="00F372FF">
        <w:rPr>
          <w:b w:val="0"/>
          <w:bCs/>
          <w:lang w:val="en-GB"/>
        </w:rPr>
        <w:t xml:space="preserve">. </w:t>
      </w:r>
      <w:bookmarkStart w:id="13" w:name="OLE_LINK144"/>
      <w:bookmarkStart w:id="14" w:name="OLE_LINK145"/>
      <w:r w:rsidRPr="00F372FF">
        <w:rPr>
          <w:b w:val="0"/>
          <w:bCs/>
          <w:lang w:val="en-GB"/>
        </w:rPr>
        <w:t xml:space="preserve">Changes in symptom severity and rates of remission and response for participants in the </w:t>
      </w:r>
      <w:proofErr w:type="spellStart"/>
      <w:r w:rsidRPr="00F372FF">
        <w:rPr>
          <w:b w:val="0"/>
          <w:bCs/>
          <w:lang w:val="en-GB"/>
        </w:rPr>
        <w:t>YoDA</w:t>
      </w:r>
      <w:proofErr w:type="spellEnd"/>
      <w:r w:rsidRPr="00F372FF">
        <w:rPr>
          <w:b w:val="0"/>
          <w:bCs/>
          <w:lang w:val="en-GB"/>
        </w:rPr>
        <w:t>-C trial</w:t>
      </w:r>
      <w:bookmarkEnd w:id="13"/>
      <w:bookmarkEnd w:id="14"/>
      <w:r w:rsidRPr="00F372FF">
        <w:rPr>
          <w:b w:val="0"/>
          <w:bCs/>
          <w:lang w:val="en-GB"/>
        </w:rPr>
        <w:t>.</w:t>
      </w:r>
    </w:p>
    <w:tbl>
      <w:tblPr>
        <w:tblW w:w="4241" w:type="pct"/>
        <w:tblLayout w:type="fixed"/>
        <w:tblLook w:val="04A0" w:firstRow="1" w:lastRow="0" w:firstColumn="1" w:lastColumn="0" w:noHBand="0" w:noVBand="1"/>
      </w:tblPr>
      <w:tblGrid>
        <w:gridCol w:w="1365"/>
        <w:gridCol w:w="1135"/>
        <w:gridCol w:w="1134"/>
        <w:gridCol w:w="1132"/>
        <w:gridCol w:w="1136"/>
        <w:gridCol w:w="1134"/>
        <w:gridCol w:w="1134"/>
      </w:tblGrid>
      <w:tr w:rsidR="00C167F7" w:rsidRPr="00F372FF" w14:paraId="59550442" w14:textId="77777777" w:rsidTr="00154EE6">
        <w:trPr>
          <w:gridAfter w:val="2"/>
          <w:wAfter w:w="1388" w:type="pct"/>
          <w:trHeight w:val="143"/>
        </w:trPr>
        <w:tc>
          <w:tcPr>
            <w:tcW w:w="835" w:type="pct"/>
            <w:noWrap/>
            <w:vAlign w:val="bottom"/>
            <w:hideMark/>
          </w:tcPr>
          <w:p w14:paraId="0F380777" w14:textId="77777777" w:rsidR="00C167F7" w:rsidRPr="00F372FF" w:rsidRDefault="00C167F7" w:rsidP="00154EE6">
            <w:pPr>
              <w:pStyle w:val="Table-centred"/>
              <w:rPr>
                <w:lang w:val="en-GB"/>
              </w:rPr>
            </w:pPr>
          </w:p>
        </w:tc>
        <w:tc>
          <w:tcPr>
            <w:tcW w:w="1388" w:type="pct"/>
            <w:gridSpan w:val="2"/>
            <w:vAlign w:val="center"/>
            <w:hideMark/>
          </w:tcPr>
          <w:p w14:paraId="73830AB6" w14:textId="77777777" w:rsidR="00C167F7" w:rsidRPr="00F372FF" w:rsidRDefault="00C167F7" w:rsidP="00154EE6">
            <w:pPr>
              <w:pStyle w:val="Table-centred"/>
              <w:rPr>
                <w:b/>
                <w:bCs/>
                <w:lang w:val="en-GB"/>
              </w:rPr>
            </w:pPr>
            <w:r w:rsidRPr="00F372FF">
              <w:rPr>
                <w:b/>
                <w:bCs/>
                <w:lang w:val="en-GB"/>
              </w:rPr>
              <w:t>CBT+PBO</w:t>
            </w:r>
          </w:p>
        </w:tc>
        <w:tc>
          <w:tcPr>
            <w:tcW w:w="1388" w:type="pct"/>
            <w:gridSpan w:val="2"/>
            <w:vAlign w:val="center"/>
            <w:hideMark/>
          </w:tcPr>
          <w:p w14:paraId="053EE7F3" w14:textId="77777777" w:rsidR="00C167F7" w:rsidRPr="00F372FF" w:rsidRDefault="00C167F7" w:rsidP="00154EE6">
            <w:pPr>
              <w:pStyle w:val="Table-centred"/>
              <w:rPr>
                <w:b/>
                <w:bCs/>
                <w:lang w:val="en-GB"/>
              </w:rPr>
            </w:pPr>
            <w:r w:rsidRPr="00F372FF">
              <w:rPr>
                <w:b/>
                <w:bCs/>
                <w:lang w:val="en-GB"/>
              </w:rPr>
              <w:t>CBT+FLX</w:t>
            </w:r>
          </w:p>
        </w:tc>
      </w:tr>
      <w:tr w:rsidR="00C167F7" w:rsidRPr="00F372FF" w14:paraId="4833A120" w14:textId="77777777" w:rsidTr="00154EE6">
        <w:trPr>
          <w:gridAfter w:val="2"/>
          <w:wAfter w:w="1388" w:type="pct"/>
          <w:trHeight w:val="134"/>
        </w:trPr>
        <w:tc>
          <w:tcPr>
            <w:tcW w:w="835" w:type="pct"/>
            <w:noWrap/>
            <w:vAlign w:val="bottom"/>
            <w:hideMark/>
          </w:tcPr>
          <w:p w14:paraId="2D912D8C" w14:textId="77777777" w:rsidR="00C167F7" w:rsidRPr="00F372FF" w:rsidRDefault="00C167F7" w:rsidP="00154EE6">
            <w:pPr>
              <w:rPr>
                <w:lang w:val="en-GB"/>
              </w:rPr>
            </w:pPr>
          </w:p>
        </w:tc>
        <w:tc>
          <w:tcPr>
            <w:tcW w:w="1388" w:type="pct"/>
            <w:gridSpan w:val="2"/>
            <w:tcBorders>
              <w:bottom w:val="single" w:sz="4" w:space="0" w:color="auto"/>
            </w:tcBorders>
            <w:vAlign w:val="center"/>
            <w:hideMark/>
          </w:tcPr>
          <w:p w14:paraId="358D17F8" w14:textId="77777777" w:rsidR="00C167F7" w:rsidRPr="00F372FF" w:rsidRDefault="00C167F7" w:rsidP="00154EE6">
            <w:pPr>
              <w:pStyle w:val="Table-centred"/>
              <w:rPr>
                <w:color w:val="000000"/>
                <w:lang w:val="en-GB"/>
              </w:rPr>
            </w:pPr>
            <w:r w:rsidRPr="00F372FF">
              <w:rPr>
                <w:color w:val="000000"/>
                <w:lang w:val="en-GB"/>
              </w:rPr>
              <w:t>N = 37</w:t>
            </w:r>
          </w:p>
        </w:tc>
        <w:tc>
          <w:tcPr>
            <w:tcW w:w="1388" w:type="pct"/>
            <w:gridSpan w:val="2"/>
            <w:tcBorders>
              <w:bottom w:val="single" w:sz="4" w:space="0" w:color="auto"/>
            </w:tcBorders>
            <w:vAlign w:val="center"/>
            <w:hideMark/>
          </w:tcPr>
          <w:p w14:paraId="00DD6335" w14:textId="77777777" w:rsidR="00C167F7" w:rsidRPr="00F372FF" w:rsidRDefault="00C167F7" w:rsidP="00154EE6">
            <w:pPr>
              <w:pStyle w:val="Table-centred"/>
              <w:rPr>
                <w:lang w:val="en-GB"/>
              </w:rPr>
            </w:pPr>
            <w:r w:rsidRPr="00F372FF">
              <w:rPr>
                <w:lang w:val="en-GB"/>
              </w:rPr>
              <w:t>N = 44</w:t>
            </w:r>
          </w:p>
        </w:tc>
      </w:tr>
      <w:tr w:rsidR="00C167F7" w:rsidRPr="00F372FF" w14:paraId="086A2713" w14:textId="77777777" w:rsidTr="00154EE6">
        <w:trPr>
          <w:trHeight w:val="20"/>
        </w:trPr>
        <w:tc>
          <w:tcPr>
            <w:tcW w:w="835" w:type="pct"/>
            <w:tcBorders>
              <w:top w:val="nil"/>
              <w:left w:val="nil"/>
              <w:bottom w:val="single" w:sz="4" w:space="0" w:color="auto"/>
              <w:right w:val="nil"/>
            </w:tcBorders>
            <w:noWrap/>
            <w:vAlign w:val="center"/>
            <w:hideMark/>
          </w:tcPr>
          <w:p w14:paraId="7FB91D4B" w14:textId="77777777" w:rsidR="00C167F7" w:rsidRPr="00F372FF" w:rsidRDefault="00C167F7" w:rsidP="00154EE6">
            <w:pPr>
              <w:pStyle w:val="NoSpacing"/>
              <w:rPr>
                <w:b/>
                <w:bCs/>
                <w:lang w:val="en-GB"/>
              </w:rPr>
            </w:pPr>
            <w:r w:rsidRPr="00F372FF">
              <w:rPr>
                <w:b/>
                <w:bCs/>
                <w:lang w:val="en-GB"/>
              </w:rPr>
              <w:t>Symptom measures </w:t>
            </w:r>
          </w:p>
        </w:tc>
        <w:tc>
          <w:tcPr>
            <w:tcW w:w="694" w:type="pct"/>
            <w:tcBorders>
              <w:top w:val="single" w:sz="4" w:space="0" w:color="auto"/>
              <w:left w:val="nil"/>
              <w:bottom w:val="single" w:sz="4" w:space="0" w:color="auto"/>
              <w:right w:val="nil"/>
            </w:tcBorders>
            <w:vAlign w:val="center"/>
            <w:hideMark/>
          </w:tcPr>
          <w:p w14:paraId="7BA5B549" w14:textId="77777777" w:rsidR="00C167F7" w:rsidRPr="00F372FF" w:rsidRDefault="00C167F7" w:rsidP="00154EE6">
            <w:pPr>
              <w:pStyle w:val="NoSpacing"/>
              <w:jc w:val="right"/>
              <w:rPr>
                <w:lang w:val="en-GB"/>
              </w:rPr>
            </w:pPr>
            <w:r w:rsidRPr="00F372FF">
              <w:rPr>
                <w:lang w:val="en-GB"/>
              </w:rPr>
              <w:t>change from baseline</w:t>
            </w:r>
          </w:p>
        </w:tc>
        <w:tc>
          <w:tcPr>
            <w:tcW w:w="694" w:type="pct"/>
            <w:tcBorders>
              <w:top w:val="single" w:sz="4" w:space="0" w:color="auto"/>
              <w:left w:val="nil"/>
              <w:bottom w:val="single" w:sz="4" w:space="0" w:color="auto"/>
              <w:right w:val="nil"/>
            </w:tcBorders>
            <w:vAlign w:val="center"/>
            <w:hideMark/>
          </w:tcPr>
          <w:p w14:paraId="1F28B938" w14:textId="77777777" w:rsidR="00C167F7" w:rsidRPr="00F372FF" w:rsidRDefault="00C167F7" w:rsidP="00154EE6">
            <w:pPr>
              <w:pStyle w:val="NoSpacing"/>
              <w:jc w:val="right"/>
              <w:rPr>
                <w:lang w:val="en-GB"/>
              </w:rPr>
            </w:pPr>
            <w:r w:rsidRPr="00F372FF">
              <w:rPr>
                <w:lang w:val="en-GB"/>
              </w:rPr>
              <w:t>95% CI</w:t>
            </w:r>
          </w:p>
        </w:tc>
        <w:tc>
          <w:tcPr>
            <w:tcW w:w="693" w:type="pct"/>
            <w:tcBorders>
              <w:top w:val="single" w:sz="4" w:space="0" w:color="auto"/>
              <w:left w:val="nil"/>
              <w:bottom w:val="single" w:sz="4" w:space="0" w:color="auto"/>
              <w:right w:val="nil"/>
            </w:tcBorders>
            <w:vAlign w:val="center"/>
            <w:hideMark/>
          </w:tcPr>
          <w:p w14:paraId="78564B05" w14:textId="77777777" w:rsidR="00C167F7" w:rsidRPr="00F372FF" w:rsidRDefault="00C167F7" w:rsidP="00154EE6">
            <w:pPr>
              <w:pStyle w:val="NoSpacing"/>
              <w:jc w:val="right"/>
              <w:rPr>
                <w:lang w:val="en-GB"/>
              </w:rPr>
            </w:pPr>
            <w:r w:rsidRPr="00F372FF">
              <w:rPr>
                <w:lang w:val="en-GB"/>
              </w:rPr>
              <w:t>change from baseline</w:t>
            </w:r>
          </w:p>
        </w:tc>
        <w:tc>
          <w:tcPr>
            <w:tcW w:w="695" w:type="pct"/>
            <w:tcBorders>
              <w:top w:val="single" w:sz="4" w:space="0" w:color="auto"/>
              <w:left w:val="nil"/>
              <w:bottom w:val="single" w:sz="4" w:space="0" w:color="auto"/>
              <w:right w:val="nil"/>
            </w:tcBorders>
            <w:vAlign w:val="center"/>
            <w:hideMark/>
          </w:tcPr>
          <w:p w14:paraId="2188E911" w14:textId="77777777" w:rsidR="00C167F7" w:rsidRPr="00F372FF" w:rsidRDefault="00C167F7" w:rsidP="00154EE6">
            <w:pPr>
              <w:pStyle w:val="NoSpacing"/>
              <w:jc w:val="right"/>
              <w:rPr>
                <w:lang w:val="en-GB"/>
              </w:rPr>
            </w:pPr>
            <w:r w:rsidRPr="00F372FF">
              <w:rPr>
                <w:lang w:val="en-GB"/>
              </w:rPr>
              <w:t>95% CI</w:t>
            </w:r>
          </w:p>
        </w:tc>
        <w:tc>
          <w:tcPr>
            <w:tcW w:w="694" w:type="pct"/>
            <w:tcBorders>
              <w:top w:val="nil"/>
              <w:left w:val="nil"/>
              <w:bottom w:val="single" w:sz="4" w:space="0" w:color="auto"/>
              <w:right w:val="nil"/>
            </w:tcBorders>
            <w:vAlign w:val="center"/>
            <w:hideMark/>
          </w:tcPr>
          <w:p w14:paraId="1C61FA88" w14:textId="77777777" w:rsidR="00C167F7" w:rsidRPr="00F372FF" w:rsidRDefault="00C167F7" w:rsidP="00154EE6">
            <w:pPr>
              <w:pStyle w:val="NoSpacing"/>
              <w:jc w:val="right"/>
              <w:rPr>
                <w:lang w:val="en-GB"/>
              </w:rPr>
            </w:pPr>
            <w:r w:rsidRPr="00F372FF">
              <w:rPr>
                <w:lang w:val="en-GB"/>
              </w:rPr>
              <w:t>mean difference</w:t>
            </w:r>
          </w:p>
        </w:tc>
        <w:tc>
          <w:tcPr>
            <w:tcW w:w="694" w:type="pct"/>
            <w:tcBorders>
              <w:top w:val="nil"/>
              <w:left w:val="nil"/>
              <w:bottom w:val="single" w:sz="4" w:space="0" w:color="auto"/>
              <w:right w:val="nil"/>
            </w:tcBorders>
            <w:vAlign w:val="center"/>
            <w:hideMark/>
          </w:tcPr>
          <w:p w14:paraId="75D50693" w14:textId="77777777" w:rsidR="00C167F7" w:rsidRPr="00F372FF" w:rsidRDefault="00C167F7" w:rsidP="00154EE6">
            <w:pPr>
              <w:pStyle w:val="NoSpacing"/>
              <w:jc w:val="right"/>
              <w:rPr>
                <w:lang w:val="en-GB"/>
              </w:rPr>
            </w:pPr>
            <w:r w:rsidRPr="00F372FF">
              <w:rPr>
                <w:lang w:val="en-GB"/>
              </w:rPr>
              <w:t>95% CI</w:t>
            </w:r>
          </w:p>
        </w:tc>
      </w:tr>
      <w:tr w:rsidR="00C167F7" w:rsidRPr="00F372FF" w14:paraId="129DCB0D" w14:textId="77777777" w:rsidTr="00154EE6">
        <w:trPr>
          <w:trHeight w:val="317"/>
        </w:trPr>
        <w:tc>
          <w:tcPr>
            <w:tcW w:w="835" w:type="pct"/>
            <w:noWrap/>
            <w:vAlign w:val="center"/>
            <w:hideMark/>
          </w:tcPr>
          <w:p w14:paraId="6B69A624" w14:textId="77777777" w:rsidR="00C167F7" w:rsidRPr="00F372FF" w:rsidRDefault="00C167F7" w:rsidP="00154EE6">
            <w:pPr>
              <w:pStyle w:val="NoSpacing"/>
              <w:rPr>
                <w:lang w:val="en-GB"/>
              </w:rPr>
            </w:pPr>
            <w:r w:rsidRPr="00F372FF">
              <w:rPr>
                <w:lang w:val="en-GB"/>
              </w:rPr>
              <w:t>MADRS</w:t>
            </w:r>
          </w:p>
        </w:tc>
        <w:tc>
          <w:tcPr>
            <w:tcW w:w="694" w:type="pct"/>
            <w:noWrap/>
            <w:vAlign w:val="center"/>
          </w:tcPr>
          <w:p w14:paraId="4F17B3A8" w14:textId="77777777" w:rsidR="00C167F7" w:rsidRPr="00F372FF" w:rsidRDefault="00C167F7" w:rsidP="00154EE6">
            <w:pPr>
              <w:pStyle w:val="NoSpacing"/>
              <w:jc w:val="right"/>
              <w:rPr>
                <w:lang w:val="en-GB"/>
              </w:rPr>
            </w:pPr>
            <w:r w:rsidRPr="00F372FF">
              <w:rPr>
                <w:lang w:val="en-GB"/>
              </w:rPr>
              <w:t>-15.7</w:t>
            </w:r>
          </w:p>
        </w:tc>
        <w:tc>
          <w:tcPr>
            <w:tcW w:w="694" w:type="pct"/>
            <w:noWrap/>
            <w:vAlign w:val="center"/>
          </w:tcPr>
          <w:p w14:paraId="5B54022E" w14:textId="77777777" w:rsidR="00C167F7" w:rsidRPr="00F372FF" w:rsidRDefault="00C167F7" w:rsidP="00154EE6">
            <w:pPr>
              <w:pStyle w:val="NoSpacing"/>
              <w:jc w:val="right"/>
              <w:rPr>
                <w:lang w:val="en-GB"/>
              </w:rPr>
            </w:pPr>
            <w:r w:rsidRPr="00F372FF">
              <w:rPr>
                <w:lang w:val="en-GB"/>
              </w:rPr>
              <w:t>-19.0, -12.4</w:t>
            </w:r>
          </w:p>
        </w:tc>
        <w:tc>
          <w:tcPr>
            <w:tcW w:w="693" w:type="pct"/>
            <w:noWrap/>
            <w:vAlign w:val="center"/>
          </w:tcPr>
          <w:p w14:paraId="40E489DC" w14:textId="77777777" w:rsidR="00C167F7" w:rsidRPr="00F372FF" w:rsidRDefault="00C167F7" w:rsidP="00154EE6">
            <w:pPr>
              <w:pStyle w:val="NoSpacing"/>
              <w:jc w:val="right"/>
              <w:rPr>
                <w:lang w:val="en-GB"/>
              </w:rPr>
            </w:pPr>
            <w:r w:rsidRPr="00F372FF">
              <w:rPr>
                <w:lang w:val="en-GB"/>
              </w:rPr>
              <w:t>-14.5</w:t>
            </w:r>
          </w:p>
        </w:tc>
        <w:tc>
          <w:tcPr>
            <w:tcW w:w="695" w:type="pct"/>
            <w:noWrap/>
            <w:vAlign w:val="center"/>
          </w:tcPr>
          <w:p w14:paraId="1A898D06" w14:textId="77777777" w:rsidR="00C167F7" w:rsidRPr="00F372FF" w:rsidRDefault="00C167F7" w:rsidP="00154EE6">
            <w:pPr>
              <w:pStyle w:val="NoSpacing"/>
              <w:jc w:val="right"/>
              <w:rPr>
                <w:lang w:val="en-GB"/>
              </w:rPr>
            </w:pPr>
            <w:r w:rsidRPr="00F372FF">
              <w:rPr>
                <w:lang w:val="en-GB"/>
              </w:rPr>
              <w:t>-17.7, -11.4</w:t>
            </w:r>
          </w:p>
        </w:tc>
        <w:tc>
          <w:tcPr>
            <w:tcW w:w="694" w:type="pct"/>
            <w:noWrap/>
            <w:vAlign w:val="center"/>
          </w:tcPr>
          <w:p w14:paraId="29F3D953" w14:textId="77777777" w:rsidR="00C167F7" w:rsidRPr="00F372FF" w:rsidRDefault="00C167F7" w:rsidP="00154EE6">
            <w:pPr>
              <w:pStyle w:val="NoSpacing"/>
              <w:jc w:val="right"/>
              <w:rPr>
                <w:lang w:val="en-GB"/>
              </w:rPr>
            </w:pPr>
            <w:r w:rsidRPr="00F372FF">
              <w:rPr>
                <w:lang w:val="en-GB"/>
              </w:rPr>
              <w:t>1.2</w:t>
            </w:r>
          </w:p>
        </w:tc>
        <w:tc>
          <w:tcPr>
            <w:tcW w:w="694" w:type="pct"/>
            <w:noWrap/>
            <w:vAlign w:val="center"/>
          </w:tcPr>
          <w:p w14:paraId="0AE51D32" w14:textId="77777777" w:rsidR="00C167F7" w:rsidRPr="00F372FF" w:rsidRDefault="00C167F7" w:rsidP="00154EE6">
            <w:pPr>
              <w:pStyle w:val="NoSpacing"/>
              <w:jc w:val="right"/>
              <w:rPr>
                <w:lang w:val="en-GB"/>
              </w:rPr>
            </w:pPr>
            <w:r w:rsidRPr="00F372FF">
              <w:rPr>
                <w:lang w:val="en-GB"/>
              </w:rPr>
              <w:t>-3.2, 5.5</w:t>
            </w:r>
          </w:p>
        </w:tc>
      </w:tr>
      <w:tr w:rsidR="00C167F7" w:rsidRPr="00F372FF" w14:paraId="3D7A852E" w14:textId="77777777" w:rsidTr="00154EE6">
        <w:trPr>
          <w:trHeight w:val="317"/>
        </w:trPr>
        <w:tc>
          <w:tcPr>
            <w:tcW w:w="835" w:type="pct"/>
            <w:noWrap/>
            <w:vAlign w:val="center"/>
            <w:hideMark/>
          </w:tcPr>
          <w:p w14:paraId="4A837AED" w14:textId="77777777" w:rsidR="00C167F7" w:rsidRPr="00F372FF" w:rsidRDefault="00C167F7" w:rsidP="00154EE6">
            <w:pPr>
              <w:pStyle w:val="NoSpacing"/>
              <w:rPr>
                <w:lang w:val="en-GB"/>
              </w:rPr>
            </w:pPr>
            <w:r w:rsidRPr="00F372FF">
              <w:rPr>
                <w:lang w:val="en-GB"/>
              </w:rPr>
              <w:t>QIDS</w:t>
            </w:r>
          </w:p>
        </w:tc>
        <w:tc>
          <w:tcPr>
            <w:tcW w:w="694" w:type="pct"/>
            <w:noWrap/>
            <w:vAlign w:val="center"/>
          </w:tcPr>
          <w:p w14:paraId="310FC1B2" w14:textId="77777777" w:rsidR="00C167F7" w:rsidRPr="00F372FF" w:rsidRDefault="00C167F7" w:rsidP="00154EE6">
            <w:pPr>
              <w:pStyle w:val="NoSpacing"/>
              <w:jc w:val="right"/>
              <w:rPr>
                <w:lang w:val="en-GB"/>
              </w:rPr>
            </w:pPr>
            <w:r w:rsidRPr="00F372FF">
              <w:rPr>
                <w:lang w:val="en-GB"/>
              </w:rPr>
              <w:t>-7.0</w:t>
            </w:r>
          </w:p>
        </w:tc>
        <w:tc>
          <w:tcPr>
            <w:tcW w:w="694" w:type="pct"/>
            <w:noWrap/>
            <w:vAlign w:val="center"/>
          </w:tcPr>
          <w:p w14:paraId="44869D36" w14:textId="77777777" w:rsidR="00C167F7" w:rsidRPr="00F372FF" w:rsidRDefault="00C167F7" w:rsidP="00154EE6">
            <w:pPr>
              <w:pStyle w:val="NoSpacing"/>
              <w:jc w:val="right"/>
              <w:rPr>
                <w:lang w:val="en-GB"/>
              </w:rPr>
            </w:pPr>
            <w:r w:rsidRPr="00F372FF">
              <w:rPr>
                <w:lang w:val="en-GB"/>
              </w:rPr>
              <w:t>-8.6, -5.4</w:t>
            </w:r>
          </w:p>
        </w:tc>
        <w:tc>
          <w:tcPr>
            <w:tcW w:w="693" w:type="pct"/>
            <w:noWrap/>
            <w:vAlign w:val="center"/>
          </w:tcPr>
          <w:p w14:paraId="7B49E865" w14:textId="77777777" w:rsidR="00C167F7" w:rsidRPr="00F372FF" w:rsidRDefault="00C167F7" w:rsidP="00154EE6">
            <w:pPr>
              <w:pStyle w:val="NoSpacing"/>
              <w:jc w:val="right"/>
              <w:rPr>
                <w:lang w:val="en-GB"/>
              </w:rPr>
            </w:pPr>
            <w:r w:rsidRPr="00F372FF">
              <w:rPr>
                <w:lang w:val="en-GB"/>
              </w:rPr>
              <w:t>-6.9</w:t>
            </w:r>
          </w:p>
        </w:tc>
        <w:tc>
          <w:tcPr>
            <w:tcW w:w="695" w:type="pct"/>
            <w:noWrap/>
            <w:vAlign w:val="center"/>
          </w:tcPr>
          <w:p w14:paraId="5D656B58" w14:textId="77777777" w:rsidR="00C167F7" w:rsidRPr="00F372FF" w:rsidRDefault="00C167F7" w:rsidP="00154EE6">
            <w:pPr>
              <w:pStyle w:val="NoSpacing"/>
              <w:jc w:val="right"/>
              <w:rPr>
                <w:lang w:val="en-GB"/>
              </w:rPr>
            </w:pPr>
            <w:r w:rsidRPr="00F372FF">
              <w:rPr>
                <w:lang w:val="en-GB"/>
              </w:rPr>
              <w:t>-8.4, -5.3</w:t>
            </w:r>
          </w:p>
        </w:tc>
        <w:tc>
          <w:tcPr>
            <w:tcW w:w="694" w:type="pct"/>
            <w:noWrap/>
            <w:vAlign w:val="center"/>
          </w:tcPr>
          <w:p w14:paraId="16D3E42A" w14:textId="77777777" w:rsidR="00C167F7" w:rsidRPr="00F372FF" w:rsidRDefault="00C167F7" w:rsidP="00154EE6">
            <w:pPr>
              <w:pStyle w:val="NoSpacing"/>
              <w:jc w:val="right"/>
              <w:rPr>
                <w:lang w:val="en-GB"/>
              </w:rPr>
            </w:pPr>
            <w:r w:rsidRPr="00F372FF">
              <w:rPr>
                <w:lang w:val="en-GB"/>
              </w:rPr>
              <w:t>0.1</w:t>
            </w:r>
          </w:p>
        </w:tc>
        <w:tc>
          <w:tcPr>
            <w:tcW w:w="694" w:type="pct"/>
            <w:noWrap/>
            <w:vAlign w:val="center"/>
          </w:tcPr>
          <w:p w14:paraId="59E4E6E3" w14:textId="77777777" w:rsidR="00C167F7" w:rsidRPr="00F372FF" w:rsidRDefault="00C167F7" w:rsidP="00154EE6">
            <w:pPr>
              <w:pStyle w:val="NoSpacing"/>
              <w:jc w:val="right"/>
              <w:rPr>
                <w:lang w:val="en-GB"/>
              </w:rPr>
            </w:pPr>
            <w:r w:rsidRPr="00F372FF">
              <w:rPr>
                <w:lang w:val="en-GB"/>
              </w:rPr>
              <w:t>-2.0, 2.3</w:t>
            </w:r>
          </w:p>
        </w:tc>
      </w:tr>
      <w:tr w:rsidR="00C167F7" w:rsidRPr="00F372FF" w14:paraId="1505963B" w14:textId="77777777" w:rsidTr="00154EE6">
        <w:trPr>
          <w:trHeight w:val="317"/>
        </w:trPr>
        <w:tc>
          <w:tcPr>
            <w:tcW w:w="835" w:type="pct"/>
            <w:tcBorders>
              <w:bottom w:val="single" w:sz="4" w:space="0" w:color="auto"/>
            </w:tcBorders>
            <w:noWrap/>
            <w:vAlign w:val="center"/>
            <w:hideMark/>
          </w:tcPr>
          <w:p w14:paraId="20541313" w14:textId="77777777" w:rsidR="00C167F7" w:rsidRPr="00F372FF" w:rsidRDefault="00C167F7" w:rsidP="00154EE6">
            <w:pPr>
              <w:pStyle w:val="NoSpacing"/>
              <w:rPr>
                <w:lang w:val="en-GB"/>
              </w:rPr>
            </w:pPr>
            <w:r w:rsidRPr="00F372FF">
              <w:rPr>
                <w:lang w:val="en-GB"/>
              </w:rPr>
              <w:t>GAD7</w:t>
            </w:r>
          </w:p>
        </w:tc>
        <w:tc>
          <w:tcPr>
            <w:tcW w:w="694" w:type="pct"/>
            <w:tcBorders>
              <w:bottom w:val="single" w:sz="4" w:space="0" w:color="auto"/>
            </w:tcBorders>
            <w:noWrap/>
            <w:vAlign w:val="center"/>
          </w:tcPr>
          <w:p w14:paraId="546C7FD1" w14:textId="77777777" w:rsidR="00C167F7" w:rsidRPr="00F372FF" w:rsidRDefault="00C167F7" w:rsidP="00154EE6">
            <w:pPr>
              <w:pStyle w:val="NoSpacing"/>
              <w:jc w:val="right"/>
              <w:rPr>
                <w:lang w:val="en-GB"/>
              </w:rPr>
            </w:pPr>
            <w:r w:rsidRPr="00F372FF">
              <w:rPr>
                <w:lang w:val="en-GB"/>
              </w:rPr>
              <w:t>-4.0</w:t>
            </w:r>
          </w:p>
        </w:tc>
        <w:tc>
          <w:tcPr>
            <w:tcW w:w="694" w:type="pct"/>
            <w:tcBorders>
              <w:bottom w:val="single" w:sz="4" w:space="0" w:color="auto"/>
            </w:tcBorders>
            <w:noWrap/>
            <w:vAlign w:val="center"/>
          </w:tcPr>
          <w:p w14:paraId="61704C71" w14:textId="77777777" w:rsidR="00C167F7" w:rsidRPr="00F372FF" w:rsidRDefault="00C167F7" w:rsidP="00154EE6">
            <w:pPr>
              <w:pStyle w:val="NoSpacing"/>
              <w:jc w:val="right"/>
              <w:rPr>
                <w:lang w:val="en-GB"/>
              </w:rPr>
            </w:pPr>
            <w:r w:rsidRPr="00F372FF">
              <w:rPr>
                <w:lang w:val="en-GB"/>
              </w:rPr>
              <w:t>-5.6, -2.4</w:t>
            </w:r>
          </w:p>
        </w:tc>
        <w:tc>
          <w:tcPr>
            <w:tcW w:w="693" w:type="pct"/>
            <w:tcBorders>
              <w:bottom w:val="single" w:sz="4" w:space="0" w:color="auto"/>
            </w:tcBorders>
            <w:noWrap/>
            <w:vAlign w:val="center"/>
          </w:tcPr>
          <w:p w14:paraId="2C316AE3" w14:textId="77777777" w:rsidR="00C167F7" w:rsidRPr="00F372FF" w:rsidRDefault="00C167F7" w:rsidP="00154EE6">
            <w:pPr>
              <w:pStyle w:val="NoSpacing"/>
              <w:jc w:val="right"/>
              <w:rPr>
                <w:lang w:val="en-GB"/>
              </w:rPr>
            </w:pPr>
            <w:r w:rsidRPr="00F372FF">
              <w:rPr>
                <w:lang w:val="en-GB"/>
              </w:rPr>
              <w:t>-5.2</w:t>
            </w:r>
          </w:p>
        </w:tc>
        <w:tc>
          <w:tcPr>
            <w:tcW w:w="695" w:type="pct"/>
            <w:tcBorders>
              <w:bottom w:val="single" w:sz="4" w:space="0" w:color="auto"/>
            </w:tcBorders>
            <w:noWrap/>
            <w:vAlign w:val="center"/>
          </w:tcPr>
          <w:p w14:paraId="7EDE4626" w14:textId="77777777" w:rsidR="00C167F7" w:rsidRPr="00F372FF" w:rsidRDefault="00C167F7" w:rsidP="00154EE6">
            <w:pPr>
              <w:pStyle w:val="NoSpacing"/>
              <w:jc w:val="right"/>
              <w:rPr>
                <w:lang w:val="en-GB"/>
              </w:rPr>
            </w:pPr>
            <w:r w:rsidRPr="00F372FF">
              <w:rPr>
                <w:lang w:val="en-GB"/>
              </w:rPr>
              <w:t>-6.7, -3.6</w:t>
            </w:r>
          </w:p>
        </w:tc>
        <w:tc>
          <w:tcPr>
            <w:tcW w:w="694" w:type="pct"/>
            <w:tcBorders>
              <w:bottom w:val="single" w:sz="4" w:space="0" w:color="auto"/>
            </w:tcBorders>
            <w:noWrap/>
            <w:vAlign w:val="center"/>
          </w:tcPr>
          <w:p w14:paraId="30362F25" w14:textId="77777777" w:rsidR="00C167F7" w:rsidRPr="00F372FF" w:rsidRDefault="00C167F7" w:rsidP="00154EE6">
            <w:pPr>
              <w:pStyle w:val="NoSpacing"/>
              <w:jc w:val="right"/>
              <w:rPr>
                <w:lang w:val="en-GB"/>
              </w:rPr>
            </w:pPr>
            <w:r w:rsidRPr="00F372FF">
              <w:rPr>
                <w:lang w:val="en-GB"/>
              </w:rPr>
              <w:t>-1.1</w:t>
            </w:r>
          </w:p>
        </w:tc>
        <w:tc>
          <w:tcPr>
            <w:tcW w:w="694" w:type="pct"/>
            <w:tcBorders>
              <w:bottom w:val="single" w:sz="4" w:space="0" w:color="auto"/>
            </w:tcBorders>
            <w:noWrap/>
            <w:vAlign w:val="center"/>
          </w:tcPr>
          <w:p w14:paraId="29BB645A" w14:textId="77777777" w:rsidR="00C167F7" w:rsidRPr="00F372FF" w:rsidRDefault="00C167F7" w:rsidP="00154EE6">
            <w:pPr>
              <w:pStyle w:val="NoSpacing"/>
              <w:jc w:val="right"/>
              <w:rPr>
                <w:lang w:val="en-GB"/>
              </w:rPr>
            </w:pPr>
            <w:r w:rsidRPr="00F372FF">
              <w:rPr>
                <w:lang w:val="en-GB"/>
              </w:rPr>
              <w:t>-3.4, 1.1</w:t>
            </w:r>
          </w:p>
        </w:tc>
      </w:tr>
      <w:tr w:rsidR="00C167F7" w:rsidRPr="00F372FF" w14:paraId="4E2595D7" w14:textId="77777777" w:rsidTr="00154EE6">
        <w:trPr>
          <w:trHeight w:val="317"/>
        </w:trPr>
        <w:tc>
          <w:tcPr>
            <w:tcW w:w="835" w:type="pct"/>
            <w:tcBorders>
              <w:top w:val="single" w:sz="4" w:space="0" w:color="auto"/>
              <w:bottom w:val="single" w:sz="4" w:space="0" w:color="auto"/>
            </w:tcBorders>
            <w:noWrap/>
            <w:vAlign w:val="center"/>
          </w:tcPr>
          <w:p w14:paraId="12611E7E" w14:textId="77777777" w:rsidR="00C167F7" w:rsidRPr="00F372FF" w:rsidRDefault="00C167F7" w:rsidP="00154EE6">
            <w:pPr>
              <w:pStyle w:val="NoSpacing"/>
              <w:rPr>
                <w:b/>
                <w:bCs/>
                <w:lang w:val="en-GB"/>
              </w:rPr>
            </w:pPr>
            <w:r w:rsidRPr="00F372FF">
              <w:rPr>
                <w:b/>
                <w:bCs/>
                <w:lang w:val="en-GB"/>
              </w:rPr>
              <w:t>Remission / response</w:t>
            </w:r>
          </w:p>
        </w:tc>
        <w:tc>
          <w:tcPr>
            <w:tcW w:w="1388" w:type="pct"/>
            <w:gridSpan w:val="2"/>
            <w:tcBorders>
              <w:top w:val="single" w:sz="4" w:space="0" w:color="auto"/>
              <w:bottom w:val="single" w:sz="4" w:space="0" w:color="auto"/>
            </w:tcBorders>
            <w:noWrap/>
            <w:vAlign w:val="center"/>
          </w:tcPr>
          <w:p w14:paraId="32DB7F12" w14:textId="77777777" w:rsidR="00C167F7" w:rsidRPr="00F372FF" w:rsidRDefault="00C167F7" w:rsidP="00154EE6">
            <w:pPr>
              <w:pStyle w:val="NoSpacing"/>
              <w:jc w:val="right"/>
              <w:rPr>
                <w:lang w:val="en-GB" w:eastAsia="en-AU"/>
              </w:rPr>
            </w:pPr>
            <w:r w:rsidRPr="00F372FF">
              <w:rPr>
                <w:lang w:val="en-GB" w:eastAsia="en-AU"/>
              </w:rPr>
              <w:t>N (%)</w:t>
            </w:r>
          </w:p>
        </w:tc>
        <w:tc>
          <w:tcPr>
            <w:tcW w:w="1388" w:type="pct"/>
            <w:gridSpan w:val="2"/>
            <w:tcBorders>
              <w:top w:val="single" w:sz="4" w:space="0" w:color="auto"/>
              <w:bottom w:val="single" w:sz="4" w:space="0" w:color="auto"/>
            </w:tcBorders>
            <w:noWrap/>
            <w:vAlign w:val="center"/>
          </w:tcPr>
          <w:p w14:paraId="29A6B154" w14:textId="77777777" w:rsidR="00C167F7" w:rsidRPr="00F372FF" w:rsidRDefault="00C167F7" w:rsidP="00154EE6">
            <w:pPr>
              <w:pStyle w:val="NoSpacing"/>
              <w:jc w:val="right"/>
              <w:rPr>
                <w:lang w:val="en-GB" w:eastAsia="en-AU"/>
              </w:rPr>
            </w:pPr>
            <w:r w:rsidRPr="00F372FF">
              <w:rPr>
                <w:lang w:val="en-GB"/>
              </w:rPr>
              <w:t>N (%)</w:t>
            </w:r>
          </w:p>
        </w:tc>
        <w:tc>
          <w:tcPr>
            <w:tcW w:w="694" w:type="pct"/>
            <w:tcBorders>
              <w:top w:val="single" w:sz="4" w:space="0" w:color="auto"/>
              <w:bottom w:val="single" w:sz="4" w:space="0" w:color="auto"/>
            </w:tcBorders>
            <w:noWrap/>
            <w:vAlign w:val="center"/>
          </w:tcPr>
          <w:p w14:paraId="7AEDAA8B" w14:textId="77777777" w:rsidR="00C167F7" w:rsidRPr="00F372FF" w:rsidRDefault="00C167F7" w:rsidP="00154EE6">
            <w:pPr>
              <w:pStyle w:val="NoSpacing"/>
              <w:jc w:val="right"/>
              <w:rPr>
                <w:lang w:val="en-GB" w:eastAsia="en-AU"/>
              </w:rPr>
            </w:pPr>
            <w:r w:rsidRPr="00F372FF">
              <w:rPr>
                <w:lang w:val="en-GB" w:eastAsia="en-AU"/>
              </w:rPr>
              <w:t>odds ratio</w:t>
            </w:r>
          </w:p>
        </w:tc>
        <w:tc>
          <w:tcPr>
            <w:tcW w:w="694" w:type="pct"/>
            <w:tcBorders>
              <w:top w:val="single" w:sz="4" w:space="0" w:color="auto"/>
              <w:bottom w:val="single" w:sz="4" w:space="0" w:color="auto"/>
            </w:tcBorders>
            <w:vAlign w:val="center"/>
          </w:tcPr>
          <w:p w14:paraId="0AB49E32" w14:textId="77777777" w:rsidR="00C167F7" w:rsidRPr="00F372FF" w:rsidRDefault="00C167F7" w:rsidP="00154EE6">
            <w:pPr>
              <w:pStyle w:val="NoSpacing"/>
              <w:jc w:val="right"/>
              <w:rPr>
                <w:lang w:val="en-GB" w:eastAsia="en-AU"/>
              </w:rPr>
            </w:pPr>
            <w:r w:rsidRPr="00F372FF">
              <w:rPr>
                <w:lang w:val="en-GB"/>
              </w:rPr>
              <w:t>95% CI</w:t>
            </w:r>
          </w:p>
        </w:tc>
      </w:tr>
      <w:tr w:rsidR="00C167F7" w:rsidRPr="00F372FF" w14:paraId="46F6138E" w14:textId="77777777" w:rsidTr="00154EE6">
        <w:trPr>
          <w:trHeight w:val="317"/>
        </w:trPr>
        <w:tc>
          <w:tcPr>
            <w:tcW w:w="835" w:type="pct"/>
            <w:tcBorders>
              <w:top w:val="single" w:sz="4" w:space="0" w:color="auto"/>
            </w:tcBorders>
            <w:noWrap/>
            <w:vAlign w:val="center"/>
            <w:hideMark/>
          </w:tcPr>
          <w:p w14:paraId="12F2435B" w14:textId="77777777" w:rsidR="00C167F7" w:rsidRPr="00F372FF" w:rsidRDefault="00C167F7" w:rsidP="00154EE6">
            <w:pPr>
              <w:pStyle w:val="NoSpacing"/>
              <w:rPr>
                <w:lang w:val="en-GB"/>
              </w:rPr>
            </w:pPr>
            <w:r w:rsidRPr="00F372FF">
              <w:rPr>
                <w:lang w:val="en-GB"/>
              </w:rPr>
              <w:t>MADRS ≤ 12</w:t>
            </w:r>
          </w:p>
        </w:tc>
        <w:tc>
          <w:tcPr>
            <w:tcW w:w="1388" w:type="pct"/>
            <w:gridSpan w:val="2"/>
            <w:tcBorders>
              <w:top w:val="single" w:sz="4" w:space="0" w:color="auto"/>
            </w:tcBorders>
            <w:noWrap/>
            <w:vAlign w:val="center"/>
          </w:tcPr>
          <w:p w14:paraId="730EC343" w14:textId="77777777" w:rsidR="00C167F7" w:rsidRPr="00F372FF" w:rsidRDefault="00C167F7" w:rsidP="00154EE6">
            <w:pPr>
              <w:pStyle w:val="NoSpacing"/>
              <w:jc w:val="right"/>
              <w:rPr>
                <w:lang w:val="en-GB"/>
              </w:rPr>
            </w:pPr>
            <w:r w:rsidRPr="00F372FF">
              <w:rPr>
                <w:lang w:val="en-GB"/>
              </w:rPr>
              <w:t>15 (41%)</w:t>
            </w:r>
          </w:p>
        </w:tc>
        <w:tc>
          <w:tcPr>
            <w:tcW w:w="1388" w:type="pct"/>
            <w:gridSpan w:val="2"/>
            <w:tcBorders>
              <w:top w:val="single" w:sz="4" w:space="0" w:color="auto"/>
            </w:tcBorders>
            <w:noWrap/>
            <w:vAlign w:val="center"/>
          </w:tcPr>
          <w:p w14:paraId="1865CCF1" w14:textId="77777777" w:rsidR="00C167F7" w:rsidRPr="00F372FF" w:rsidRDefault="00C167F7" w:rsidP="00154EE6">
            <w:pPr>
              <w:pStyle w:val="NoSpacing"/>
              <w:jc w:val="right"/>
              <w:rPr>
                <w:lang w:val="en-GB"/>
              </w:rPr>
            </w:pPr>
            <w:r w:rsidRPr="00F372FF">
              <w:rPr>
                <w:lang w:val="en-GB"/>
              </w:rPr>
              <w:t>21 (48%)</w:t>
            </w:r>
          </w:p>
        </w:tc>
        <w:tc>
          <w:tcPr>
            <w:tcW w:w="694" w:type="pct"/>
            <w:tcBorders>
              <w:top w:val="single" w:sz="4" w:space="0" w:color="auto"/>
            </w:tcBorders>
            <w:noWrap/>
            <w:vAlign w:val="center"/>
          </w:tcPr>
          <w:p w14:paraId="1473E6BC" w14:textId="77777777" w:rsidR="00C167F7" w:rsidRPr="00F372FF" w:rsidRDefault="00C167F7" w:rsidP="00154EE6">
            <w:pPr>
              <w:pStyle w:val="NoSpacing"/>
              <w:jc w:val="right"/>
              <w:rPr>
                <w:lang w:val="en-GB"/>
              </w:rPr>
            </w:pPr>
            <w:r w:rsidRPr="00F372FF">
              <w:rPr>
                <w:lang w:val="en-GB"/>
              </w:rPr>
              <w:t>1.3</w:t>
            </w:r>
          </w:p>
        </w:tc>
        <w:tc>
          <w:tcPr>
            <w:tcW w:w="694" w:type="pct"/>
            <w:tcBorders>
              <w:top w:val="single" w:sz="4" w:space="0" w:color="auto"/>
            </w:tcBorders>
            <w:vAlign w:val="center"/>
          </w:tcPr>
          <w:p w14:paraId="3D678214" w14:textId="77777777" w:rsidR="00C167F7" w:rsidRPr="00F372FF" w:rsidRDefault="00C167F7" w:rsidP="00154EE6">
            <w:pPr>
              <w:pStyle w:val="NoSpacing"/>
              <w:jc w:val="right"/>
              <w:rPr>
                <w:lang w:val="en-GB"/>
              </w:rPr>
            </w:pPr>
            <w:r w:rsidRPr="00F372FF">
              <w:rPr>
                <w:lang w:val="en-GB"/>
              </w:rPr>
              <w:t>0.5, 3.6</w:t>
            </w:r>
          </w:p>
        </w:tc>
      </w:tr>
      <w:tr w:rsidR="00C167F7" w:rsidRPr="00F372FF" w14:paraId="5CE456CF" w14:textId="77777777" w:rsidTr="00154EE6">
        <w:trPr>
          <w:trHeight w:val="317"/>
        </w:trPr>
        <w:tc>
          <w:tcPr>
            <w:tcW w:w="835" w:type="pct"/>
            <w:noWrap/>
            <w:vAlign w:val="center"/>
            <w:hideMark/>
          </w:tcPr>
          <w:p w14:paraId="695903B4" w14:textId="77777777" w:rsidR="00C167F7" w:rsidRPr="00F372FF" w:rsidRDefault="00C167F7" w:rsidP="00154EE6">
            <w:pPr>
              <w:pStyle w:val="NoSpacing"/>
              <w:rPr>
                <w:lang w:val="en-GB"/>
              </w:rPr>
            </w:pPr>
            <w:r w:rsidRPr="00F372FF">
              <w:rPr>
                <w:lang w:val="en-GB"/>
              </w:rPr>
              <w:t>MADRS ≤10</w:t>
            </w:r>
          </w:p>
        </w:tc>
        <w:tc>
          <w:tcPr>
            <w:tcW w:w="1388" w:type="pct"/>
            <w:gridSpan w:val="2"/>
            <w:noWrap/>
            <w:vAlign w:val="center"/>
          </w:tcPr>
          <w:p w14:paraId="16EFF76B" w14:textId="77777777" w:rsidR="00C167F7" w:rsidRPr="00F372FF" w:rsidRDefault="00C167F7" w:rsidP="00154EE6">
            <w:pPr>
              <w:pStyle w:val="NoSpacing"/>
              <w:jc w:val="right"/>
              <w:rPr>
                <w:lang w:val="en-GB"/>
              </w:rPr>
            </w:pPr>
            <w:r w:rsidRPr="00F372FF">
              <w:rPr>
                <w:lang w:val="en-GB"/>
              </w:rPr>
              <w:t>12 (32%)</w:t>
            </w:r>
          </w:p>
        </w:tc>
        <w:tc>
          <w:tcPr>
            <w:tcW w:w="1388" w:type="pct"/>
            <w:gridSpan w:val="2"/>
            <w:noWrap/>
            <w:vAlign w:val="center"/>
          </w:tcPr>
          <w:p w14:paraId="0EF39459" w14:textId="77777777" w:rsidR="00C167F7" w:rsidRPr="00F372FF" w:rsidRDefault="00C167F7" w:rsidP="00154EE6">
            <w:pPr>
              <w:pStyle w:val="NoSpacing"/>
              <w:jc w:val="right"/>
              <w:rPr>
                <w:lang w:val="en-GB"/>
              </w:rPr>
            </w:pPr>
            <w:r w:rsidRPr="00F372FF">
              <w:rPr>
                <w:lang w:val="en-GB"/>
              </w:rPr>
              <w:t>18 (41%)</w:t>
            </w:r>
          </w:p>
        </w:tc>
        <w:tc>
          <w:tcPr>
            <w:tcW w:w="694" w:type="pct"/>
            <w:noWrap/>
            <w:vAlign w:val="center"/>
          </w:tcPr>
          <w:p w14:paraId="318ED0F5" w14:textId="77777777" w:rsidR="00C167F7" w:rsidRPr="00F372FF" w:rsidRDefault="00C167F7" w:rsidP="00154EE6">
            <w:pPr>
              <w:pStyle w:val="NoSpacing"/>
              <w:jc w:val="right"/>
              <w:rPr>
                <w:lang w:val="en-GB"/>
              </w:rPr>
            </w:pPr>
            <w:r w:rsidRPr="00F372FF">
              <w:rPr>
                <w:lang w:val="en-GB"/>
              </w:rPr>
              <w:t>1.4</w:t>
            </w:r>
          </w:p>
        </w:tc>
        <w:tc>
          <w:tcPr>
            <w:tcW w:w="694" w:type="pct"/>
            <w:vAlign w:val="center"/>
          </w:tcPr>
          <w:p w14:paraId="4EF30A70" w14:textId="77777777" w:rsidR="00C167F7" w:rsidRPr="00F372FF" w:rsidRDefault="00C167F7" w:rsidP="00154EE6">
            <w:pPr>
              <w:pStyle w:val="NoSpacing"/>
              <w:jc w:val="right"/>
              <w:rPr>
                <w:lang w:val="en-GB"/>
              </w:rPr>
            </w:pPr>
            <w:r w:rsidRPr="00F372FF">
              <w:rPr>
                <w:lang w:val="en-GB"/>
              </w:rPr>
              <w:t>0.5, 4.0</w:t>
            </w:r>
          </w:p>
        </w:tc>
      </w:tr>
      <w:tr w:rsidR="00C167F7" w:rsidRPr="00F372FF" w14:paraId="33B86EFD" w14:textId="77777777" w:rsidTr="00154EE6">
        <w:trPr>
          <w:trHeight w:val="317"/>
        </w:trPr>
        <w:tc>
          <w:tcPr>
            <w:tcW w:w="835" w:type="pct"/>
            <w:tcBorders>
              <w:top w:val="nil"/>
              <w:left w:val="nil"/>
              <w:bottom w:val="nil"/>
              <w:right w:val="nil"/>
            </w:tcBorders>
            <w:noWrap/>
            <w:vAlign w:val="center"/>
            <w:hideMark/>
          </w:tcPr>
          <w:p w14:paraId="3EE32129" w14:textId="77777777" w:rsidR="00C167F7" w:rsidRPr="00F372FF" w:rsidRDefault="00C167F7" w:rsidP="00154EE6">
            <w:pPr>
              <w:pStyle w:val="NoSpacing"/>
              <w:rPr>
                <w:lang w:val="en-GB"/>
              </w:rPr>
            </w:pPr>
            <w:r w:rsidRPr="00F372FF">
              <w:rPr>
                <w:lang w:val="en-GB"/>
              </w:rPr>
              <w:t xml:space="preserve">MADRS ≤ 7 </w:t>
            </w:r>
          </w:p>
        </w:tc>
        <w:tc>
          <w:tcPr>
            <w:tcW w:w="1388" w:type="pct"/>
            <w:gridSpan w:val="2"/>
            <w:tcBorders>
              <w:top w:val="nil"/>
              <w:left w:val="nil"/>
              <w:bottom w:val="nil"/>
              <w:right w:val="nil"/>
            </w:tcBorders>
            <w:noWrap/>
            <w:vAlign w:val="center"/>
          </w:tcPr>
          <w:p w14:paraId="2A7BF332" w14:textId="77777777" w:rsidR="00C167F7" w:rsidRPr="00F372FF" w:rsidRDefault="00C167F7" w:rsidP="00154EE6">
            <w:pPr>
              <w:pStyle w:val="NoSpacing"/>
              <w:jc w:val="right"/>
              <w:rPr>
                <w:lang w:val="en-GB"/>
              </w:rPr>
            </w:pPr>
            <w:r w:rsidRPr="00F372FF">
              <w:rPr>
                <w:lang w:val="en-GB"/>
              </w:rPr>
              <w:t>8 (22%)</w:t>
            </w:r>
          </w:p>
        </w:tc>
        <w:tc>
          <w:tcPr>
            <w:tcW w:w="1388" w:type="pct"/>
            <w:gridSpan w:val="2"/>
            <w:tcBorders>
              <w:top w:val="nil"/>
              <w:left w:val="nil"/>
              <w:bottom w:val="nil"/>
            </w:tcBorders>
            <w:noWrap/>
            <w:vAlign w:val="center"/>
          </w:tcPr>
          <w:p w14:paraId="702D7BB6" w14:textId="77777777" w:rsidR="00C167F7" w:rsidRPr="00F372FF" w:rsidRDefault="00C167F7" w:rsidP="00154EE6">
            <w:pPr>
              <w:pStyle w:val="NoSpacing"/>
              <w:jc w:val="right"/>
              <w:rPr>
                <w:lang w:val="en-GB"/>
              </w:rPr>
            </w:pPr>
            <w:r w:rsidRPr="00F372FF">
              <w:rPr>
                <w:lang w:val="en-GB"/>
              </w:rPr>
              <w:t>12 (27%)</w:t>
            </w:r>
          </w:p>
        </w:tc>
        <w:tc>
          <w:tcPr>
            <w:tcW w:w="694" w:type="pct"/>
            <w:noWrap/>
            <w:vAlign w:val="center"/>
          </w:tcPr>
          <w:p w14:paraId="1BEFD7F3" w14:textId="77777777" w:rsidR="00C167F7" w:rsidRPr="00F372FF" w:rsidRDefault="00C167F7" w:rsidP="00154EE6">
            <w:pPr>
              <w:pStyle w:val="NoSpacing"/>
              <w:jc w:val="right"/>
              <w:rPr>
                <w:lang w:val="en-GB"/>
              </w:rPr>
            </w:pPr>
            <w:r w:rsidRPr="00F372FF">
              <w:rPr>
                <w:lang w:val="en-GB"/>
              </w:rPr>
              <w:t>1.4</w:t>
            </w:r>
          </w:p>
        </w:tc>
        <w:tc>
          <w:tcPr>
            <w:tcW w:w="694" w:type="pct"/>
            <w:vAlign w:val="center"/>
          </w:tcPr>
          <w:p w14:paraId="5B3C4F3B" w14:textId="77777777" w:rsidR="00C167F7" w:rsidRPr="00F372FF" w:rsidRDefault="00C167F7" w:rsidP="00154EE6">
            <w:pPr>
              <w:pStyle w:val="NoSpacing"/>
              <w:jc w:val="right"/>
              <w:rPr>
                <w:lang w:val="en-GB"/>
              </w:rPr>
            </w:pPr>
            <w:r w:rsidRPr="00F372FF">
              <w:rPr>
                <w:lang w:val="en-GB"/>
              </w:rPr>
              <w:t>0.4, 4.4</w:t>
            </w:r>
          </w:p>
        </w:tc>
      </w:tr>
      <w:tr w:rsidR="00C167F7" w:rsidRPr="00F372FF" w14:paraId="2B43093F" w14:textId="77777777" w:rsidTr="00154EE6">
        <w:trPr>
          <w:trHeight w:val="317"/>
        </w:trPr>
        <w:tc>
          <w:tcPr>
            <w:tcW w:w="835" w:type="pct"/>
            <w:tcBorders>
              <w:top w:val="nil"/>
              <w:left w:val="nil"/>
              <w:bottom w:val="single" w:sz="4" w:space="0" w:color="auto"/>
              <w:right w:val="nil"/>
            </w:tcBorders>
            <w:noWrap/>
            <w:vAlign w:val="center"/>
          </w:tcPr>
          <w:p w14:paraId="4586B09C" w14:textId="77777777" w:rsidR="00C167F7" w:rsidRPr="00F372FF" w:rsidRDefault="00C167F7" w:rsidP="00154EE6">
            <w:pPr>
              <w:pStyle w:val="NoSpacing"/>
              <w:rPr>
                <w:lang w:val="en-GB"/>
              </w:rPr>
            </w:pPr>
            <w:r w:rsidRPr="00F372FF">
              <w:rPr>
                <w:lang w:val="en-GB"/>
              </w:rPr>
              <w:t>MADRS ≤ 50%</w:t>
            </w:r>
          </w:p>
        </w:tc>
        <w:tc>
          <w:tcPr>
            <w:tcW w:w="1388" w:type="pct"/>
            <w:gridSpan w:val="2"/>
            <w:tcBorders>
              <w:top w:val="nil"/>
              <w:left w:val="nil"/>
              <w:bottom w:val="single" w:sz="4" w:space="0" w:color="auto"/>
              <w:right w:val="nil"/>
            </w:tcBorders>
            <w:noWrap/>
            <w:vAlign w:val="center"/>
          </w:tcPr>
          <w:p w14:paraId="5B321C33" w14:textId="77777777" w:rsidR="00C167F7" w:rsidRPr="00F372FF" w:rsidRDefault="00C167F7" w:rsidP="00154EE6">
            <w:pPr>
              <w:pStyle w:val="NoSpacing"/>
              <w:jc w:val="right"/>
              <w:rPr>
                <w:lang w:val="en-GB"/>
              </w:rPr>
            </w:pPr>
            <w:r w:rsidRPr="00F372FF">
              <w:rPr>
                <w:lang w:val="en-GB"/>
              </w:rPr>
              <w:t>18 (49%)</w:t>
            </w:r>
          </w:p>
        </w:tc>
        <w:tc>
          <w:tcPr>
            <w:tcW w:w="1388" w:type="pct"/>
            <w:gridSpan w:val="2"/>
            <w:tcBorders>
              <w:top w:val="nil"/>
              <w:left w:val="nil"/>
              <w:bottom w:val="single" w:sz="4" w:space="0" w:color="auto"/>
            </w:tcBorders>
            <w:noWrap/>
            <w:vAlign w:val="center"/>
          </w:tcPr>
          <w:p w14:paraId="2C70ADF7" w14:textId="77777777" w:rsidR="00C167F7" w:rsidRPr="00F372FF" w:rsidRDefault="00C167F7" w:rsidP="00154EE6">
            <w:pPr>
              <w:pStyle w:val="NoSpacing"/>
              <w:jc w:val="right"/>
              <w:rPr>
                <w:lang w:val="en-GB"/>
              </w:rPr>
            </w:pPr>
            <w:r w:rsidRPr="00F372FF">
              <w:rPr>
                <w:lang w:val="en-GB"/>
              </w:rPr>
              <w:t>21 (48%)</w:t>
            </w:r>
          </w:p>
        </w:tc>
        <w:tc>
          <w:tcPr>
            <w:tcW w:w="694" w:type="pct"/>
            <w:tcBorders>
              <w:bottom w:val="single" w:sz="4" w:space="0" w:color="auto"/>
            </w:tcBorders>
            <w:noWrap/>
            <w:vAlign w:val="center"/>
          </w:tcPr>
          <w:p w14:paraId="79CEA39C" w14:textId="77777777" w:rsidR="00C167F7" w:rsidRPr="00F372FF" w:rsidRDefault="00C167F7" w:rsidP="00154EE6">
            <w:pPr>
              <w:pStyle w:val="NoSpacing"/>
              <w:jc w:val="right"/>
              <w:rPr>
                <w:lang w:val="en-GB"/>
              </w:rPr>
            </w:pPr>
            <w:r w:rsidRPr="00F372FF">
              <w:rPr>
                <w:lang w:val="en-GB"/>
              </w:rPr>
              <w:t>1.0</w:t>
            </w:r>
          </w:p>
        </w:tc>
        <w:tc>
          <w:tcPr>
            <w:tcW w:w="694" w:type="pct"/>
            <w:tcBorders>
              <w:bottom w:val="single" w:sz="4" w:space="0" w:color="auto"/>
            </w:tcBorders>
            <w:vAlign w:val="center"/>
          </w:tcPr>
          <w:p w14:paraId="0767916F" w14:textId="77777777" w:rsidR="00C167F7" w:rsidRPr="00F372FF" w:rsidRDefault="00C167F7" w:rsidP="00154EE6">
            <w:pPr>
              <w:pStyle w:val="NoSpacing"/>
              <w:jc w:val="right"/>
              <w:rPr>
                <w:lang w:val="en-GB"/>
              </w:rPr>
            </w:pPr>
            <w:r w:rsidRPr="00F372FF">
              <w:rPr>
                <w:lang w:val="en-GB"/>
              </w:rPr>
              <w:t>0.4, 2.5</w:t>
            </w:r>
          </w:p>
        </w:tc>
      </w:tr>
    </w:tbl>
    <w:p w14:paraId="45C67906" w14:textId="77777777" w:rsidR="00C167F7" w:rsidRPr="00F372FF" w:rsidRDefault="00C167F7" w:rsidP="00C167F7">
      <w:pPr>
        <w:pStyle w:val="Heading2"/>
        <w:rPr>
          <w:lang w:val="en-GB"/>
        </w:rPr>
      </w:pPr>
    </w:p>
    <w:p w14:paraId="6A1DAB6D" w14:textId="77777777" w:rsidR="00C167F7" w:rsidRPr="00F372FF" w:rsidRDefault="00C167F7" w:rsidP="00C167F7">
      <w:pPr>
        <w:spacing w:after="0"/>
        <w:rPr>
          <w:b/>
          <w:lang w:val="en-GB"/>
        </w:rPr>
      </w:pPr>
      <w:r w:rsidRPr="00F372FF">
        <w:rPr>
          <w:lang w:val="en-GB"/>
        </w:rPr>
        <w:br w:type="page"/>
      </w:r>
    </w:p>
    <w:p w14:paraId="0F46630C" w14:textId="77777777" w:rsidR="00C167F7" w:rsidRPr="00F372FF" w:rsidRDefault="00C167F7" w:rsidP="00C167F7">
      <w:pPr>
        <w:pStyle w:val="Heading2"/>
        <w:rPr>
          <w:b w:val="0"/>
          <w:bCs/>
          <w:lang w:val="en-GB"/>
        </w:rPr>
      </w:pPr>
      <w:bookmarkStart w:id="15" w:name="OLE_LINK281"/>
      <w:bookmarkStart w:id="16" w:name="OLE_LINK282"/>
      <w:r w:rsidRPr="00F372FF">
        <w:rPr>
          <w:lang w:val="en-GB"/>
        </w:rPr>
        <w:lastRenderedPageBreak/>
        <w:t xml:space="preserve">Supplementary Table 4. </w:t>
      </w:r>
      <w:r w:rsidRPr="00F372FF">
        <w:rPr>
          <w:b w:val="0"/>
          <w:bCs/>
          <w:lang w:val="en-GB"/>
        </w:rPr>
        <w:t xml:space="preserve">Baseline characteristics of the </w:t>
      </w:r>
      <w:proofErr w:type="spellStart"/>
      <w:r w:rsidRPr="00F372FF">
        <w:rPr>
          <w:b w:val="0"/>
          <w:bCs/>
          <w:lang w:val="en-GB"/>
        </w:rPr>
        <w:t>YoDA</w:t>
      </w:r>
      <w:proofErr w:type="spellEnd"/>
      <w:r w:rsidRPr="00F372FF">
        <w:rPr>
          <w:b w:val="0"/>
          <w:bCs/>
          <w:lang w:val="en-GB"/>
        </w:rPr>
        <w:t>-A validation sample</w:t>
      </w:r>
    </w:p>
    <w:tbl>
      <w:tblPr>
        <w:tblW w:w="4165" w:type="pct"/>
        <w:tblLayout w:type="fixed"/>
        <w:tblLook w:val="04A0" w:firstRow="1" w:lastRow="0" w:firstColumn="1" w:lastColumn="0" w:noHBand="0" w:noVBand="1"/>
      </w:tblPr>
      <w:tblGrid>
        <w:gridCol w:w="2573"/>
        <w:gridCol w:w="1362"/>
        <w:gridCol w:w="1362"/>
        <w:gridCol w:w="1362"/>
        <w:gridCol w:w="1364"/>
      </w:tblGrid>
      <w:tr w:rsidR="00C167F7" w:rsidRPr="00F372FF" w14:paraId="00E6272A" w14:textId="77777777" w:rsidTr="00154EE6">
        <w:trPr>
          <w:trHeight w:val="284"/>
        </w:trPr>
        <w:tc>
          <w:tcPr>
            <w:tcW w:w="1603" w:type="pct"/>
            <w:tcBorders>
              <w:left w:val="nil"/>
              <w:right w:val="nil"/>
            </w:tcBorders>
            <w:vAlign w:val="center"/>
          </w:tcPr>
          <w:p w14:paraId="1A526CCC" w14:textId="77777777" w:rsidR="00C167F7" w:rsidRPr="00F372FF" w:rsidRDefault="00C167F7" w:rsidP="00154EE6">
            <w:pPr>
              <w:pStyle w:val="NoSpacing"/>
              <w:rPr>
                <w:lang w:val="en-GB"/>
              </w:rPr>
            </w:pPr>
            <w:r w:rsidRPr="00F372FF">
              <w:rPr>
                <w:b/>
                <w:lang w:val="en-GB"/>
              </w:rPr>
              <w:t>Baseline characteristic</w:t>
            </w:r>
          </w:p>
        </w:tc>
        <w:tc>
          <w:tcPr>
            <w:tcW w:w="849" w:type="pct"/>
            <w:tcBorders>
              <w:left w:val="nil"/>
              <w:right w:val="nil"/>
            </w:tcBorders>
            <w:vAlign w:val="center"/>
          </w:tcPr>
          <w:p w14:paraId="672492BE" w14:textId="77777777" w:rsidR="00C167F7" w:rsidRPr="00F372FF" w:rsidRDefault="00C167F7" w:rsidP="00154EE6">
            <w:pPr>
              <w:pStyle w:val="NoSpacing"/>
              <w:jc w:val="right"/>
              <w:rPr>
                <w:lang w:val="en-GB"/>
              </w:rPr>
            </w:pPr>
            <w:r w:rsidRPr="00F372FF">
              <w:rPr>
                <w:b/>
                <w:lang w:val="en-GB"/>
              </w:rPr>
              <w:t>Descriptive statistic</w:t>
            </w:r>
          </w:p>
        </w:tc>
        <w:tc>
          <w:tcPr>
            <w:tcW w:w="849" w:type="pct"/>
            <w:tcBorders>
              <w:left w:val="nil"/>
              <w:right w:val="nil"/>
            </w:tcBorders>
            <w:vAlign w:val="center"/>
            <w:hideMark/>
          </w:tcPr>
          <w:p w14:paraId="011E6B8D" w14:textId="77777777" w:rsidR="00C167F7" w:rsidRPr="00F372FF" w:rsidRDefault="00C167F7" w:rsidP="00154EE6">
            <w:pPr>
              <w:pStyle w:val="Table-right"/>
              <w:rPr>
                <w:b/>
                <w:lang w:val="en-GB"/>
              </w:rPr>
            </w:pPr>
            <w:r w:rsidRPr="00F372FF">
              <w:rPr>
                <w:b/>
                <w:lang w:val="en-GB"/>
              </w:rPr>
              <w:t>Remission</w:t>
            </w:r>
          </w:p>
        </w:tc>
        <w:tc>
          <w:tcPr>
            <w:tcW w:w="849" w:type="pct"/>
            <w:tcBorders>
              <w:left w:val="nil"/>
              <w:right w:val="nil"/>
            </w:tcBorders>
            <w:vAlign w:val="center"/>
            <w:hideMark/>
          </w:tcPr>
          <w:p w14:paraId="0710C29D" w14:textId="77777777" w:rsidR="00C167F7" w:rsidRPr="00F372FF" w:rsidRDefault="00C167F7" w:rsidP="00154EE6">
            <w:pPr>
              <w:pStyle w:val="Table-right"/>
              <w:rPr>
                <w:b/>
                <w:lang w:val="en-GB"/>
              </w:rPr>
            </w:pPr>
            <w:r w:rsidRPr="00F372FF">
              <w:rPr>
                <w:b/>
                <w:lang w:val="en-GB"/>
              </w:rPr>
              <w:t>Non-remission</w:t>
            </w:r>
          </w:p>
        </w:tc>
        <w:tc>
          <w:tcPr>
            <w:tcW w:w="850" w:type="pct"/>
            <w:tcBorders>
              <w:left w:val="nil"/>
              <w:right w:val="nil"/>
            </w:tcBorders>
            <w:vAlign w:val="center"/>
          </w:tcPr>
          <w:p w14:paraId="2906B1F7" w14:textId="77777777" w:rsidR="00C167F7" w:rsidRPr="00F372FF" w:rsidRDefault="00C167F7" w:rsidP="00154EE6">
            <w:pPr>
              <w:pStyle w:val="Table-right"/>
              <w:rPr>
                <w:b/>
                <w:lang w:val="en-GB"/>
              </w:rPr>
            </w:pPr>
            <w:r w:rsidRPr="00F372FF">
              <w:rPr>
                <w:b/>
                <w:lang w:val="en-GB"/>
              </w:rPr>
              <w:t>Remission vs non-remission</w:t>
            </w:r>
          </w:p>
        </w:tc>
      </w:tr>
      <w:tr w:rsidR="00C167F7" w:rsidRPr="00F372FF" w14:paraId="715C9461" w14:textId="77777777" w:rsidTr="00154EE6">
        <w:trPr>
          <w:trHeight w:val="154"/>
        </w:trPr>
        <w:tc>
          <w:tcPr>
            <w:tcW w:w="1603" w:type="pct"/>
            <w:tcBorders>
              <w:left w:val="nil"/>
              <w:bottom w:val="single" w:sz="4" w:space="0" w:color="auto"/>
              <w:right w:val="nil"/>
            </w:tcBorders>
            <w:vAlign w:val="center"/>
          </w:tcPr>
          <w:p w14:paraId="18792A99" w14:textId="77777777" w:rsidR="00C167F7" w:rsidRPr="00F372FF" w:rsidRDefault="00C167F7" w:rsidP="00154EE6">
            <w:pPr>
              <w:pStyle w:val="NoSpacing"/>
              <w:rPr>
                <w:b/>
                <w:lang w:val="en-GB"/>
              </w:rPr>
            </w:pPr>
          </w:p>
        </w:tc>
        <w:tc>
          <w:tcPr>
            <w:tcW w:w="849" w:type="pct"/>
            <w:tcBorders>
              <w:left w:val="nil"/>
              <w:bottom w:val="single" w:sz="4" w:space="0" w:color="auto"/>
              <w:right w:val="nil"/>
            </w:tcBorders>
            <w:vAlign w:val="center"/>
          </w:tcPr>
          <w:p w14:paraId="7B63F17B" w14:textId="77777777" w:rsidR="00C167F7" w:rsidRPr="00F372FF" w:rsidRDefault="00C167F7" w:rsidP="00154EE6">
            <w:pPr>
              <w:pStyle w:val="NoSpacing"/>
              <w:jc w:val="right"/>
              <w:rPr>
                <w:b/>
                <w:lang w:val="en-GB"/>
              </w:rPr>
            </w:pPr>
          </w:p>
        </w:tc>
        <w:tc>
          <w:tcPr>
            <w:tcW w:w="849" w:type="pct"/>
            <w:tcBorders>
              <w:left w:val="nil"/>
              <w:bottom w:val="single" w:sz="4" w:space="0" w:color="auto"/>
              <w:right w:val="nil"/>
            </w:tcBorders>
            <w:vAlign w:val="center"/>
            <w:hideMark/>
          </w:tcPr>
          <w:p w14:paraId="4433EABA" w14:textId="77777777" w:rsidR="00C167F7" w:rsidRPr="00F372FF" w:rsidRDefault="00C167F7" w:rsidP="00154EE6">
            <w:pPr>
              <w:pStyle w:val="Table-right"/>
              <w:rPr>
                <w:lang w:val="en-GB"/>
              </w:rPr>
            </w:pPr>
            <w:r w:rsidRPr="00F372FF">
              <w:rPr>
                <w:lang w:val="en-GB"/>
              </w:rPr>
              <w:t>N = 13</w:t>
            </w:r>
          </w:p>
        </w:tc>
        <w:tc>
          <w:tcPr>
            <w:tcW w:w="849" w:type="pct"/>
            <w:tcBorders>
              <w:left w:val="nil"/>
              <w:bottom w:val="single" w:sz="4" w:space="0" w:color="auto"/>
              <w:right w:val="nil"/>
            </w:tcBorders>
            <w:vAlign w:val="center"/>
            <w:hideMark/>
          </w:tcPr>
          <w:p w14:paraId="16C0C2E8" w14:textId="77777777" w:rsidR="00C167F7" w:rsidRPr="00F372FF" w:rsidRDefault="00C167F7" w:rsidP="00154EE6">
            <w:pPr>
              <w:pStyle w:val="Table-right"/>
              <w:rPr>
                <w:lang w:val="en-GB"/>
              </w:rPr>
            </w:pPr>
            <w:r w:rsidRPr="00F372FF">
              <w:rPr>
                <w:lang w:val="en-GB"/>
              </w:rPr>
              <w:t>N = 12</w:t>
            </w:r>
          </w:p>
        </w:tc>
        <w:tc>
          <w:tcPr>
            <w:tcW w:w="850" w:type="pct"/>
            <w:tcBorders>
              <w:left w:val="nil"/>
              <w:bottom w:val="single" w:sz="4" w:space="0" w:color="auto"/>
              <w:right w:val="nil"/>
            </w:tcBorders>
            <w:vAlign w:val="center"/>
          </w:tcPr>
          <w:p w14:paraId="7C01EFE1" w14:textId="77777777" w:rsidR="00C167F7" w:rsidRPr="00F372FF" w:rsidRDefault="00C167F7" w:rsidP="00154EE6">
            <w:pPr>
              <w:pStyle w:val="Table-right"/>
              <w:rPr>
                <w:lang w:val="en-GB"/>
              </w:rPr>
            </w:pPr>
            <w:r w:rsidRPr="00F372FF">
              <w:rPr>
                <w:lang w:val="en-GB"/>
              </w:rPr>
              <w:t>p-value*</w:t>
            </w:r>
          </w:p>
        </w:tc>
      </w:tr>
      <w:tr w:rsidR="00C167F7" w:rsidRPr="00F372FF" w14:paraId="0D331785" w14:textId="77777777" w:rsidTr="00154EE6">
        <w:trPr>
          <w:trHeight w:val="284"/>
        </w:trPr>
        <w:tc>
          <w:tcPr>
            <w:tcW w:w="1603" w:type="pct"/>
            <w:tcBorders>
              <w:top w:val="nil"/>
              <w:left w:val="nil"/>
              <w:bottom w:val="nil"/>
              <w:right w:val="nil"/>
            </w:tcBorders>
            <w:vAlign w:val="center"/>
            <w:hideMark/>
          </w:tcPr>
          <w:p w14:paraId="07B54102" w14:textId="77777777" w:rsidR="00C167F7" w:rsidRPr="00F372FF" w:rsidRDefault="00C167F7" w:rsidP="00154EE6">
            <w:pPr>
              <w:pStyle w:val="NoSpacing"/>
              <w:rPr>
                <w:lang w:val="en-GB"/>
              </w:rPr>
            </w:pPr>
            <w:r w:rsidRPr="00F372FF">
              <w:rPr>
                <w:lang w:val="en-GB"/>
              </w:rPr>
              <w:t>Age</w:t>
            </w:r>
          </w:p>
        </w:tc>
        <w:tc>
          <w:tcPr>
            <w:tcW w:w="849" w:type="pct"/>
            <w:tcBorders>
              <w:top w:val="nil"/>
              <w:left w:val="nil"/>
              <w:bottom w:val="nil"/>
              <w:right w:val="nil"/>
            </w:tcBorders>
            <w:vAlign w:val="center"/>
            <w:hideMark/>
          </w:tcPr>
          <w:p w14:paraId="4F8B8F44" w14:textId="77777777" w:rsidR="00C167F7" w:rsidRPr="00F372FF" w:rsidRDefault="00C167F7" w:rsidP="00154EE6">
            <w:pPr>
              <w:pStyle w:val="NoSpacing"/>
              <w:jc w:val="right"/>
              <w:rPr>
                <w:lang w:val="en-GB"/>
              </w:rPr>
            </w:pPr>
            <w:r w:rsidRPr="00F372FF">
              <w:rPr>
                <w:lang w:val="en-GB"/>
              </w:rPr>
              <w:t>mean (SD)</w:t>
            </w:r>
          </w:p>
        </w:tc>
        <w:tc>
          <w:tcPr>
            <w:tcW w:w="849" w:type="pct"/>
            <w:tcBorders>
              <w:top w:val="nil"/>
              <w:left w:val="nil"/>
              <w:bottom w:val="nil"/>
              <w:right w:val="nil"/>
            </w:tcBorders>
            <w:vAlign w:val="center"/>
          </w:tcPr>
          <w:p w14:paraId="3803FD9E" w14:textId="77777777" w:rsidR="00C167F7" w:rsidRPr="00F372FF" w:rsidRDefault="00C167F7" w:rsidP="00154EE6">
            <w:pPr>
              <w:pStyle w:val="Table-right"/>
              <w:rPr>
                <w:lang w:val="en-GB"/>
              </w:rPr>
            </w:pPr>
            <w:r w:rsidRPr="00F372FF">
              <w:rPr>
                <w:lang w:val="en-GB"/>
              </w:rPr>
              <w:t>19.7 (2.7)</w:t>
            </w:r>
          </w:p>
        </w:tc>
        <w:tc>
          <w:tcPr>
            <w:tcW w:w="849" w:type="pct"/>
            <w:tcBorders>
              <w:top w:val="nil"/>
              <w:left w:val="nil"/>
              <w:bottom w:val="nil"/>
              <w:right w:val="nil"/>
            </w:tcBorders>
            <w:vAlign w:val="center"/>
          </w:tcPr>
          <w:p w14:paraId="0C256F0B" w14:textId="77777777" w:rsidR="00C167F7" w:rsidRPr="00F372FF" w:rsidRDefault="00C167F7" w:rsidP="00154EE6">
            <w:pPr>
              <w:pStyle w:val="Table-right"/>
              <w:rPr>
                <w:lang w:val="en-GB"/>
              </w:rPr>
            </w:pPr>
            <w:r w:rsidRPr="00F372FF">
              <w:rPr>
                <w:lang w:val="en-GB"/>
              </w:rPr>
              <w:t>20.8 (2.6)</w:t>
            </w:r>
          </w:p>
        </w:tc>
        <w:tc>
          <w:tcPr>
            <w:tcW w:w="850" w:type="pct"/>
            <w:tcBorders>
              <w:top w:val="nil"/>
              <w:left w:val="nil"/>
              <w:bottom w:val="nil"/>
              <w:right w:val="nil"/>
            </w:tcBorders>
            <w:vAlign w:val="center"/>
          </w:tcPr>
          <w:p w14:paraId="1321A7E7" w14:textId="77777777" w:rsidR="00C167F7" w:rsidRPr="00F372FF" w:rsidRDefault="00C167F7" w:rsidP="00154EE6">
            <w:pPr>
              <w:pStyle w:val="Table-right"/>
              <w:rPr>
                <w:lang w:val="en-GB"/>
              </w:rPr>
            </w:pPr>
            <w:r w:rsidRPr="00F372FF">
              <w:rPr>
                <w:lang w:val="en-GB"/>
              </w:rPr>
              <w:t>0.30</w:t>
            </w:r>
          </w:p>
        </w:tc>
      </w:tr>
      <w:tr w:rsidR="00C167F7" w:rsidRPr="00F372FF" w14:paraId="0DFCC63B" w14:textId="77777777" w:rsidTr="00154EE6">
        <w:trPr>
          <w:trHeight w:val="284"/>
        </w:trPr>
        <w:tc>
          <w:tcPr>
            <w:tcW w:w="1603" w:type="pct"/>
            <w:tcBorders>
              <w:top w:val="nil"/>
              <w:left w:val="nil"/>
              <w:bottom w:val="nil"/>
              <w:right w:val="nil"/>
            </w:tcBorders>
            <w:vAlign w:val="center"/>
            <w:hideMark/>
          </w:tcPr>
          <w:p w14:paraId="7C1A118B" w14:textId="77777777" w:rsidR="00C167F7" w:rsidRPr="00F372FF" w:rsidRDefault="00C167F7" w:rsidP="00154EE6">
            <w:pPr>
              <w:pStyle w:val="NoSpacing"/>
              <w:rPr>
                <w:lang w:val="en-GB"/>
              </w:rPr>
            </w:pPr>
            <w:r w:rsidRPr="00F372FF">
              <w:rPr>
                <w:lang w:val="en-GB"/>
              </w:rPr>
              <w:t>Sex, female</w:t>
            </w:r>
          </w:p>
        </w:tc>
        <w:tc>
          <w:tcPr>
            <w:tcW w:w="849" w:type="pct"/>
            <w:tcBorders>
              <w:top w:val="nil"/>
              <w:left w:val="nil"/>
              <w:bottom w:val="nil"/>
              <w:right w:val="nil"/>
            </w:tcBorders>
            <w:vAlign w:val="center"/>
            <w:hideMark/>
          </w:tcPr>
          <w:p w14:paraId="0F200599" w14:textId="77777777" w:rsidR="00C167F7" w:rsidRPr="00F372FF" w:rsidRDefault="00C167F7" w:rsidP="00154EE6">
            <w:pPr>
              <w:pStyle w:val="NoSpacing"/>
              <w:jc w:val="right"/>
              <w:rPr>
                <w:lang w:val="en-GB"/>
              </w:rPr>
            </w:pPr>
            <w:r w:rsidRPr="00F372FF">
              <w:rPr>
                <w:lang w:val="en-GB"/>
              </w:rPr>
              <w:t>N (%)</w:t>
            </w:r>
          </w:p>
        </w:tc>
        <w:tc>
          <w:tcPr>
            <w:tcW w:w="849" w:type="pct"/>
            <w:tcBorders>
              <w:top w:val="nil"/>
              <w:left w:val="nil"/>
              <w:bottom w:val="nil"/>
              <w:right w:val="nil"/>
            </w:tcBorders>
            <w:vAlign w:val="center"/>
          </w:tcPr>
          <w:p w14:paraId="5A837B0C" w14:textId="77777777" w:rsidR="00C167F7" w:rsidRPr="00F372FF" w:rsidRDefault="00C167F7" w:rsidP="00154EE6">
            <w:pPr>
              <w:pStyle w:val="Table-right"/>
              <w:rPr>
                <w:lang w:val="en-GB"/>
              </w:rPr>
            </w:pPr>
            <w:r w:rsidRPr="00F372FF">
              <w:rPr>
                <w:lang w:val="en-GB"/>
              </w:rPr>
              <w:t>3 (23%)</w:t>
            </w:r>
          </w:p>
        </w:tc>
        <w:tc>
          <w:tcPr>
            <w:tcW w:w="849" w:type="pct"/>
            <w:tcBorders>
              <w:top w:val="nil"/>
              <w:left w:val="nil"/>
              <w:bottom w:val="nil"/>
              <w:right w:val="nil"/>
            </w:tcBorders>
            <w:vAlign w:val="center"/>
          </w:tcPr>
          <w:p w14:paraId="01146B9B" w14:textId="77777777" w:rsidR="00C167F7" w:rsidRPr="00F372FF" w:rsidRDefault="00C167F7" w:rsidP="00154EE6">
            <w:pPr>
              <w:pStyle w:val="Table-right"/>
              <w:rPr>
                <w:lang w:val="en-GB"/>
              </w:rPr>
            </w:pPr>
            <w:r w:rsidRPr="00F372FF">
              <w:rPr>
                <w:lang w:val="en-GB"/>
              </w:rPr>
              <w:t>6 (50%)</w:t>
            </w:r>
          </w:p>
        </w:tc>
        <w:tc>
          <w:tcPr>
            <w:tcW w:w="850" w:type="pct"/>
            <w:tcBorders>
              <w:top w:val="nil"/>
              <w:left w:val="nil"/>
              <w:bottom w:val="nil"/>
              <w:right w:val="nil"/>
            </w:tcBorders>
            <w:vAlign w:val="center"/>
          </w:tcPr>
          <w:p w14:paraId="0770D089" w14:textId="77777777" w:rsidR="00C167F7" w:rsidRPr="00F372FF" w:rsidRDefault="00C167F7" w:rsidP="00154EE6">
            <w:pPr>
              <w:pStyle w:val="Table-right"/>
              <w:rPr>
                <w:lang w:val="en-GB"/>
              </w:rPr>
            </w:pPr>
            <w:r w:rsidRPr="00F372FF">
              <w:rPr>
                <w:lang w:val="en-GB"/>
              </w:rPr>
              <w:t>0.22</w:t>
            </w:r>
          </w:p>
        </w:tc>
      </w:tr>
      <w:tr w:rsidR="00C167F7" w:rsidRPr="00F372FF" w14:paraId="12AD8407" w14:textId="77777777" w:rsidTr="00154EE6">
        <w:trPr>
          <w:trHeight w:val="284"/>
        </w:trPr>
        <w:tc>
          <w:tcPr>
            <w:tcW w:w="1603" w:type="pct"/>
            <w:tcBorders>
              <w:top w:val="nil"/>
              <w:left w:val="nil"/>
              <w:bottom w:val="nil"/>
              <w:right w:val="nil"/>
            </w:tcBorders>
            <w:vAlign w:val="center"/>
            <w:hideMark/>
          </w:tcPr>
          <w:p w14:paraId="354D75BA" w14:textId="77777777" w:rsidR="00C167F7" w:rsidRPr="00F372FF" w:rsidRDefault="00C167F7" w:rsidP="00154EE6">
            <w:pPr>
              <w:pStyle w:val="NoSpacing"/>
              <w:rPr>
                <w:lang w:val="en-GB"/>
              </w:rPr>
            </w:pPr>
            <w:r w:rsidRPr="00F372FF">
              <w:rPr>
                <w:lang w:val="en-GB"/>
              </w:rPr>
              <w:t>MADRS score</w:t>
            </w:r>
          </w:p>
        </w:tc>
        <w:tc>
          <w:tcPr>
            <w:tcW w:w="849" w:type="pct"/>
            <w:tcBorders>
              <w:top w:val="nil"/>
              <w:left w:val="nil"/>
              <w:bottom w:val="nil"/>
              <w:right w:val="nil"/>
            </w:tcBorders>
            <w:vAlign w:val="center"/>
            <w:hideMark/>
          </w:tcPr>
          <w:p w14:paraId="77AA29CF" w14:textId="77777777" w:rsidR="00C167F7" w:rsidRPr="00F372FF" w:rsidRDefault="00C167F7" w:rsidP="00154EE6">
            <w:pPr>
              <w:pStyle w:val="NoSpacing"/>
              <w:jc w:val="right"/>
              <w:rPr>
                <w:lang w:val="en-GB"/>
              </w:rPr>
            </w:pPr>
            <w:r w:rsidRPr="00F372FF">
              <w:rPr>
                <w:lang w:val="en-GB"/>
              </w:rPr>
              <w:t>mean (SD)</w:t>
            </w:r>
          </w:p>
        </w:tc>
        <w:tc>
          <w:tcPr>
            <w:tcW w:w="849" w:type="pct"/>
            <w:tcBorders>
              <w:top w:val="nil"/>
              <w:left w:val="nil"/>
              <w:bottom w:val="nil"/>
              <w:right w:val="nil"/>
            </w:tcBorders>
            <w:vAlign w:val="center"/>
          </w:tcPr>
          <w:p w14:paraId="5612EC76" w14:textId="77777777" w:rsidR="00C167F7" w:rsidRPr="00F372FF" w:rsidRDefault="00C167F7" w:rsidP="00154EE6">
            <w:pPr>
              <w:pStyle w:val="Table-right"/>
              <w:rPr>
                <w:lang w:val="en-GB"/>
              </w:rPr>
            </w:pPr>
            <w:r w:rsidRPr="00F372FF">
              <w:rPr>
                <w:lang w:val="en-GB"/>
              </w:rPr>
              <w:t>30.4 (3.9)</w:t>
            </w:r>
          </w:p>
        </w:tc>
        <w:tc>
          <w:tcPr>
            <w:tcW w:w="849" w:type="pct"/>
            <w:tcBorders>
              <w:top w:val="nil"/>
              <w:left w:val="nil"/>
              <w:bottom w:val="nil"/>
              <w:right w:val="nil"/>
            </w:tcBorders>
            <w:vAlign w:val="center"/>
          </w:tcPr>
          <w:p w14:paraId="2F064FA6" w14:textId="77777777" w:rsidR="00C167F7" w:rsidRPr="00F372FF" w:rsidRDefault="00C167F7" w:rsidP="00154EE6">
            <w:pPr>
              <w:pStyle w:val="Table-right"/>
              <w:rPr>
                <w:lang w:val="en-GB"/>
              </w:rPr>
            </w:pPr>
            <w:r w:rsidRPr="00F372FF">
              <w:rPr>
                <w:lang w:val="en-GB"/>
              </w:rPr>
              <w:t>35.0 (6.2)</w:t>
            </w:r>
          </w:p>
        </w:tc>
        <w:tc>
          <w:tcPr>
            <w:tcW w:w="850" w:type="pct"/>
            <w:tcBorders>
              <w:top w:val="nil"/>
              <w:left w:val="nil"/>
              <w:bottom w:val="nil"/>
              <w:right w:val="nil"/>
            </w:tcBorders>
            <w:vAlign w:val="center"/>
          </w:tcPr>
          <w:p w14:paraId="202A528C" w14:textId="77777777" w:rsidR="00C167F7" w:rsidRPr="00F372FF" w:rsidRDefault="00C167F7" w:rsidP="00154EE6">
            <w:pPr>
              <w:pStyle w:val="Table-right"/>
              <w:rPr>
                <w:lang w:val="en-GB"/>
              </w:rPr>
            </w:pPr>
            <w:r w:rsidRPr="00F372FF">
              <w:rPr>
                <w:lang w:val="en-GB"/>
              </w:rPr>
              <w:t>0.04</w:t>
            </w:r>
          </w:p>
        </w:tc>
      </w:tr>
      <w:tr w:rsidR="00C167F7" w:rsidRPr="00F372FF" w14:paraId="7DDFA0AE" w14:textId="77777777" w:rsidTr="00154EE6">
        <w:trPr>
          <w:trHeight w:val="284"/>
        </w:trPr>
        <w:tc>
          <w:tcPr>
            <w:tcW w:w="1603" w:type="pct"/>
            <w:tcBorders>
              <w:top w:val="nil"/>
              <w:left w:val="nil"/>
              <w:bottom w:val="nil"/>
              <w:right w:val="nil"/>
            </w:tcBorders>
            <w:vAlign w:val="center"/>
            <w:hideMark/>
          </w:tcPr>
          <w:p w14:paraId="25AEB8BE" w14:textId="77777777" w:rsidR="00C167F7" w:rsidRPr="00F372FF" w:rsidRDefault="00C167F7" w:rsidP="00154EE6">
            <w:pPr>
              <w:pStyle w:val="NoSpacing"/>
              <w:rPr>
                <w:lang w:val="en-GB"/>
              </w:rPr>
            </w:pPr>
            <w:r w:rsidRPr="00F372FF">
              <w:rPr>
                <w:lang w:val="en-GB"/>
              </w:rPr>
              <w:t>QIDS score</w:t>
            </w:r>
          </w:p>
        </w:tc>
        <w:tc>
          <w:tcPr>
            <w:tcW w:w="849" w:type="pct"/>
            <w:tcBorders>
              <w:top w:val="nil"/>
              <w:left w:val="nil"/>
              <w:bottom w:val="nil"/>
              <w:right w:val="nil"/>
            </w:tcBorders>
            <w:vAlign w:val="center"/>
            <w:hideMark/>
          </w:tcPr>
          <w:p w14:paraId="3AF20D57" w14:textId="77777777" w:rsidR="00C167F7" w:rsidRPr="00F372FF" w:rsidRDefault="00C167F7" w:rsidP="00154EE6">
            <w:pPr>
              <w:pStyle w:val="NoSpacing"/>
              <w:jc w:val="right"/>
              <w:rPr>
                <w:lang w:val="en-GB"/>
              </w:rPr>
            </w:pPr>
            <w:r w:rsidRPr="00F372FF">
              <w:rPr>
                <w:lang w:val="en-GB"/>
              </w:rPr>
              <w:t>mean (SD)</w:t>
            </w:r>
          </w:p>
        </w:tc>
        <w:tc>
          <w:tcPr>
            <w:tcW w:w="849" w:type="pct"/>
            <w:tcBorders>
              <w:top w:val="nil"/>
              <w:left w:val="nil"/>
              <w:bottom w:val="nil"/>
              <w:right w:val="nil"/>
            </w:tcBorders>
            <w:vAlign w:val="center"/>
          </w:tcPr>
          <w:p w14:paraId="72F6A4E9" w14:textId="77777777" w:rsidR="00C167F7" w:rsidRPr="00F372FF" w:rsidRDefault="00C167F7" w:rsidP="00154EE6">
            <w:pPr>
              <w:pStyle w:val="Table-right"/>
              <w:rPr>
                <w:lang w:val="en-GB"/>
              </w:rPr>
            </w:pPr>
            <w:r w:rsidRPr="00F372FF">
              <w:rPr>
                <w:lang w:val="en-GB"/>
              </w:rPr>
              <w:t>15.6 (5.5)</w:t>
            </w:r>
          </w:p>
        </w:tc>
        <w:tc>
          <w:tcPr>
            <w:tcW w:w="849" w:type="pct"/>
            <w:tcBorders>
              <w:top w:val="nil"/>
              <w:left w:val="nil"/>
              <w:bottom w:val="nil"/>
              <w:right w:val="nil"/>
            </w:tcBorders>
            <w:vAlign w:val="center"/>
          </w:tcPr>
          <w:p w14:paraId="7B216478" w14:textId="77777777" w:rsidR="00C167F7" w:rsidRPr="00F372FF" w:rsidRDefault="00C167F7" w:rsidP="00154EE6">
            <w:pPr>
              <w:pStyle w:val="Table-right"/>
              <w:rPr>
                <w:lang w:val="en-GB"/>
              </w:rPr>
            </w:pPr>
            <w:r w:rsidRPr="00F372FF">
              <w:rPr>
                <w:lang w:val="en-GB"/>
              </w:rPr>
              <w:t>20.0 (3.5)</w:t>
            </w:r>
          </w:p>
        </w:tc>
        <w:tc>
          <w:tcPr>
            <w:tcW w:w="850" w:type="pct"/>
            <w:tcBorders>
              <w:top w:val="nil"/>
              <w:left w:val="nil"/>
              <w:bottom w:val="nil"/>
              <w:right w:val="nil"/>
            </w:tcBorders>
            <w:vAlign w:val="center"/>
          </w:tcPr>
          <w:p w14:paraId="4B184A1A" w14:textId="77777777" w:rsidR="00C167F7" w:rsidRPr="00F372FF" w:rsidRDefault="00C167F7" w:rsidP="00154EE6">
            <w:pPr>
              <w:pStyle w:val="Table-right"/>
              <w:rPr>
                <w:lang w:val="en-GB"/>
              </w:rPr>
            </w:pPr>
            <w:r w:rsidRPr="00F372FF">
              <w:rPr>
                <w:lang w:val="en-GB"/>
              </w:rPr>
              <w:t>0.03</w:t>
            </w:r>
          </w:p>
        </w:tc>
      </w:tr>
      <w:tr w:rsidR="00C167F7" w:rsidRPr="00F372FF" w14:paraId="553DC5E0" w14:textId="77777777" w:rsidTr="00154EE6">
        <w:trPr>
          <w:trHeight w:val="284"/>
        </w:trPr>
        <w:tc>
          <w:tcPr>
            <w:tcW w:w="1603" w:type="pct"/>
            <w:tcBorders>
              <w:top w:val="nil"/>
              <w:left w:val="nil"/>
              <w:bottom w:val="nil"/>
              <w:right w:val="nil"/>
            </w:tcBorders>
            <w:vAlign w:val="center"/>
            <w:hideMark/>
          </w:tcPr>
          <w:p w14:paraId="0724403B" w14:textId="77777777" w:rsidR="00C167F7" w:rsidRPr="00F372FF" w:rsidRDefault="00C167F7" w:rsidP="00154EE6">
            <w:pPr>
              <w:pStyle w:val="NoSpacing"/>
              <w:rPr>
                <w:lang w:val="en-GB"/>
              </w:rPr>
            </w:pPr>
            <w:r w:rsidRPr="00F372FF">
              <w:rPr>
                <w:lang w:val="en-GB"/>
              </w:rPr>
              <w:t>GAD7 score</w:t>
            </w:r>
          </w:p>
        </w:tc>
        <w:tc>
          <w:tcPr>
            <w:tcW w:w="849" w:type="pct"/>
            <w:tcBorders>
              <w:top w:val="nil"/>
              <w:left w:val="nil"/>
              <w:bottom w:val="nil"/>
              <w:right w:val="nil"/>
            </w:tcBorders>
            <w:vAlign w:val="center"/>
            <w:hideMark/>
          </w:tcPr>
          <w:p w14:paraId="14C0C538" w14:textId="77777777" w:rsidR="00C167F7" w:rsidRPr="00F372FF" w:rsidRDefault="00C167F7" w:rsidP="00154EE6">
            <w:pPr>
              <w:pStyle w:val="NoSpacing"/>
              <w:jc w:val="right"/>
              <w:rPr>
                <w:lang w:val="en-GB"/>
              </w:rPr>
            </w:pPr>
            <w:r w:rsidRPr="00F372FF">
              <w:rPr>
                <w:lang w:val="en-GB"/>
              </w:rPr>
              <w:t>mean (SD)</w:t>
            </w:r>
          </w:p>
        </w:tc>
        <w:tc>
          <w:tcPr>
            <w:tcW w:w="849" w:type="pct"/>
            <w:tcBorders>
              <w:top w:val="nil"/>
              <w:left w:val="nil"/>
              <w:bottom w:val="nil"/>
              <w:right w:val="nil"/>
            </w:tcBorders>
            <w:vAlign w:val="center"/>
          </w:tcPr>
          <w:p w14:paraId="425AA825" w14:textId="77777777" w:rsidR="00C167F7" w:rsidRPr="00F372FF" w:rsidRDefault="00C167F7" w:rsidP="00154EE6">
            <w:pPr>
              <w:pStyle w:val="Table-right"/>
              <w:rPr>
                <w:lang w:val="en-GB"/>
              </w:rPr>
            </w:pPr>
            <w:r w:rsidRPr="00F372FF">
              <w:rPr>
                <w:lang w:val="en-GB"/>
              </w:rPr>
              <w:t>11.7 (6.5)</w:t>
            </w:r>
          </w:p>
        </w:tc>
        <w:tc>
          <w:tcPr>
            <w:tcW w:w="849" w:type="pct"/>
            <w:tcBorders>
              <w:top w:val="nil"/>
              <w:left w:val="nil"/>
              <w:bottom w:val="nil"/>
              <w:right w:val="nil"/>
            </w:tcBorders>
            <w:vAlign w:val="center"/>
          </w:tcPr>
          <w:p w14:paraId="2AF17320" w14:textId="77777777" w:rsidR="00C167F7" w:rsidRPr="00F372FF" w:rsidRDefault="00C167F7" w:rsidP="00154EE6">
            <w:pPr>
              <w:pStyle w:val="Table-right"/>
              <w:rPr>
                <w:lang w:val="en-GB"/>
              </w:rPr>
            </w:pPr>
            <w:r w:rsidRPr="00F372FF">
              <w:rPr>
                <w:lang w:val="en-GB"/>
              </w:rPr>
              <w:t>14.7 (4.6)</w:t>
            </w:r>
          </w:p>
        </w:tc>
        <w:tc>
          <w:tcPr>
            <w:tcW w:w="850" w:type="pct"/>
            <w:tcBorders>
              <w:top w:val="nil"/>
              <w:left w:val="nil"/>
              <w:bottom w:val="nil"/>
              <w:right w:val="nil"/>
            </w:tcBorders>
            <w:vAlign w:val="center"/>
          </w:tcPr>
          <w:p w14:paraId="0BDA6ABF" w14:textId="77777777" w:rsidR="00C167F7" w:rsidRPr="00F372FF" w:rsidRDefault="00C167F7" w:rsidP="00154EE6">
            <w:pPr>
              <w:pStyle w:val="Table-right"/>
              <w:rPr>
                <w:lang w:val="en-GB"/>
              </w:rPr>
            </w:pPr>
            <w:r w:rsidRPr="00F372FF">
              <w:rPr>
                <w:lang w:val="en-GB"/>
              </w:rPr>
              <w:t>0.20</w:t>
            </w:r>
          </w:p>
        </w:tc>
      </w:tr>
      <w:tr w:rsidR="00C167F7" w:rsidRPr="00F372FF" w14:paraId="466B42F0" w14:textId="77777777" w:rsidTr="00154EE6">
        <w:trPr>
          <w:trHeight w:val="284"/>
        </w:trPr>
        <w:tc>
          <w:tcPr>
            <w:tcW w:w="1603" w:type="pct"/>
            <w:tcBorders>
              <w:top w:val="nil"/>
              <w:left w:val="nil"/>
              <w:bottom w:val="nil"/>
              <w:right w:val="nil"/>
            </w:tcBorders>
            <w:vAlign w:val="center"/>
            <w:hideMark/>
          </w:tcPr>
          <w:p w14:paraId="3DDD0DD3" w14:textId="77777777" w:rsidR="00C167F7" w:rsidRPr="00F372FF" w:rsidRDefault="00C167F7" w:rsidP="00154EE6">
            <w:pPr>
              <w:pStyle w:val="NoSpacing"/>
              <w:rPr>
                <w:lang w:val="en-GB"/>
              </w:rPr>
            </w:pPr>
            <w:r w:rsidRPr="00F372FF">
              <w:rPr>
                <w:lang w:val="en-GB"/>
              </w:rPr>
              <w:t>Number of major depressive episodes</w:t>
            </w:r>
          </w:p>
        </w:tc>
        <w:tc>
          <w:tcPr>
            <w:tcW w:w="849" w:type="pct"/>
            <w:tcBorders>
              <w:top w:val="nil"/>
              <w:left w:val="nil"/>
              <w:bottom w:val="nil"/>
              <w:right w:val="nil"/>
            </w:tcBorders>
            <w:vAlign w:val="center"/>
            <w:hideMark/>
          </w:tcPr>
          <w:p w14:paraId="64681D42" w14:textId="77777777" w:rsidR="00C167F7" w:rsidRPr="00F372FF" w:rsidRDefault="00C167F7" w:rsidP="00154EE6">
            <w:pPr>
              <w:pStyle w:val="NoSpacing"/>
              <w:jc w:val="right"/>
              <w:rPr>
                <w:lang w:val="en-GB"/>
              </w:rPr>
            </w:pPr>
            <w:r w:rsidRPr="00F372FF">
              <w:rPr>
                <w:lang w:val="en-GB"/>
              </w:rPr>
              <w:t>median (IQR)</w:t>
            </w:r>
          </w:p>
        </w:tc>
        <w:tc>
          <w:tcPr>
            <w:tcW w:w="849" w:type="pct"/>
            <w:tcBorders>
              <w:top w:val="nil"/>
              <w:left w:val="nil"/>
              <w:bottom w:val="nil"/>
              <w:right w:val="nil"/>
            </w:tcBorders>
            <w:vAlign w:val="center"/>
          </w:tcPr>
          <w:p w14:paraId="0937635E" w14:textId="77777777" w:rsidR="00C167F7" w:rsidRPr="00F372FF" w:rsidRDefault="00C167F7" w:rsidP="00154EE6">
            <w:pPr>
              <w:pStyle w:val="Table-right"/>
              <w:rPr>
                <w:lang w:val="en-GB"/>
              </w:rPr>
            </w:pPr>
            <w:r w:rsidRPr="00F372FF">
              <w:rPr>
                <w:lang w:val="en-GB"/>
              </w:rPr>
              <w:t>3 (1–5)</w:t>
            </w:r>
          </w:p>
        </w:tc>
        <w:tc>
          <w:tcPr>
            <w:tcW w:w="849" w:type="pct"/>
            <w:tcBorders>
              <w:top w:val="nil"/>
              <w:left w:val="nil"/>
              <w:bottom w:val="nil"/>
              <w:right w:val="nil"/>
            </w:tcBorders>
            <w:vAlign w:val="center"/>
          </w:tcPr>
          <w:p w14:paraId="2CEBC053" w14:textId="77777777" w:rsidR="00C167F7" w:rsidRPr="00F372FF" w:rsidRDefault="00C167F7" w:rsidP="00154EE6">
            <w:pPr>
              <w:pStyle w:val="Table-right"/>
              <w:rPr>
                <w:lang w:val="en-GB"/>
              </w:rPr>
            </w:pPr>
            <w:r w:rsidRPr="00F372FF">
              <w:rPr>
                <w:lang w:val="en-GB"/>
              </w:rPr>
              <w:t>2 (1–4)</w:t>
            </w:r>
          </w:p>
        </w:tc>
        <w:tc>
          <w:tcPr>
            <w:tcW w:w="850" w:type="pct"/>
            <w:tcBorders>
              <w:top w:val="nil"/>
              <w:left w:val="nil"/>
              <w:bottom w:val="nil"/>
              <w:right w:val="nil"/>
            </w:tcBorders>
            <w:vAlign w:val="center"/>
          </w:tcPr>
          <w:p w14:paraId="6B3E0C50" w14:textId="77777777" w:rsidR="00C167F7" w:rsidRPr="00F372FF" w:rsidRDefault="00C167F7" w:rsidP="00154EE6">
            <w:pPr>
              <w:pStyle w:val="Table-right"/>
              <w:rPr>
                <w:lang w:val="en-GB"/>
              </w:rPr>
            </w:pPr>
            <w:r w:rsidRPr="00F372FF">
              <w:rPr>
                <w:lang w:val="en-GB"/>
              </w:rPr>
              <w:t>0.59</w:t>
            </w:r>
          </w:p>
        </w:tc>
      </w:tr>
      <w:tr w:rsidR="00C167F7" w:rsidRPr="00F372FF" w14:paraId="45B1DE87" w14:textId="77777777" w:rsidTr="00154EE6">
        <w:trPr>
          <w:trHeight w:val="284"/>
        </w:trPr>
        <w:tc>
          <w:tcPr>
            <w:tcW w:w="1603" w:type="pct"/>
            <w:tcBorders>
              <w:top w:val="nil"/>
              <w:left w:val="nil"/>
              <w:bottom w:val="nil"/>
              <w:right w:val="nil"/>
            </w:tcBorders>
            <w:vAlign w:val="center"/>
            <w:hideMark/>
          </w:tcPr>
          <w:p w14:paraId="1BF3BDFE" w14:textId="77777777" w:rsidR="00C167F7" w:rsidRPr="00F372FF" w:rsidRDefault="00C167F7" w:rsidP="00154EE6">
            <w:pPr>
              <w:pStyle w:val="NoSpacing"/>
              <w:rPr>
                <w:lang w:val="en-GB"/>
              </w:rPr>
            </w:pPr>
            <w:r w:rsidRPr="00F372FF">
              <w:rPr>
                <w:lang w:val="en-GB"/>
              </w:rPr>
              <w:t>Duration, weeks</w:t>
            </w:r>
          </w:p>
        </w:tc>
        <w:tc>
          <w:tcPr>
            <w:tcW w:w="849" w:type="pct"/>
            <w:tcBorders>
              <w:top w:val="nil"/>
              <w:left w:val="nil"/>
              <w:bottom w:val="nil"/>
              <w:right w:val="nil"/>
            </w:tcBorders>
            <w:vAlign w:val="center"/>
            <w:hideMark/>
          </w:tcPr>
          <w:p w14:paraId="70CC73B7" w14:textId="77777777" w:rsidR="00C167F7" w:rsidRPr="00F372FF" w:rsidRDefault="00C167F7" w:rsidP="00154EE6">
            <w:pPr>
              <w:pStyle w:val="NoSpacing"/>
              <w:jc w:val="right"/>
              <w:rPr>
                <w:lang w:val="en-GB"/>
              </w:rPr>
            </w:pPr>
            <w:r w:rsidRPr="00F372FF">
              <w:rPr>
                <w:lang w:val="en-GB"/>
              </w:rPr>
              <w:t>median (IQR)</w:t>
            </w:r>
          </w:p>
        </w:tc>
        <w:tc>
          <w:tcPr>
            <w:tcW w:w="849" w:type="pct"/>
            <w:tcBorders>
              <w:top w:val="nil"/>
              <w:left w:val="nil"/>
              <w:bottom w:val="nil"/>
              <w:right w:val="nil"/>
            </w:tcBorders>
            <w:vAlign w:val="center"/>
          </w:tcPr>
          <w:p w14:paraId="6E802764" w14:textId="77777777" w:rsidR="00C167F7" w:rsidRPr="00F372FF" w:rsidRDefault="00C167F7" w:rsidP="00154EE6">
            <w:pPr>
              <w:pStyle w:val="Table-right"/>
              <w:rPr>
                <w:lang w:val="en-GB"/>
              </w:rPr>
            </w:pPr>
            <w:r w:rsidRPr="00F372FF">
              <w:rPr>
                <w:lang w:val="en-GB"/>
              </w:rPr>
              <w:t>23 (5–38)</w:t>
            </w:r>
          </w:p>
        </w:tc>
        <w:tc>
          <w:tcPr>
            <w:tcW w:w="849" w:type="pct"/>
            <w:tcBorders>
              <w:top w:val="nil"/>
              <w:left w:val="nil"/>
              <w:bottom w:val="nil"/>
              <w:right w:val="nil"/>
            </w:tcBorders>
            <w:vAlign w:val="center"/>
          </w:tcPr>
          <w:p w14:paraId="45742788" w14:textId="77777777" w:rsidR="00C167F7" w:rsidRPr="00F372FF" w:rsidRDefault="00C167F7" w:rsidP="00154EE6">
            <w:pPr>
              <w:pStyle w:val="Table-right"/>
              <w:rPr>
                <w:lang w:val="en-GB"/>
              </w:rPr>
            </w:pPr>
            <w:r w:rsidRPr="00F372FF">
              <w:rPr>
                <w:lang w:val="en-GB"/>
              </w:rPr>
              <w:t>23 (6–70)</w:t>
            </w:r>
          </w:p>
        </w:tc>
        <w:tc>
          <w:tcPr>
            <w:tcW w:w="850" w:type="pct"/>
            <w:tcBorders>
              <w:top w:val="nil"/>
              <w:left w:val="nil"/>
              <w:bottom w:val="nil"/>
              <w:right w:val="nil"/>
            </w:tcBorders>
            <w:vAlign w:val="center"/>
          </w:tcPr>
          <w:p w14:paraId="141D5E28" w14:textId="77777777" w:rsidR="00C167F7" w:rsidRPr="00F372FF" w:rsidRDefault="00C167F7" w:rsidP="00154EE6">
            <w:pPr>
              <w:pStyle w:val="Table-right"/>
              <w:rPr>
                <w:lang w:val="en-GB"/>
              </w:rPr>
            </w:pPr>
            <w:r w:rsidRPr="00F372FF">
              <w:rPr>
                <w:lang w:val="en-GB"/>
              </w:rPr>
              <w:t>0.66</w:t>
            </w:r>
          </w:p>
        </w:tc>
      </w:tr>
      <w:tr w:rsidR="00C167F7" w:rsidRPr="00F372FF" w14:paraId="1ECA0DE2" w14:textId="77777777" w:rsidTr="00154EE6">
        <w:trPr>
          <w:trHeight w:val="284"/>
        </w:trPr>
        <w:tc>
          <w:tcPr>
            <w:tcW w:w="1603" w:type="pct"/>
            <w:tcBorders>
              <w:top w:val="nil"/>
              <w:left w:val="nil"/>
              <w:bottom w:val="nil"/>
              <w:right w:val="nil"/>
            </w:tcBorders>
            <w:vAlign w:val="center"/>
            <w:hideMark/>
          </w:tcPr>
          <w:p w14:paraId="53B2AB25" w14:textId="77777777" w:rsidR="00C167F7" w:rsidRPr="00F372FF" w:rsidRDefault="00C167F7" w:rsidP="00154EE6">
            <w:pPr>
              <w:pStyle w:val="NoSpacing"/>
              <w:rPr>
                <w:lang w:val="en-GB"/>
              </w:rPr>
            </w:pPr>
            <w:r w:rsidRPr="00F372FF">
              <w:rPr>
                <w:lang w:val="en-GB"/>
              </w:rPr>
              <w:t>Treatment allocation</w:t>
            </w:r>
          </w:p>
        </w:tc>
        <w:tc>
          <w:tcPr>
            <w:tcW w:w="849" w:type="pct"/>
            <w:tcBorders>
              <w:top w:val="nil"/>
              <w:left w:val="nil"/>
              <w:bottom w:val="nil"/>
              <w:right w:val="nil"/>
            </w:tcBorders>
            <w:vAlign w:val="center"/>
            <w:hideMark/>
          </w:tcPr>
          <w:p w14:paraId="085C9CF0" w14:textId="77777777" w:rsidR="00C167F7" w:rsidRPr="00F372FF" w:rsidRDefault="00C167F7" w:rsidP="00154EE6">
            <w:pPr>
              <w:pStyle w:val="NoSpacing"/>
              <w:jc w:val="right"/>
              <w:rPr>
                <w:lang w:val="en-GB"/>
              </w:rPr>
            </w:pPr>
          </w:p>
        </w:tc>
        <w:tc>
          <w:tcPr>
            <w:tcW w:w="849" w:type="pct"/>
            <w:tcBorders>
              <w:top w:val="nil"/>
              <w:left w:val="nil"/>
              <w:bottom w:val="nil"/>
              <w:right w:val="nil"/>
            </w:tcBorders>
            <w:vAlign w:val="center"/>
          </w:tcPr>
          <w:p w14:paraId="63FD4547" w14:textId="77777777" w:rsidR="00C167F7" w:rsidRPr="00F372FF" w:rsidRDefault="00C167F7" w:rsidP="00154EE6">
            <w:pPr>
              <w:pStyle w:val="Table-right"/>
              <w:rPr>
                <w:lang w:val="en-GB"/>
              </w:rPr>
            </w:pPr>
          </w:p>
        </w:tc>
        <w:tc>
          <w:tcPr>
            <w:tcW w:w="849" w:type="pct"/>
            <w:tcBorders>
              <w:top w:val="nil"/>
              <w:left w:val="nil"/>
              <w:bottom w:val="nil"/>
              <w:right w:val="nil"/>
            </w:tcBorders>
            <w:vAlign w:val="center"/>
          </w:tcPr>
          <w:p w14:paraId="0657A770" w14:textId="77777777" w:rsidR="00C167F7" w:rsidRPr="00F372FF" w:rsidRDefault="00C167F7" w:rsidP="00154EE6">
            <w:pPr>
              <w:pStyle w:val="Table-right"/>
              <w:rPr>
                <w:lang w:val="en-GB"/>
              </w:rPr>
            </w:pPr>
          </w:p>
        </w:tc>
        <w:tc>
          <w:tcPr>
            <w:tcW w:w="850" w:type="pct"/>
            <w:tcBorders>
              <w:top w:val="nil"/>
              <w:left w:val="nil"/>
              <w:bottom w:val="nil"/>
              <w:right w:val="nil"/>
            </w:tcBorders>
            <w:vAlign w:val="center"/>
          </w:tcPr>
          <w:p w14:paraId="6BBF23B7" w14:textId="77777777" w:rsidR="00C167F7" w:rsidRPr="00F372FF" w:rsidRDefault="00C167F7" w:rsidP="00154EE6">
            <w:pPr>
              <w:pStyle w:val="Table-right"/>
              <w:rPr>
                <w:lang w:val="en-GB"/>
              </w:rPr>
            </w:pPr>
          </w:p>
        </w:tc>
      </w:tr>
      <w:tr w:rsidR="00C167F7" w:rsidRPr="00F372FF" w14:paraId="6E29B147" w14:textId="77777777" w:rsidTr="00154EE6">
        <w:trPr>
          <w:trHeight w:val="284"/>
        </w:trPr>
        <w:tc>
          <w:tcPr>
            <w:tcW w:w="1603" w:type="pct"/>
            <w:tcBorders>
              <w:top w:val="nil"/>
              <w:left w:val="nil"/>
              <w:bottom w:val="nil"/>
              <w:right w:val="nil"/>
            </w:tcBorders>
            <w:vAlign w:val="center"/>
          </w:tcPr>
          <w:p w14:paraId="488347E1" w14:textId="77777777" w:rsidR="00C167F7" w:rsidRPr="00F372FF" w:rsidRDefault="00C167F7" w:rsidP="00154EE6">
            <w:pPr>
              <w:pStyle w:val="Table-indent"/>
              <w:rPr>
                <w:lang w:val="en-GB"/>
              </w:rPr>
            </w:pPr>
            <w:r w:rsidRPr="00F372FF">
              <w:rPr>
                <w:lang w:val="en-GB"/>
              </w:rPr>
              <w:t>placebo</w:t>
            </w:r>
          </w:p>
        </w:tc>
        <w:tc>
          <w:tcPr>
            <w:tcW w:w="849" w:type="pct"/>
            <w:tcBorders>
              <w:top w:val="nil"/>
              <w:left w:val="nil"/>
              <w:bottom w:val="nil"/>
              <w:right w:val="nil"/>
            </w:tcBorders>
            <w:vAlign w:val="center"/>
          </w:tcPr>
          <w:p w14:paraId="6F696617" w14:textId="77777777" w:rsidR="00C167F7" w:rsidRPr="00F372FF" w:rsidRDefault="00C167F7" w:rsidP="00154EE6">
            <w:pPr>
              <w:pStyle w:val="NoSpacing"/>
              <w:jc w:val="right"/>
              <w:rPr>
                <w:lang w:val="en-GB"/>
              </w:rPr>
            </w:pPr>
            <w:r w:rsidRPr="00F372FF">
              <w:rPr>
                <w:lang w:val="en-GB"/>
              </w:rPr>
              <w:t>N (%)</w:t>
            </w:r>
          </w:p>
        </w:tc>
        <w:tc>
          <w:tcPr>
            <w:tcW w:w="849" w:type="pct"/>
            <w:tcBorders>
              <w:top w:val="nil"/>
              <w:left w:val="nil"/>
              <w:bottom w:val="nil"/>
              <w:right w:val="nil"/>
            </w:tcBorders>
            <w:vAlign w:val="center"/>
          </w:tcPr>
          <w:p w14:paraId="397E7B04" w14:textId="77777777" w:rsidR="00C167F7" w:rsidRPr="00F372FF" w:rsidRDefault="00C167F7" w:rsidP="00154EE6">
            <w:pPr>
              <w:pStyle w:val="Table-right"/>
              <w:rPr>
                <w:lang w:val="en-GB"/>
              </w:rPr>
            </w:pPr>
            <w:r w:rsidRPr="00F372FF">
              <w:rPr>
                <w:lang w:val="en-GB"/>
              </w:rPr>
              <w:t>2 (15%)</w:t>
            </w:r>
          </w:p>
        </w:tc>
        <w:tc>
          <w:tcPr>
            <w:tcW w:w="849" w:type="pct"/>
            <w:tcBorders>
              <w:top w:val="nil"/>
              <w:left w:val="nil"/>
              <w:bottom w:val="nil"/>
              <w:right w:val="nil"/>
            </w:tcBorders>
            <w:vAlign w:val="center"/>
          </w:tcPr>
          <w:p w14:paraId="44420944" w14:textId="77777777" w:rsidR="00C167F7" w:rsidRPr="00F372FF" w:rsidRDefault="00C167F7" w:rsidP="00154EE6">
            <w:pPr>
              <w:pStyle w:val="Table-right"/>
              <w:rPr>
                <w:lang w:val="en-GB"/>
              </w:rPr>
            </w:pPr>
            <w:r w:rsidRPr="00F372FF">
              <w:rPr>
                <w:lang w:val="en-GB"/>
              </w:rPr>
              <w:t xml:space="preserve">3 (25%) </w:t>
            </w:r>
          </w:p>
        </w:tc>
        <w:tc>
          <w:tcPr>
            <w:tcW w:w="850" w:type="pct"/>
            <w:tcBorders>
              <w:top w:val="nil"/>
              <w:left w:val="nil"/>
              <w:bottom w:val="nil"/>
              <w:right w:val="nil"/>
            </w:tcBorders>
            <w:vAlign w:val="center"/>
          </w:tcPr>
          <w:p w14:paraId="346A541D" w14:textId="77777777" w:rsidR="00C167F7" w:rsidRPr="00F372FF" w:rsidRDefault="00C167F7" w:rsidP="00154EE6">
            <w:pPr>
              <w:pStyle w:val="Table-right"/>
              <w:rPr>
                <w:lang w:val="en-GB"/>
              </w:rPr>
            </w:pPr>
          </w:p>
        </w:tc>
      </w:tr>
      <w:tr w:rsidR="00C167F7" w:rsidRPr="00F372FF" w14:paraId="6DB27BDA" w14:textId="77777777" w:rsidTr="00154EE6">
        <w:trPr>
          <w:trHeight w:val="284"/>
        </w:trPr>
        <w:tc>
          <w:tcPr>
            <w:tcW w:w="1603" w:type="pct"/>
            <w:tcBorders>
              <w:top w:val="nil"/>
              <w:left w:val="nil"/>
              <w:right w:val="nil"/>
            </w:tcBorders>
            <w:vAlign w:val="center"/>
          </w:tcPr>
          <w:p w14:paraId="5082DB57" w14:textId="77777777" w:rsidR="00C167F7" w:rsidRPr="00F372FF" w:rsidRDefault="00C167F7" w:rsidP="00154EE6">
            <w:pPr>
              <w:pStyle w:val="Table-indent"/>
              <w:rPr>
                <w:lang w:val="en-GB"/>
              </w:rPr>
            </w:pPr>
            <w:r w:rsidRPr="00F372FF">
              <w:rPr>
                <w:lang w:val="en-GB"/>
              </w:rPr>
              <w:t>rosuvastatin</w:t>
            </w:r>
          </w:p>
        </w:tc>
        <w:tc>
          <w:tcPr>
            <w:tcW w:w="849" w:type="pct"/>
            <w:tcBorders>
              <w:top w:val="nil"/>
              <w:left w:val="nil"/>
              <w:right w:val="nil"/>
            </w:tcBorders>
            <w:vAlign w:val="center"/>
          </w:tcPr>
          <w:p w14:paraId="47257DD5" w14:textId="77777777" w:rsidR="00C167F7" w:rsidRPr="00F372FF" w:rsidRDefault="00C167F7" w:rsidP="00154EE6">
            <w:pPr>
              <w:pStyle w:val="NoSpacing"/>
              <w:jc w:val="right"/>
              <w:rPr>
                <w:lang w:val="en-GB"/>
              </w:rPr>
            </w:pPr>
            <w:r w:rsidRPr="00F372FF">
              <w:rPr>
                <w:lang w:val="en-GB"/>
              </w:rPr>
              <w:t>N (%)</w:t>
            </w:r>
          </w:p>
        </w:tc>
        <w:tc>
          <w:tcPr>
            <w:tcW w:w="849" w:type="pct"/>
            <w:tcBorders>
              <w:top w:val="nil"/>
              <w:left w:val="nil"/>
              <w:right w:val="nil"/>
            </w:tcBorders>
            <w:vAlign w:val="center"/>
          </w:tcPr>
          <w:p w14:paraId="04593D6F" w14:textId="77777777" w:rsidR="00C167F7" w:rsidRPr="00F372FF" w:rsidRDefault="00C167F7" w:rsidP="00154EE6">
            <w:pPr>
              <w:pStyle w:val="Table-right"/>
              <w:rPr>
                <w:lang w:val="en-GB"/>
              </w:rPr>
            </w:pPr>
            <w:r w:rsidRPr="00F372FF">
              <w:rPr>
                <w:lang w:val="en-GB"/>
              </w:rPr>
              <w:t>8 (62%)</w:t>
            </w:r>
          </w:p>
        </w:tc>
        <w:tc>
          <w:tcPr>
            <w:tcW w:w="849" w:type="pct"/>
            <w:tcBorders>
              <w:top w:val="nil"/>
              <w:left w:val="nil"/>
              <w:right w:val="nil"/>
            </w:tcBorders>
            <w:vAlign w:val="center"/>
          </w:tcPr>
          <w:p w14:paraId="6E9671C3" w14:textId="77777777" w:rsidR="00C167F7" w:rsidRPr="00F372FF" w:rsidRDefault="00C167F7" w:rsidP="00154EE6">
            <w:pPr>
              <w:pStyle w:val="Table-right"/>
              <w:rPr>
                <w:lang w:val="en-GB"/>
              </w:rPr>
            </w:pPr>
            <w:r w:rsidRPr="00F372FF">
              <w:rPr>
                <w:lang w:val="en-GB"/>
              </w:rPr>
              <w:t>5 (42%)</w:t>
            </w:r>
          </w:p>
        </w:tc>
        <w:tc>
          <w:tcPr>
            <w:tcW w:w="850" w:type="pct"/>
            <w:tcBorders>
              <w:top w:val="nil"/>
              <w:left w:val="nil"/>
              <w:right w:val="nil"/>
            </w:tcBorders>
            <w:vAlign w:val="center"/>
          </w:tcPr>
          <w:p w14:paraId="1C9726A6" w14:textId="77777777" w:rsidR="00C167F7" w:rsidRPr="00F372FF" w:rsidRDefault="00C167F7" w:rsidP="00154EE6">
            <w:pPr>
              <w:pStyle w:val="Table-right"/>
              <w:rPr>
                <w:lang w:val="en-GB"/>
              </w:rPr>
            </w:pPr>
          </w:p>
        </w:tc>
      </w:tr>
      <w:tr w:rsidR="00C167F7" w:rsidRPr="00F372FF" w14:paraId="4DA2B35C" w14:textId="77777777" w:rsidTr="00154EE6">
        <w:trPr>
          <w:trHeight w:val="284"/>
        </w:trPr>
        <w:tc>
          <w:tcPr>
            <w:tcW w:w="1603" w:type="pct"/>
            <w:tcBorders>
              <w:top w:val="nil"/>
              <w:left w:val="nil"/>
              <w:bottom w:val="single" w:sz="4" w:space="0" w:color="auto"/>
              <w:right w:val="nil"/>
            </w:tcBorders>
            <w:vAlign w:val="center"/>
          </w:tcPr>
          <w:p w14:paraId="73465A52" w14:textId="77777777" w:rsidR="00C167F7" w:rsidRPr="00F372FF" w:rsidRDefault="00C167F7" w:rsidP="00154EE6">
            <w:pPr>
              <w:pStyle w:val="Table-indent"/>
              <w:rPr>
                <w:lang w:val="en-GB"/>
              </w:rPr>
            </w:pPr>
            <w:r w:rsidRPr="00F372FF">
              <w:rPr>
                <w:lang w:val="en-GB"/>
              </w:rPr>
              <w:t>aspirin</w:t>
            </w:r>
          </w:p>
        </w:tc>
        <w:tc>
          <w:tcPr>
            <w:tcW w:w="849" w:type="pct"/>
            <w:tcBorders>
              <w:top w:val="nil"/>
              <w:left w:val="nil"/>
              <w:bottom w:val="single" w:sz="4" w:space="0" w:color="auto"/>
              <w:right w:val="nil"/>
            </w:tcBorders>
            <w:vAlign w:val="center"/>
          </w:tcPr>
          <w:p w14:paraId="6D03ED01" w14:textId="77777777" w:rsidR="00C167F7" w:rsidRPr="00F372FF" w:rsidRDefault="00C167F7" w:rsidP="00154EE6">
            <w:pPr>
              <w:pStyle w:val="NoSpacing"/>
              <w:jc w:val="right"/>
              <w:rPr>
                <w:lang w:val="en-GB"/>
              </w:rPr>
            </w:pPr>
            <w:r w:rsidRPr="00F372FF">
              <w:rPr>
                <w:lang w:val="en-GB"/>
              </w:rPr>
              <w:t>N (%)</w:t>
            </w:r>
          </w:p>
        </w:tc>
        <w:tc>
          <w:tcPr>
            <w:tcW w:w="849" w:type="pct"/>
            <w:tcBorders>
              <w:top w:val="nil"/>
              <w:left w:val="nil"/>
              <w:bottom w:val="single" w:sz="4" w:space="0" w:color="auto"/>
              <w:right w:val="nil"/>
            </w:tcBorders>
            <w:vAlign w:val="center"/>
          </w:tcPr>
          <w:p w14:paraId="4AA82AE3" w14:textId="77777777" w:rsidR="00C167F7" w:rsidRPr="00F372FF" w:rsidRDefault="00C167F7" w:rsidP="00154EE6">
            <w:pPr>
              <w:pStyle w:val="Table-right"/>
              <w:rPr>
                <w:lang w:val="en-GB"/>
              </w:rPr>
            </w:pPr>
            <w:r w:rsidRPr="00F372FF">
              <w:rPr>
                <w:lang w:val="en-GB"/>
              </w:rPr>
              <w:t>3 (23%)</w:t>
            </w:r>
          </w:p>
        </w:tc>
        <w:tc>
          <w:tcPr>
            <w:tcW w:w="849" w:type="pct"/>
            <w:tcBorders>
              <w:top w:val="nil"/>
              <w:left w:val="nil"/>
              <w:bottom w:val="single" w:sz="4" w:space="0" w:color="auto"/>
              <w:right w:val="nil"/>
            </w:tcBorders>
            <w:vAlign w:val="center"/>
          </w:tcPr>
          <w:p w14:paraId="3082131E" w14:textId="77777777" w:rsidR="00C167F7" w:rsidRPr="00F372FF" w:rsidRDefault="00C167F7" w:rsidP="00154EE6">
            <w:pPr>
              <w:pStyle w:val="Table-right"/>
              <w:rPr>
                <w:lang w:val="en-GB"/>
              </w:rPr>
            </w:pPr>
            <w:r w:rsidRPr="00F372FF">
              <w:rPr>
                <w:lang w:val="en-GB"/>
              </w:rPr>
              <w:t>4 (33%)</w:t>
            </w:r>
          </w:p>
        </w:tc>
        <w:tc>
          <w:tcPr>
            <w:tcW w:w="850" w:type="pct"/>
            <w:tcBorders>
              <w:top w:val="nil"/>
              <w:left w:val="nil"/>
              <w:bottom w:val="single" w:sz="4" w:space="0" w:color="auto"/>
              <w:right w:val="nil"/>
            </w:tcBorders>
            <w:vAlign w:val="center"/>
          </w:tcPr>
          <w:p w14:paraId="092438C6" w14:textId="77777777" w:rsidR="00C167F7" w:rsidRPr="00F372FF" w:rsidRDefault="00C167F7" w:rsidP="00154EE6">
            <w:pPr>
              <w:pStyle w:val="Table-right"/>
              <w:rPr>
                <w:lang w:val="en-GB"/>
              </w:rPr>
            </w:pPr>
            <w:r w:rsidRPr="00F372FF">
              <w:rPr>
                <w:lang w:val="en-GB"/>
              </w:rPr>
              <w:t>0.65</w:t>
            </w:r>
          </w:p>
        </w:tc>
      </w:tr>
      <w:bookmarkEnd w:id="15"/>
      <w:bookmarkEnd w:id="16"/>
    </w:tbl>
    <w:p w14:paraId="75C7A96F" w14:textId="77777777" w:rsidR="00C167F7" w:rsidRPr="00F372FF" w:rsidRDefault="00C167F7" w:rsidP="00C167F7">
      <w:pPr>
        <w:spacing w:after="0"/>
        <w:rPr>
          <w:b/>
          <w:bCs/>
          <w:lang w:val="en-GB" w:eastAsia="en-US"/>
        </w:rPr>
      </w:pPr>
      <w:r w:rsidRPr="00F372FF">
        <w:rPr>
          <w:b/>
          <w:bCs/>
          <w:lang w:val="en-GB"/>
        </w:rPr>
        <w:br w:type="page"/>
      </w:r>
    </w:p>
    <w:p w14:paraId="07BBFF70" w14:textId="77777777" w:rsidR="00C167F7" w:rsidRPr="00F372FF" w:rsidRDefault="00C167F7" w:rsidP="00C167F7">
      <w:pPr>
        <w:pStyle w:val="Heading2"/>
        <w:rPr>
          <w:b w:val="0"/>
          <w:bCs/>
          <w:lang w:val="en-GB"/>
        </w:rPr>
      </w:pPr>
      <w:r w:rsidRPr="00F372FF">
        <w:rPr>
          <w:lang w:val="en-GB"/>
        </w:rPr>
        <w:lastRenderedPageBreak/>
        <w:t>Supplementary Table 5.</w:t>
      </w:r>
      <w:r w:rsidRPr="00F372FF">
        <w:rPr>
          <w:b w:val="0"/>
          <w:bCs/>
          <w:lang w:val="en-GB"/>
        </w:rPr>
        <w:t xml:space="preserve"> Changes in symptom severity and rates of remission for participants in the </w:t>
      </w:r>
      <w:proofErr w:type="spellStart"/>
      <w:r w:rsidRPr="00F372FF">
        <w:rPr>
          <w:b w:val="0"/>
          <w:bCs/>
          <w:lang w:val="en-GB"/>
        </w:rPr>
        <w:t>YoDA</w:t>
      </w:r>
      <w:proofErr w:type="spellEnd"/>
      <w:r w:rsidRPr="00F372FF">
        <w:rPr>
          <w:b w:val="0"/>
          <w:bCs/>
          <w:lang w:val="en-GB"/>
        </w:rPr>
        <w:t xml:space="preserve">-A trial </w:t>
      </w:r>
    </w:p>
    <w:tbl>
      <w:tblPr>
        <w:tblW w:w="4200" w:type="pct"/>
        <w:tblLayout w:type="fixed"/>
        <w:tblLook w:val="04A0" w:firstRow="1" w:lastRow="0" w:firstColumn="1" w:lastColumn="0" w:noHBand="0" w:noVBand="1"/>
      </w:tblPr>
      <w:tblGrid>
        <w:gridCol w:w="1284"/>
        <w:gridCol w:w="1135"/>
        <w:gridCol w:w="1134"/>
        <w:gridCol w:w="1134"/>
        <w:gridCol w:w="1136"/>
        <w:gridCol w:w="1134"/>
        <w:gridCol w:w="1134"/>
      </w:tblGrid>
      <w:tr w:rsidR="00C167F7" w:rsidRPr="00F372FF" w14:paraId="7C378E67" w14:textId="77777777" w:rsidTr="00154EE6">
        <w:trPr>
          <w:trHeight w:val="143"/>
        </w:trPr>
        <w:tc>
          <w:tcPr>
            <w:tcW w:w="793" w:type="pct"/>
            <w:noWrap/>
            <w:vAlign w:val="center"/>
            <w:hideMark/>
          </w:tcPr>
          <w:p w14:paraId="524325C2" w14:textId="77777777" w:rsidR="00C167F7" w:rsidRPr="00F372FF" w:rsidRDefault="00C167F7" w:rsidP="00154EE6">
            <w:pPr>
              <w:pStyle w:val="Table-centred"/>
              <w:jc w:val="left"/>
              <w:rPr>
                <w:lang w:val="en-GB"/>
              </w:rPr>
            </w:pPr>
          </w:p>
        </w:tc>
        <w:tc>
          <w:tcPr>
            <w:tcW w:w="1402" w:type="pct"/>
            <w:gridSpan w:val="2"/>
            <w:vAlign w:val="center"/>
            <w:hideMark/>
          </w:tcPr>
          <w:p w14:paraId="750C548C" w14:textId="77777777" w:rsidR="00C167F7" w:rsidRPr="00F372FF" w:rsidRDefault="00C167F7" w:rsidP="00154EE6">
            <w:pPr>
              <w:pStyle w:val="Table-centred"/>
              <w:rPr>
                <w:b/>
                <w:bCs/>
                <w:lang w:val="en-GB"/>
              </w:rPr>
            </w:pPr>
            <w:r w:rsidRPr="00F372FF">
              <w:rPr>
                <w:b/>
                <w:bCs/>
                <w:lang w:val="en-GB"/>
              </w:rPr>
              <w:t>Placebo</w:t>
            </w:r>
          </w:p>
        </w:tc>
        <w:tc>
          <w:tcPr>
            <w:tcW w:w="1403" w:type="pct"/>
            <w:gridSpan w:val="2"/>
            <w:vAlign w:val="center"/>
            <w:hideMark/>
          </w:tcPr>
          <w:p w14:paraId="75146D3A" w14:textId="77777777" w:rsidR="00C167F7" w:rsidRPr="00F372FF" w:rsidRDefault="00C167F7" w:rsidP="00154EE6">
            <w:pPr>
              <w:pStyle w:val="Table-centred"/>
              <w:rPr>
                <w:b/>
                <w:bCs/>
                <w:lang w:val="en-GB"/>
              </w:rPr>
            </w:pPr>
            <w:r w:rsidRPr="00F372FF">
              <w:rPr>
                <w:b/>
                <w:bCs/>
                <w:lang w:val="en-GB"/>
              </w:rPr>
              <w:t>Rosuvastatin</w:t>
            </w:r>
          </w:p>
        </w:tc>
        <w:tc>
          <w:tcPr>
            <w:tcW w:w="1403" w:type="pct"/>
            <w:gridSpan w:val="2"/>
            <w:vAlign w:val="center"/>
          </w:tcPr>
          <w:p w14:paraId="2BAF3957" w14:textId="77777777" w:rsidR="00C167F7" w:rsidRPr="00F372FF" w:rsidRDefault="00C167F7" w:rsidP="00154EE6">
            <w:pPr>
              <w:pStyle w:val="Table-centred"/>
              <w:rPr>
                <w:b/>
                <w:bCs/>
                <w:lang w:val="en-GB"/>
              </w:rPr>
            </w:pPr>
            <w:r w:rsidRPr="00F372FF">
              <w:rPr>
                <w:b/>
                <w:bCs/>
                <w:lang w:val="en-GB"/>
              </w:rPr>
              <w:t>Aspirin</w:t>
            </w:r>
          </w:p>
        </w:tc>
      </w:tr>
      <w:tr w:rsidR="00C167F7" w:rsidRPr="00F372FF" w14:paraId="4903331F" w14:textId="77777777" w:rsidTr="00154EE6">
        <w:trPr>
          <w:trHeight w:val="134"/>
        </w:trPr>
        <w:tc>
          <w:tcPr>
            <w:tcW w:w="793" w:type="pct"/>
            <w:noWrap/>
            <w:vAlign w:val="center"/>
            <w:hideMark/>
          </w:tcPr>
          <w:p w14:paraId="7A5EF06A" w14:textId="77777777" w:rsidR="00C167F7" w:rsidRPr="00F372FF" w:rsidRDefault="00C167F7" w:rsidP="00154EE6">
            <w:pPr>
              <w:rPr>
                <w:lang w:val="en-GB"/>
              </w:rPr>
            </w:pPr>
          </w:p>
        </w:tc>
        <w:tc>
          <w:tcPr>
            <w:tcW w:w="1402" w:type="pct"/>
            <w:gridSpan w:val="2"/>
            <w:tcBorders>
              <w:bottom w:val="single" w:sz="4" w:space="0" w:color="auto"/>
            </w:tcBorders>
            <w:vAlign w:val="center"/>
            <w:hideMark/>
          </w:tcPr>
          <w:p w14:paraId="2739FB09" w14:textId="77777777" w:rsidR="00C167F7" w:rsidRPr="00F372FF" w:rsidRDefault="00C167F7" w:rsidP="00154EE6">
            <w:pPr>
              <w:pStyle w:val="Table-centred"/>
              <w:rPr>
                <w:color w:val="000000"/>
                <w:lang w:val="en-GB"/>
              </w:rPr>
            </w:pPr>
            <w:r w:rsidRPr="00F372FF">
              <w:rPr>
                <w:color w:val="000000"/>
                <w:lang w:val="en-GB"/>
              </w:rPr>
              <w:t>N = 5</w:t>
            </w:r>
          </w:p>
        </w:tc>
        <w:tc>
          <w:tcPr>
            <w:tcW w:w="1403" w:type="pct"/>
            <w:gridSpan w:val="2"/>
            <w:tcBorders>
              <w:bottom w:val="single" w:sz="4" w:space="0" w:color="auto"/>
            </w:tcBorders>
            <w:vAlign w:val="center"/>
            <w:hideMark/>
          </w:tcPr>
          <w:p w14:paraId="76604ABA" w14:textId="77777777" w:rsidR="00C167F7" w:rsidRPr="00F372FF" w:rsidRDefault="00C167F7" w:rsidP="00154EE6">
            <w:pPr>
              <w:pStyle w:val="Table-centred"/>
              <w:rPr>
                <w:lang w:val="en-GB"/>
              </w:rPr>
            </w:pPr>
            <w:r w:rsidRPr="00F372FF">
              <w:rPr>
                <w:lang w:val="en-GB"/>
              </w:rPr>
              <w:t>N = 13</w:t>
            </w:r>
          </w:p>
        </w:tc>
        <w:tc>
          <w:tcPr>
            <w:tcW w:w="1403" w:type="pct"/>
            <w:gridSpan w:val="2"/>
            <w:tcBorders>
              <w:bottom w:val="single" w:sz="4" w:space="0" w:color="auto"/>
            </w:tcBorders>
            <w:vAlign w:val="center"/>
          </w:tcPr>
          <w:p w14:paraId="671FC631" w14:textId="77777777" w:rsidR="00C167F7" w:rsidRPr="00F372FF" w:rsidRDefault="00C167F7" w:rsidP="00154EE6">
            <w:pPr>
              <w:pStyle w:val="Table-centred"/>
              <w:rPr>
                <w:lang w:val="en-GB"/>
              </w:rPr>
            </w:pPr>
            <w:r w:rsidRPr="00F372FF">
              <w:rPr>
                <w:lang w:val="en-GB"/>
              </w:rPr>
              <w:t>N = 7</w:t>
            </w:r>
          </w:p>
        </w:tc>
      </w:tr>
      <w:tr w:rsidR="00C167F7" w:rsidRPr="00F372FF" w14:paraId="16144DF3" w14:textId="77777777" w:rsidTr="00154EE6">
        <w:trPr>
          <w:trHeight w:val="20"/>
        </w:trPr>
        <w:tc>
          <w:tcPr>
            <w:tcW w:w="793" w:type="pct"/>
            <w:tcBorders>
              <w:top w:val="nil"/>
              <w:left w:val="nil"/>
              <w:bottom w:val="single" w:sz="4" w:space="0" w:color="auto"/>
              <w:right w:val="nil"/>
            </w:tcBorders>
            <w:noWrap/>
            <w:vAlign w:val="center"/>
            <w:hideMark/>
          </w:tcPr>
          <w:p w14:paraId="1ACD06A1" w14:textId="77777777" w:rsidR="00C167F7" w:rsidRPr="00F372FF" w:rsidRDefault="00C167F7" w:rsidP="00154EE6">
            <w:pPr>
              <w:pStyle w:val="NoSpacing"/>
              <w:rPr>
                <w:b/>
                <w:bCs/>
                <w:lang w:val="en-GB"/>
              </w:rPr>
            </w:pPr>
            <w:r w:rsidRPr="00F372FF">
              <w:rPr>
                <w:b/>
                <w:bCs/>
                <w:lang w:val="en-GB"/>
              </w:rPr>
              <w:t>Symptom measures </w:t>
            </w:r>
          </w:p>
        </w:tc>
        <w:tc>
          <w:tcPr>
            <w:tcW w:w="701" w:type="pct"/>
            <w:tcBorders>
              <w:top w:val="single" w:sz="4" w:space="0" w:color="auto"/>
              <w:left w:val="nil"/>
              <w:bottom w:val="single" w:sz="4" w:space="0" w:color="auto"/>
              <w:right w:val="nil"/>
            </w:tcBorders>
            <w:vAlign w:val="center"/>
            <w:hideMark/>
          </w:tcPr>
          <w:p w14:paraId="46840436" w14:textId="77777777" w:rsidR="00C167F7" w:rsidRPr="00F372FF" w:rsidRDefault="00C167F7" w:rsidP="00154EE6">
            <w:pPr>
              <w:pStyle w:val="NoSpacing"/>
              <w:jc w:val="right"/>
              <w:rPr>
                <w:lang w:val="en-GB"/>
              </w:rPr>
            </w:pPr>
            <w:r w:rsidRPr="00F372FF">
              <w:rPr>
                <w:lang w:val="en-GB"/>
              </w:rPr>
              <w:t>change from baseline</w:t>
            </w:r>
          </w:p>
        </w:tc>
        <w:tc>
          <w:tcPr>
            <w:tcW w:w="701" w:type="pct"/>
            <w:tcBorders>
              <w:top w:val="single" w:sz="4" w:space="0" w:color="auto"/>
              <w:left w:val="nil"/>
              <w:bottom w:val="single" w:sz="4" w:space="0" w:color="auto"/>
              <w:right w:val="nil"/>
            </w:tcBorders>
            <w:vAlign w:val="center"/>
            <w:hideMark/>
          </w:tcPr>
          <w:p w14:paraId="51A26E86" w14:textId="77777777" w:rsidR="00C167F7" w:rsidRPr="00F372FF" w:rsidRDefault="00C167F7" w:rsidP="00154EE6">
            <w:pPr>
              <w:pStyle w:val="NoSpacing"/>
              <w:jc w:val="right"/>
              <w:rPr>
                <w:lang w:val="en-GB"/>
              </w:rPr>
            </w:pPr>
            <w:r w:rsidRPr="00F372FF">
              <w:rPr>
                <w:lang w:val="en-GB"/>
              </w:rPr>
              <w:t>95% CI</w:t>
            </w:r>
          </w:p>
        </w:tc>
        <w:tc>
          <w:tcPr>
            <w:tcW w:w="701" w:type="pct"/>
            <w:tcBorders>
              <w:top w:val="single" w:sz="4" w:space="0" w:color="auto"/>
              <w:left w:val="nil"/>
              <w:bottom w:val="single" w:sz="4" w:space="0" w:color="auto"/>
              <w:right w:val="nil"/>
            </w:tcBorders>
            <w:vAlign w:val="center"/>
            <w:hideMark/>
          </w:tcPr>
          <w:p w14:paraId="5F76DB87" w14:textId="77777777" w:rsidR="00C167F7" w:rsidRPr="00F372FF" w:rsidRDefault="00C167F7" w:rsidP="00154EE6">
            <w:pPr>
              <w:pStyle w:val="NoSpacing"/>
              <w:jc w:val="right"/>
              <w:rPr>
                <w:lang w:val="en-GB"/>
              </w:rPr>
            </w:pPr>
            <w:r w:rsidRPr="00F372FF">
              <w:rPr>
                <w:lang w:val="en-GB"/>
              </w:rPr>
              <w:t>change from baseline</w:t>
            </w:r>
          </w:p>
        </w:tc>
        <w:tc>
          <w:tcPr>
            <w:tcW w:w="701" w:type="pct"/>
            <w:tcBorders>
              <w:top w:val="single" w:sz="4" w:space="0" w:color="auto"/>
              <w:left w:val="nil"/>
              <w:bottom w:val="single" w:sz="4" w:space="0" w:color="auto"/>
            </w:tcBorders>
            <w:vAlign w:val="center"/>
            <w:hideMark/>
          </w:tcPr>
          <w:p w14:paraId="6DD0A381" w14:textId="77777777" w:rsidR="00C167F7" w:rsidRPr="00F372FF" w:rsidRDefault="00C167F7" w:rsidP="00154EE6">
            <w:pPr>
              <w:pStyle w:val="NoSpacing"/>
              <w:jc w:val="right"/>
              <w:rPr>
                <w:lang w:val="en-GB"/>
              </w:rPr>
            </w:pPr>
            <w:r w:rsidRPr="00F372FF">
              <w:rPr>
                <w:lang w:val="en-GB"/>
              </w:rPr>
              <w:t>95% CI</w:t>
            </w:r>
          </w:p>
        </w:tc>
        <w:tc>
          <w:tcPr>
            <w:tcW w:w="701" w:type="pct"/>
            <w:tcBorders>
              <w:top w:val="single" w:sz="4" w:space="0" w:color="auto"/>
              <w:bottom w:val="single" w:sz="4" w:space="0" w:color="auto"/>
            </w:tcBorders>
            <w:vAlign w:val="center"/>
          </w:tcPr>
          <w:p w14:paraId="781D876B" w14:textId="77777777" w:rsidR="00C167F7" w:rsidRPr="00F372FF" w:rsidRDefault="00C167F7" w:rsidP="00154EE6">
            <w:pPr>
              <w:pStyle w:val="NoSpacing"/>
              <w:jc w:val="right"/>
              <w:rPr>
                <w:lang w:val="en-GB"/>
              </w:rPr>
            </w:pPr>
            <w:r w:rsidRPr="00F372FF">
              <w:rPr>
                <w:lang w:val="en-GB"/>
              </w:rPr>
              <w:t>change from baseline</w:t>
            </w:r>
          </w:p>
        </w:tc>
        <w:tc>
          <w:tcPr>
            <w:tcW w:w="701" w:type="pct"/>
            <w:tcBorders>
              <w:top w:val="single" w:sz="4" w:space="0" w:color="auto"/>
              <w:bottom w:val="single" w:sz="4" w:space="0" w:color="auto"/>
            </w:tcBorders>
            <w:vAlign w:val="center"/>
          </w:tcPr>
          <w:p w14:paraId="1FE101F1" w14:textId="77777777" w:rsidR="00C167F7" w:rsidRPr="00F372FF" w:rsidRDefault="00C167F7" w:rsidP="00154EE6">
            <w:pPr>
              <w:pStyle w:val="NoSpacing"/>
              <w:jc w:val="right"/>
              <w:rPr>
                <w:lang w:val="en-GB"/>
              </w:rPr>
            </w:pPr>
            <w:r w:rsidRPr="00F372FF">
              <w:rPr>
                <w:lang w:val="en-GB"/>
              </w:rPr>
              <w:t>95% CI</w:t>
            </w:r>
          </w:p>
        </w:tc>
      </w:tr>
      <w:tr w:rsidR="00C167F7" w:rsidRPr="00F372FF" w14:paraId="3B9704B4" w14:textId="77777777" w:rsidTr="00154EE6">
        <w:trPr>
          <w:trHeight w:val="317"/>
        </w:trPr>
        <w:tc>
          <w:tcPr>
            <w:tcW w:w="793" w:type="pct"/>
            <w:tcBorders>
              <w:top w:val="single" w:sz="4" w:space="0" w:color="auto"/>
            </w:tcBorders>
            <w:noWrap/>
            <w:vAlign w:val="center"/>
            <w:hideMark/>
          </w:tcPr>
          <w:p w14:paraId="23FF1D20" w14:textId="77777777" w:rsidR="00C167F7" w:rsidRPr="00F372FF" w:rsidRDefault="00C167F7" w:rsidP="00154EE6">
            <w:pPr>
              <w:pStyle w:val="NoSpacing"/>
              <w:rPr>
                <w:lang w:val="en-GB"/>
              </w:rPr>
            </w:pPr>
            <w:r w:rsidRPr="00F372FF">
              <w:rPr>
                <w:lang w:val="en-GB"/>
              </w:rPr>
              <w:t>MADRS</w:t>
            </w:r>
          </w:p>
        </w:tc>
        <w:tc>
          <w:tcPr>
            <w:tcW w:w="701" w:type="pct"/>
            <w:tcBorders>
              <w:top w:val="single" w:sz="4" w:space="0" w:color="auto"/>
            </w:tcBorders>
            <w:noWrap/>
            <w:vAlign w:val="center"/>
          </w:tcPr>
          <w:p w14:paraId="0D0D10CC" w14:textId="77777777" w:rsidR="00C167F7" w:rsidRPr="00F372FF" w:rsidRDefault="00C167F7" w:rsidP="00154EE6">
            <w:pPr>
              <w:pStyle w:val="NoSpacing"/>
              <w:jc w:val="right"/>
              <w:rPr>
                <w:lang w:val="en-GB"/>
              </w:rPr>
            </w:pPr>
            <w:r w:rsidRPr="00F372FF">
              <w:rPr>
                <w:lang w:val="en-GB"/>
              </w:rPr>
              <w:t>-13.2</w:t>
            </w:r>
          </w:p>
        </w:tc>
        <w:tc>
          <w:tcPr>
            <w:tcW w:w="701" w:type="pct"/>
            <w:tcBorders>
              <w:top w:val="single" w:sz="4" w:space="0" w:color="auto"/>
            </w:tcBorders>
            <w:noWrap/>
            <w:vAlign w:val="center"/>
          </w:tcPr>
          <w:p w14:paraId="494A101D" w14:textId="77777777" w:rsidR="00C167F7" w:rsidRPr="00F372FF" w:rsidRDefault="00C167F7" w:rsidP="00154EE6">
            <w:pPr>
              <w:pStyle w:val="NoSpacing"/>
              <w:jc w:val="right"/>
              <w:rPr>
                <w:lang w:val="en-GB"/>
              </w:rPr>
            </w:pPr>
            <w:r w:rsidRPr="00F372FF">
              <w:rPr>
                <w:lang w:val="en-GB"/>
              </w:rPr>
              <w:t>-21.8, 5.3</w:t>
            </w:r>
          </w:p>
        </w:tc>
        <w:tc>
          <w:tcPr>
            <w:tcW w:w="701" w:type="pct"/>
            <w:tcBorders>
              <w:top w:val="single" w:sz="4" w:space="0" w:color="auto"/>
            </w:tcBorders>
            <w:noWrap/>
            <w:vAlign w:val="center"/>
          </w:tcPr>
          <w:p w14:paraId="3959169B" w14:textId="77777777" w:rsidR="00C167F7" w:rsidRPr="00F372FF" w:rsidRDefault="00C167F7" w:rsidP="00154EE6">
            <w:pPr>
              <w:pStyle w:val="NoSpacing"/>
              <w:jc w:val="right"/>
              <w:rPr>
                <w:lang w:val="en-GB"/>
              </w:rPr>
            </w:pPr>
            <w:r w:rsidRPr="00F372FF">
              <w:rPr>
                <w:lang w:val="en-GB"/>
              </w:rPr>
              <w:t>-18.8</w:t>
            </w:r>
          </w:p>
        </w:tc>
        <w:tc>
          <w:tcPr>
            <w:tcW w:w="701" w:type="pct"/>
            <w:tcBorders>
              <w:top w:val="single" w:sz="4" w:space="0" w:color="auto"/>
            </w:tcBorders>
            <w:noWrap/>
            <w:vAlign w:val="center"/>
          </w:tcPr>
          <w:p w14:paraId="29C50BA1" w14:textId="77777777" w:rsidR="00C167F7" w:rsidRPr="00F372FF" w:rsidRDefault="00C167F7" w:rsidP="00154EE6">
            <w:pPr>
              <w:pStyle w:val="NoSpacing"/>
              <w:jc w:val="right"/>
              <w:rPr>
                <w:lang w:val="en-GB"/>
              </w:rPr>
            </w:pPr>
            <w:r w:rsidRPr="00F372FF">
              <w:rPr>
                <w:lang w:val="en-GB"/>
              </w:rPr>
              <w:t>-22.1, -13.6</w:t>
            </w:r>
          </w:p>
        </w:tc>
        <w:tc>
          <w:tcPr>
            <w:tcW w:w="701" w:type="pct"/>
            <w:tcBorders>
              <w:top w:val="single" w:sz="4" w:space="0" w:color="auto"/>
            </w:tcBorders>
            <w:vAlign w:val="center"/>
          </w:tcPr>
          <w:p w14:paraId="075BF8BB" w14:textId="77777777" w:rsidR="00C167F7" w:rsidRPr="00F372FF" w:rsidRDefault="00C167F7" w:rsidP="00154EE6">
            <w:pPr>
              <w:pStyle w:val="NoSpacing"/>
              <w:jc w:val="right"/>
              <w:rPr>
                <w:lang w:val="en-GB"/>
              </w:rPr>
            </w:pPr>
            <w:r w:rsidRPr="00F372FF">
              <w:rPr>
                <w:lang w:val="en-GB"/>
              </w:rPr>
              <w:t>-14.1</w:t>
            </w:r>
          </w:p>
        </w:tc>
        <w:tc>
          <w:tcPr>
            <w:tcW w:w="701" w:type="pct"/>
            <w:tcBorders>
              <w:top w:val="single" w:sz="4" w:space="0" w:color="auto"/>
            </w:tcBorders>
            <w:vAlign w:val="center"/>
          </w:tcPr>
          <w:p w14:paraId="6E61DE38" w14:textId="77777777" w:rsidR="00C167F7" w:rsidRPr="00F372FF" w:rsidRDefault="00C167F7" w:rsidP="00154EE6">
            <w:pPr>
              <w:pStyle w:val="NoSpacing"/>
              <w:jc w:val="right"/>
              <w:rPr>
                <w:lang w:val="en-GB"/>
              </w:rPr>
            </w:pPr>
            <w:r w:rsidRPr="00F372FF">
              <w:rPr>
                <w:lang w:val="en-GB"/>
              </w:rPr>
              <w:t>-30.8, -6.9</w:t>
            </w:r>
          </w:p>
        </w:tc>
      </w:tr>
      <w:tr w:rsidR="00C167F7" w:rsidRPr="00F372FF" w14:paraId="565C2F2A" w14:textId="77777777" w:rsidTr="00154EE6">
        <w:trPr>
          <w:trHeight w:val="317"/>
        </w:trPr>
        <w:tc>
          <w:tcPr>
            <w:tcW w:w="793" w:type="pct"/>
            <w:noWrap/>
            <w:vAlign w:val="center"/>
            <w:hideMark/>
          </w:tcPr>
          <w:p w14:paraId="2B9C38B2" w14:textId="77777777" w:rsidR="00C167F7" w:rsidRPr="00F372FF" w:rsidRDefault="00C167F7" w:rsidP="00154EE6">
            <w:pPr>
              <w:pStyle w:val="NoSpacing"/>
              <w:rPr>
                <w:lang w:val="en-GB"/>
              </w:rPr>
            </w:pPr>
            <w:r w:rsidRPr="00F372FF">
              <w:rPr>
                <w:lang w:val="en-GB"/>
              </w:rPr>
              <w:t>QIDS</w:t>
            </w:r>
          </w:p>
        </w:tc>
        <w:tc>
          <w:tcPr>
            <w:tcW w:w="701" w:type="pct"/>
            <w:noWrap/>
            <w:vAlign w:val="center"/>
          </w:tcPr>
          <w:p w14:paraId="2337CD32" w14:textId="77777777" w:rsidR="00C167F7" w:rsidRPr="00F372FF" w:rsidRDefault="00C167F7" w:rsidP="00154EE6">
            <w:pPr>
              <w:pStyle w:val="NoSpacing"/>
              <w:jc w:val="right"/>
              <w:rPr>
                <w:lang w:val="en-GB"/>
              </w:rPr>
            </w:pPr>
            <w:r w:rsidRPr="00F372FF">
              <w:rPr>
                <w:lang w:val="en-GB"/>
              </w:rPr>
              <w:t>-4.4</w:t>
            </w:r>
          </w:p>
        </w:tc>
        <w:tc>
          <w:tcPr>
            <w:tcW w:w="701" w:type="pct"/>
            <w:noWrap/>
            <w:vAlign w:val="center"/>
          </w:tcPr>
          <w:p w14:paraId="2EC7CA69" w14:textId="77777777" w:rsidR="00C167F7" w:rsidRPr="00F372FF" w:rsidRDefault="00C167F7" w:rsidP="00154EE6">
            <w:pPr>
              <w:pStyle w:val="NoSpacing"/>
              <w:jc w:val="right"/>
              <w:rPr>
                <w:lang w:val="en-GB"/>
              </w:rPr>
            </w:pPr>
            <w:r w:rsidRPr="00F372FF">
              <w:rPr>
                <w:lang w:val="en-GB"/>
              </w:rPr>
              <w:t>-10.6, 0.0</w:t>
            </w:r>
          </w:p>
        </w:tc>
        <w:tc>
          <w:tcPr>
            <w:tcW w:w="701" w:type="pct"/>
            <w:noWrap/>
            <w:vAlign w:val="center"/>
          </w:tcPr>
          <w:p w14:paraId="41ACF06B" w14:textId="77777777" w:rsidR="00C167F7" w:rsidRPr="00F372FF" w:rsidRDefault="00C167F7" w:rsidP="00154EE6">
            <w:pPr>
              <w:pStyle w:val="NoSpacing"/>
              <w:jc w:val="right"/>
              <w:rPr>
                <w:lang w:val="en-GB"/>
              </w:rPr>
            </w:pPr>
            <w:r w:rsidRPr="00F372FF">
              <w:rPr>
                <w:lang w:val="en-GB"/>
              </w:rPr>
              <w:t>-7.6</w:t>
            </w:r>
          </w:p>
        </w:tc>
        <w:tc>
          <w:tcPr>
            <w:tcW w:w="701" w:type="pct"/>
            <w:noWrap/>
            <w:vAlign w:val="center"/>
          </w:tcPr>
          <w:p w14:paraId="228FFD48" w14:textId="77777777" w:rsidR="00C167F7" w:rsidRPr="00F372FF" w:rsidRDefault="00C167F7" w:rsidP="00154EE6">
            <w:pPr>
              <w:pStyle w:val="NoSpacing"/>
              <w:jc w:val="right"/>
              <w:rPr>
                <w:lang w:val="en-GB"/>
              </w:rPr>
            </w:pPr>
            <w:r w:rsidRPr="00F372FF">
              <w:rPr>
                <w:lang w:val="en-GB"/>
              </w:rPr>
              <w:t>-11.0, -4.3</w:t>
            </w:r>
          </w:p>
        </w:tc>
        <w:tc>
          <w:tcPr>
            <w:tcW w:w="701" w:type="pct"/>
            <w:vAlign w:val="center"/>
          </w:tcPr>
          <w:p w14:paraId="08F486C8" w14:textId="77777777" w:rsidR="00C167F7" w:rsidRPr="00F372FF" w:rsidRDefault="00C167F7" w:rsidP="00154EE6">
            <w:pPr>
              <w:pStyle w:val="NoSpacing"/>
              <w:jc w:val="right"/>
              <w:rPr>
                <w:lang w:val="en-GB"/>
              </w:rPr>
            </w:pPr>
            <w:r w:rsidRPr="00F372FF">
              <w:rPr>
                <w:lang w:val="en-GB"/>
              </w:rPr>
              <w:t>-7.7</w:t>
            </w:r>
          </w:p>
        </w:tc>
        <w:tc>
          <w:tcPr>
            <w:tcW w:w="701" w:type="pct"/>
            <w:vAlign w:val="center"/>
          </w:tcPr>
          <w:p w14:paraId="27E34F0B" w14:textId="77777777" w:rsidR="00C167F7" w:rsidRPr="00F372FF" w:rsidRDefault="00C167F7" w:rsidP="00154EE6">
            <w:pPr>
              <w:pStyle w:val="NoSpacing"/>
              <w:jc w:val="right"/>
              <w:rPr>
                <w:lang w:val="en-GB"/>
              </w:rPr>
            </w:pPr>
            <w:r w:rsidRPr="00F372FF">
              <w:rPr>
                <w:lang w:val="en-GB"/>
              </w:rPr>
              <w:t>-17.4, -3.5</w:t>
            </w:r>
          </w:p>
        </w:tc>
      </w:tr>
      <w:tr w:rsidR="00C167F7" w:rsidRPr="00F372FF" w14:paraId="758950EA" w14:textId="77777777" w:rsidTr="00154EE6">
        <w:trPr>
          <w:trHeight w:val="317"/>
        </w:trPr>
        <w:tc>
          <w:tcPr>
            <w:tcW w:w="793" w:type="pct"/>
            <w:noWrap/>
            <w:vAlign w:val="center"/>
            <w:hideMark/>
          </w:tcPr>
          <w:p w14:paraId="298A33C1" w14:textId="77777777" w:rsidR="00C167F7" w:rsidRPr="00F372FF" w:rsidRDefault="00C167F7" w:rsidP="00154EE6">
            <w:pPr>
              <w:pStyle w:val="NoSpacing"/>
              <w:rPr>
                <w:lang w:val="en-GB"/>
              </w:rPr>
            </w:pPr>
            <w:r w:rsidRPr="00F372FF">
              <w:rPr>
                <w:lang w:val="en-GB"/>
              </w:rPr>
              <w:t>GAD7</w:t>
            </w:r>
          </w:p>
        </w:tc>
        <w:tc>
          <w:tcPr>
            <w:tcW w:w="701" w:type="pct"/>
            <w:noWrap/>
            <w:vAlign w:val="center"/>
          </w:tcPr>
          <w:p w14:paraId="35F03041" w14:textId="77777777" w:rsidR="00C167F7" w:rsidRPr="00F372FF" w:rsidRDefault="00C167F7" w:rsidP="00154EE6">
            <w:pPr>
              <w:pStyle w:val="NoSpacing"/>
              <w:jc w:val="right"/>
              <w:rPr>
                <w:lang w:val="en-GB"/>
              </w:rPr>
            </w:pPr>
            <w:r w:rsidRPr="00F372FF">
              <w:rPr>
                <w:lang w:val="en-GB"/>
              </w:rPr>
              <w:t>-5.0</w:t>
            </w:r>
          </w:p>
        </w:tc>
        <w:tc>
          <w:tcPr>
            <w:tcW w:w="701" w:type="pct"/>
            <w:noWrap/>
            <w:vAlign w:val="center"/>
          </w:tcPr>
          <w:p w14:paraId="5A780FD8" w14:textId="77777777" w:rsidR="00C167F7" w:rsidRPr="00F372FF" w:rsidRDefault="00C167F7" w:rsidP="00154EE6">
            <w:pPr>
              <w:pStyle w:val="NoSpacing"/>
              <w:jc w:val="right"/>
              <w:rPr>
                <w:lang w:val="en-GB"/>
              </w:rPr>
            </w:pPr>
            <w:r w:rsidRPr="00F372FF">
              <w:rPr>
                <w:lang w:val="en-GB"/>
              </w:rPr>
              <w:t>-9.1, -0.9</w:t>
            </w:r>
          </w:p>
        </w:tc>
        <w:tc>
          <w:tcPr>
            <w:tcW w:w="701" w:type="pct"/>
            <w:noWrap/>
            <w:vAlign w:val="center"/>
          </w:tcPr>
          <w:p w14:paraId="4B04B054" w14:textId="77777777" w:rsidR="00C167F7" w:rsidRPr="00F372FF" w:rsidRDefault="00C167F7" w:rsidP="00154EE6">
            <w:pPr>
              <w:pStyle w:val="NoSpacing"/>
              <w:jc w:val="right"/>
              <w:rPr>
                <w:lang w:val="en-GB"/>
              </w:rPr>
            </w:pPr>
            <w:r w:rsidRPr="00F372FF">
              <w:rPr>
                <w:lang w:val="en-GB"/>
              </w:rPr>
              <w:t>-5.3</w:t>
            </w:r>
          </w:p>
        </w:tc>
        <w:tc>
          <w:tcPr>
            <w:tcW w:w="701" w:type="pct"/>
            <w:noWrap/>
            <w:vAlign w:val="center"/>
          </w:tcPr>
          <w:p w14:paraId="0DED5EB6" w14:textId="77777777" w:rsidR="00C167F7" w:rsidRPr="00F372FF" w:rsidRDefault="00C167F7" w:rsidP="00154EE6">
            <w:pPr>
              <w:pStyle w:val="NoSpacing"/>
              <w:jc w:val="right"/>
              <w:rPr>
                <w:lang w:val="en-GB"/>
              </w:rPr>
            </w:pPr>
            <w:r w:rsidRPr="00F372FF">
              <w:rPr>
                <w:lang w:val="en-GB"/>
              </w:rPr>
              <w:t>-9.3, -2.1</w:t>
            </w:r>
          </w:p>
        </w:tc>
        <w:tc>
          <w:tcPr>
            <w:tcW w:w="701" w:type="pct"/>
            <w:vAlign w:val="center"/>
          </w:tcPr>
          <w:p w14:paraId="66571793" w14:textId="77777777" w:rsidR="00C167F7" w:rsidRPr="00F372FF" w:rsidRDefault="00C167F7" w:rsidP="00154EE6">
            <w:pPr>
              <w:pStyle w:val="NoSpacing"/>
              <w:jc w:val="right"/>
              <w:rPr>
                <w:lang w:val="en-GB"/>
              </w:rPr>
            </w:pPr>
            <w:r w:rsidRPr="00F372FF">
              <w:rPr>
                <w:lang w:val="en-GB"/>
              </w:rPr>
              <w:t>-6.7</w:t>
            </w:r>
          </w:p>
        </w:tc>
        <w:tc>
          <w:tcPr>
            <w:tcW w:w="701" w:type="pct"/>
            <w:vAlign w:val="center"/>
          </w:tcPr>
          <w:p w14:paraId="363049BB" w14:textId="77777777" w:rsidR="00C167F7" w:rsidRPr="00F372FF" w:rsidRDefault="00C167F7" w:rsidP="00154EE6">
            <w:pPr>
              <w:pStyle w:val="NoSpacing"/>
              <w:jc w:val="right"/>
              <w:rPr>
                <w:lang w:val="en-GB"/>
              </w:rPr>
            </w:pPr>
            <w:r w:rsidRPr="00F372FF">
              <w:rPr>
                <w:lang w:val="en-GB"/>
              </w:rPr>
              <w:t>-12.9, -2.9</w:t>
            </w:r>
          </w:p>
        </w:tc>
      </w:tr>
      <w:tr w:rsidR="00C167F7" w:rsidRPr="00F372FF" w14:paraId="0922AE2C" w14:textId="77777777" w:rsidTr="00154EE6">
        <w:trPr>
          <w:trHeight w:val="317"/>
        </w:trPr>
        <w:tc>
          <w:tcPr>
            <w:tcW w:w="793" w:type="pct"/>
            <w:tcBorders>
              <w:bottom w:val="single" w:sz="4" w:space="0" w:color="auto"/>
            </w:tcBorders>
            <w:noWrap/>
            <w:vAlign w:val="center"/>
          </w:tcPr>
          <w:p w14:paraId="2FF213E0" w14:textId="77777777" w:rsidR="00C167F7" w:rsidRPr="00F372FF" w:rsidRDefault="00C167F7" w:rsidP="00154EE6">
            <w:pPr>
              <w:pStyle w:val="NoSpacing"/>
              <w:rPr>
                <w:b/>
                <w:bCs/>
                <w:lang w:val="en-GB"/>
              </w:rPr>
            </w:pPr>
            <w:r w:rsidRPr="00F372FF">
              <w:rPr>
                <w:b/>
                <w:bCs/>
                <w:lang w:val="en-GB"/>
              </w:rPr>
              <w:t xml:space="preserve">Remission </w:t>
            </w:r>
          </w:p>
          <w:p w14:paraId="74F13D62" w14:textId="77777777" w:rsidR="00C167F7" w:rsidRPr="00F372FF" w:rsidRDefault="00C167F7" w:rsidP="00154EE6">
            <w:pPr>
              <w:pStyle w:val="NoSpacing"/>
              <w:rPr>
                <w:lang w:val="en-GB"/>
              </w:rPr>
            </w:pPr>
            <w:r w:rsidRPr="00F372FF">
              <w:rPr>
                <w:lang w:val="en-GB"/>
              </w:rPr>
              <w:t>N (%)</w:t>
            </w:r>
          </w:p>
        </w:tc>
        <w:tc>
          <w:tcPr>
            <w:tcW w:w="1402" w:type="pct"/>
            <w:gridSpan w:val="2"/>
            <w:tcBorders>
              <w:bottom w:val="single" w:sz="4" w:space="0" w:color="auto"/>
            </w:tcBorders>
            <w:noWrap/>
            <w:vAlign w:val="bottom"/>
          </w:tcPr>
          <w:p w14:paraId="65CCBD9A" w14:textId="77777777" w:rsidR="00C167F7" w:rsidRPr="00F372FF" w:rsidRDefault="00C167F7" w:rsidP="00154EE6">
            <w:pPr>
              <w:pStyle w:val="NoSpacing"/>
              <w:jc w:val="right"/>
              <w:rPr>
                <w:lang w:val="en-GB" w:eastAsia="en-AU"/>
              </w:rPr>
            </w:pPr>
            <w:r w:rsidRPr="00F372FF">
              <w:rPr>
                <w:lang w:val="en-GB" w:eastAsia="en-AU"/>
              </w:rPr>
              <w:t>2 (40%)</w:t>
            </w:r>
          </w:p>
        </w:tc>
        <w:tc>
          <w:tcPr>
            <w:tcW w:w="1402" w:type="pct"/>
            <w:gridSpan w:val="2"/>
            <w:tcBorders>
              <w:bottom w:val="single" w:sz="4" w:space="0" w:color="auto"/>
            </w:tcBorders>
            <w:noWrap/>
            <w:vAlign w:val="bottom"/>
          </w:tcPr>
          <w:p w14:paraId="7A92B773" w14:textId="77777777" w:rsidR="00C167F7" w:rsidRPr="00F372FF" w:rsidRDefault="00C167F7" w:rsidP="00154EE6">
            <w:pPr>
              <w:pStyle w:val="NoSpacing"/>
              <w:jc w:val="right"/>
              <w:rPr>
                <w:lang w:val="en-GB" w:eastAsia="en-AU"/>
              </w:rPr>
            </w:pPr>
            <w:r w:rsidRPr="00F372FF">
              <w:rPr>
                <w:lang w:val="en-GB" w:eastAsia="en-AU"/>
              </w:rPr>
              <w:t>8 (62%)</w:t>
            </w:r>
          </w:p>
        </w:tc>
        <w:tc>
          <w:tcPr>
            <w:tcW w:w="1402" w:type="pct"/>
            <w:gridSpan w:val="2"/>
            <w:tcBorders>
              <w:bottom w:val="single" w:sz="4" w:space="0" w:color="auto"/>
            </w:tcBorders>
            <w:vAlign w:val="bottom"/>
          </w:tcPr>
          <w:p w14:paraId="6994B64E" w14:textId="77777777" w:rsidR="00C167F7" w:rsidRPr="00F372FF" w:rsidRDefault="00C167F7" w:rsidP="00154EE6">
            <w:pPr>
              <w:pStyle w:val="NoSpacing"/>
              <w:jc w:val="right"/>
              <w:rPr>
                <w:lang w:val="en-GB" w:eastAsia="en-AU"/>
              </w:rPr>
            </w:pPr>
            <w:r w:rsidRPr="00F372FF">
              <w:rPr>
                <w:lang w:val="en-GB" w:eastAsia="en-AU"/>
              </w:rPr>
              <w:t>3 (43%)</w:t>
            </w:r>
          </w:p>
        </w:tc>
      </w:tr>
    </w:tbl>
    <w:p w14:paraId="12808DAD" w14:textId="77777777" w:rsidR="00C167F7" w:rsidRPr="00F372FF" w:rsidRDefault="00C167F7" w:rsidP="00C167F7">
      <w:pPr>
        <w:pStyle w:val="Heading2"/>
        <w:rPr>
          <w:rFonts w:eastAsiaTheme="minorEastAsia"/>
          <w:lang w:val="en-GB"/>
        </w:rPr>
      </w:pPr>
    </w:p>
    <w:p w14:paraId="68C7E875" w14:textId="77777777" w:rsidR="00C167F7" w:rsidRPr="00F372FF" w:rsidRDefault="00C167F7" w:rsidP="00C167F7">
      <w:pPr>
        <w:spacing w:after="0"/>
        <w:rPr>
          <w:rFonts w:eastAsiaTheme="minorEastAsia"/>
          <w:b/>
          <w:lang w:val="en-GB"/>
        </w:rPr>
      </w:pPr>
      <w:r w:rsidRPr="00F372FF">
        <w:rPr>
          <w:rFonts w:eastAsiaTheme="minorEastAsia"/>
          <w:lang w:val="en-GB"/>
        </w:rPr>
        <w:br w:type="page"/>
      </w:r>
    </w:p>
    <w:p w14:paraId="582DBCB3" w14:textId="77777777" w:rsidR="00C167F7" w:rsidRPr="00F372FF" w:rsidRDefault="00C167F7" w:rsidP="00C167F7">
      <w:pPr>
        <w:pStyle w:val="Heading2"/>
        <w:rPr>
          <w:b w:val="0"/>
          <w:bCs/>
          <w:lang w:val="en-GB"/>
        </w:rPr>
      </w:pPr>
      <w:r w:rsidRPr="00F372FF">
        <w:rPr>
          <w:rFonts w:eastAsiaTheme="minorEastAsia"/>
          <w:lang w:val="en-GB"/>
        </w:rPr>
        <w:lastRenderedPageBreak/>
        <w:t>Supplementary Table 6.</w:t>
      </w:r>
      <w:r w:rsidRPr="00F372FF">
        <w:rPr>
          <w:rFonts w:eastAsiaTheme="minorEastAsia"/>
          <w:b w:val="0"/>
          <w:bCs/>
          <w:lang w:val="en-GB"/>
        </w:rPr>
        <w:t xml:space="preserve"> Activations to the shapes &gt; faces contrast (i.e., areas suppressed during the face-matching task).</w:t>
      </w:r>
    </w:p>
    <w:p w14:paraId="6DAD03F4" w14:textId="77777777" w:rsidR="00C167F7" w:rsidRPr="00F372FF" w:rsidRDefault="00C167F7" w:rsidP="00C167F7">
      <w:pPr>
        <w:rPr>
          <w:lang w:val="en-GB"/>
        </w:rPr>
      </w:pPr>
    </w:p>
    <w:tbl>
      <w:tblPr>
        <w:tblW w:w="0" w:type="auto"/>
        <w:tblLook w:val="04A0" w:firstRow="1" w:lastRow="0" w:firstColumn="1" w:lastColumn="0" w:noHBand="0" w:noVBand="1"/>
      </w:tblPr>
      <w:tblGrid>
        <w:gridCol w:w="2189"/>
        <w:gridCol w:w="1012"/>
        <w:gridCol w:w="1156"/>
        <w:gridCol w:w="851"/>
      </w:tblGrid>
      <w:tr w:rsidR="00C167F7" w:rsidRPr="00F372FF" w14:paraId="54827B86" w14:textId="77777777" w:rsidTr="00154EE6">
        <w:trPr>
          <w:trHeight w:val="283"/>
        </w:trPr>
        <w:tc>
          <w:tcPr>
            <w:tcW w:w="0" w:type="auto"/>
            <w:tcBorders>
              <w:left w:val="nil"/>
              <w:bottom w:val="single" w:sz="4" w:space="0" w:color="auto"/>
              <w:right w:val="nil"/>
            </w:tcBorders>
            <w:vAlign w:val="bottom"/>
            <w:hideMark/>
          </w:tcPr>
          <w:p w14:paraId="217D9B2F" w14:textId="77777777" w:rsidR="00C167F7" w:rsidRPr="00F372FF" w:rsidRDefault="00C167F7" w:rsidP="00154EE6">
            <w:pPr>
              <w:pStyle w:val="NoSpacing"/>
              <w:rPr>
                <w:b/>
                <w:bCs/>
                <w:lang w:val="en-GB"/>
              </w:rPr>
            </w:pPr>
            <w:r w:rsidRPr="00F372FF">
              <w:rPr>
                <w:b/>
                <w:bCs/>
                <w:lang w:val="en-GB"/>
              </w:rPr>
              <w:t>Region</w:t>
            </w:r>
          </w:p>
        </w:tc>
        <w:tc>
          <w:tcPr>
            <w:tcW w:w="0" w:type="auto"/>
            <w:tcBorders>
              <w:left w:val="nil"/>
              <w:bottom w:val="single" w:sz="4" w:space="0" w:color="auto"/>
              <w:right w:val="nil"/>
            </w:tcBorders>
            <w:vAlign w:val="bottom"/>
            <w:hideMark/>
          </w:tcPr>
          <w:p w14:paraId="6AB71125" w14:textId="77777777" w:rsidR="00C167F7" w:rsidRPr="00F372FF" w:rsidRDefault="00C167F7" w:rsidP="00154EE6">
            <w:pPr>
              <w:pStyle w:val="NoSpacing"/>
              <w:jc w:val="right"/>
              <w:rPr>
                <w:b/>
                <w:bCs/>
                <w:lang w:val="en-GB"/>
              </w:rPr>
            </w:pPr>
            <w:r w:rsidRPr="00F372FF">
              <w:rPr>
                <w:b/>
                <w:bCs/>
                <w:lang w:val="en-GB"/>
              </w:rPr>
              <w:t>Cluster size</w:t>
            </w:r>
          </w:p>
        </w:tc>
        <w:tc>
          <w:tcPr>
            <w:tcW w:w="1156" w:type="dxa"/>
            <w:tcBorders>
              <w:left w:val="nil"/>
              <w:bottom w:val="single" w:sz="4" w:space="0" w:color="auto"/>
              <w:right w:val="nil"/>
            </w:tcBorders>
            <w:vAlign w:val="bottom"/>
            <w:hideMark/>
          </w:tcPr>
          <w:p w14:paraId="0C19A5B1" w14:textId="77777777" w:rsidR="00C167F7" w:rsidRPr="00F372FF" w:rsidRDefault="00C167F7" w:rsidP="00154EE6">
            <w:pPr>
              <w:pStyle w:val="NoSpacing"/>
              <w:jc w:val="right"/>
              <w:rPr>
                <w:b/>
                <w:bCs/>
                <w:lang w:val="en-GB"/>
              </w:rPr>
            </w:pPr>
            <w:r w:rsidRPr="00F372FF">
              <w:rPr>
                <w:b/>
                <w:bCs/>
                <w:lang w:val="en-GB"/>
              </w:rPr>
              <w:t>Peak voxel coordinate</w:t>
            </w:r>
          </w:p>
          <w:p w14:paraId="4EF62455" w14:textId="77777777" w:rsidR="00C167F7" w:rsidRPr="00F372FF" w:rsidRDefault="00C167F7" w:rsidP="00154EE6">
            <w:pPr>
              <w:pStyle w:val="NoSpacing"/>
              <w:jc w:val="right"/>
              <w:rPr>
                <w:b/>
                <w:bCs/>
                <w:lang w:val="en-GB"/>
              </w:rPr>
            </w:pPr>
            <w:r w:rsidRPr="00F372FF">
              <w:rPr>
                <w:b/>
                <w:bCs/>
                <w:lang w:val="en-GB"/>
              </w:rPr>
              <w:t>[</w:t>
            </w:r>
            <w:r w:rsidRPr="00F372FF">
              <w:rPr>
                <w:b/>
                <w:bCs/>
                <w:i/>
                <w:iCs/>
                <w:lang w:val="en-GB"/>
              </w:rPr>
              <w:t>x y z</w:t>
            </w:r>
            <w:r w:rsidRPr="00F372FF">
              <w:rPr>
                <w:b/>
                <w:bCs/>
                <w:lang w:val="en-GB"/>
              </w:rPr>
              <w:t>]</w:t>
            </w:r>
          </w:p>
        </w:tc>
        <w:tc>
          <w:tcPr>
            <w:tcW w:w="851" w:type="dxa"/>
            <w:tcBorders>
              <w:left w:val="nil"/>
              <w:bottom w:val="single" w:sz="4" w:space="0" w:color="auto"/>
              <w:right w:val="nil"/>
            </w:tcBorders>
            <w:vAlign w:val="bottom"/>
            <w:hideMark/>
          </w:tcPr>
          <w:p w14:paraId="53DCB116" w14:textId="77777777" w:rsidR="00C167F7" w:rsidRPr="00F372FF" w:rsidRDefault="00C167F7" w:rsidP="00154EE6">
            <w:pPr>
              <w:pStyle w:val="NoSpacing"/>
              <w:jc w:val="right"/>
              <w:rPr>
                <w:b/>
                <w:bCs/>
                <w:lang w:val="en-GB"/>
              </w:rPr>
            </w:pPr>
            <w:r w:rsidRPr="00F372FF">
              <w:rPr>
                <w:b/>
                <w:bCs/>
                <w:i/>
                <w:iCs/>
                <w:lang w:val="en-GB"/>
              </w:rPr>
              <w:t>z</w:t>
            </w:r>
            <w:r w:rsidRPr="00F372FF">
              <w:rPr>
                <w:b/>
                <w:bCs/>
                <w:lang w:val="en-GB"/>
              </w:rPr>
              <w:t>-value</w:t>
            </w:r>
          </w:p>
        </w:tc>
      </w:tr>
      <w:tr w:rsidR="00C167F7" w:rsidRPr="00F372FF" w14:paraId="56910158" w14:textId="77777777" w:rsidTr="00154EE6">
        <w:trPr>
          <w:trHeight w:val="283"/>
        </w:trPr>
        <w:tc>
          <w:tcPr>
            <w:tcW w:w="0" w:type="auto"/>
            <w:tcBorders>
              <w:top w:val="nil"/>
              <w:left w:val="nil"/>
              <w:bottom w:val="nil"/>
              <w:right w:val="nil"/>
            </w:tcBorders>
            <w:vAlign w:val="bottom"/>
          </w:tcPr>
          <w:p w14:paraId="2CC9980D" w14:textId="77777777" w:rsidR="00C167F7" w:rsidRPr="00F372FF" w:rsidRDefault="00C167F7" w:rsidP="00154EE6">
            <w:pPr>
              <w:pStyle w:val="NoSpacing"/>
              <w:rPr>
                <w:lang w:val="en-GB"/>
              </w:rPr>
            </w:pPr>
            <w:r w:rsidRPr="00F372FF">
              <w:rPr>
                <w:lang w:val="en-GB"/>
              </w:rPr>
              <w:t>PCC</w:t>
            </w:r>
          </w:p>
        </w:tc>
        <w:tc>
          <w:tcPr>
            <w:tcW w:w="0" w:type="auto"/>
            <w:tcBorders>
              <w:top w:val="nil"/>
              <w:left w:val="nil"/>
              <w:bottom w:val="nil"/>
              <w:right w:val="nil"/>
            </w:tcBorders>
            <w:vAlign w:val="bottom"/>
          </w:tcPr>
          <w:p w14:paraId="4CDAF26E" w14:textId="77777777" w:rsidR="00C167F7" w:rsidRPr="00F372FF" w:rsidRDefault="00C167F7" w:rsidP="00154EE6">
            <w:pPr>
              <w:pStyle w:val="NoSpacing"/>
              <w:jc w:val="right"/>
              <w:rPr>
                <w:lang w:val="en-GB"/>
              </w:rPr>
            </w:pPr>
            <w:r w:rsidRPr="00F372FF">
              <w:rPr>
                <w:lang w:val="en-GB"/>
              </w:rPr>
              <w:t>1637</w:t>
            </w:r>
          </w:p>
        </w:tc>
        <w:tc>
          <w:tcPr>
            <w:tcW w:w="1156" w:type="dxa"/>
            <w:tcBorders>
              <w:top w:val="nil"/>
              <w:left w:val="nil"/>
              <w:bottom w:val="nil"/>
              <w:right w:val="nil"/>
            </w:tcBorders>
            <w:vAlign w:val="bottom"/>
          </w:tcPr>
          <w:p w14:paraId="06933949" w14:textId="77777777" w:rsidR="00C167F7" w:rsidRPr="00F372FF" w:rsidRDefault="00C167F7" w:rsidP="00154EE6">
            <w:pPr>
              <w:pStyle w:val="NoSpacing"/>
              <w:jc w:val="right"/>
              <w:rPr>
                <w:lang w:val="en-GB"/>
              </w:rPr>
            </w:pPr>
            <w:r w:rsidRPr="00F372FF">
              <w:rPr>
                <w:lang w:val="en-GB"/>
              </w:rPr>
              <w:t>0 -28 42</w:t>
            </w:r>
          </w:p>
        </w:tc>
        <w:tc>
          <w:tcPr>
            <w:tcW w:w="851" w:type="dxa"/>
            <w:tcBorders>
              <w:top w:val="nil"/>
              <w:left w:val="nil"/>
              <w:bottom w:val="nil"/>
              <w:right w:val="nil"/>
            </w:tcBorders>
            <w:vAlign w:val="bottom"/>
          </w:tcPr>
          <w:p w14:paraId="59095865" w14:textId="77777777" w:rsidR="00C167F7" w:rsidRPr="00F372FF" w:rsidRDefault="00C167F7" w:rsidP="00154EE6">
            <w:pPr>
              <w:pStyle w:val="NoSpacing"/>
              <w:jc w:val="right"/>
              <w:rPr>
                <w:lang w:val="en-GB"/>
              </w:rPr>
            </w:pPr>
            <w:r w:rsidRPr="00F372FF">
              <w:rPr>
                <w:lang w:val="en-GB"/>
              </w:rPr>
              <w:t>7.6</w:t>
            </w:r>
          </w:p>
        </w:tc>
      </w:tr>
      <w:tr w:rsidR="00C167F7" w:rsidRPr="00F372FF" w14:paraId="0DE0E7EA" w14:textId="77777777" w:rsidTr="00154EE6">
        <w:trPr>
          <w:trHeight w:val="283"/>
        </w:trPr>
        <w:tc>
          <w:tcPr>
            <w:tcW w:w="0" w:type="auto"/>
            <w:tcBorders>
              <w:top w:val="nil"/>
              <w:left w:val="nil"/>
              <w:bottom w:val="nil"/>
              <w:right w:val="nil"/>
            </w:tcBorders>
            <w:vAlign w:val="bottom"/>
          </w:tcPr>
          <w:p w14:paraId="13ED60F7" w14:textId="77777777" w:rsidR="00C167F7" w:rsidRPr="00F372FF" w:rsidRDefault="00C167F7" w:rsidP="00154EE6">
            <w:pPr>
              <w:pStyle w:val="NoSpacing"/>
              <w:rPr>
                <w:lang w:val="en-GB"/>
              </w:rPr>
            </w:pPr>
            <w:r w:rsidRPr="00F372FF">
              <w:rPr>
                <w:lang w:val="en-GB"/>
              </w:rPr>
              <w:t>Left inferior parietal lobule</w:t>
            </w:r>
          </w:p>
        </w:tc>
        <w:tc>
          <w:tcPr>
            <w:tcW w:w="0" w:type="auto"/>
            <w:tcBorders>
              <w:top w:val="nil"/>
              <w:left w:val="nil"/>
              <w:bottom w:val="nil"/>
              <w:right w:val="nil"/>
            </w:tcBorders>
            <w:vAlign w:val="bottom"/>
          </w:tcPr>
          <w:p w14:paraId="14ADAEF6" w14:textId="77777777" w:rsidR="00C167F7" w:rsidRPr="00F372FF" w:rsidRDefault="00C167F7" w:rsidP="00154EE6">
            <w:pPr>
              <w:pStyle w:val="NoSpacing"/>
              <w:jc w:val="right"/>
              <w:rPr>
                <w:lang w:val="en-GB"/>
              </w:rPr>
            </w:pPr>
            <w:r w:rsidRPr="00F372FF">
              <w:rPr>
                <w:lang w:val="en-GB"/>
              </w:rPr>
              <w:t>2745</w:t>
            </w:r>
          </w:p>
        </w:tc>
        <w:tc>
          <w:tcPr>
            <w:tcW w:w="1156" w:type="dxa"/>
            <w:tcBorders>
              <w:top w:val="nil"/>
              <w:left w:val="nil"/>
              <w:bottom w:val="nil"/>
              <w:right w:val="nil"/>
            </w:tcBorders>
            <w:vAlign w:val="bottom"/>
          </w:tcPr>
          <w:p w14:paraId="661DD4ED" w14:textId="77777777" w:rsidR="00C167F7" w:rsidRPr="00F372FF" w:rsidRDefault="00C167F7" w:rsidP="00154EE6">
            <w:pPr>
              <w:pStyle w:val="NoSpacing"/>
              <w:jc w:val="right"/>
              <w:rPr>
                <w:lang w:val="en-GB"/>
              </w:rPr>
            </w:pPr>
            <w:r w:rsidRPr="00F372FF">
              <w:rPr>
                <w:lang w:val="en-GB"/>
              </w:rPr>
              <w:t>-58 -32 36</w:t>
            </w:r>
          </w:p>
        </w:tc>
        <w:tc>
          <w:tcPr>
            <w:tcW w:w="851" w:type="dxa"/>
            <w:tcBorders>
              <w:top w:val="nil"/>
              <w:left w:val="nil"/>
              <w:bottom w:val="nil"/>
              <w:right w:val="nil"/>
            </w:tcBorders>
            <w:vAlign w:val="bottom"/>
          </w:tcPr>
          <w:p w14:paraId="217E85D4" w14:textId="77777777" w:rsidR="00C167F7" w:rsidRPr="00F372FF" w:rsidRDefault="00C167F7" w:rsidP="00154EE6">
            <w:pPr>
              <w:pStyle w:val="NoSpacing"/>
              <w:jc w:val="right"/>
              <w:rPr>
                <w:lang w:val="en-GB"/>
              </w:rPr>
            </w:pPr>
            <w:r w:rsidRPr="00F372FF">
              <w:rPr>
                <w:lang w:val="en-GB"/>
              </w:rPr>
              <w:t>7.6</w:t>
            </w:r>
          </w:p>
        </w:tc>
      </w:tr>
      <w:tr w:rsidR="00C167F7" w:rsidRPr="00F372FF" w14:paraId="0E4122BF" w14:textId="77777777" w:rsidTr="00154EE6">
        <w:trPr>
          <w:trHeight w:val="283"/>
        </w:trPr>
        <w:tc>
          <w:tcPr>
            <w:tcW w:w="0" w:type="auto"/>
            <w:tcBorders>
              <w:top w:val="nil"/>
              <w:left w:val="nil"/>
              <w:bottom w:val="nil"/>
              <w:right w:val="nil"/>
            </w:tcBorders>
            <w:vAlign w:val="bottom"/>
          </w:tcPr>
          <w:p w14:paraId="082DC3F1" w14:textId="77777777" w:rsidR="00C167F7" w:rsidRPr="00F372FF" w:rsidRDefault="00C167F7" w:rsidP="00154EE6">
            <w:pPr>
              <w:pStyle w:val="NoSpacing"/>
              <w:rPr>
                <w:lang w:val="en-GB"/>
              </w:rPr>
            </w:pPr>
            <w:r w:rsidRPr="00F372FF">
              <w:rPr>
                <w:lang w:val="en-GB"/>
              </w:rPr>
              <w:t>Left temporo-occipital cortex</w:t>
            </w:r>
          </w:p>
        </w:tc>
        <w:tc>
          <w:tcPr>
            <w:tcW w:w="0" w:type="auto"/>
            <w:tcBorders>
              <w:top w:val="nil"/>
              <w:left w:val="nil"/>
              <w:bottom w:val="nil"/>
              <w:right w:val="nil"/>
            </w:tcBorders>
            <w:vAlign w:val="bottom"/>
          </w:tcPr>
          <w:p w14:paraId="5EC2B669" w14:textId="77777777" w:rsidR="00C167F7" w:rsidRPr="00F372FF" w:rsidRDefault="00C167F7" w:rsidP="00154EE6">
            <w:pPr>
              <w:pStyle w:val="NoSpacing"/>
              <w:jc w:val="right"/>
              <w:rPr>
                <w:lang w:val="en-GB"/>
              </w:rPr>
            </w:pPr>
            <w:r w:rsidRPr="00F372FF">
              <w:rPr>
                <w:lang w:val="en-GB"/>
              </w:rPr>
              <w:t>412</w:t>
            </w:r>
          </w:p>
        </w:tc>
        <w:tc>
          <w:tcPr>
            <w:tcW w:w="1156" w:type="dxa"/>
            <w:tcBorders>
              <w:top w:val="nil"/>
              <w:left w:val="nil"/>
              <w:bottom w:val="nil"/>
              <w:right w:val="nil"/>
            </w:tcBorders>
            <w:vAlign w:val="bottom"/>
          </w:tcPr>
          <w:p w14:paraId="6EDCCD62" w14:textId="77777777" w:rsidR="00C167F7" w:rsidRPr="00F372FF" w:rsidRDefault="00C167F7" w:rsidP="00154EE6">
            <w:pPr>
              <w:pStyle w:val="NoSpacing"/>
              <w:jc w:val="right"/>
              <w:rPr>
                <w:lang w:val="en-GB"/>
              </w:rPr>
            </w:pPr>
            <w:r w:rsidRPr="00F372FF">
              <w:rPr>
                <w:lang w:val="en-GB"/>
              </w:rPr>
              <w:t>-28 -50 -6</w:t>
            </w:r>
          </w:p>
        </w:tc>
        <w:tc>
          <w:tcPr>
            <w:tcW w:w="851" w:type="dxa"/>
            <w:tcBorders>
              <w:top w:val="nil"/>
              <w:left w:val="nil"/>
              <w:bottom w:val="nil"/>
              <w:right w:val="nil"/>
            </w:tcBorders>
            <w:vAlign w:val="bottom"/>
          </w:tcPr>
          <w:p w14:paraId="27C01061" w14:textId="77777777" w:rsidR="00C167F7" w:rsidRPr="00F372FF" w:rsidRDefault="00C167F7" w:rsidP="00154EE6">
            <w:pPr>
              <w:pStyle w:val="NoSpacing"/>
              <w:jc w:val="right"/>
              <w:rPr>
                <w:lang w:val="en-GB"/>
              </w:rPr>
            </w:pPr>
            <w:r w:rsidRPr="00F372FF">
              <w:rPr>
                <w:lang w:val="en-GB"/>
              </w:rPr>
              <w:t>7.4</w:t>
            </w:r>
          </w:p>
        </w:tc>
      </w:tr>
      <w:tr w:rsidR="00C167F7" w:rsidRPr="00F372FF" w14:paraId="04045ED0" w14:textId="77777777" w:rsidTr="00154EE6">
        <w:trPr>
          <w:trHeight w:val="283"/>
        </w:trPr>
        <w:tc>
          <w:tcPr>
            <w:tcW w:w="0" w:type="auto"/>
            <w:tcBorders>
              <w:top w:val="nil"/>
              <w:left w:val="nil"/>
              <w:bottom w:val="nil"/>
              <w:right w:val="nil"/>
            </w:tcBorders>
            <w:vAlign w:val="bottom"/>
          </w:tcPr>
          <w:p w14:paraId="73DEB421" w14:textId="77777777" w:rsidR="00C167F7" w:rsidRPr="00F372FF" w:rsidRDefault="00C167F7" w:rsidP="00154EE6">
            <w:pPr>
              <w:pStyle w:val="NoSpacing"/>
              <w:rPr>
                <w:lang w:val="en-GB"/>
              </w:rPr>
            </w:pPr>
            <w:r w:rsidRPr="00F372FF">
              <w:rPr>
                <w:lang w:val="en-GB"/>
              </w:rPr>
              <w:t>Right temporo-occipital cortex</w:t>
            </w:r>
          </w:p>
        </w:tc>
        <w:tc>
          <w:tcPr>
            <w:tcW w:w="0" w:type="auto"/>
            <w:tcBorders>
              <w:top w:val="nil"/>
              <w:left w:val="nil"/>
              <w:bottom w:val="nil"/>
              <w:right w:val="nil"/>
            </w:tcBorders>
            <w:vAlign w:val="bottom"/>
          </w:tcPr>
          <w:p w14:paraId="41B13F6A" w14:textId="77777777" w:rsidR="00C167F7" w:rsidRPr="00F372FF" w:rsidRDefault="00C167F7" w:rsidP="00154EE6">
            <w:pPr>
              <w:pStyle w:val="NoSpacing"/>
              <w:jc w:val="right"/>
              <w:rPr>
                <w:lang w:val="en-GB"/>
              </w:rPr>
            </w:pPr>
            <w:r w:rsidRPr="00F372FF">
              <w:rPr>
                <w:lang w:val="en-GB"/>
              </w:rPr>
              <w:t>343</w:t>
            </w:r>
          </w:p>
        </w:tc>
        <w:tc>
          <w:tcPr>
            <w:tcW w:w="1156" w:type="dxa"/>
            <w:tcBorders>
              <w:top w:val="nil"/>
              <w:left w:val="nil"/>
              <w:bottom w:val="nil"/>
              <w:right w:val="nil"/>
            </w:tcBorders>
            <w:vAlign w:val="bottom"/>
          </w:tcPr>
          <w:p w14:paraId="47DA8EDD" w14:textId="77777777" w:rsidR="00C167F7" w:rsidRPr="00F372FF" w:rsidRDefault="00C167F7" w:rsidP="00154EE6">
            <w:pPr>
              <w:pStyle w:val="NoSpacing"/>
              <w:jc w:val="right"/>
              <w:rPr>
                <w:lang w:val="en-GB"/>
              </w:rPr>
            </w:pPr>
            <w:r w:rsidRPr="00F372FF">
              <w:rPr>
                <w:lang w:val="en-GB"/>
              </w:rPr>
              <w:t>26 -48 -8</w:t>
            </w:r>
          </w:p>
        </w:tc>
        <w:tc>
          <w:tcPr>
            <w:tcW w:w="851" w:type="dxa"/>
            <w:tcBorders>
              <w:top w:val="nil"/>
              <w:left w:val="nil"/>
              <w:bottom w:val="nil"/>
              <w:right w:val="nil"/>
            </w:tcBorders>
            <w:vAlign w:val="bottom"/>
          </w:tcPr>
          <w:p w14:paraId="26A78775" w14:textId="77777777" w:rsidR="00C167F7" w:rsidRPr="00F372FF" w:rsidRDefault="00C167F7" w:rsidP="00154EE6">
            <w:pPr>
              <w:pStyle w:val="NoSpacing"/>
              <w:jc w:val="right"/>
              <w:rPr>
                <w:lang w:val="en-GB"/>
              </w:rPr>
            </w:pPr>
            <w:r w:rsidRPr="00F372FF">
              <w:rPr>
                <w:lang w:val="en-GB"/>
              </w:rPr>
              <w:t>7.3</w:t>
            </w:r>
          </w:p>
        </w:tc>
      </w:tr>
      <w:tr w:rsidR="00C167F7" w:rsidRPr="00F372FF" w14:paraId="2218DB5E" w14:textId="77777777" w:rsidTr="00154EE6">
        <w:trPr>
          <w:trHeight w:val="283"/>
        </w:trPr>
        <w:tc>
          <w:tcPr>
            <w:tcW w:w="0" w:type="auto"/>
            <w:tcBorders>
              <w:top w:val="nil"/>
              <w:left w:val="nil"/>
              <w:bottom w:val="nil"/>
              <w:right w:val="nil"/>
            </w:tcBorders>
            <w:vAlign w:val="bottom"/>
          </w:tcPr>
          <w:p w14:paraId="36B5F3BB" w14:textId="77777777" w:rsidR="00C167F7" w:rsidRPr="00F372FF" w:rsidRDefault="00C167F7" w:rsidP="00154EE6">
            <w:pPr>
              <w:pStyle w:val="NoSpacing"/>
              <w:rPr>
                <w:lang w:val="en-GB"/>
              </w:rPr>
            </w:pPr>
            <w:r w:rsidRPr="00F372FF">
              <w:rPr>
                <w:lang w:val="en-GB"/>
              </w:rPr>
              <w:t>Rostral ACC</w:t>
            </w:r>
          </w:p>
        </w:tc>
        <w:tc>
          <w:tcPr>
            <w:tcW w:w="0" w:type="auto"/>
            <w:tcBorders>
              <w:top w:val="nil"/>
              <w:left w:val="nil"/>
              <w:bottom w:val="nil"/>
              <w:right w:val="nil"/>
            </w:tcBorders>
            <w:vAlign w:val="bottom"/>
          </w:tcPr>
          <w:p w14:paraId="7D54202D" w14:textId="77777777" w:rsidR="00C167F7" w:rsidRPr="00F372FF" w:rsidRDefault="00C167F7" w:rsidP="00154EE6">
            <w:pPr>
              <w:pStyle w:val="NoSpacing"/>
              <w:jc w:val="right"/>
              <w:rPr>
                <w:lang w:val="en-GB"/>
              </w:rPr>
            </w:pPr>
            <w:r w:rsidRPr="00F372FF">
              <w:rPr>
                <w:lang w:val="en-GB"/>
              </w:rPr>
              <w:t>2380</w:t>
            </w:r>
          </w:p>
        </w:tc>
        <w:tc>
          <w:tcPr>
            <w:tcW w:w="1156" w:type="dxa"/>
            <w:tcBorders>
              <w:top w:val="nil"/>
              <w:left w:val="nil"/>
              <w:bottom w:val="nil"/>
              <w:right w:val="nil"/>
            </w:tcBorders>
            <w:vAlign w:val="bottom"/>
          </w:tcPr>
          <w:p w14:paraId="1F6356FC" w14:textId="77777777" w:rsidR="00C167F7" w:rsidRPr="00F372FF" w:rsidRDefault="00C167F7" w:rsidP="00154EE6">
            <w:pPr>
              <w:pStyle w:val="NoSpacing"/>
              <w:jc w:val="right"/>
              <w:rPr>
                <w:lang w:val="en-GB"/>
              </w:rPr>
            </w:pPr>
            <w:r w:rsidRPr="00F372FF">
              <w:rPr>
                <w:lang w:val="en-GB"/>
              </w:rPr>
              <w:t>6 48 0</w:t>
            </w:r>
          </w:p>
        </w:tc>
        <w:tc>
          <w:tcPr>
            <w:tcW w:w="851" w:type="dxa"/>
            <w:tcBorders>
              <w:top w:val="nil"/>
              <w:left w:val="nil"/>
              <w:bottom w:val="nil"/>
              <w:right w:val="nil"/>
            </w:tcBorders>
            <w:vAlign w:val="bottom"/>
          </w:tcPr>
          <w:p w14:paraId="410CC61B" w14:textId="77777777" w:rsidR="00C167F7" w:rsidRPr="00F372FF" w:rsidRDefault="00C167F7" w:rsidP="00154EE6">
            <w:pPr>
              <w:pStyle w:val="NoSpacing"/>
              <w:jc w:val="right"/>
              <w:rPr>
                <w:lang w:val="en-GB"/>
              </w:rPr>
            </w:pPr>
            <w:r w:rsidRPr="00F372FF">
              <w:rPr>
                <w:lang w:val="en-GB"/>
              </w:rPr>
              <w:t>7.2</w:t>
            </w:r>
          </w:p>
        </w:tc>
      </w:tr>
      <w:tr w:rsidR="00C167F7" w:rsidRPr="00F372FF" w14:paraId="4BC198FE" w14:textId="77777777" w:rsidTr="00154EE6">
        <w:trPr>
          <w:trHeight w:val="283"/>
        </w:trPr>
        <w:tc>
          <w:tcPr>
            <w:tcW w:w="0" w:type="auto"/>
            <w:tcBorders>
              <w:top w:val="nil"/>
              <w:left w:val="nil"/>
              <w:bottom w:val="nil"/>
              <w:right w:val="nil"/>
            </w:tcBorders>
            <w:vAlign w:val="bottom"/>
          </w:tcPr>
          <w:p w14:paraId="2EA46BA8" w14:textId="77777777" w:rsidR="00C167F7" w:rsidRPr="00F372FF" w:rsidRDefault="00C167F7" w:rsidP="00154EE6">
            <w:pPr>
              <w:pStyle w:val="NoSpacing"/>
              <w:rPr>
                <w:lang w:val="en-GB"/>
              </w:rPr>
            </w:pPr>
            <w:r w:rsidRPr="00F372FF">
              <w:rPr>
                <w:lang w:val="en-GB"/>
              </w:rPr>
              <w:t>Right lateral occipital cortex</w:t>
            </w:r>
          </w:p>
        </w:tc>
        <w:tc>
          <w:tcPr>
            <w:tcW w:w="0" w:type="auto"/>
            <w:tcBorders>
              <w:top w:val="nil"/>
              <w:left w:val="nil"/>
              <w:bottom w:val="nil"/>
              <w:right w:val="nil"/>
            </w:tcBorders>
            <w:vAlign w:val="bottom"/>
          </w:tcPr>
          <w:p w14:paraId="74C2E2F2" w14:textId="77777777" w:rsidR="00C167F7" w:rsidRPr="00F372FF" w:rsidRDefault="00C167F7" w:rsidP="00154EE6">
            <w:pPr>
              <w:pStyle w:val="NoSpacing"/>
              <w:jc w:val="right"/>
              <w:rPr>
                <w:lang w:val="en-GB"/>
              </w:rPr>
            </w:pPr>
            <w:r w:rsidRPr="00F372FF">
              <w:rPr>
                <w:lang w:val="en-GB"/>
              </w:rPr>
              <w:t>228</w:t>
            </w:r>
          </w:p>
        </w:tc>
        <w:tc>
          <w:tcPr>
            <w:tcW w:w="1156" w:type="dxa"/>
            <w:tcBorders>
              <w:top w:val="nil"/>
              <w:left w:val="nil"/>
              <w:bottom w:val="nil"/>
              <w:right w:val="nil"/>
            </w:tcBorders>
            <w:vAlign w:val="bottom"/>
          </w:tcPr>
          <w:p w14:paraId="738952B9" w14:textId="77777777" w:rsidR="00C167F7" w:rsidRPr="00F372FF" w:rsidRDefault="00C167F7" w:rsidP="00154EE6">
            <w:pPr>
              <w:pStyle w:val="NoSpacing"/>
              <w:jc w:val="right"/>
              <w:rPr>
                <w:lang w:val="en-GB"/>
              </w:rPr>
            </w:pPr>
            <w:r w:rsidRPr="00F372FF">
              <w:rPr>
                <w:lang w:val="en-GB"/>
              </w:rPr>
              <w:t>22 -82 20</w:t>
            </w:r>
          </w:p>
        </w:tc>
        <w:tc>
          <w:tcPr>
            <w:tcW w:w="851" w:type="dxa"/>
            <w:tcBorders>
              <w:top w:val="nil"/>
              <w:left w:val="nil"/>
              <w:bottom w:val="nil"/>
              <w:right w:val="nil"/>
            </w:tcBorders>
            <w:vAlign w:val="bottom"/>
          </w:tcPr>
          <w:p w14:paraId="76378A4D" w14:textId="77777777" w:rsidR="00C167F7" w:rsidRPr="00F372FF" w:rsidRDefault="00C167F7" w:rsidP="00154EE6">
            <w:pPr>
              <w:pStyle w:val="NoSpacing"/>
              <w:jc w:val="right"/>
              <w:rPr>
                <w:lang w:val="en-GB"/>
              </w:rPr>
            </w:pPr>
            <w:r w:rsidRPr="00F372FF">
              <w:rPr>
                <w:lang w:val="en-GB"/>
              </w:rPr>
              <w:t>6.5</w:t>
            </w:r>
          </w:p>
        </w:tc>
      </w:tr>
      <w:tr w:rsidR="00C167F7" w:rsidRPr="00F372FF" w14:paraId="4E0D55FC" w14:textId="77777777" w:rsidTr="00154EE6">
        <w:trPr>
          <w:trHeight w:val="283"/>
        </w:trPr>
        <w:tc>
          <w:tcPr>
            <w:tcW w:w="0" w:type="auto"/>
            <w:tcBorders>
              <w:top w:val="nil"/>
              <w:left w:val="nil"/>
              <w:bottom w:val="nil"/>
              <w:right w:val="nil"/>
            </w:tcBorders>
            <w:vAlign w:val="bottom"/>
          </w:tcPr>
          <w:p w14:paraId="5D172D33" w14:textId="77777777" w:rsidR="00C167F7" w:rsidRPr="00F372FF" w:rsidRDefault="00C167F7" w:rsidP="00154EE6">
            <w:pPr>
              <w:pStyle w:val="NoSpacing"/>
              <w:rPr>
                <w:lang w:val="en-GB"/>
              </w:rPr>
            </w:pPr>
            <w:r w:rsidRPr="00F372FF">
              <w:rPr>
                <w:lang w:val="en-GB"/>
              </w:rPr>
              <w:t>Right inferior parietal lobule</w:t>
            </w:r>
          </w:p>
        </w:tc>
        <w:tc>
          <w:tcPr>
            <w:tcW w:w="0" w:type="auto"/>
            <w:tcBorders>
              <w:top w:val="nil"/>
              <w:left w:val="nil"/>
              <w:bottom w:val="nil"/>
              <w:right w:val="nil"/>
            </w:tcBorders>
            <w:vAlign w:val="bottom"/>
          </w:tcPr>
          <w:p w14:paraId="5D2DF111" w14:textId="77777777" w:rsidR="00C167F7" w:rsidRPr="00F372FF" w:rsidRDefault="00C167F7" w:rsidP="00154EE6">
            <w:pPr>
              <w:pStyle w:val="NoSpacing"/>
              <w:jc w:val="right"/>
              <w:rPr>
                <w:lang w:val="en-GB"/>
              </w:rPr>
            </w:pPr>
            <w:r w:rsidRPr="00F372FF">
              <w:rPr>
                <w:lang w:val="en-GB"/>
              </w:rPr>
              <w:t>3713</w:t>
            </w:r>
          </w:p>
        </w:tc>
        <w:tc>
          <w:tcPr>
            <w:tcW w:w="1156" w:type="dxa"/>
            <w:tcBorders>
              <w:top w:val="nil"/>
              <w:left w:val="nil"/>
              <w:bottom w:val="nil"/>
              <w:right w:val="nil"/>
            </w:tcBorders>
            <w:vAlign w:val="bottom"/>
          </w:tcPr>
          <w:p w14:paraId="4685F676" w14:textId="77777777" w:rsidR="00C167F7" w:rsidRPr="00F372FF" w:rsidRDefault="00C167F7" w:rsidP="00154EE6">
            <w:pPr>
              <w:pStyle w:val="NoSpacing"/>
              <w:jc w:val="right"/>
              <w:rPr>
                <w:lang w:val="en-GB"/>
              </w:rPr>
            </w:pPr>
            <w:r w:rsidRPr="00F372FF">
              <w:rPr>
                <w:lang w:val="en-GB"/>
              </w:rPr>
              <w:t>36 -32 40</w:t>
            </w:r>
          </w:p>
        </w:tc>
        <w:tc>
          <w:tcPr>
            <w:tcW w:w="851" w:type="dxa"/>
            <w:tcBorders>
              <w:top w:val="nil"/>
              <w:left w:val="nil"/>
              <w:bottom w:val="nil"/>
              <w:right w:val="nil"/>
            </w:tcBorders>
            <w:vAlign w:val="bottom"/>
          </w:tcPr>
          <w:p w14:paraId="1C4CEC2E" w14:textId="77777777" w:rsidR="00C167F7" w:rsidRPr="00F372FF" w:rsidRDefault="00C167F7" w:rsidP="00154EE6">
            <w:pPr>
              <w:pStyle w:val="NoSpacing"/>
              <w:jc w:val="right"/>
              <w:rPr>
                <w:lang w:val="en-GB"/>
              </w:rPr>
            </w:pPr>
            <w:r w:rsidRPr="00F372FF">
              <w:rPr>
                <w:lang w:val="en-GB"/>
              </w:rPr>
              <w:t>6.4</w:t>
            </w:r>
          </w:p>
        </w:tc>
      </w:tr>
      <w:tr w:rsidR="00C167F7" w:rsidRPr="00F372FF" w14:paraId="0A02D517" w14:textId="77777777" w:rsidTr="00154EE6">
        <w:trPr>
          <w:trHeight w:val="283"/>
        </w:trPr>
        <w:tc>
          <w:tcPr>
            <w:tcW w:w="0" w:type="auto"/>
            <w:tcBorders>
              <w:top w:val="nil"/>
              <w:left w:val="nil"/>
              <w:bottom w:val="nil"/>
              <w:right w:val="nil"/>
            </w:tcBorders>
            <w:vAlign w:val="bottom"/>
          </w:tcPr>
          <w:p w14:paraId="70A88401" w14:textId="77777777" w:rsidR="00C167F7" w:rsidRPr="00F372FF" w:rsidRDefault="00C167F7" w:rsidP="00154EE6">
            <w:pPr>
              <w:pStyle w:val="NoSpacing"/>
              <w:rPr>
                <w:lang w:val="en-GB"/>
              </w:rPr>
            </w:pPr>
            <w:r w:rsidRPr="00F372FF">
              <w:rPr>
                <w:lang w:val="en-GB"/>
              </w:rPr>
              <w:t>Left posterior temporal cortex</w:t>
            </w:r>
          </w:p>
        </w:tc>
        <w:tc>
          <w:tcPr>
            <w:tcW w:w="0" w:type="auto"/>
            <w:tcBorders>
              <w:top w:val="nil"/>
              <w:left w:val="nil"/>
              <w:bottom w:val="nil"/>
              <w:right w:val="nil"/>
            </w:tcBorders>
            <w:vAlign w:val="bottom"/>
          </w:tcPr>
          <w:p w14:paraId="0BDD03F1" w14:textId="77777777" w:rsidR="00C167F7" w:rsidRPr="00F372FF" w:rsidRDefault="00C167F7" w:rsidP="00154EE6">
            <w:pPr>
              <w:pStyle w:val="NoSpacing"/>
              <w:jc w:val="right"/>
              <w:rPr>
                <w:lang w:val="en-GB"/>
              </w:rPr>
            </w:pPr>
            <w:r w:rsidRPr="00F372FF">
              <w:rPr>
                <w:lang w:val="en-GB"/>
              </w:rPr>
              <w:t>273</w:t>
            </w:r>
          </w:p>
        </w:tc>
        <w:tc>
          <w:tcPr>
            <w:tcW w:w="1156" w:type="dxa"/>
            <w:tcBorders>
              <w:top w:val="nil"/>
              <w:left w:val="nil"/>
              <w:bottom w:val="nil"/>
              <w:right w:val="nil"/>
            </w:tcBorders>
            <w:vAlign w:val="bottom"/>
          </w:tcPr>
          <w:p w14:paraId="38ECE57B" w14:textId="77777777" w:rsidR="00C167F7" w:rsidRPr="00F372FF" w:rsidRDefault="00C167F7" w:rsidP="00154EE6">
            <w:pPr>
              <w:pStyle w:val="NoSpacing"/>
              <w:jc w:val="right"/>
              <w:rPr>
                <w:lang w:val="en-GB"/>
              </w:rPr>
            </w:pPr>
            <w:r w:rsidRPr="00F372FF">
              <w:rPr>
                <w:lang w:val="en-GB"/>
              </w:rPr>
              <w:t>-52 -60 -4</w:t>
            </w:r>
          </w:p>
        </w:tc>
        <w:tc>
          <w:tcPr>
            <w:tcW w:w="851" w:type="dxa"/>
            <w:tcBorders>
              <w:top w:val="nil"/>
              <w:left w:val="nil"/>
              <w:bottom w:val="nil"/>
              <w:right w:val="nil"/>
            </w:tcBorders>
            <w:vAlign w:val="bottom"/>
          </w:tcPr>
          <w:p w14:paraId="732C6A9C" w14:textId="77777777" w:rsidR="00C167F7" w:rsidRPr="00F372FF" w:rsidRDefault="00C167F7" w:rsidP="00154EE6">
            <w:pPr>
              <w:pStyle w:val="NoSpacing"/>
              <w:jc w:val="right"/>
              <w:rPr>
                <w:lang w:val="en-GB"/>
              </w:rPr>
            </w:pPr>
            <w:r w:rsidRPr="00F372FF">
              <w:rPr>
                <w:lang w:val="en-GB"/>
              </w:rPr>
              <w:t>6.4</w:t>
            </w:r>
          </w:p>
        </w:tc>
      </w:tr>
      <w:tr w:rsidR="00C167F7" w:rsidRPr="00F372FF" w14:paraId="52053EF6" w14:textId="77777777" w:rsidTr="00154EE6">
        <w:trPr>
          <w:trHeight w:val="283"/>
        </w:trPr>
        <w:tc>
          <w:tcPr>
            <w:tcW w:w="0" w:type="auto"/>
            <w:tcBorders>
              <w:top w:val="nil"/>
              <w:left w:val="nil"/>
              <w:bottom w:val="nil"/>
              <w:right w:val="nil"/>
            </w:tcBorders>
            <w:vAlign w:val="bottom"/>
          </w:tcPr>
          <w:p w14:paraId="29B594EB" w14:textId="77777777" w:rsidR="00C167F7" w:rsidRPr="00F372FF" w:rsidRDefault="00C167F7" w:rsidP="00154EE6">
            <w:pPr>
              <w:pStyle w:val="NoSpacing"/>
              <w:rPr>
                <w:lang w:val="en-GB"/>
              </w:rPr>
            </w:pPr>
            <w:r w:rsidRPr="00F372FF">
              <w:rPr>
                <w:lang w:val="en-GB"/>
              </w:rPr>
              <w:t>Right frontal pole</w:t>
            </w:r>
          </w:p>
        </w:tc>
        <w:tc>
          <w:tcPr>
            <w:tcW w:w="0" w:type="auto"/>
            <w:tcBorders>
              <w:top w:val="nil"/>
              <w:left w:val="nil"/>
              <w:bottom w:val="nil"/>
              <w:right w:val="nil"/>
            </w:tcBorders>
            <w:vAlign w:val="bottom"/>
          </w:tcPr>
          <w:p w14:paraId="361ED2BD" w14:textId="77777777" w:rsidR="00C167F7" w:rsidRPr="00F372FF" w:rsidRDefault="00C167F7" w:rsidP="00154EE6">
            <w:pPr>
              <w:pStyle w:val="NoSpacing"/>
              <w:jc w:val="right"/>
              <w:rPr>
                <w:lang w:val="en-GB"/>
              </w:rPr>
            </w:pPr>
            <w:r w:rsidRPr="00F372FF">
              <w:rPr>
                <w:lang w:val="en-GB"/>
              </w:rPr>
              <w:t>350</w:t>
            </w:r>
          </w:p>
        </w:tc>
        <w:tc>
          <w:tcPr>
            <w:tcW w:w="1156" w:type="dxa"/>
            <w:tcBorders>
              <w:top w:val="nil"/>
              <w:left w:val="nil"/>
              <w:bottom w:val="nil"/>
              <w:right w:val="nil"/>
            </w:tcBorders>
            <w:vAlign w:val="bottom"/>
          </w:tcPr>
          <w:p w14:paraId="57876E8E" w14:textId="77777777" w:rsidR="00C167F7" w:rsidRPr="00F372FF" w:rsidRDefault="00C167F7" w:rsidP="00154EE6">
            <w:pPr>
              <w:pStyle w:val="NoSpacing"/>
              <w:jc w:val="right"/>
              <w:rPr>
                <w:lang w:val="en-GB"/>
              </w:rPr>
            </w:pPr>
            <w:r w:rsidRPr="00F372FF">
              <w:rPr>
                <w:lang w:val="en-GB"/>
              </w:rPr>
              <w:t>22 48 28</w:t>
            </w:r>
          </w:p>
        </w:tc>
        <w:tc>
          <w:tcPr>
            <w:tcW w:w="851" w:type="dxa"/>
            <w:tcBorders>
              <w:top w:val="nil"/>
              <w:left w:val="nil"/>
              <w:bottom w:val="nil"/>
              <w:right w:val="nil"/>
            </w:tcBorders>
            <w:vAlign w:val="bottom"/>
          </w:tcPr>
          <w:p w14:paraId="01A92BE2" w14:textId="77777777" w:rsidR="00C167F7" w:rsidRPr="00F372FF" w:rsidRDefault="00C167F7" w:rsidP="00154EE6">
            <w:pPr>
              <w:pStyle w:val="NoSpacing"/>
              <w:jc w:val="right"/>
              <w:rPr>
                <w:lang w:val="en-GB"/>
              </w:rPr>
            </w:pPr>
            <w:r w:rsidRPr="00F372FF">
              <w:rPr>
                <w:lang w:val="en-GB"/>
              </w:rPr>
              <w:t>5.4</w:t>
            </w:r>
          </w:p>
        </w:tc>
      </w:tr>
      <w:tr w:rsidR="00C167F7" w:rsidRPr="00F372FF" w14:paraId="79BCBB14" w14:textId="77777777" w:rsidTr="00154EE6">
        <w:trPr>
          <w:trHeight w:val="283"/>
        </w:trPr>
        <w:tc>
          <w:tcPr>
            <w:tcW w:w="0" w:type="auto"/>
            <w:tcBorders>
              <w:top w:val="nil"/>
              <w:left w:val="nil"/>
              <w:bottom w:val="nil"/>
              <w:right w:val="nil"/>
            </w:tcBorders>
            <w:vAlign w:val="bottom"/>
          </w:tcPr>
          <w:p w14:paraId="2E4D569C" w14:textId="77777777" w:rsidR="00C167F7" w:rsidRPr="00F372FF" w:rsidRDefault="00C167F7" w:rsidP="00154EE6">
            <w:pPr>
              <w:pStyle w:val="NoSpacing"/>
              <w:rPr>
                <w:lang w:val="en-GB"/>
              </w:rPr>
            </w:pPr>
            <w:r w:rsidRPr="00F372FF">
              <w:rPr>
                <w:lang w:val="en-GB"/>
              </w:rPr>
              <w:t>Left posterior insula</w:t>
            </w:r>
          </w:p>
        </w:tc>
        <w:tc>
          <w:tcPr>
            <w:tcW w:w="0" w:type="auto"/>
            <w:tcBorders>
              <w:top w:val="nil"/>
              <w:left w:val="nil"/>
              <w:bottom w:val="nil"/>
              <w:right w:val="nil"/>
            </w:tcBorders>
            <w:vAlign w:val="bottom"/>
          </w:tcPr>
          <w:p w14:paraId="68006B8C" w14:textId="77777777" w:rsidR="00C167F7" w:rsidRPr="00F372FF" w:rsidRDefault="00C167F7" w:rsidP="00154EE6">
            <w:pPr>
              <w:pStyle w:val="NoSpacing"/>
              <w:jc w:val="right"/>
              <w:rPr>
                <w:lang w:val="en-GB"/>
              </w:rPr>
            </w:pPr>
            <w:r w:rsidRPr="00F372FF">
              <w:rPr>
                <w:lang w:val="en-GB"/>
              </w:rPr>
              <w:t>280</w:t>
            </w:r>
          </w:p>
        </w:tc>
        <w:tc>
          <w:tcPr>
            <w:tcW w:w="1156" w:type="dxa"/>
            <w:tcBorders>
              <w:top w:val="nil"/>
              <w:left w:val="nil"/>
              <w:bottom w:val="nil"/>
              <w:right w:val="nil"/>
            </w:tcBorders>
            <w:vAlign w:val="bottom"/>
          </w:tcPr>
          <w:p w14:paraId="732AC1A2" w14:textId="77777777" w:rsidR="00C167F7" w:rsidRPr="00F372FF" w:rsidRDefault="00C167F7" w:rsidP="00154EE6">
            <w:pPr>
              <w:pStyle w:val="NoSpacing"/>
              <w:jc w:val="right"/>
              <w:rPr>
                <w:lang w:val="en-GB"/>
              </w:rPr>
            </w:pPr>
            <w:r w:rsidRPr="00F372FF">
              <w:rPr>
                <w:lang w:val="en-GB"/>
              </w:rPr>
              <w:t>-40 -14 -4</w:t>
            </w:r>
          </w:p>
        </w:tc>
        <w:tc>
          <w:tcPr>
            <w:tcW w:w="851" w:type="dxa"/>
            <w:tcBorders>
              <w:top w:val="nil"/>
              <w:left w:val="nil"/>
              <w:bottom w:val="nil"/>
              <w:right w:val="nil"/>
            </w:tcBorders>
            <w:vAlign w:val="bottom"/>
          </w:tcPr>
          <w:p w14:paraId="4A5353A5" w14:textId="77777777" w:rsidR="00C167F7" w:rsidRPr="00F372FF" w:rsidRDefault="00C167F7" w:rsidP="00154EE6">
            <w:pPr>
              <w:pStyle w:val="NoSpacing"/>
              <w:jc w:val="right"/>
              <w:rPr>
                <w:lang w:val="en-GB"/>
              </w:rPr>
            </w:pPr>
            <w:r w:rsidRPr="00F372FF">
              <w:rPr>
                <w:lang w:val="en-GB"/>
              </w:rPr>
              <w:t>5.3</w:t>
            </w:r>
          </w:p>
        </w:tc>
      </w:tr>
      <w:tr w:rsidR="00C167F7" w:rsidRPr="00F372FF" w14:paraId="0E616C32" w14:textId="77777777" w:rsidTr="00154EE6">
        <w:trPr>
          <w:trHeight w:val="283"/>
        </w:trPr>
        <w:tc>
          <w:tcPr>
            <w:tcW w:w="0" w:type="auto"/>
            <w:tcBorders>
              <w:top w:val="nil"/>
              <w:left w:val="nil"/>
              <w:bottom w:val="nil"/>
              <w:right w:val="nil"/>
            </w:tcBorders>
            <w:vAlign w:val="bottom"/>
          </w:tcPr>
          <w:p w14:paraId="5861DBCF" w14:textId="77777777" w:rsidR="00C167F7" w:rsidRPr="00F372FF" w:rsidRDefault="00C167F7" w:rsidP="00154EE6">
            <w:pPr>
              <w:pStyle w:val="NoSpacing"/>
              <w:rPr>
                <w:lang w:val="en-GB"/>
              </w:rPr>
            </w:pPr>
            <w:r w:rsidRPr="00F372FF">
              <w:rPr>
                <w:lang w:val="en-GB"/>
              </w:rPr>
              <w:t xml:space="preserve">Left </w:t>
            </w:r>
            <w:proofErr w:type="spellStart"/>
            <w:r w:rsidRPr="00F372FF">
              <w:rPr>
                <w:lang w:val="en-GB"/>
              </w:rPr>
              <w:t>precuneous</w:t>
            </w:r>
            <w:proofErr w:type="spellEnd"/>
          </w:p>
        </w:tc>
        <w:tc>
          <w:tcPr>
            <w:tcW w:w="0" w:type="auto"/>
            <w:tcBorders>
              <w:top w:val="nil"/>
              <w:left w:val="nil"/>
              <w:bottom w:val="nil"/>
              <w:right w:val="nil"/>
            </w:tcBorders>
            <w:vAlign w:val="bottom"/>
          </w:tcPr>
          <w:p w14:paraId="3D3A839E" w14:textId="77777777" w:rsidR="00C167F7" w:rsidRPr="00F372FF" w:rsidRDefault="00C167F7" w:rsidP="00154EE6">
            <w:pPr>
              <w:pStyle w:val="NoSpacing"/>
              <w:jc w:val="right"/>
              <w:rPr>
                <w:lang w:val="en-GB"/>
              </w:rPr>
            </w:pPr>
            <w:r w:rsidRPr="00F372FF">
              <w:rPr>
                <w:lang w:val="en-GB"/>
              </w:rPr>
              <w:t>237</w:t>
            </w:r>
          </w:p>
        </w:tc>
        <w:tc>
          <w:tcPr>
            <w:tcW w:w="1156" w:type="dxa"/>
            <w:tcBorders>
              <w:top w:val="nil"/>
              <w:left w:val="nil"/>
              <w:bottom w:val="nil"/>
              <w:right w:val="nil"/>
            </w:tcBorders>
            <w:vAlign w:val="bottom"/>
          </w:tcPr>
          <w:p w14:paraId="08D82210" w14:textId="77777777" w:rsidR="00C167F7" w:rsidRPr="00F372FF" w:rsidRDefault="00C167F7" w:rsidP="00154EE6">
            <w:pPr>
              <w:pStyle w:val="NoSpacing"/>
              <w:jc w:val="right"/>
              <w:rPr>
                <w:lang w:val="en-GB"/>
              </w:rPr>
            </w:pPr>
            <w:r w:rsidRPr="00F372FF">
              <w:rPr>
                <w:lang w:val="en-GB"/>
              </w:rPr>
              <w:t>-12 -60 18</w:t>
            </w:r>
          </w:p>
        </w:tc>
        <w:tc>
          <w:tcPr>
            <w:tcW w:w="851" w:type="dxa"/>
            <w:tcBorders>
              <w:top w:val="nil"/>
              <w:left w:val="nil"/>
              <w:bottom w:val="nil"/>
              <w:right w:val="nil"/>
            </w:tcBorders>
            <w:vAlign w:val="bottom"/>
          </w:tcPr>
          <w:p w14:paraId="669F753C" w14:textId="77777777" w:rsidR="00C167F7" w:rsidRPr="00F372FF" w:rsidRDefault="00C167F7" w:rsidP="00154EE6">
            <w:pPr>
              <w:pStyle w:val="NoSpacing"/>
              <w:jc w:val="right"/>
              <w:rPr>
                <w:lang w:val="en-GB"/>
              </w:rPr>
            </w:pPr>
            <w:r w:rsidRPr="00F372FF">
              <w:rPr>
                <w:lang w:val="en-GB"/>
              </w:rPr>
              <w:t>5.3</w:t>
            </w:r>
          </w:p>
        </w:tc>
      </w:tr>
      <w:tr w:rsidR="00C167F7" w:rsidRPr="00F372FF" w14:paraId="1C9EEE7E" w14:textId="77777777" w:rsidTr="00154EE6">
        <w:trPr>
          <w:trHeight w:val="283"/>
        </w:trPr>
        <w:tc>
          <w:tcPr>
            <w:tcW w:w="0" w:type="auto"/>
            <w:tcBorders>
              <w:top w:val="nil"/>
              <w:left w:val="nil"/>
              <w:bottom w:val="nil"/>
              <w:right w:val="nil"/>
            </w:tcBorders>
            <w:vAlign w:val="bottom"/>
          </w:tcPr>
          <w:p w14:paraId="4A807522" w14:textId="77777777" w:rsidR="00C167F7" w:rsidRPr="00F372FF" w:rsidRDefault="00C167F7" w:rsidP="00154EE6">
            <w:pPr>
              <w:pStyle w:val="NoSpacing"/>
              <w:rPr>
                <w:lang w:val="en-GB"/>
              </w:rPr>
            </w:pPr>
            <w:r w:rsidRPr="00F372FF">
              <w:rPr>
                <w:lang w:val="en-GB"/>
              </w:rPr>
              <w:t>Left lateral occipital cortex</w:t>
            </w:r>
          </w:p>
        </w:tc>
        <w:tc>
          <w:tcPr>
            <w:tcW w:w="0" w:type="auto"/>
            <w:tcBorders>
              <w:top w:val="nil"/>
              <w:left w:val="nil"/>
              <w:bottom w:val="nil"/>
              <w:right w:val="nil"/>
            </w:tcBorders>
            <w:vAlign w:val="bottom"/>
          </w:tcPr>
          <w:p w14:paraId="3D1A7151" w14:textId="77777777" w:rsidR="00C167F7" w:rsidRPr="00F372FF" w:rsidRDefault="00C167F7" w:rsidP="00154EE6">
            <w:pPr>
              <w:pStyle w:val="NoSpacing"/>
              <w:jc w:val="right"/>
              <w:rPr>
                <w:lang w:val="en-GB"/>
              </w:rPr>
            </w:pPr>
            <w:r w:rsidRPr="00F372FF">
              <w:rPr>
                <w:lang w:val="en-GB"/>
              </w:rPr>
              <w:t>130</w:t>
            </w:r>
          </w:p>
        </w:tc>
        <w:tc>
          <w:tcPr>
            <w:tcW w:w="1156" w:type="dxa"/>
            <w:tcBorders>
              <w:top w:val="nil"/>
              <w:left w:val="nil"/>
              <w:bottom w:val="nil"/>
              <w:right w:val="nil"/>
            </w:tcBorders>
            <w:vAlign w:val="bottom"/>
          </w:tcPr>
          <w:p w14:paraId="3A7A13B5" w14:textId="77777777" w:rsidR="00C167F7" w:rsidRPr="00F372FF" w:rsidRDefault="00C167F7" w:rsidP="00154EE6">
            <w:pPr>
              <w:pStyle w:val="NoSpacing"/>
              <w:jc w:val="right"/>
              <w:rPr>
                <w:lang w:val="en-GB"/>
              </w:rPr>
            </w:pPr>
            <w:r w:rsidRPr="00F372FF">
              <w:rPr>
                <w:lang w:val="en-GB"/>
              </w:rPr>
              <w:t>-18 -84 18</w:t>
            </w:r>
          </w:p>
        </w:tc>
        <w:tc>
          <w:tcPr>
            <w:tcW w:w="851" w:type="dxa"/>
            <w:tcBorders>
              <w:top w:val="nil"/>
              <w:left w:val="nil"/>
              <w:bottom w:val="nil"/>
              <w:right w:val="nil"/>
            </w:tcBorders>
            <w:vAlign w:val="bottom"/>
          </w:tcPr>
          <w:p w14:paraId="7852D414" w14:textId="77777777" w:rsidR="00C167F7" w:rsidRPr="00F372FF" w:rsidRDefault="00C167F7" w:rsidP="00154EE6">
            <w:pPr>
              <w:pStyle w:val="NoSpacing"/>
              <w:jc w:val="right"/>
              <w:rPr>
                <w:lang w:val="en-GB"/>
              </w:rPr>
            </w:pPr>
            <w:r w:rsidRPr="00F372FF">
              <w:rPr>
                <w:lang w:val="en-GB"/>
              </w:rPr>
              <w:t>5.1</w:t>
            </w:r>
          </w:p>
        </w:tc>
      </w:tr>
      <w:tr w:rsidR="00C167F7" w:rsidRPr="00F372FF" w14:paraId="4D75F4AA" w14:textId="77777777" w:rsidTr="00154EE6">
        <w:trPr>
          <w:trHeight w:val="283"/>
        </w:trPr>
        <w:tc>
          <w:tcPr>
            <w:tcW w:w="0" w:type="auto"/>
            <w:tcBorders>
              <w:top w:val="nil"/>
              <w:left w:val="nil"/>
              <w:right w:val="nil"/>
            </w:tcBorders>
            <w:vAlign w:val="bottom"/>
          </w:tcPr>
          <w:p w14:paraId="1830088E" w14:textId="77777777" w:rsidR="00C167F7" w:rsidRPr="00F372FF" w:rsidRDefault="00C167F7" w:rsidP="00154EE6">
            <w:pPr>
              <w:pStyle w:val="NoSpacing"/>
              <w:rPr>
                <w:lang w:val="en-GB"/>
              </w:rPr>
            </w:pPr>
            <w:r w:rsidRPr="00F372FF">
              <w:rPr>
                <w:lang w:val="en-GB"/>
              </w:rPr>
              <w:t>Left frontal pole</w:t>
            </w:r>
          </w:p>
        </w:tc>
        <w:tc>
          <w:tcPr>
            <w:tcW w:w="0" w:type="auto"/>
            <w:tcBorders>
              <w:top w:val="nil"/>
              <w:left w:val="nil"/>
              <w:right w:val="nil"/>
            </w:tcBorders>
            <w:vAlign w:val="bottom"/>
          </w:tcPr>
          <w:p w14:paraId="05C4EC95" w14:textId="77777777" w:rsidR="00C167F7" w:rsidRPr="00F372FF" w:rsidRDefault="00C167F7" w:rsidP="00154EE6">
            <w:pPr>
              <w:pStyle w:val="NoSpacing"/>
              <w:jc w:val="right"/>
              <w:rPr>
                <w:lang w:val="en-GB"/>
              </w:rPr>
            </w:pPr>
            <w:r w:rsidRPr="00F372FF">
              <w:rPr>
                <w:lang w:val="en-GB"/>
              </w:rPr>
              <w:t>616</w:t>
            </w:r>
          </w:p>
        </w:tc>
        <w:tc>
          <w:tcPr>
            <w:tcW w:w="1156" w:type="dxa"/>
            <w:tcBorders>
              <w:top w:val="nil"/>
              <w:left w:val="nil"/>
              <w:right w:val="nil"/>
            </w:tcBorders>
            <w:vAlign w:val="bottom"/>
          </w:tcPr>
          <w:p w14:paraId="6EB4BE0F" w14:textId="77777777" w:rsidR="00C167F7" w:rsidRPr="00F372FF" w:rsidRDefault="00C167F7" w:rsidP="00154EE6">
            <w:pPr>
              <w:pStyle w:val="NoSpacing"/>
              <w:jc w:val="right"/>
              <w:rPr>
                <w:lang w:val="en-GB"/>
              </w:rPr>
            </w:pPr>
            <w:r w:rsidRPr="00F372FF">
              <w:rPr>
                <w:lang w:val="en-GB"/>
              </w:rPr>
              <w:t>-24 40 30</w:t>
            </w:r>
          </w:p>
        </w:tc>
        <w:tc>
          <w:tcPr>
            <w:tcW w:w="851" w:type="dxa"/>
            <w:tcBorders>
              <w:top w:val="nil"/>
              <w:left w:val="nil"/>
              <w:right w:val="nil"/>
            </w:tcBorders>
            <w:vAlign w:val="bottom"/>
          </w:tcPr>
          <w:p w14:paraId="26EC2C8D" w14:textId="77777777" w:rsidR="00C167F7" w:rsidRPr="00F372FF" w:rsidRDefault="00C167F7" w:rsidP="00154EE6">
            <w:pPr>
              <w:pStyle w:val="NoSpacing"/>
              <w:jc w:val="right"/>
              <w:rPr>
                <w:lang w:val="en-GB"/>
              </w:rPr>
            </w:pPr>
            <w:r w:rsidRPr="00F372FF">
              <w:rPr>
                <w:lang w:val="en-GB"/>
              </w:rPr>
              <w:t>5.1</w:t>
            </w:r>
          </w:p>
        </w:tc>
      </w:tr>
      <w:tr w:rsidR="00C167F7" w:rsidRPr="00F372FF" w14:paraId="251911E3" w14:textId="77777777" w:rsidTr="00154EE6">
        <w:trPr>
          <w:trHeight w:val="283"/>
        </w:trPr>
        <w:tc>
          <w:tcPr>
            <w:tcW w:w="0" w:type="auto"/>
            <w:tcBorders>
              <w:top w:val="nil"/>
              <w:left w:val="nil"/>
              <w:bottom w:val="single" w:sz="4" w:space="0" w:color="auto"/>
              <w:right w:val="nil"/>
            </w:tcBorders>
            <w:vAlign w:val="bottom"/>
          </w:tcPr>
          <w:p w14:paraId="4137F69F" w14:textId="77777777" w:rsidR="00C167F7" w:rsidRPr="00F372FF" w:rsidRDefault="00C167F7" w:rsidP="00154EE6">
            <w:pPr>
              <w:pStyle w:val="NoSpacing"/>
              <w:rPr>
                <w:lang w:val="en-GB"/>
              </w:rPr>
            </w:pPr>
            <w:r w:rsidRPr="00F372FF">
              <w:rPr>
                <w:lang w:val="en-GB"/>
              </w:rPr>
              <w:t>Right posterior insula</w:t>
            </w:r>
          </w:p>
        </w:tc>
        <w:tc>
          <w:tcPr>
            <w:tcW w:w="0" w:type="auto"/>
            <w:tcBorders>
              <w:top w:val="nil"/>
              <w:left w:val="nil"/>
              <w:bottom w:val="single" w:sz="4" w:space="0" w:color="auto"/>
              <w:right w:val="nil"/>
            </w:tcBorders>
            <w:vAlign w:val="bottom"/>
          </w:tcPr>
          <w:p w14:paraId="1AFD1BF0" w14:textId="77777777" w:rsidR="00C167F7" w:rsidRPr="00F372FF" w:rsidRDefault="00C167F7" w:rsidP="00154EE6">
            <w:pPr>
              <w:pStyle w:val="NoSpacing"/>
              <w:jc w:val="right"/>
              <w:rPr>
                <w:lang w:val="en-GB"/>
              </w:rPr>
            </w:pPr>
            <w:r w:rsidRPr="00F372FF">
              <w:rPr>
                <w:lang w:val="en-GB"/>
              </w:rPr>
              <w:t>153</w:t>
            </w:r>
          </w:p>
        </w:tc>
        <w:tc>
          <w:tcPr>
            <w:tcW w:w="1156" w:type="dxa"/>
            <w:tcBorders>
              <w:top w:val="nil"/>
              <w:left w:val="nil"/>
              <w:bottom w:val="single" w:sz="4" w:space="0" w:color="auto"/>
              <w:right w:val="nil"/>
            </w:tcBorders>
            <w:vAlign w:val="bottom"/>
          </w:tcPr>
          <w:p w14:paraId="7B25886C" w14:textId="77777777" w:rsidR="00C167F7" w:rsidRPr="00F372FF" w:rsidRDefault="00C167F7" w:rsidP="00154EE6">
            <w:pPr>
              <w:pStyle w:val="NoSpacing"/>
              <w:jc w:val="right"/>
              <w:rPr>
                <w:lang w:val="en-GB"/>
              </w:rPr>
            </w:pPr>
            <w:r w:rsidRPr="00F372FF">
              <w:rPr>
                <w:lang w:val="en-GB"/>
              </w:rPr>
              <w:t>-58 -6 4</w:t>
            </w:r>
          </w:p>
        </w:tc>
        <w:tc>
          <w:tcPr>
            <w:tcW w:w="851" w:type="dxa"/>
            <w:tcBorders>
              <w:top w:val="nil"/>
              <w:left w:val="nil"/>
              <w:bottom w:val="single" w:sz="4" w:space="0" w:color="auto"/>
              <w:right w:val="nil"/>
            </w:tcBorders>
            <w:vAlign w:val="bottom"/>
          </w:tcPr>
          <w:p w14:paraId="69EF86F3" w14:textId="77777777" w:rsidR="00C167F7" w:rsidRPr="00F372FF" w:rsidRDefault="00C167F7" w:rsidP="00154EE6">
            <w:pPr>
              <w:pStyle w:val="NoSpacing"/>
              <w:jc w:val="right"/>
              <w:rPr>
                <w:lang w:val="en-GB"/>
              </w:rPr>
            </w:pPr>
            <w:r w:rsidRPr="00F372FF">
              <w:rPr>
                <w:lang w:val="en-GB"/>
              </w:rPr>
              <w:t>4.3</w:t>
            </w:r>
          </w:p>
        </w:tc>
      </w:tr>
    </w:tbl>
    <w:p w14:paraId="4DD003BC" w14:textId="77777777" w:rsidR="00C167F7" w:rsidRPr="00F372FF" w:rsidRDefault="00C167F7" w:rsidP="00C167F7">
      <w:pPr>
        <w:pStyle w:val="Normal-nospacing"/>
        <w:rPr>
          <w:b/>
          <w:lang w:val="en-GB"/>
        </w:rPr>
      </w:pPr>
    </w:p>
    <w:p w14:paraId="1F9E5606" w14:textId="0CDA6450" w:rsidR="00E419E2" w:rsidRPr="00C167F7" w:rsidRDefault="00C167F7" w:rsidP="005830C2">
      <w:pPr>
        <w:pStyle w:val="NoSpacing"/>
      </w:pPr>
      <w:r w:rsidRPr="00F372FF">
        <w:rPr>
          <w:lang w:val="en-GB"/>
        </w:rPr>
        <w:t xml:space="preserve">Contrasts were </w:t>
      </w:r>
      <w:proofErr w:type="spellStart"/>
      <w:r w:rsidRPr="00F372FF">
        <w:rPr>
          <w:lang w:val="en-GB"/>
        </w:rPr>
        <w:t>thresholded</w:t>
      </w:r>
      <w:proofErr w:type="spellEnd"/>
      <w:r w:rsidRPr="00F372FF">
        <w:rPr>
          <w:lang w:val="en-GB"/>
        </w:rPr>
        <w:t xml:space="preserve"> at whole-brain </w:t>
      </w:r>
      <w:r w:rsidRPr="00F372FF">
        <w:rPr>
          <w:rFonts w:eastAsiaTheme="minorEastAsia"/>
          <w:i/>
          <w:iCs/>
          <w:lang w:val="en-GB"/>
        </w:rPr>
        <w:t>P</w:t>
      </w:r>
      <w:r w:rsidRPr="00F372FF">
        <w:rPr>
          <w:rFonts w:eastAsiaTheme="minorEastAsia"/>
          <w:i/>
          <w:iCs/>
          <w:vertAlign w:val="subscript"/>
          <w:lang w:val="en-GB"/>
        </w:rPr>
        <w:t>FDR</w:t>
      </w:r>
      <w:r w:rsidRPr="00F372FF">
        <w:rPr>
          <w:rFonts w:eastAsiaTheme="minorEastAsia"/>
          <w:lang w:val="en-GB"/>
        </w:rPr>
        <w:t xml:space="preserve"> &lt; 0.01, with reporting of clusters &gt; 80 voxels.</w:t>
      </w:r>
      <w:bookmarkEnd w:id="0"/>
      <w:bookmarkEnd w:id="1"/>
    </w:p>
    <w:sectPr w:rsidR="00E419E2" w:rsidRPr="00C167F7" w:rsidSect="00F10F5C">
      <w:headerReference w:type="default" r:id="rId12"/>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33699" w14:textId="77777777" w:rsidR="008A255F" w:rsidRDefault="008A255F" w:rsidP="00717D64">
      <w:pPr>
        <w:spacing w:after="0"/>
      </w:pPr>
      <w:r>
        <w:separator/>
      </w:r>
    </w:p>
  </w:endnote>
  <w:endnote w:type="continuationSeparator" w:id="0">
    <w:p w14:paraId="264C97EF" w14:textId="77777777" w:rsidR="008A255F" w:rsidRDefault="008A255F" w:rsidP="00717D64">
      <w:pPr>
        <w:spacing w:after="0"/>
      </w:pPr>
      <w:r>
        <w:continuationSeparator/>
      </w:r>
    </w:p>
  </w:endnote>
  <w:endnote w:type="continuationNotice" w:id="1">
    <w:p w14:paraId="76E7F364" w14:textId="77777777" w:rsidR="008A255F" w:rsidRDefault="008A25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pitch w:val="default"/>
    <w:sig w:usb0="00000003" w:usb1="00000000" w:usb2="00000000" w:usb3="00000000" w:csb0="00000001" w:csb1="00000000"/>
  </w:font>
  <w:font w:name="Times">
    <w:altName w:val="﷽﷽﷽﷽﷽﷽﷽﷽怀"/>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CA717" w14:textId="77777777" w:rsidR="008A255F" w:rsidRDefault="008A255F" w:rsidP="00717D64">
      <w:pPr>
        <w:spacing w:after="0"/>
      </w:pPr>
      <w:r>
        <w:separator/>
      </w:r>
    </w:p>
  </w:footnote>
  <w:footnote w:type="continuationSeparator" w:id="0">
    <w:p w14:paraId="4C647294" w14:textId="77777777" w:rsidR="008A255F" w:rsidRDefault="008A255F" w:rsidP="00717D64">
      <w:pPr>
        <w:spacing w:after="0"/>
      </w:pPr>
      <w:r>
        <w:continuationSeparator/>
      </w:r>
    </w:p>
  </w:footnote>
  <w:footnote w:type="continuationNotice" w:id="1">
    <w:p w14:paraId="5C6D67C7" w14:textId="77777777" w:rsidR="008A255F" w:rsidRDefault="008A25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001B0" w14:textId="070A7B87" w:rsidR="00356C09" w:rsidRDefault="00356C09" w:rsidP="00356C09">
    <w:pPr>
      <w:pStyle w:val="Normal-nospacing"/>
      <w:ind w:right="134"/>
      <w:jc w:val="right"/>
      <w:rPr>
        <w:sz w:val="18"/>
        <w:szCs w:val="18"/>
        <w:lang w:val="en-US"/>
      </w:rPr>
    </w:pPr>
    <w:bookmarkStart w:id="17" w:name="OLE_LINK118"/>
    <w:bookmarkStart w:id="18" w:name="OLE_LINK117"/>
    <w:r>
      <w:rPr>
        <w:sz w:val="18"/>
        <w:szCs w:val="18"/>
        <w:lang w:val="en-US"/>
      </w:rPr>
      <w:t xml:space="preserve">Davey et al., </w:t>
    </w:r>
    <w:r w:rsidR="0034794A">
      <w:rPr>
        <w:sz w:val="18"/>
        <w:szCs w:val="18"/>
        <w:lang w:val="en-US"/>
      </w:rPr>
      <w:t>Supplemental information</w:t>
    </w:r>
    <w:r>
      <w:rPr>
        <w:sz w:val="18"/>
        <w:szCs w:val="18"/>
        <w:lang w:val="en-US"/>
      </w:rPr>
      <w:t xml:space="preserve">   </w:t>
    </w:r>
    <w:r>
      <w:fldChar w:fldCharType="begin"/>
    </w:r>
    <w:r>
      <w:rPr>
        <w:b/>
        <w:bCs/>
        <w:sz w:val="18"/>
        <w:szCs w:val="18"/>
        <w:lang w:val="en-GB"/>
      </w:rPr>
      <w:instrText xml:space="preserve"> PAGE </w:instrText>
    </w:r>
    <w:r>
      <w:fldChar w:fldCharType="separate"/>
    </w:r>
    <w:r>
      <w:rPr>
        <w:b/>
        <w:bCs/>
        <w:sz w:val="18"/>
        <w:szCs w:val="18"/>
        <w:lang w:val="en-GB"/>
      </w:rPr>
      <w:t>2</w:t>
    </w:r>
    <w:r>
      <w:fldChar w:fldCharType="end"/>
    </w:r>
    <w:r>
      <w:rPr>
        <w:sz w:val="18"/>
        <w:szCs w:val="18"/>
        <w:lang w:val="en-GB"/>
      </w:rPr>
      <w:t xml:space="preserve"> </w:t>
    </w:r>
    <w:bookmarkEnd w:id="17"/>
    <w:bookmarkEnd w:id="18"/>
  </w:p>
  <w:p w14:paraId="2B519DB8" w14:textId="2646C493" w:rsidR="00717D64" w:rsidRPr="00356C09" w:rsidRDefault="00717D64" w:rsidP="00356C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63EFB"/>
    <w:multiLevelType w:val="multilevel"/>
    <w:tmpl w:val="823E01C8"/>
    <w:lvl w:ilvl="0">
      <w:start w:val="1"/>
      <w:numFmt w:val="bullet"/>
      <w:lvlText w:val="•"/>
      <w:lvlJc w:val="left"/>
      <w:pPr>
        <w:tabs>
          <w:tab w:val="num" w:pos="280"/>
        </w:tabs>
        <w:ind w:left="280" w:hanging="280"/>
      </w:pPr>
      <w:rPr>
        <w:rFonts w:hint="default"/>
      </w:rPr>
    </w:lvl>
    <w:lvl w:ilvl="1">
      <w:start w:val="1"/>
      <w:numFmt w:val="bullet"/>
      <w:lvlText w:val="•"/>
      <w:lvlJc w:val="left"/>
      <w:pPr>
        <w:tabs>
          <w:tab w:val="num" w:pos="940"/>
        </w:tabs>
        <w:ind w:left="940" w:hanging="220"/>
      </w:pPr>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9E8"/>
    <w:rsid w:val="000015B1"/>
    <w:rsid w:val="00001CB2"/>
    <w:rsid w:val="00004A6E"/>
    <w:rsid w:val="00004C29"/>
    <w:rsid w:val="000058CD"/>
    <w:rsid w:val="00007AE5"/>
    <w:rsid w:val="00007C4A"/>
    <w:rsid w:val="000109DB"/>
    <w:rsid w:val="000125AA"/>
    <w:rsid w:val="00014114"/>
    <w:rsid w:val="00016E9B"/>
    <w:rsid w:val="000225F9"/>
    <w:rsid w:val="00023207"/>
    <w:rsid w:val="00026B37"/>
    <w:rsid w:val="0003159E"/>
    <w:rsid w:val="000338C2"/>
    <w:rsid w:val="00043451"/>
    <w:rsid w:val="00045090"/>
    <w:rsid w:val="00046034"/>
    <w:rsid w:val="00052491"/>
    <w:rsid w:val="000577D0"/>
    <w:rsid w:val="00057834"/>
    <w:rsid w:val="00064F6C"/>
    <w:rsid w:val="000712B0"/>
    <w:rsid w:val="000769A8"/>
    <w:rsid w:val="0008208A"/>
    <w:rsid w:val="000902B7"/>
    <w:rsid w:val="00090839"/>
    <w:rsid w:val="00095E34"/>
    <w:rsid w:val="000A1A41"/>
    <w:rsid w:val="000B61DC"/>
    <w:rsid w:val="000D0047"/>
    <w:rsid w:val="000D0BE1"/>
    <w:rsid w:val="000D24C8"/>
    <w:rsid w:val="000D45AE"/>
    <w:rsid w:val="000D5802"/>
    <w:rsid w:val="000D6956"/>
    <w:rsid w:val="000D70DD"/>
    <w:rsid w:val="000E2EA7"/>
    <w:rsid w:val="000E5E52"/>
    <w:rsid w:val="000F5351"/>
    <w:rsid w:val="00100DFD"/>
    <w:rsid w:val="00104AFA"/>
    <w:rsid w:val="00104DFC"/>
    <w:rsid w:val="00110724"/>
    <w:rsid w:val="00110985"/>
    <w:rsid w:val="00124C45"/>
    <w:rsid w:val="0012754A"/>
    <w:rsid w:val="001302D5"/>
    <w:rsid w:val="0013323C"/>
    <w:rsid w:val="001345AE"/>
    <w:rsid w:val="00143C39"/>
    <w:rsid w:val="00147862"/>
    <w:rsid w:val="00150F6D"/>
    <w:rsid w:val="001554D6"/>
    <w:rsid w:val="001820E9"/>
    <w:rsid w:val="0019140B"/>
    <w:rsid w:val="001955FF"/>
    <w:rsid w:val="00197D3D"/>
    <w:rsid w:val="00197D6A"/>
    <w:rsid w:val="00197E1D"/>
    <w:rsid w:val="001A57E4"/>
    <w:rsid w:val="001A6521"/>
    <w:rsid w:val="001B2168"/>
    <w:rsid w:val="001B77F8"/>
    <w:rsid w:val="001C64B6"/>
    <w:rsid w:val="001C77DB"/>
    <w:rsid w:val="001D4754"/>
    <w:rsid w:val="001E2BE4"/>
    <w:rsid w:val="001F1EEF"/>
    <w:rsid w:val="00201D3A"/>
    <w:rsid w:val="00202E5E"/>
    <w:rsid w:val="0021307B"/>
    <w:rsid w:val="00216CA3"/>
    <w:rsid w:val="0022278A"/>
    <w:rsid w:val="0022445D"/>
    <w:rsid w:val="00224BE2"/>
    <w:rsid w:val="00230541"/>
    <w:rsid w:val="002306F5"/>
    <w:rsid w:val="00231277"/>
    <w:rsid w:val="00231466"/>
    <w:rsid w:val="00231B1D"/>
    <w:rsid w:val="00233352"/>
    <w:rsid w:val="00236A30"/>
    <w:rsid w:val="00236C71"/>
    <w:rsid w:val="002419B2"/>
    <w:rsid w:val="00242C1E"/>
    <w:rsid w:val="00244142"/>
    <w:rsid w:val="0024472B"/>
    <w:rsid w:val="0025132A"/>
    <w:rsid w:val="00263195"/>
    <w:rsid w:val="00263535"/>
    <w:rsid w:val="0026561F"/>
    <w:rsid w:val="00265888"/>
    <w:rsid w:val="002776CD"/>
    <w:rsid w:val="00277AEE"/>
    <w:rsid w:val="00294D9B"/>
    <w:rsid w:val="002A7EA3"/>
    <w:rsid w:val="002B3E45"/>
    <w:rsid w:val="002B3EF9"/>
    <w:rsid w:val="002C64BD"/>
    <w:rsid w:val="002D0451"/>
    <w:rsid w:val="002D0DEE"/>
    <w:rsid w:val="002D2105"/>
    <w:rsid w:val="002D21C3"/>
    <w:rsid w:val="002E3BF3"/>
    <w:rsid w:val="002F1C81"/>
    <w:rsid w:val="002F4602"/>
    <w:rsid w:val="002F5AC2"/>
    <w:rsid w:val="00303B40"/>
    <w:rsid w:val="00303EC0"/>
    <w:rsid w:val="00307A84"/>
    <w:rsid w:val="00307AD4"/>
    <w:rsid w:val="003163B0"/>
    <w:rsid w:val="00316687"/>
    <w:rsid w:val="00316B47"/>
    <w:rsid w:val="003202DB"/>
    <w:rsid w:val="00322F07"/>
    <w:rsid w:val="00322F0F"/>
    <w:rsid w:val="003236B6"/>
    <w:rsid w:val="00325527"/>
    <w:rsid w:val="003276B7"/>
    <w:rsid w:val="003317E5"/>
    <w:rsid w:val="0033392C"/>
    <w:rsid w:val="00337EC2"/>
    <w:rsid w:val="0034177A"/>
    <w:rsid w:val="003478B8"/>
    <w:rsid w:val="0034794A"/>
    <w:rsid w:val="00356C09"/>
    <w:rsid w:val="00367932"/>
    <w:rsid w:val="00372AA0"/>
    <w:rsid w:val="00372F68"/>
    <w:rsid w:val="00382E8E"/>
    <w:rsid w:val="00383EA0"/>
    <w:rsid w:val="0038415E"/>
    <w:rsid w:val="00386339"/>
    <w:rsid w:val="0038684B"/>
    <w:rsid w:val="00387447"/>
    <w:rsid w:val="00387EB3"/>
    <w:rsid w:val="0039095C"/>
    <w:rsid w:val="003B432D"/>
    <w:rsid w:val="003B5691"/>
    <w:rsid w:val="003C7937"/>
    <w:rsid w:val="003D47A0"/>
    <w:rsid w:val="003D644A"/>
    <w:rsid w:val="003E706D"/>
    <w:rsid w:val="003E7447"/>
    <w:rsid w:val="00402C5A"/>
    <w:rsid w:val="00404B67"/>
    <w:rsid w:val="00411030"/>
    <w:rsid w:val="0041146C"/>
    <w:rsid w:val="00414592"/>
    <w:rsid w:val="0042190D"/>
    <w:rsid w:val="0042221E"/>
    <w:rsid w:val="00424011"/>
    <w:rsid w:val="00436032"/>
    <w:rsid w:val="00441BC4"/>
    <w:rsid w:val="00461B26"/>
    <w:rsid w:val="0047465B"/>
    <w:rsid w:val="004772D3"/>
    <w:rsid w:val="004802AD"/>
    <w:rsid w:val="00481270"/>
    <w:rsid w:val="00482A1B"/>
    <w:rsid w:val="00482EDE"/>
    <w:rsid w:val="00482F8B"/>
    <w:rsid w:val="0048690E"/>
    <w:rsid w:val="004918F9"/>
    <w:rsid w:val="004944FF"/>
    <w:rsid w:val="00496C92"/>
    <w:rsid w:val="004A2B0D"/>
    <w:rsid w:val="004A55A3"/>
    <w:rsid w:val="004B440C"/>
    <w:rsid w:val="004B5418"/>
    <w:rsid w:val="004B6779"/>
    <w:rsid w:val="004B6829"/>
    <w:rsid w:val="004D0BE5"/>
    <w:rsid w:val="004D4DAC"/>
    <w:rsid w:val="004E1097"/>
    <w:rsid w:val="004E1F1C"/>
    <w:rsid w:val="004E7FB5"/>
    <w:rsid w:val="004F7CE1"/>
    <w:rsid w:val="00503DE4"/>
    <w:rsid w:val="005048E1"/>
    <w:rsid w:val="005105CF"/>
    <w:rsid w:val="005165E9"/>
    <w:rsid w:val="00517FED"/>
    <w:rsid w:val="005511A9"/>
    <w:rsid w:val="00552F93"/>
    <w:rsid w:val="00553096"/>
    <w:rsid w:val="00570386"/>
    <w:rsid w:val="005779D8"/>
    <w:rsid w:val="005809B4"/>
    <w:rsid w:val="00580DDE"/>
    <w:rsid w:val="00582549"/>
    <w:rsid w:val="005830C2"/>
    <w:rsid w:val="005870FB"/>
    <w:rsid w:val="005935AD"/>
    <w:rsid w:val="005945EC"/>
    <w:rsid w:val="005A1AAE"/>
    <w:rsid w:val="005A74E4"/>
    <w:rsid w:val="005B4F97"/>
    <w:rsid w:val="005B690D"/>
    <w:rsid w:val="005C2923"/>
    <w:rsid w:val="005C3158"/>
    <w:rsid w:val="005C53B0"/>
    <w:rsid w:val="005D10DC"/>
    <w:rsid w:val="005D3646"/>
    <w:rsid w:val="005D3B96"/>
    <w:rsid w:val="005D6C94"/>
    <w:rsid w:val="005F07C1"/>
    <w:rsid w:val="005F4455"/>
    <w:rsid w:val="005F6F1F"/>
    <w:rsid w:val="00600F27"/>
    <w:rsid w:val="00601CAE"/>
    <w:rsid w:val="00603A61"/>
    <w:rsid w:val="0060669B"/>
    <w:rsid w:val="00613AD5"/>
    <w:rsid w:val="00615258"/>
    <w:rsid w:val="00621EED"/>
    <w:rsid w:val="00622241"/>
    <w:rsid w:val="00624F10"/>
    <w:rsid w:val="006267E8"/>
    <w:rsid w:val="00626D3F"/>
    <w:rsid w:val="006344CD"/>
    <w:rsid w:val="00634D08"/>
    <w:rsid w:val="0064091D"/>
    <w:rsid w:val="00643B1E"/>
    <w:rsid w:val="006464AD"/>
    <w:rsid w:val="00650F98"/>
    <w:rsid w:val="00664D26"/>
    <w:rsid w:val="00670BAA"/>
    <w:rsid w:val="00672709"/>
    <w:rsid w:val="0067314E"/>
    <w:rsid w:val="006758C1"/>
    <w:rsid w:val="00676A63"/>
    <w:rsid w:val="006772C6"/>
    <w:rsid w:val="00677608"/>
    <w:rsid w:val="006810B1"/>
    <w:rsid w:val="00683E7B"/>
    <w:rsid w:val="00684EB8"/>
    <w:rsid w:val="006935D5"/>
    <w:rsid w:val="00697795"/>
    <w:rsid w:val="006A7C5E"/>
    <w:rsid w:val="006B3162"/>
    <w:rsid w:val="006B3E64"/>
    <w:rsid w:val="006B4013"/>
    <w:rsid w:val="006B4B94"/>
    <w:rsid w:val="006C00BA"/>
    <w:rsid w:val="006C0424"/>
    <w:rsid w:val="006C25F3"/>
    <w:rsid w:val="006C4DCB"/>
    <w:rsid w:val="006C7948"/>
    <w:rsid w:val="006D0927"/>
    <w:rsid w:val="006D4AD0"/>
    <w:rsid w:val="006D68BE"/>
    <w:rsid w:val="006E3609"/>
    <w:rsid w:val="006E5285"/>
    <w:rsid w:val="006F1965"/>
    <w:rsid w:val="006F3508"/>
    <w:rsid w:val="006F3C5D"/>
    <w:rsid w:val="006F4697"/>
    <w:rsid w:val="006F6681"/>
    <w:rsid w:val="006F7105"/>
    <w:rsid w:val="007132D8"/>
    <w:rsid w:val="00717D64"/>
    <w:rsid w:val="0072125A"/>
    <w:rsid w:val="007362A9"/>
    <w:rsid w:val="00742613"/>
    <w:rsid w:val="00744BED"/>
    <w:rsid w:val="00745683"/>
    <w:rsid w:val="0076383B"/>
    <w:rsid w:val="007672A2"/>
    <w:rsid w:val="00775756"/>
    <w:rsid w:val="00784868"/>
    <w:rsid w:val="007863CA"/>
    <w:rsid w:val="0078781B"/>
    <w:rsid w:val="00790FB2"/>
    <w:rsid w:val="007A0CAB"/>
    <w:rsid w:val="007A1338"/>
    <w:rsid w:val="007A2D5E"/>
    <w:rsid w:val="007B0588"/>
    <w:rsid w:val="007B7B52"/>
    <w:rsid w:val="007C0272"/>
    <w:rsid w:val="007C027E"/>
    <w:rsid w:val="007C195C"/>
    <w:rsid w:val="007E5EDC"/>
    <w:rsid w:val="007F17C3"/>
    <w:rsid w:val="007F1C39"/>
    <w:rsid w:val="007F650D"/>
    <w:rsid w:val="00813EB4"/>
    <w:rsid w:val="00816D1D"/>
    <w:rsid w:val="00823C5C"/>
    <w:rsid w:val="008375D9"/>
    <w:rsid w:val="00841216"/>
    <w:rsid w:val="00844995"/>
    <w:rsid w:val="008450B7"/>
    <w:rsid w:val="00851E99"/>
    <w:rsid w:val="00852CE3"/>
    <w:rsid w:val="00862D3B"/>
    <w:rsid w:val="008649E8"/>
    <w:rsid w:val="00870F5D"/>
    <w:rsid w:val="008713C1"/>
    <w:rsid w:val="008753D2"/>
    <w:rsid w:val="00876DE7"/>
    <w:rsid w:val="008800A7"/>
    <w:rsid w:val="00881E18"/>
    <w:rsid w:val="00883C92"/>
    <w:rsid w:val="00886AD9"/>
    <w:rsid w:val="00897FA1"/>
    <w:rsid w:val="008A255F"/>
    <w:rsid w:val="008B2BDE"/>
    <w:rsid w:val="008B6D62"/>
    <w:rsid w:val="008B710A"/>
    <w:rsid w:val="008B765B"/>
    <w:rsid w:val="008C2619"/>
    <w:rsid w:val="008C2DD2"/>
    <w:rsid w:val="008C426B"/>
    <w:rsid w:val="008C4763"/>
    <w:rsid w:val="008C562D"/>
    <w:rsid w:val="008D4794"/>
    <w:rsid w:val="008D4F63"/>
    <w:rsid w:val="008D5ACD"/>
    <w:rsid w:val="008E3492"/>
    <w:rsid w:val="008E600C"/>
    <w:rsid w:val="008F0502"/>
    <w:rsid w:val="008F2DAC"/>
    <w:rsid w:val="008F4083"/>
    <w:rsid w:val="008F63F8"/>
    <w:rsid w:val="00903E8F"/>
    <w:rsid w:val="009053A4"/>
    <w:rsid w:val="00905D33"/>
    <w:rsid w:val="00913CE5"/>
    <w:rsid w:val="0091725F"/>
    <w:rsid w:val="0092066F"/>
    <w:rsid w:val="009214CF"/>
    <w:rsid w:val="00926522"/>
    <w:rsid w:val="009310CE"/>
    <w:rsid w:val="009400BF"/>
    <w:rsid w:val="009502EE"/>
    <w:rsid w:val="00950D7F"/>
    <w:rsid w:val="00950FDC"/>
    <w:rsid w:val="009518A6"/>
    <w:rsid w:val="00963C09"/>
    <w:rsid w:val="0096692F"/>
    <w:rsid w:val="0097101C"/>
    <w:rsid w:val="00977B09"/>
    <w:rsid w:val="00986292"/>
    <w:rsid w:val="00986AF0"/>
    <w:rsid w:val="00991479"/>
    <w:rsid w:val="0099162F"/>
    <w:rsid w:val="00991838"/>
    <w:rsid w:val="0099506C"/>
    <w:rsid w:val="009B03CD"/>
    <w:rsid w:val="009B1807"/>
    <w:rsid w:val="009B4B33"/>
    <w:rsid w:val="009C28B1"/>
    <w:rsid w:val="009D21D8"/>
    <w:rsid w:val="009D46DA"/>
    <w:rsid w:val="009E0917"/>
    <w:rsid w:val="009E2765"/>
    <w:rsid w:val="009E53DC"/>
    <w:rsid w:val="009F4CBF"/>
    <w:rsid w:val="00A04276"/>
    <w:rsid w:val="00A053DE"/>
    <w:rsid w:val="00A117B6"/>
    <w:rsid w:val="00A179F0"/>
    <w:rsid w:val="00A17CB5"/>
    <w:rsid w:val="00A2034F"/>
    <w:rsid w:val="00A20A9A"/>
    <w:rsid w:val="00A21B65"/>
    <w:rsid w:val="00A4039F"/>
    <w:rsid w:val="00A420E7"/>
    <w:rsid w:val="00A440CB"/>
    <w:rsid w:val="00A454ED"/>
    <w:rsid w:val="00A7076C"/>
    <w:rsid w:val="00A815DD"/>
    <w:rsid w:val="00A928BA"/>
    <w:rsid w:val="00A94E1B"/>
    <w:rsid w:val="00A974FE"/>
    <w:rsid w:val="00A976AB"/>
    <w:rsid w:val="00A97D2F"/>
    <w:rsid w:val="00AA288E"/>
    <w:rsid w:val="00AA418A"/>
    <w:rsid w:val="00AA74FF"/>
    <w:rsid w:val="00AA7C84"/>
    <w:rsid w:val="00AB013B"/>
    <w:rsid w:val="00AB044F"/>
    <w:rsid w:val="00AD1DFC"/>
    <w:rsid w:val="00AD2358"/>
    <w:rsid w:val="00AD27ED"/>
    <w:rsid w:val="00AD2EED"/>
    <w:rsid w:val="00AD3E10"/>
    <w:rsid w:val="00AD76C0"/>
    <w:rsid w:val="00AE7414"/>
    <w:rsid w:val="00AE7E84"/>
    <w:rsid w:val="00AF0327"/>
    <w:rsid w:val="00AF1C3F"/>
    <w:rsid w:val="00AF24C8"/>
    <w:rsid w:val="00AF2E59"/>
    <w:rsid w:val="00AF7D6A"/>
    <w:rsid w:val="00B0233D"/>
    <w:rsid w:val="00B025F8"/>
    <w:rsid w:val="00B034A1"/>
    <w:rsid w:val="00B039C4"/>
    <w:rsid w:val="00B062F5"/>
    <w:rsid w:val="00B074C3"/>
    <w:rsid w:val="00B15481"/>
    <w:rsid w:val="00B20604"/>
    <w:rsid w:val="00B2221D"/>
    <w:rsid w:val="00B24105"/>
    <w:rsid w:val="00B31A5D"/>
    <w:rsid w:val="00B3339B"/>
    <w:rsid w:val="00B33710"/>
    <w:rsid w:val="00B348E7"/>
    <w:rsid w:val="00B36EA8"/>
    <w:rsid w:val="00B40ED2"/>
    <w:rsid w:val="00B46F36"/>
    <w:rsid w:val="00B558DB"/>
    <w:rsid w:val="00B64E2A"/>
    <w:rsid w:val="00B7168D"/>
    <w:rsid w:val="00B71B86"/>
    <w:rsid w:val="00B81B5B"/>
    <w:rsid w:val="00B86025"/>
    <w:rsid w:val="00B910CC"/>
    <w:rsid w:val="00B91D55"/>
    <w:rsid w:val="00B952C7"/>
    <w:rsid w:val="00B97B84"/>
    <w:rsid w:val="00BA0A9C"/>
    <w:rsid w:val="00BA0D3B"/>
    <w:rsid w:val="00BA3533"/>
    <w:rsid w:val="00BB0621"/>
    <w:rsid w:val="00BC6D09"/>
    <w:rsid w:val="00BD5407"/>
    <w:rsid w:val="00BE0EC0"/>
    <w:rsid w:val="00BE3586"/>
    <w:rsid w:val="00BF0F97"/>
    <w:rsid w:val="00BF4B03"/>
    <w:rsid w:val="00BF53B8"/>
    <w:rsid w:val="00C02BF6"/>
    <w:rsid w:val="00C05631"/>
    <w:rsid w:val="00C05EC0"/>
    <w:rsid w:val="00C12E6C"/>
    <w:rsid w:val="00C13780"/>
    <w:rsid w:val="00C167F7"/>
    <w:rsid w:val="00C2138D"/>
    <w:rsid w:val="00C31CC3"/>
    <w:rsid w:val="00C32752"/>
    <w:rsid w:val="00C41A72"/>
    <w:rsid w:val="00C451E4"/>
    <w:rsid w:val="00C5112E"/>
    <w:rsid w:val="00C52155"/>
    <w:rsid w:val="00C76B04"/>
    <w:rsid w:val="00C829A8"/>
    <w:rsid w:val="00C86C29"/>
    <w:rsid w:val="00C872A1"/>
    <w:rsid w:val="00C91FE1"/>
    <w:rsid w:val="00C9276E"/>
    <w:rsid w:val="00C928B5"/>
    <w:rsid w:val="00C92AB4"/>
    <w:rsid w:val="00C96E77"/>
    <w:rsid w:val="00CB0130"/>
    <w:rsid w:val="00CB1663"/>
    <w:rsid w:val="00CB4C9F"/>
    <w:rsid w:val="00CC0F10"/>
    <w:rsid w:val="00CC32D4"/>
    <w:rsid w:val="00CC7BD3"/>
    <w:rsid w:val="00CD7017"/>
    <w:rsid w:val="00CE0CF1"/>
    <w:rsid w:val="00CE2E45"/>
    <w:rsid w:val="00CF1DF6"/>
    <w:rsid w:val="00CF3925"/>
    <w:rsid w:val="00CF4BD1"/>
    <w:rsid w:val="00CF605E"/>
    <w:rsid w:val="00CF61F8"/>
    <w:rsid w:val="00D057CE"/>
    <w:rsid w:val="00D06A15"/>
    <w:rsid w:val="00D07CBE"/>
    <w:rsid w:val="00D27836"/>
    <w:rsid w:val="00D27E2B"/>
    <w:rsid w:val="00D42ED2"/>
    <w:rsid w:val="00D47B75"/>
    <w:rsid w:val="00D5116B"/>
    <w:rsid w:val="00D53E60"/>
    <w:rsid w:val="00D57B3B"/>
    <w:rsid w:val="00D61580"/>
    <w:rsid w:val="00D668C5"/>
    <w:rsid w:val="00D70CF6"/>
    <w:rsid w:val="00D74214"/>
    <w:rsid w:val="00D819D1"/>
    <w:rsid w:val="00D858CD"/>
    <w:rsid w:val="00DA0474"/>
    <w:rsid w:val="00DA3458"/>
    <w:rsid w:val="00DA3C85"/>
    <w:rsid w:val="00DB2DE6"/>
    <w:rsid w:val="00DC555A"/>
    <w:rsid w:val="00DC594B"/>
    <w:rsid w:val="00DC6030"/>
    <w:rsid w:val="00DC7370"/>
    <w:rsid w:val="00DD38B0"/>
    <w:rsid w:val="00DD7DEB"/>
    <w:rsid w:val="00DE0A8C"/>
    <w:rsid w:val="00DF0873"/>
    <w:rsid w:val="00DF1056"/>
    <w:rsid w:val="00DF2CE3"/>
    <w:rsid w:val="00DF7CC1"/>
    <w:rsid w:val="00E048F8"/>
    <w:rsid w:val="00E15A56"/>
    <w:rsid w:val="00E1697C"/>
    <w:rsid w:val="00E24704"/>
    <w:rsid w:val="00E24EE7"/>
    <w:rsid w:val="00E30BC0"/>
    <w:rsid w:val="00E419E2"/>
    <w:rsid w:val="00E42DC7"/>
    <w:rsid w:val="00E43140"/>
    <w:rsid w:val="00E43C5F"/>
    <w:rsid w:val="00E461BC"/>
    <w:rsid w:val="00E47EAF"/>
    <w:rsid w:val="00E6108C"/>
    <w:rsid w:val="00E6285A"/>
    <w:rsid w:val="00E65393"/>
    <w:rsid w:val="00E762A9"/>
    <w:rsid w:val="00E7676C"/>
    <w:rsid w:val="00E802E8"/>
    <w:rsid w:val="00E87564"/>
    <w:rsid w:val="00EA3976"/>
    <w:rsid w:val="00EA7140"/>
    <w:rsid w:val="00EC1A88"/>
    <w:rsid w:val="00EE7BCC"/>
    <w:rsid w:val="00EF6AFD"/>
    <w:rsid w:val="00F0014A"/>
    <w:rsid w:val="00F006E3"/>
    <w:rsid w:val="00F10F5C"/>
    <w:rsid w:val="00F11A11"/>
    <w:rsid w:val="00F1401E"/>
    <w:rsid w:val="00F20951"/>
    <w:rsid w:val="00F22E74"/>
    <w:rsid w:val="00F3183B"/>
    <w:rsid w:val="00F372FF"/>
    <w:rsid w:val="00F41295"/>
    <w:rsid w:val="00F41D36"/>
    <w:rsid w:val="00F4341E"/>
    <w:rsid w:val="00F57B55"/>
    <w:rsid w:val="00F603ED"/>
    <w:rsid w:val="00F604ED"/>
    <w:rsid w:val="00F61361"/>
    <w:rsid w:val="00F64D39"/>
    <w:rsid w:val="00F677ED"/>
    <w:rsid w:val="00F7011C"/>
    <w:rsid w:val="00F72A8A"/>
    <w:rsid w:val="00F742EB"/>
    <w:rsid w:val="00F806E2"/>
    <w:rsid w:val="00F82035"/>
    <w:rsid w:val="00F832B2"/>
    <w:rsid w:val="00F9100A"/>
    <w:rsid w:val="00F91AFE"/>
    <w:rsid w:val="00F959AC"/>
    <w:rsid w:val="00F96F52"/>
    <w:rsid w:val="00FA0C3C"/>
    <w:rsid w:val="00FA4538"/>
    <w:rsid w:val="00FB18E3"/>
    <w:rsid w:val="00FB1E55"/>
    <w:rsid w:val="00FB748F"/>
    <w:rsid w:val="00FC038D"/>
    <w:rsid w:val="00FC08CE"/>
    <w:rsid w:val="00FC29F0"/>
    <w:rsid w:val="00FC2EE4"/>
    <w:rsid w:val="00FC347E"/>
    <w:rsid w:val="00FC50E9"/>
    <w:rsid w:val="00FD390A"/>
    <w:rsid w:val="00FD5D7C"/>
    <w:rsid w:val="00FD60FC"/>
    <w:rsid w:val="00FE5975"/>
    <w:rsid w:val="00FF02EE"/>
    <w:rsid w:val="00FF3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01673"/>
  <w14:defaultImageDpi w14:val="32767"/>
  <w15:chartTrackingRefBased/>
  <w15:docId w15:val="{E2440DD0-5759-5749-AF28-9BF6154F3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B690D"/>
    <w:pPr>
      <w:spacing w:after="120"/>
    </w:pPr>
    <w:rPr>
      <w:rFonts w:ascii="Times New Roman" w:hAnsi="Times New Roman" w:cs="Times New Roman"/>
      <w:sz w:val="20"/>
      <w:lang w:val="en-AU" w:eastAsia="en-GB"/>
    </w:rPr>
  </w:style>
  <w:style w:type="paragraph" w:styleId="Heading1">
    <w:name w:val="heading 1"/>
    <w:basedOn w:val="Normal"/>
    <w:next w:val="Normal"/>
    <w:link w:val="Heading1Char"/>
    <w:uiPriority w:val="9"/>
    <w:qFormat/>
    <w:rsid w:val="00023207"/>
    <w:pPr>
      <w:keepNext/>
      <w:spacing w:before="360"/>
      <w:jc w:val="center"/>
      <w:outlineLvl w:val="0"/>
    </w:pPr>
    <w:rPr>
      <w:b/>
      <w:sz w:val="24"/>
    </w:rPr>
  </w:style>
  <w:style w:type="paragraph" w:styleId="Heading2">
    <w:name w:val="heading 2"/>
    <w:basedOn w:val="Normal"/>
    <w:next w:val="Normal"/>
    <w:link w:val="Heading2Char"/>
    <w:uiPriority w:val="9"/>
    <w:unhideWhenUsed/>
    <w:qFormat/>
    <w:rsid w:val="00224BE2"/>
    <w:pPr>
      <w:keepNext/>
      <w:outlineLvl w:val="1"/>
    </w:pPr>
    <w:rPr>
      <w:b/>
    </w:rPr>
  </w:style>
  <w:style w:type="paragraph" w:styleId="Heading3">
    <w:name w:val="heading 3"/>
    <w:basedOn w:val="Normal"/>
    <w:link w:val="Heading3Char"/>
    <w:uiPriority w:val="9"/>
    <w:unhideWhenUsed/>
    <w:qFormat/>
    <w:rsid w:val="00197D3D"/>
    <w:pPr>
      <w:keepNext/>
      <w:suppressAutoHyphens/>
      <w:spacing w:before="120" w:after="0" w:line="360" w:lineRule="auto"/>
      <w:outlineLvl w:val="2"/>
    </w:pPr>
    <w:rPr>
      <w:u w:val="single"/>
    </w:rPr>
  </w:style>
  <w:style w:type="paragraph" w:styleId="Heading4">
    <w:name w:val="heading 4"/>
    <w:basedOn w:val="Normal"/>
    <w:link w:val="Heading4Char"/>
    <w:uiPriority w:val="9"/>
    <w:unhideWhenUsed/>
    <w:qFormat/>
    <w:rsid w:val="00664D26"/>
    <w:pPr>
      <w:keepNext/>
      <w:ind w:firstLine="720"/>
      <w:outlineLvl w:val="3"/>
    </w:pPr>
    <w:rPr>
      <w:b/>
    </w:rPr>
  </w:style>
  <w:style w:type="paragraph" w:styleId="Heading5">
    <w:name w:val="heading 5"/>
    <w:basedOn w:val="Normal"/>
    <w:link w:val="Heading5Char"/>
    <w:uiPriority w:val="9"/>
    <w:semiHidden/>
    <w:unhideWhenUsed/>
    <w:qFormat/>
    <w:rsid w:val="00664D26"/>
    <w:pPr>
      <w:keepNext/>
      <w:ind w:firstLine="720"/>
      <w:outlineLvl w:val="4"/>
    </w:pPr>
    <w:rPr>
      <w:b/>
      <w:i/>
    </w:rPr>
  </w:style>
  <w:style w:type="paragraph" w:styleId="Heading6">
    <w:name w:val="heading 6"/>
    <w:basedOn w:val="Normal"/>
    <w:link w:val="Heading6Char"/>
    <w:uiPriority w:val="9"/>
    <w:semiHidden/>
    <w:unhideWhenUsed/>
    <w:qFormat/>
    <w:rsid w:val="00664D26"/>
    <w:pPr>
      <w:keepNext/>
      <w:ind w:firstLine="72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D26"/>
    <w:pPr>
      <w:tabs>
        <w:tab w:val="center" w:pos="4680"/>
        <w:tab w:val="right" w:pos="9360"/>
      </w:tabs>
      <w:spacing w:after="0"/>
    </w:pPr>
  </w:style>
  <w:style w:type="character" w:customStyle="1" w:styleId="HeaderChar">
    <w:name w:val="Header Char"/>
    <w:basedOn w:val="DefaultParagraphFont"/>
    <w:link w:val="Header"/>
    <w:uiPriority w:val="99"/>
    <w:rsid w:val="00664D26"/>
    <w:rPr>
      <w:rFonts w:ascii="Times New Roman" w:hAnsi="Times New Roman" w:cs="Times New Roman"/>
      <w:sz w:val="22"/>
      <w:szCs w:val="22"/>
      <w:lang w:val="en-US" w:eastAsia="en-AU" w:bidi="en-AU"/>
      <w14:ligatures w14:val="standardContextual"/>
    </w:rPr>
  </w:style>
  <w:style w:type="character" w:customStyle="1" w:styleId="Heading1Char">
    <w:name w:val="Heading 1 Char"/>
    <w:basedOn w:val="DefaultParagraphFont"/>
    <w:link w:val="Heading1"/>
    <w:uiPriority w:val="9"/>
    <w:rsid w:val="00023207"/>
    <w:rPr>
      <w:rFonts w:ascii="Times New Roman" w:hAnsi="Times New Roman" w:cs="Times New Roman"/>
      <w:b/>
      <w:lang w:val="en-AU" w:eastAsia="en-GB"/>
    </w:rPr>
  </w:style>
  <w:style w:type="character" w:customStyle="1" w:styleId="Heading2Char">
    <w:name w:val="Heading 2 Char"/>
    <w:basedOn w:val="DefaultParagraphFont"/>
    <w:link w:val="Heading2"/>
    <w:uiPriority w:val="9"/>
    <w:rsid w:val="00224BE2"/>
    <w:rPr>
      <w:rFonts w:ascii="Times New Roman" w:hAnsi="Times New Roman" w:cs="Times New Roman"/>
      <w:b/>
      <w:sz w:val="20"/>
      <w:lang w:val="en-AU" w:eastAsia="en-GB"/>
    </w:rPr>
  </w:style>
  <w:style w:type="character" w:customStyle="1" w:styleId="Heading3Char">
    <w:name w:val="Heading 3 Char"/>
    <w:basedOn w:val="DefaultParagraphFont"/>
    <w:link w:val="Heading3"/>
    <w:uiPriority w:val="9"/>
    <w:rsid w:val="00197D3D"/>
    <w:rPr>
      <w:rFonts w:ascii="Times New Roman" w:hAnsi="Times New Roman" w:cs="Times New Roman"/>
      <w:sz w:val="20"/>
      <w:u w:val="single"/>
      <w:lang w:val="en-AU" w:eastAsia="en-GB"/>
    </w:rPr>
  </w:style>
  <w:style w:type="paragraph" w:customStyle="1" w:styleId="Nospacing-right">
    <w:name w:val="No spacing-right"/>
    <w:basedOn w:val="Normal"/>
    <w:qFormat/>
    <w:rsid w:val="00664D26"/>
    <w:pPr>
      <w:spacing w:after="0"/>
      <w:jc w:val="right"/>
    </w:pPr>
    <w:rPr>
      <w:sz w:val="16"/>
      <w:lang w:eastAsia="en-US"/>
    </w:rPr>
  </w:style>
  <w:style w:type="paragraph" w:styleId="NoSpacing">
    <w:name w:val="No Spacing"/>
    <w:aliases w:val="Table"/>
    <w:basedOn w:val="Normal"/>
    <w:uiPriority w:val="1"/>
    <w:qFormat/>
    <w:rsid w:val="00664D26"/>
    <w:pPr>
      <w:spacing w:after="0"/>
    </w:pPr>
    <w:rPr>
      <w:sz w:val="16"/>
      <w:lang w:eastAsia="en-US"/>
    </w:rPr>
  </w:style>
  <w:style w:type="paragraph" w:customStyle="1" w:styleId="Normal-nospacing">
    <w:name w:val="Normal - no spacing"/>
    <w:basedOn w:val="NoSpacing"/>
    <w:qFormat/>
    <w:rsid w:val="00664D26"/>
    <w:rPr>
      <w:sz w:val="22"/>
    </w:rPr>
  </w:style>
  <w:style w:type="paragraph" w:customStyle="1" w:styleId="Normal-noindent">
    <w:name w:val="Normal-no indent"/>
    <w:basedOn w:val="Normal"/>
    <w:qFormat/>
    <w:rsid w:val="00664D26"/>
  </w:style>
  <w:style w:type="paragraph" w:customStyle="1" w:styleId="References">
    <w:name w:val="References"/>
    <w:basedOn w:val="Normal"/>
    <w:qFormat/>
    <w:rsid w:val="00664D26"/>
    <w:pPr>
      <w:autoSpaceDE w:val="0"/>
      <w:autoSpaceDN w:val="0"/>
      <w:adjustRightInd w:val="0"/>
      <w:spacing w:after="0"/>
      <w:ind w:left="539" w:hanging="539"/>
    </w:pPr>
  </w:style>
  <w:style w:type="paragraph" w:customStyle="1" w:styleId="Table-centred">
    <w:name w:val="Table - centred"/>
    <w:basedOn w:val="Normal"/>
    <w:qFormat/>
    <w:rsid w:val="00664D26"/>
    <w:pPr>
      <w:spacing w:after="0"/>
      <w:jc w:val="center"/>
    </w:pPr>
    <w:rPr>
      <w:sz w:val="16"/>
      <w:lang w:eastAsia="en-US"/>
    </w:rPr>
  </w:style>
  <w:style w:type="paragraph" w:customStyle="1" w:styleId="Table-indent">
    <w:name w:val="Table - indent"/>
    <w:basedOn w:val="Normal"/>
    <w:qFormat/>
    <w:rsid w:val="00664D26"/>
    <w:pPr>
      <w:spacing w:after="0"/>
      <w:ind w:left="134" w:firstLine="1"/>
    </w:pPr>
    <w:rPr>
      <w:color w:val="000000"/>
      <w:sz w:val="16"/>
      <w:lang w:eastAsia="en-US"/>
    </w:rPr>
  </w:style>
  <w:style w:type="paragraph" w:customStyle="1" w:styleId="Table-right">
    <w:name w:val="Table - right"/>
    <w:basedOn w:val="Normal"/>
    <w:qFormat/>
    <w:rsid w:val="00664D26"/>
    <w:pPr>
      <w:spacing w:after="0"/>
      <w:jc w:val="right"/>
    </w:pPr>
    <w:rPr>
      <w:sz w:val="16"/>
      <w:lang w:eastAsia="en-US"/>
    </w:rPr>
  </w:style>
  <w:style w:type="paragraph" w:styleId="NormalWeb">
    <w:name w:val="Normal (Web)"/>
    <w:basedOn w:val="Normal"/>
    <w:uiPriority w:val="99"/>
    <w:semiHidden/>
    <w:unhideWhenUsed/>
    <w:rsid w:val="00664D26"/>
    <w:pPr>
      <w:spacing w:before="100" w:beforeAutospacing="1" w:after="100" w:afterAutospacing="1"/>
    </w:pPr>
  </w:style>
  <w:style w:type="paragraph" w:styleId="BalloonText">
    <w:name w:val="Balloon Text"/>
    <w:basedOn w:val="Normal"/>
    <w:link w:val="BalloonTextChar"/>
    <w:uiPriority w:val="99"/>
    <w:semiHidden/>
    <w:unhideWhenUsed/>
    <w:rsid w:val="00664D26"/>
    <w:pPr>
      <w:spacing w:after="0"/>
    </w:pPr>
    <w:rPr>
      <w:sz w:val="18"/>
      <w:szCs w:val="18"/>
    </w:rPr>
  </w:style>
  <w:style w:type="character" w:customStyle="1" w:styleId="BalloonTextChar">
    <w:name w:val="Balloon Text Char"/>
    <w:basedOn w:val="DefaultParagraphFont"/>
    <w:link w:val="BalloonText"/>
    <w:uiPriority w:val="99"/>
    <w:semiHidden/>
    <w:rsid w:val="00664D26"/>
    <w:rPr>
      <w:rFonts w:ascii="Times New Roman" w:hAnsi="Times New Roman" w:cs="Times New Roman"/>
      <w:sz w:val="18"/>
      <w:szCs w:val="18"/>
      <w:lang w:val="en-US" w:eastAsia="en-AU" w:bidi="en-AU"/>
      <w14:ligatures w14:val="standardContextual"/>
    </w:rPr>
  </w:style>
  <w:style w:type="character" w:styleId="CommentReference">
    <w:name w:val="annotation reference"/>
    <w:basedOn w:val="DefaultParagraphFont"/>
    <w:uiPriority w:val="99"/>
    <w:semiHidden/>
    <w:unhideWhenUsed/>
    <w:rsid w:val="00664D26"/>
    <w:rPr>
      <w:sz w:val="16"/>
      <w:szCs w:val="16"/>
    </w:rPr>
  </w:style>
  <w:style w:type="paragraph" w:styleId="CommentText">
    <w:name w:val="annotation text"/>
    <w:basedOn w:val="Normal"/>
    <w:link w:val="CommentTextChar"/>
    <w:uiPriority w:val="99"/>
    <w:unhideWhenUsed/>
    <w:rsid w:val="00664D26"/>
    <w:rPr>
      <w:szCs w:val="20"/>
    </w:rPr>
  </w:style>
  <w:style w:type="character" w:customStyle="1" w:styleId="CommentTextChar">
    <w:name w:val="Comment Text Char"/>
    <w:basedOn w:val="DefaultParagraphFont"/>
    <w:link w:val="CommentText"/>
    <w:uiPriority w:val="99"/>
    <w:rsid w:val="00664D26"/>
    <w:rPr>
      <w:rFonts w:ascii="Times New Roman" w:hAnsi="Times New Roman" w:cs="Times New Roman"/>
      <w:sz w:val="20"/>
      <w:szCs w:val="20"/>
      <w:lang w:val="en-US" w:eastAsia="en-AU" w:bidi="en-AU"/>
      <w14:ligatures w14:val="standardContextual"/>
    </w:rPr>
  </w:style>
  <w:style w:type="paragraph" w:styleId="CommentSubject">
    <w:name w:val="annotation subject"/>
    <w:basedOn w:val="CommentText"/>
    <w:next w:val="CommentText"/>
    <w:link w:val="CommentSubjectChar"/>
    <w:uiPriority w:val="99"/>
    <w:semiHidden/>
    <w:unhideWhenUsed/>
    <w:rsid w:val="00664D26"/>
    <w:rPr>
      <w:b/>
      <w:bCs/>
    </w:rPr>
  </w:style>
  <w:style w:type="character" w:customStyle="1" w:styleId="CommentSubjectChar">
    <w:name w:val="Comment Subject Char"/>
    <w:basedOn w:val="CommentTextChar"/>
    <w:link w:val="CommentSubject"/>
    <w:uiPriority w:val="99"/>
    <w:semiHidden/>
    <w:rsid w:val="00664D26"/>
    <w:rPr>
      <w:rFonts w:ascii="Times New Roman" w:hAnsi="Times New Roman" w:cs="Times New Roman"/>
      <w:b/>
      <w:bCs/>
      <w:sz w:val="20"/>
      <w:szCs w:val="20"/>
      <w:lang w:val="en-US" w:eastAsia="en-AU" w:bidi="en-AU"/>
      <w14:ligatures w14:val="standardContextual"/>
    </w:rPr>
  </w:style>
  <w:style w:type="paragraph" w:customStyle="1" w:styleId="EndNoteBibliography">
    <w:name w:val="EndNote Bibliography"/>
    <w:basedOn w:val="Normal"/>
    <w:link w:val="EndNoteBibliographyChar"/>
    <w:rsid w:val="00664D26"/>
    <w:pPr>
      <w:spacing w:after="0"/>
    </w:pPr>
    <w:rPr>
      <w:lang w:eastAsia="en-US"/>
    </w:rPr>
  </w:style>
  <w:style w:type="character" w:customStyle="1" w:styleId="EndNoteBibliographyChar">
    <w:name w:val="EndNote Bibliography Char"/>
    <w:basedOn w:val="DefaultParagraphFont"/>
    <w:link w:val="EndNoteBibliography"/>
    <w:locked/>
    <w:rsid w:val="00664D26"/>
    <w:rPr>
      <w:rFonts w:ascii="Times New Roman" w:hAnsi="Times New Roman" w:cs="Times New Roman"/>
      <w:lang w:val="en-US"/>
    </w:rPr>
  </w:style>
  <w:style w:type="paragraph" w:styleId="Footer">
    <w:name w:val="footer"/>
    <w:basedOn w:val="Normal"/>
    <w:link w:val="FooterChar"/>
    <w:uiPriority w:val="99"/>
    <w:unhideWhenUsed/>
    <w:rsid w:val="00664D26"/>
    <w:pPr>
      <w:tabs>
        <w:tab w:val="center" w:pos="4680"/>
        <w:tab w:val="right" w:pos="9360"/>
      </w:tabs>
      <w:spacing w:after="0"/>
    </w:pPr>
  </w:style>
  <w:style w:type="character" w:customStyle="1" w:styleId="FooterChar">
    <w:name w:val="Footer Char"/>
    <w:basedOn w:val="DefaultParagraphFont"/>
    <w:link w:val="Footer"/>
    <w:uiPriority w:val="99"/>
    <w:rsid w:val="00664D26"/>
    <w:rPr>
      <w:rFonts w:ascii="Times New Roman" w:hAnsi="Times New Roman" w:cs="Times New Roman"/>
      <w:sz w:val="22"/>
      <w:szCs w:val="22"/>
      <w:lang w:val="en-US" w:eastAsia="en-AU" w:bidi="en-AU"/>
      <w14:ligatures w14:val="standardContextual"/>
    </w:rPr>
  </w:style>
  <w:style w:type="character" w:customStyle="1" w:styleId="Heading4Char">
    <w:name w:val="Heading 4 Char"/>
    <w:basedOn w:val="DefaultParagraphFont"/>
    <w:link w:val="Heading4"/>
    <w:uiPriority w:val="9"/>
    <w:rsid w:val="00664D26"/>
    <w:rPr>
      <w:rFonts w:ascii="Times New Roman" w:hAnsi="Times New Roman" w:cs="Times New Roman"/>
      <w:b/>
      <w:sz w:val="22"/>
      <w:szCs w:val="22"/>
      <w:lang w:val="en-US" w:eastAsia="en-AU" w:bidi="en-AU"/>
      <w14:ligatures w14:val="standardContextual"/>
    </w:rPr>
  </w:style>
  <w:style w:type="character" w:customStyle="1" w:styleId="Heading5Char">
    <w:name w:val="Heading 5 Char"/>
    <w:basedOn w:val="DefaultParagraphFont"/>
    <w:link w:val="Heading5"/>
    <w:uiPriority w:val="9"/>
    <w:semiHidden/>
    <w:rsid w:val="00664D26"/>
    <w:rPr>
      <w:rFonts w:ascii="Times New Roman" w:hAnsi="Times New Roman" w:cs="Times New Roman"/>
      <w:b/>
      <w:i/>
      <w:sz w:val="22"/>
      <w:szCs w:val="22"/>
      <w:lang w:val="en-US" w:eastAsia="en-AU" w:bidi="en-AU"/>
      <w14:ligatures w14:val="standardContextual"/>
    </w:rPr>
  </w:style>
  <w:style w:type="character" w:customStyle="1" w:styleId="Heading6Char">
    <w:name w:val="Heading 6 Char"/>
    <w:basedOn w:val="DefaultParagraphFont"/>
    <w:link w:val="Heading6"/>
    <w:uiPriority w:val="9"/>
    <w:semiHidden/>
    <w:rsid w:val="00664D26"/>
    <w:rPr>
      <w:rFonts w:ascii="Times New Roman" w:hAnsi="Times New Roman" w:cs="Times New Roman"/>
      <w:i/>
      <w:sz w:val="22"/>
      <w:szCs w:val="22"/>
      <w:lang w:val="en-US" w:eastAsia="en-AU" w:bidi="en-AU"/>
      <w14:ligatures w14:val="standardContextual"/>
    </w:rPr>
  </w:style>
  <w:style w:type="character" w:styleId="Hyperlink">
    <w:name w:val="Hyperlink"/>
    <w:uiPriority w:val="99"/>
    <w:unhideWhenUsed/>
    <w:rsid w:val="00664D26"/>
    <w:rPr>
      <w:color w:val="000000"/>
      <w:u w:val="single"/>
    </w:rPr>
  </w:style>
  <w:style w:type="paragraph" w:styleId="ListParagraph">
    <w:name w:val="List Paragraph"/>
    <w:basedOn w:val="Normal"/>
    <w:uiPriority w:val="34"/>
    <w:qFormat/>
    <w:rsid w:val="00664D26"/>
    <w:pPr>
      <w:spacing w:after="0"/>
      <w:ind w:left="720"/>
      <w:contextualSpacing/>
    </w:pPr>
    <w:rPr>
      <w:lang w:eastAsia="en-US"/>
    </w:rPr>
  </w:style>
  <w:style w:type="paragraph" w:customStyle="1" w:styleId="OrderedList">
    <w:name w:val="Ordered List"/>
    <w:basedOn w:val="Normal"/>
    <w:uiPriority w:val="1"/>
    <w:qFormat/>
    <w:rsid w:val="00664D26"/>
  </w:style>
  <w:style w:type="paragraph" w:customStyle="1" w:styleId="Paragraph">
    <w:name w:val="Paragraph"/>
    <w:basedOn w:val="Normal"/>
    <w:uiPriority w:val="1"/>
    <w:qFormat/>
    <w:rsid w:val="00664D26"/>
    <w:pPr>
      <w:spacing w:line="360" w:lineRule="atLeast"/>
      <w:ind w:firstLine="720"/>
    </w:pPr>
  </w:style>
  <w:style w:type="table" w:styleId="TableGrid">
    <w:name w:val="Table Grid"/>
    <w:basedOn w:val="TableNormal"/>
    <w:uiPriority w:val="39"/>
    <w:rsid w:val="00664D26"/>
    <w:rPr>
      <w:rFonts w:eastAsiaTheme="minorHAns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664D26"/>
    <w:rPr>
      <w:color w:val="605E5C"/>
      <w:shd w:val="clear" w:color="auto" w:fill="E1DFDD"/>
    </w:rPr>
  </w:style>
  <w:style w:type="paragraph" w:customStyle="1" w:styleId="Nospacing-centred">
    <w:name w:val="No spacing-centred"/>
    <w:basedOn w:val="Normal"/>
    <w:qFormat/>
    <w:rsid w:val="00386339"/>
    <w:pPr>
      <w:spacing w:after="0"/>
      <w:jc w:val="center"/>
    </w:pPr>
    <w:rPr>
      <w:sz w:val="16"/>
      <w:lang w:eastAsia="en-US"/>
    </w:rPr>
  </w:style>
  <w:style w:type="paragraph" w:customStyle="1" w:styleId="Tableheading">
    <w:name w:val="Table heading"/>
    <w:basedOn w:val="Normal"/>
    <w:qFormat/>
    <w:rsid w:val="0076383B"/>
    <w:pPr>
      <w:spacing w:after="0"/>
    </w:pPr>
    <w:rPr>
      <w:b/>
    </w:rPr>
  </w:style>
  <w:style w:type="paragraph" w:styleId="Revision">
    <w:name w:val="Revision"/>
    <w:hidden/>
    <w:uiPriority w:val="99"/>
    <w:semiHidden/>
    <w:rsid w:val="00AB013B"/>
    <w:rPr>
      <w:rFonts w:ascii="Times New Roman" w:hAnsi="Times New Roman" w:cs="Times New Roman"/>
      <w:sz w:val="20"/>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1347">
      <w:bodyDiv w:val="1"/>
      <w:marLeft w:val="0"/>
      <w:marRight w:val="0"/>
      <w:marTop w:val="0"/>
      <w:marBottom w:val="0"/>
      <w:divBdr>
        <w:top w:val="none" w:sz="0" w:space="0" w:color="auto"/>
        <w:left w:val="none" w:sz="0" w:space="0" w:color="auto"/>
        <w:bottom w:val="none" w:sz="0" w:space="0" w:color="auto"/>
        <w:right w:val="none" w:sz="0" w:space="0" w:color="auto"/>
      </w:divBdr>
    </w:div>
    <w:div w:id="212813043">
      <w:bodyDiv w:val="1"/>
      <w:marLeft w:val="0"/>
      <w:marRight w:val="0"/>
      <w:marTop w:val="0"/>
      <w:marBottom w:val="0"/>
      <w:divBdr>
        <w:top w:val="none" w:sz="0" w:space="0" w:color="auto"/>
        <w:left w:val="none" w:sz="0" w:space="0" w:color="auto"/>
        <w:bottom w:val="none" w:sz="0" w:space="0" w:color="auto"/>
        <w:right w:val="none" w:sz="0" w:space="0" w:color="auto"/>
      </w:divBdr>
    </w:div>
    <w:div w:id="255751897">
      <w:bodyDiv w:val="1"/>
      <w:marLeft w:val="0"/>
      <w:marRight w:val="0"/>
      <w:marTop w:val="0"/>
      <w:marBottom w:val="0"/>
      <w:divBdr>
        <w:top w:val="none" w:sz="0" w:space="0" w:color="auto"/>
        <w:left w:val="none" w:sz="0" w:space="0" w:color="auto"/>
        <w:bottom w:val="none" w:sz="0" w:space="0" w:color="auto"/>
        <w:right w:val="none" w:sz="0" w:space="0" w:color="auto"/>
      </w:divBdr>
    </w:div>
    <w:div w:id="420032370">
      <w:bodyDiv w:val="1"/>
      <w:marLeft w:val="0"/>
      <w:marRight w:val="0"/>
      <w:marTop w:val="0"/>
      <w:marBottom w:val="0"/>
      <w:divBdr>
        <w:top w:val="none" w:sz="0" w:space="0" w:color="auto"/>
        <w:left w:val="none" w:sz="0" w:space="0" w:color="auto"/>
        <w:bottom w:val="none" w:sz="0" w:space="0" w:color="auto"/>
        <w:right w:val="none" w:sz="0" w:space="0" w:color="auto"/>
      </w:divBdr>
    </w:div>
    <w:div w:id="553204321">
      <w:bodyDiv w:val="1"/>
      <w:marLeft w:val="0"/>
      <w:marRight w:val="0"/>
      <w:marTop w:val="0"/>
      <w:marBottom w:val="0"/>
      <w:divBdr>
        <w:top w:val="none" w:sz="0" w:space="0" w:color="auto"/>
        <w:left w:val="none" w:sz="0" w:space="0" w:color="auto"/>
        <w:bottom w:val="none" w:sz="0" w:space="0" w:color="auto"/>
        <w:right w:val="none" w:sz="0" w:space="0" w:color="auto"/>
      </w:divBdr>
    </w:div>
    <w:div w:id="712778619">
      <w:bodyDiv w:val="1"/>
      <w:marLeft w:val="0"/>
      <w:marRight w:val="0"/>
      <w:marTop w:val="0"/>
      <w:marBottom w:val="0"/>
      <w:divBdr>
        <w:top w:val="none" w:sz="0" w:space="0" w:color="auto"/>
        <w:left w:val="none" w:sz="0" w:space="0" w:color="auto"/>
        <w:bottom w:val="none" w:sz="0" w:space="0" w:color="auto"/>
        <w:right w:val="none" w:sz="0" w:space="0" w:color="auto"/>
      </w:divBdr>
    </w:div>
    <w:div w:id="732630408">
      <w:bodyDiv w:val="1"/>
      <w:marLeft w:val="0"/>
      <w:marRight w:val="0"/>
      <w:marTop w:val="0"/>
      <w:marBottom w:val="0"/>
      <w:divBdr>
        <w:top w:val="none" w:sz="0" w:space="0" w:color="auto"/>
        <w:left w:val="none" w:sz="0" w:space="0" w:color="auto"/>
        <w:bottom w:val="none" w:sz="0" w:space="0" w:color="auto"/>
        <w:right w:val="none" w:sz="0" w:space="0" w:color="auto"/>
      </w:divBdr>
    </w:div>
    <w:div w:id="754713977">
      <w:bodyDiv w:val="1"/>
      <w:marLeft w:val="0"/>
      <w:marRight w:val="0"/>
      <w:marTop w:val="0"/>
      <w:marBottom w:val="0"/>
      <w:divBdr>
        <w:top w:val="none" w:sz="0" w:space="0" w:color="auto"/>
        <w:left w:val="none" w:sz="0" w:space="0" w:color="auto"/>
        <w:bottom w:val="none" w:sz="0" w:space="0" w:color="auto"/>
        <w:right w:val="none" w:sz="0" w:space="0" w:color="auto"/>
      </w:divBdr>
    </w:div>
    <w:div w:id="791948065">
      <w:bodyDiv w:val="1"/>
      <w:marLeft w:val="0"/>
      <w:marRight w:val="0"/>
      <w:marTop w:val="0"/>
      <w:marBottom w:val="0"/>
      <w:divBdr>
        <w:top w:val="none" w:sz="0" w:space="0" w:color="auto"/>
        <w:left w:val="none" w:sz="0" w:space="0" w:color="auto"/>
        <w:bottom w:val="none" w:sz="0" w:space="0" w:color="auto"/>
        <w:right w:val="none" w:sz="0" w:space="0" w:color="auto"/>
      </w:divBdr>
    </w:div>
    <w:div w:id="894438423">
      <w:bodyDiv w:val="1"/>
      <w:marLeft w:val="0"/>
      <w:marRight w:val="0"/>
      <w:marTop w:val="0"/>
      <w:marBottom w:val="0"/>
      <w:divBdr>
        <w:top w:val="none" w:sz="0" w:space="0" w:color="auto"/>
        <w:left w:val="none" w:sz="0" w:space="0" w:color="auto"/>
        <w:bottom w:val="none" w:sz="0" w:space="0" w:color="auto"/>
        <w:right w:val="none" w:sz="0" w:space="0" w:color="auto"/>
      </w:divBdr>
    </w:div>
    <w:div w:id="1045103839">
      <w:bodyDiv w:val="1"/>
      <w:marLeft w:val="0"/>
      <w:marRight w:val="0"/>
      <w:marTop w:val="0"/>
      <w:marBottom w:val="0"/>
      <w:divBdr>
        <w:top w:val="none" w:sz="0" w:space="0" w:color="auto"/>
        <w:left w:val="none" w:sz="0" w:space="0" w:color="auto"/>
        <w:bottom w:val="none" w:sz="0" w:space="0" w:color="auto"/>
        <w:right w:val="none" w:sz="0" w:space="0" w:color="auto"/>
      </w:divBdr>
    </w:div>
    <w:div w:id="1384058683">
      <w:bodyDiv w:val="1"/>
      <w:marLeft w:val="0"/>
      <w:marRight w:val="0"/>
      <w:marTop w:val="0"/>
      <w:marBottom w:val="0"/>
      <w:divBdr>
        <w:top w:val="none" w:sz="0" w:space="0" w:color="auto"/>
        <w:left w:val="none" w:sz="0" w:space="0" w:color="auto"/>
        <w:bottom w:val="none" w:sz="0" w:space="0" w:color="auto"/>
        <w:right w:val="none" w:sz="0" w:space="0" w:color="auto"/>
      </w:divBdr>
    </w:div>
    <w:div w:id="1501970132">
      <w:bodyDiv w:val="1"/>
      <w:marLeft w:val="0"/>
      <w:marRight w:val="0"/>
      <w:marTop w:val="0"/>
      <w:marBottom w:val="0"/>
      <w:divBdr>
        <w:top w:val="none" w:sz="0" w:space="0" w:color="auto"/>
        <w:left w:val="none" w:sz="0" w:space="0" w:color="auto"/>
        <w:bottom w:val="none" w:sz="0" w:space="0" w:color="auto"/>
        <w:right w:val="none" w:sz="0" w:space="0" w:color="auto"/>
      </w:divBdr>
      <w:divsChild>
        <w:div w:id="1139959430">
          <w:marLeft w:val="0"/>
          <w:marRight w:val="0"/>
          <w:marTop w:val="0"/>
          <w:marBottom w:val="0"/>
          <w:divBdr>
            <w:top w:val="none" w:sz="0" w:space="0" w:color="auto"/>
            <w:left w:val="none" w:sz="0" w:space="0" w:color="auto"/>
            <w:bottom w:val="none" w:sz="0" w:space="0" w:color="auto"/>
            <w:right w:val="none" w:sz="0" w:space="0" w:color="auto"/>
          </w:divBdr>
          <w:divsChild>
            <w:div w:id="516310793">
              <w:marLeft w:val="0"/>
              <w:marRight w:val="0"/>
              <w:marTop w:val="0"/>
              <w:marBottom w:val="0"/>
              <w:divBdr>
                <w:top w:val="none" w:sz="0" w:space="0" w:color="auto"/>
                <w:left w:val="none" w:sz="0" w:space="0" w:color="auto"/>
                <w:bottom w:val="none" w:sz="0" w:space="0" w:color="auto"/>
                <w:right w:val="none" w:sz="0" w:space="0" w:color="auto"/>
              </w:divBdr>
              <w:divsChild>
                <w:div w:id="15682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228131">
      <w:bodyDiv w:val="1"/>
      <w:marLeft w:val="0"/>
      <w:marRight w:val="0"/>
      <w:marTop w:val="0"/>
      <w:marBottom w:val="0"/>
      <w:divBdr>
        <w:top w:val="none" w:sz="0" w:space="0" w:color="auto"/>
        <w:left w:val="none" w:sz="0" w:space="0" w:color="auto"/>
        <w:bottom w:val="none" w:sz="0" w:space="0" w:color="auto"/>
        <w:right w:val="none" w:sz="0" w:space="0" w:color="auto"/>
      </w:divBdr>
    </w:div>
    <w:div w:id="1717970025">
      <w:bodyDiv w:val="1"/>
      <w:marLeft w:val="0"/>
      <w:marRight w:val="0"/>
      <w:marTop w:val="0"/>
      <w:marBottom w:val="0"/>
      <w:divBdr>
        <w:top w:val="none" w:sz="0" w:space="0" w:color="auto"/>
        <w:left w:val="none" w:sz="0" w:space="0" w:color="auto"/>
        <w:bottom w:val="none" w:sz="0" w:space="0" w:color="auto"/>
        <w:right w:val="none" w:sz="0" w:space="0" w:color="auto"/>
      </w:divBdr>
    </w:div>
    <w:div w:id="172525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8D5FA-70D9-C744-AA28-8628848B3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2422</Words>
  <Characters>13810</Characters>
  <Application>Microsoft Office Word</Application>
  <DocSecurity>0</DocSecurity>
  <Lines>115</Lines>
  <Paragraphs>32</Paragraphs>
  <ScaleCrop>false</ScaleCrop>
  <Company/>
  <LinksUpToDate>false</LinksUpToDate>
  <CharactersWithSpaces>16200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Davey</dc:creator>
  <cp:keywords/>
  <dc:description/>
  <cp:lastModifiedBy>Chris Davey</cp:lastModifiedBy>
  <cp:revision>5</cp:revision>
  <dcterms:created xsi:type="dcterms:W3CDTF">2021-07-21T20:36:00Z</dcterms:created>
  <dcterms:modified xsi:type="dcterms:W3CDTF">2021-08-08T06:51:00Z</dcterms:modified>
</cp:coreProperties>
</file>