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A8" w:rsidRDefault="003D66A8" w:rsidP="00A56983">
      <w:pPr>
        <w:widowControl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:rsidR="00244818" w:rsidRDefault="00244818" w:rsidP="00A56983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244818" w:rsidRDefault="00911255" w:rsidP="00A56983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11 participants were on antidepressant medication, we examined the differences between the group with antidepressant medication (n=11) and group without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antidepressant medication (n=68) for BDI-II scores, MMSE, GCS and functional connectivity, despite the unequal group sizes. </w:t>
      </w:r>
      <w:r w:rsidRPr="00244818">
        <w:rPr>
          <w:rFonts w:ascii="Times New Roman" w:hAnsi="Times New Roman" w:cs="Times New Roman"/>
          <w:sz w:val="24"/>
          <w:szCs w:val="24"/>
          <w:lang w:val="en-GB"/>
        </w:rPr>
        <w:t>The BDI-II scores differed significantly (p&lt;.01), which is expected given that those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patients on</w:t>
      </w:r>
      <w:r w:rsidRPr="00784C3A">
        <w:rPr>
          <w:rFonts w:ascii="Times New Roman" w:hAnsi="Times New Roman" w:cs="Times New Roman"/>
          <w:sz w:val="24"/>
          <w:szCs w:val="24"/>
          <w:lang w:val="en-GB"/>
        </w:rPr>
        <w:t xml:space="preserve"> antidepressant treatment are likely to have greater depression severity scores.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4818">
        <w:rPr>
          <w:rFonts w:ascii="Times New Roman" w:hAnsi="Times New Roman" w:cs="Times New Roman"/>
          <w:sz w:val="24"/>
          <w:szCs w:val="24"/>
          <w:lang w:val="en-GB"/>
        </w:rPr>
        <w:t xml:space="preserve">There were no significant differences for MMSE or GCS scores. </w:t>
      </w:r>
      <w:r>
        <w:rPr>
          <w:rFonts w:ascii="Times New Roman" w:hAnsi="Times New Roman" w:cs="Times New Roman"/>
          <w:sz w:val="24"/>
          <w:szCs w:val="24"/>
          <w:lang w:val="en-GB"/>
        </w:rPr>
        <w:t>Importantly, t</w:t>
      </w:r>
      <w:r w:rsidRPr="00244818">
        <w:rPr>
          <w:rFonts w:ascii="Times New Roman" w:hAnsi="Times New Roman" w:cs="Times New Roman"/>
          <w:sz w:val="24"/>
          <w:szCs w:val="24"/>
          <w:lang w:val="en-GB"/>
        </w:rPr>
        <w:t>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no significant differences for the functional connectivity between the groups after correction for multiple comparisons. Therefore, we included the whole sample in the analysis. </w:t>
      </w:r>
    </w:p>
    <w:p w:rsidR="00CF4C57" w:rsidRDefault="00CF4C57" w:rsidP="00A56983">
      <w:pPr>
        <w:widowControl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D66A8" w:rsidRDefault="003D66A8" w:rsidP="00A56983">
      <w:pPr>
        <w:widowControl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Figure Legend</w:t>
      </w:r>
    </w:p>
    <w:p w:rsidR="003D66A8" w:rsidRDefault="003D66A8" w:rsidP="00A56983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3D66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Figure 1. Scatterplots of raw data between </w:t>
      </w:r>
      <w:proofErr w:type="spellStart"/>
      <w:r w:rsidRPr="003D66A8">
        <w:rPr>
          <w:rFonts w:ascii="Times New Roman" w:hAnsi="Times New Roman" w:cs="Times New Roman"/>
          <w:b/>
          <w:sz w:val="24"/>
          <w:szCs w:val="24"/>
          <w:lang w:val="en-GB"/>
        </w:rPr>
        <w:t>rs</w:t>
      </w:r>
      <w:proofErr w:type="spellEnd"/>
      <w:r w:rsidRPr="003D66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-fc and BDI-II. </w:t>
      </w:r>
      <w:r w:rsidRPr="003D66A8">
        <w:rPr>
          <w:rFonts w:ascii="Times New Roman" w:hAnsi="Times New Roman" w:cs="Times New Roman"/>
          <w:sz w:val="24"/>
          <w:szCs w:val="24"/>
          <w:lang w:val="en-GB"/>
        </w:rPr>
        <w:t xml:space="preserve">Scatter plots of each significant correlation with original mean values of BDI-II (x-axis) / </w:t>
      </w:r>
      <w:proofErr w:type="spellStart"/>
      <w:r w:rsidRPr="003D66A8">
        <w:rPr>
          <w:rFonts w:ascii="Times New Roman" w:hAnsi="Times New Roman" w:cs="Times New Roman"/>
          <w:sz w:val="24"/>
          <w:szCs w:val="24"/>
          <w:lang w:val="en-GB"/>
        </w:rPr>
        <w:t>rs</w:t>
      </w:r>
      <w:proofErr w:type="spellEnd"/>
      <w:r w:rsidRPr="003D66A8">
        <w:rPr>
          <w:rFonts w:ascii="Times New Roman" w:hAnsi="Times New Roman" w:cs="Times New Roman"/>
          <w:sz w:val="24"/>
          <w:szCs w:val="24"/>
          <w:lang w:val="en-GB"/>
        </w:rPr>
        <w:t>-fc (y-axis).</w:t>
      </w:r>
    </w:p>
    <w:p w:rsidR="006B65CE" w:rsidRDefault="006B65CE" w:rsidP="00A56983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A56983" w:rsidRPr="00244DEC" w:rsidRDefault="00A56983" w:rsidP="00A56983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95272E">
        <w:rPr>
          <w:rFonts w:ascii="Times New Roman" w:hAnsi="Times New Roman" w:cs="Times New Roman"/>
          <w:b/>
          <w:sz w:val="24"/>
          <w:szCs w:val="24"/>
          <w:lang w:val="en-GB"/>
        </w:rPr>
        <w:t>Supplementary Table 1</w:t>
      </w:r>
      <w:r w:rsidRPr="00244DEC">
        <w:rPr>
          <w:rFonts w:ascii="Times New Roman" w:hAnsi="Times New Roman" w:cs="Times New Roman"/>
          <w:sz w:val="24"/>
          <w:szCs w:val="24"/>
          <w:lang w:val="en-GB"/>
        </w:rPr>
        <w:t xml:space="preserve">. Significant correlations between </w:t>
      </w:r>
      <w:proofErr w:type="spellStart"/>
      <w:r w:rsidRPr="00244DEC">
        <w:rPr>
          <w:rFonts w:ascii="Times New Roman" w:hAnsi="Times New Roman" w:cs="Times New Roman"/>
          <w:sz w:val="24"/>
          <w:szCs w:val="24"/>
          <w:lang w:val="en-GB"/>
        </w:rPr>
        <w:t>rs</w:t>
      </w:r>
      <w:proofErr w:type="spellEnd"/>
      <w:r w:rsidRPr="00244DEC">
        <w:rPr>
          <w:rFonts w:ascii="Times New Roman" w:hAnsi="Times New Roman" w:cs="Times New Roman"/>
          <w:sz w:val="24"/>
          <w:szCs w:val="24"/>
          <w:lang w:val="en-GB"/>
        </w:rPr>
        <w:t xml:space="preserve">-fc and BDI, controlling for GCS, age, and TSI </w:t>
      </w:r>
    </w:p>
    <w:tbl>
      <w:tblPr>
        <w:tblW w:w="894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628"/>
        <w:gridCol w:w="1450"/>
        <w:gridCol w:w="1596"/>
        <w:gridCol w:w="1161"/>
        <w:gridCol w:w="2355"/>
      </w:tblGrid>
      <w:tr w:rsidR="00A56983" w:rsidRPr="00244DEC" w:rsidTr="006B65CE">
        <w:trPr>
          <w:trHeight w:val="33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ID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ROI1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ROI2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GB"/>
              </w:rPr>
              <w:t>r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en-GB"/>
              </w:rPr>
              <w:t>p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BH </w:t>
            </w:r>
            <w:r w:rsidRPr="00244DE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Adjusted </w:t>
            </w:r>
            <w:r w:rsidRPr="00244D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p</w:t>
            </w:r>
          </w:p>
        </w:tc>
      </w:tr>
      <w:tr w:rsidR="00A56983" w:rsidRPr="00244DEC" w:rsidTr="006B65CE">
        <w:trPr>
          <w:trHeight w:val="30"/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L_HIP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L_AMY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0.24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0.049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L_HIP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L_dACC</w:t>
            </w:r>
            <w:proofErr w:type="spellEnd"/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0.34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0.046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L_aINS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L_dACC</w:t>
            </w:r>
            <w:proofErr w:type="spellEnd"/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0.23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0.039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L_aINS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R_dACC</w:t>
            </w:r>
            <w:proofErr w:type="spellEnd"/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0.26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0.044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R_aINS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R_MTG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0.27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R_dlPFC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R_THA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0.23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0.041</w:t>
            </w:r>
          </w:p>
        </w:tc>
      </w:tr>
      <w:tr w:rsidR="00A56983" w:rsidRPr="00244DEC" w:rsidTr="006B65CE">
        <w:trPr>
          <w:trHeight w:val="170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R_dlPFC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R_AMY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0.25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0.044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R_AMY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L_AMY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-0.24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0.041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L_sgA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L_MTG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-0.23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0.045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L_sgACC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L_VS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-0.28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L_sgACC</w:t>
            </w:r>
            <w:proofErr w:type="spellEnd"/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R_AMY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0.039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L_MTG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R_HIP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-0.24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0.046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L_THA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L_OFC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-0.26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0.049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L_THA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R_OFC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-0.24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L_THA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R_PCU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-0.24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8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R_THA</w:t>
            </w:r>
          </w:p>
        </w:tc>
        <w:tc>
          <w:tcPr>
            <w:tcW w:w="1450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R_PCU</w:t>
            </w:r>
          </w:p>
        </w:tc>
        <w:tc>
          <w:tcPr>
            <w:tcW w:w="1596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-0.32</w:t>
            </w:r>
          </w:p>
        </w:tc>
        <w:tc>
          <w:tcPr>
            <w:tcW w:w="1161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2355" w:type="dxa"/>
            <w:shd w:val="clear" w:color="auto" w:fill="E2EFD9" w:themeFill="accent6" w:themeFillTint="33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  <w:r w:rsidRPr="00244D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8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R_sgACC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L_MTG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18</w:t>
            </w:r>
          </w:p>
        </w:tc>
        <w:tc>
          <w:tcPr>
            <w:tcW w:w="1628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R_AMY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L_OFC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A56983" w:rsidRPr="00244DEC" w:rsidTr="006B65CE">
        <w:trPr>
          <w:trHeight w:val="161"/>
          <w:jc w:val="center"/>
        </w:trPr>
        <w:tc>
          <w:tcPr>
            <w:tcW w:w="756" w:type="dxa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 w:rsidRPr="00244DEC"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19</w:t>
            </w:r>
          </w:p>
        </w:tc>
        <w:tc>
          <w:tcPr>
            <w:tcW w:w="1628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R_aINS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R_vmPFC</w:t>
            </w:r>
            <w:proofErr w:type="spellEnd"/>
          </w:p>
        </w:tc>
        <w:tc>
          <w:tcPr>
            <w:tcW w:w="1596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-0.26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A56983" w:rsidRPr="00244DEC" w:rsidRDefault="00A56983" w:rsidP="006B65C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  <w:r w:rsidRPr="0024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55245" w:rsidRPr="006E36B2" w:rsidRDefault="00A56983" w:rsidP="006B65CE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8D526F">
        <w:rPr>
          <w:rFonts w:ascii="Times New Roman" w:hAnsi="Times New Roman" w:cs="Times New Roman"/>
          <w:b/>
          <w:i/>
          <w:sz w:val="24"/>
          <w:szCs w:val="24"/>
          <w:lang w:val="en-GB"/>
        </w:rPr>
        <w:t>Note:</w:t>
      </w:r>
      <w:r w:rsidRPr="008D526F">
        <w:rPr>
          <w:rFonts w:ascii="Times New Roman" w:hAnsi="Times New Roman" w:cs="Times New Roman"/>
          <w:sz w:val="24"/>
          <w:szCs w:val="24"/>
          <w:lang w:val="en-GB"/>
        </w:rPr>
        <w:t xml:space="preserve"> BH, </w:t>
      </w:r>
      <w:proofErr w:type="spellStart"/>
      <w:r w:rsidRPr="008D526F">
        <w:rPr>
          <w:rFonts w:ascii="Times New Roman" w:hAnsi="Times New Roman" w:cs="Times New Roman"/>
          <w:bCs/>
          <w:sz w:val="24"/>
          <w:szCs w:val="24"/>
          <w:lang w:val="en-GB"/>
        </w:rPr>
        <w:t>Benjamini</w:t>
      </w:r>
      <w:proofErr w:type="spellEnd"/>
      <w:r w:rsidRPr="008D526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-Hochberg; </w:t>
      </w:r>
      <w:r w:rsidRPr="008D526F">
        <w:rPr>
          <w:rFonts w:ascii="Times New Roman" w:hAnsi="Times New Roman" w:cs="Times New Roman"/>
          <w:sz w:val="24"/>
          <w:szCs w:val="24"/>
          <w:lang w:val="en-GB"/>
        </w:rPr>
        <w:t>ID 1-16,</w:t>
      </w:r>
      <w:r w:rsidRPr="008D526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significant using an FDR of 0.05; ID 17-19, not significant.</w:t>
      </w:r>
    </w:p>
    <w:sectPr w:rsidR="00C55245" w:rsidRPr="006E36B2" w:rsidSect="0092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83"/>
    <w:rsid w:val="00244818"/>
    <w:rsid w:val="002530AD"/>
    <w:rsid w:val="003D66A8"/>
    <w:rsid w:val="00645F32"/>
    <w:rsid w:val="006B65CE"/>
    <w:rsid w:val="006E36B2"/>
    <w:rsid w:val="00784C3A"/>
    <w:rsid w:val="00893EA4"/>
    <w:rsid w:val="00911255"/>
    <w:rsid w:val="00A56983"/>
    <w:rsid w:val="00B1599D"/>
    <w:rsid w:val="00B15BD0"/>
    <w:rsid w:val="00C55245"/>
    <w:rsid w:val="00CF4C57"/>
    <w:rsid w:val="00F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6A02"/>
  <w15:chartTrackingRefBased/>
  <w15:docId w15:val="{EE36C00A-84F1-4963-9067-AF10F5CA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8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Christelle Langley</dc:creator>
  <cp:keywords/>
  <dc:description/>
  <cp:lastModifiedBy>Dr Christelle Langley</cp:lastModifiedBy>
  <cp:revision>4</cp:revision>
  <dcterms:created xsi:type="dcterms:W3CDTF">2021-10-20T14:56:00Z</dcterms:created>
  <dcterms:modified xsi:type="dcterms:W3CDTF">2021-10-29T08:56:00Z</dcterms:modified>
</cp:coreProperties>
</file>