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BD" w:rsidRDefault="00F467BD" w:rsidP="00F467BD">
      <w:pPr>
        <w:pStyle w:val="Heading1"/>
      </w:pPr>
      <w:r>
        <w:t xml:space="preserve">Supplementary Materials to </w:t>
      </w:r>
      <w:r w:rsidRPr="00F467BD">
        <w:t xml:space="preserve">Understanding the Psychological Therapy Treatment Outcomes for Young Adults </w:t>
      </w:r>
      <w:r w:rsidR="001F6136">
        <w:t xml:space="preserve">who are </w:t>
      </w:r>
      <w:r w:rsidRPr="00F467BD">
        <w:t>Not in Education, Employment, or Training (NEET), moderators of outcomes, and what might be done to improve them</w:t>
      </w:r>
    </w:p>
    <w:p w:rsidR="00F467BD" w:rsidRPr="00F467BD" w:rsidRDefault="00F467BD" w:rsidP="00F467BD"/>
    <w:p w:rsidR="00F467BD" w:rsidRDefault="00F467BD" w:rsidP="00EB0CB3">
      <w:pPr>
        <w:spacing w:line="360" w:lineRule="auto"/>
        <w:rPr>
          <w:rFonts w:ascii="Times New Roman" w:hAnsi="Times New Roman" w:cs="Times New Roman"/>
          <w:b/>
          <w:sz w:val="20"/>
          <w:szCs w:val="20"/>
          <w:u w:val="single"/>
        </w:rPr>
      </w:pPr>
    </w:p>
    <w:p w:rsidR="00F467BD" w:rsidRDefault="00F467BD" w:rsidP="00EB0CB3">
      <w:pPr>
        <w:spacing w:line="360" w:lineRule="auto"/>
        <w:rPr>
          <w:rFonts w:ascii="Times New Roman" w:hAnsi="Times New Roman" w:cs="Times New Roman"/>
          <w:b/>
          <w:sz w:val="20"/>
          <w:szCs w:val="20"/>
          <w:u w:val="single"/>
        </w:rPr>
      </w:pPr>
    </w:p>
    <w:p w:rsidR="00F467BD" w:rsidRDefault="00F467BD" w:rsidP="00F467BD">
      <w:pPr>
        <w:pStyle w:val="Heading2"/>
      </w:pPr>
      <w:r>
        <w:t>Content</w:t>
      </w:r>
    </w:p>
    <w:p w:rsidR="00F467BD" w:rsidRDefault="00B67336" w:rsidP="00B67336">
      <w:pPr>
        <w:pStyle w:val="ListParagraph"/>
        <w:numPr>
          <w:ilvl w:val="0"/>
          <w:numId w:val="2"/>
        </w:numPr>
      </w:pPr>
      <w:r>
        <w:t>Information on the Anxiety Disorder Specific Measures used by IAPT services.</w:t>
      </w:r>
    </w:p>
    <w:p w:rsidR="00B67336" w:rsidRDefault="00B67336" w:rsidP="00B67336">
      <w:pPr>
        <w:pStyle w:val="ListParagraph"/>
        <w:numPr>
          <w:ilvl w:val="0"/>
          <w:numId w:val="2"/>
        </w:numPr>
      </w:pPr>
      <w:r>
        <w:t xml:space="preserve">Results of sensitivity analyses: i) using multi-level models with random effects for service level clustering; ii) on observed data only with cases dropped by list-wise deletion due to missing data. </w:t>
      </w:r>
    </w:p>
    <w:p w:rsidR="001F6136" w:rsidRPr="00F467BD" w:rsidRDefault="001F6136" w:rsidP="00D641B9">
      <w:pPr>
        <w:sectPr w:rsidR="001F6136" w:rsidRPr="00F467BD" w:rsidSect="00F467BD">
          <w:pgSz w:w="11906" w:h="16838"/>
          <w:pgMar w:top="1440" w:right="1440" w:bottom="1440" w:left="1440" w:header="709" w:footer="709" w:gutter="0"/>
          <w:cols w:space="708"/>
          <w:docGrid w:linePitch="360"/>
        </w:sectPr>
      </w:pPr>
    </w:p>
    <w:p w:rsidR="00F467BD" w:rsidRDefault="00F467BD" w:rsidP="00F467BD">
      <w:pPr>
        <w:pStyle w:val="Heading3"/>
      </w:pPr>
      <w:r>
        <w:lastRenderedPageBreak/>
        <w:t>Supplementary Methods</w:t>
      </w:r>
    </w:p>
    <w:p w:rsidR="00EB0CB3" w:rsidRPr="00B51FE5" w:rsidRDefault="00EB0CB3" w:rsidP="00EB0CB3">
      <w:pPr>
        <w:spacing w:line="360" w:lineRule="auto"/>
        <w:rPr>
          <w:rFonts w:ascii="Times New Roman" w:hAnsi="Times New Roman" w:cs="Times New Roman"/>
          <w:b/>
          <w:sz w:val="20"/>
          <w:szCs w:val="20"/>
          <w:u w:val="single"/>
        </w:rPr>
      </w:pPr>
      <w:r w:rsidRPr="00B51FE5">
        <w:rPr>
          <w:rFonts w:ascii="Times New Roman" w:hAnsi="Times New Roman" w:cs="Times New Roman"/>
          <w:b/>
          <w:sz w:val="20"/>
          <w:szCs w:val="20"/>
          <w:u w:val="single"/>
        </w:rPr>
        <w:t>Anxiety Disorder Specific Measures used by IAPT</w:t>
      </w:r>
      <w:r>
        <w:rPr>
          <w:rFonts w:ascii="Times New Roman" w:hAnsi="Times New Roman" w:cs="Times New Roman"/>
          <w:b/>
          <w:sz w:val="20"/>
          <w:szCs w:val="20"/>
          <w:u w:val="single"/>
        </w:rPr>
        <w:t xml:space="preserve"> services</w:t>
      </w:r>
      <w:r w:rsidRPr="00B51FE5">
        <w:rPr>
          <w:rFonts w:ascii="Times New Roman" w:hAnsi="Times New Roman" w:cs="Times New Roman"/>
          <w:b/>
          <w:sz w:val="20"/>
          <w:szCs w:val="20"/>
          <w:u w:val="single"/>
        </w:rPr>
        <w:t>.</w:t>
      </w:r>
    </w:p>
    <w:p w:rsidR="00EB0CB3" w:rsidRPr="00B51FE5" w:rsidRDefault="00EB0CB3" w:rsidP="00EB0CB3">
      <w:pPr>
        <w:spacing w:line="360" w:lineRule="auto"/>
        <w:rPr>
          <w:rFonts w:ascii="Times New Roman" w:hAnsi="Times New Roman" w:cs="Times New Roman"/>
          <w:b/>
          <w:sz w:val="20"/>
          <w:szCs w:val="20"/>
          <w:u w:val="single"/>
        </w:rPr>
      </w:pPr>
    </w:p>
    <w:p w:rsidR="00EB0CB3" w:rsidRPr="00B51FE5" w:rsidRDefault="00EB0CB3" w:rsidP="00EB0CB3">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Supplementary </w:t>
      </w:r>
      <w:r w:rsidRPr="00B51FE5">
        <w:rPr>
          <w:rFonts w:ascii="Times New Roman" w:hAnsi="Times New Roman" w:cs="Times New Roman"/>
          <w:b/>
          <w:sz w:val="20"/>
          <w:szCs w:val="20"/>
        </w:rPr>
        <w:t>Table 1. Recommended ADSMs (adapted from NHS Digital</w:t>
      </w:r>
      <w:r w:rsidR="001F6136">
        <w:rPr>
          <w:rFonts w:ascii="Times New Roman" w:hAnsi="Times New Roman" w:cs="Times New Roman"/>
          <w:b/>
          <w:sz w:val="20"/>
          <w:szCs w:val="20"/>
        </w:rPr>
        <w:t xml:space="preserve"> </w:t>
      </w:r>
      <w:r w:rsidRPr="00B51FE5">
        <w:rPr>
          <w:rFonts w:ascii="Times New Roman" w:hAnsi="Times New Roman" w:cs="Times New Roman"/>
          <w:b/>
          <w:sz w:val="20"/>
          <w:szCs w:val="20"/>
        </w:rPr>
        <w:fldChar w:fldCharType="begin" w:fldLock="1"/>
      </w:r>
      <w:r w:rsidR="00352259">
        <w:rPr>
          <w:rFonts w:ascii="Times New Roman" w:hAnsi="Times New Roman" w:cs="Times New Roman"/>
          <w:b/>
          <w:sz w:val="20"/>
          <w:szCs w:val="20"/>
        </w:rPr>
        <w:instrText>ADDIN CSL_CITATION {"citationItems":[{"id":"ITEM-1","itemData":{"author":[{"dropping-particle":"","family":"NHS Digital","given":"","non-dropping-particle":"","parse-names":false,"suffix":""}],"id":"ITEM-1","issued":{"date-parts":[["2016"]]},"title":"Psychological Therapies, Annual Report on the use of IAPT services: England 2015-16","type":"report"},"uris":["http://www.mendeley.com/documents/?uuid=5d6c1336-fb13-44aa-b600-c178b65c593b"]}],"mendeley":{"formattedCitation":"(NHS Digital, 2016)","plainTextFormattedCitation":"(NHS Digital, 2016)","previouslyFormattedCitation":"&lt;sup&gt;1&lt;/sup&gt;"},"properties":{"noteIndex":0},"schema":"https://github.com/citation-style-language/schema/raw/master/csl-citation.json"}</w:instrText>
      </w:r>
      <w:r w:rsidRPr="00B51FE5">
        <w:rPr>
          <w:rFonts w:ascii="Times New Roman" w:hAnsi="Times New Roman" w:cs="Times New Roman"/>
          <w:b/>
          <w:sz w:val="20"/>
          <w:szCs w:val="20"/>
        </w:rPr>
        <w:fldChar w:fldCharType="separate"/>
      </w:r>
      <w:r w:rsidR="00352259" w:rsidRPr="00352259">
        <w:rPr>
          <w:rFonts w:ascii="Times New Roman" w:hAnsi="Times New Roman" w:cs="Times New Roman"/>
          <w:noProof/>
          <w:sz w:val="20"/>
          <w:szCs w:val="20"/>
        </w:rPr>
        <w:t>(NHS Digital, 2016)</w:t>
      </w:r>
      <w:r w:rsidRPr="00B51FE5">
        <w:rPr>
          <w:rFonts w:ascii="Times New Roman" w:hAnsi="Times New Roman" w:cs="Times New Roman"/>
          <w:b/>
          <w:sz w:val="20"/>
          <w:szCs w:val="20"/>
        </w:rPr>
        <w:fldChar w:fldCharType="end"/>
      </w:r>
      <w:r w:rsidRPr="00B51FE5">
        <w:rPr>
          <w:rFonts w:ascii="Times New Roman" w:hAnsi="Times New Roman" w:cs="Times New Roman"/>
          <w:b/>
          <w:sz w:val="20"/>
          <w:szCs w:val="20"/>
        </w:rPr>
        <w:t>).</w:t>
      </w:r>
    </w:p>
    <w:tbl>
      <w:tblPr>
        <w:tblStyle w:val="TableGrid"/>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2410"/>
        <w:gridCol w:w="2835"/>
      </w:tblGrid>
      <w:tr w:rsidR="00EB0CB3" w:rsidRPr="00F467BD" w:rsidTr="007409A7">
        <w:trPr>
          <w:trHeight w:val="670"/>
        </w:trPr>
        <w:tc>
          <w:tcPr>
            <w:tcW w:w="3544" w:type="dxa"/>
            <w:tcBorders>
              <w:top w:val="single" w:sz="4" w:space="0" w:color="auto"/>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b/>
                <w:sz w:val="16"/>
                <w:szCs w:val="16"/>
              </w:rPr>
            </w:pPr>
            <w:r w:rsidRPr="00F467BD">
              <w:rPr>
                <w:rFonts w:ascii="Times New Roman" w:hAnsi="Times New Roman" w:cs="Times New Roman"/>
                <w:b/>
                <w:sz w:val="16"/>
                <w:szCs w:val="16"/>
              </w:rPr>
              <w:t>Problem descriptor</w:t>
            </w:r>
          </w:p>
        </w:tc>
        <w:tc>
          <w:tcPr>
            <w:tcW w:w="3544" w:type="dxa"/>
            <w:tcBorders>
              <w:top w:val="single" w:sz="4" w:space="0" w:color="auto"/>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b/>
                <w:sz w:val="16"/>
                <w:szCs w:val="16"/>
              </w:rPr>
            </w:pPr>
            <w:r w:rsidRPr="00F467BD">
              <w:rPr>
                <w:rFonts w:ascii="Times New Roman" w:hAnsi="Times New Roman" w:cs="Times New Roman"/>
                <w:b/>
                <w:sz w:val="16"/>
                <w:szCs w:val="16"/>
              </w:rPr>
              <w:t>Recommended ADSM</w:t>
            </w:r>
          </w:p>
        </w:tc>
        <w:tc>
          <w:tcPr>
            <w:tcW w:w="2410" w:type="dxa"/>
            <w:tcBorders>
              <w:top w:val="single" w:sz="4" w:space="0" w:color="auto"/>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b/>
                <w:sz w:val="16"/>
                <w:szCs w:val="16"/>
              </w:rPr>
            </w:pPr>
            <w:r w:rsidRPr="00F467BD">
              <w:rPr>
                <w:rFonts w:ascii="Times New Roman" w:hAnsi="Times New Roman" w:cs="Times New Roman"/>
                <w:b/>
                <w:sz w:val="16"/>
                <w:szCs w:val="16"/>
              </w:rPr>
              <w:t>Threshold for caseness</w:t>
            </w:r>
          </w:p>
        </w:tc>
        <w:tc>
          <w:tcPr>
            <w:tcW w:w="2835" w:type="dxa"/>
            <w:tcBorders>
              <w:top w:val="single" w:sz="4" w:space="0" w:color="auto"/>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b/>
                <w:sz w:val="16"/>
                <w:szCs w:val="16"/>
              </w:rPr>
            </w:pPr>
            <w:r w:rsidRPr="00F467BD">
              <w:rPr>
                <w:rFonts w:ascii="Times New Roman" w:hAnsi="Times New Roman" w:cs="Times New Roman"/>
                <w:b/>
                <w:sz w:val="16"/>
                <w:szCs w:val="16"/>
              </w:rPr>
              <w:t>Threshold for reliable change</w:t>
            </w:r>
          </w:p>
        </w:tc>
      </w:tr>
      <w:tr w:rsidR="00EB0CB3" w:rsidRPr="00F467BD" w:rsidTr="007409A7">
        <w:tc>
          <w:tcPr>
            <w:tcW w:w="3544" w:type="dxa"/>
            <w:tcBorders>
              <w:top w:val="single" w:sz="4" w:space="0" w:color="auto"/>
            </w:tcBorders>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Agoraphobia</w:t>
            </w:r>
          </w:p>
        </w:tc>
        <w:tc>
          <w:tcPr>
            <w:tcW w:w="3544" w:type="dxa"/>
            <w:tcBorders>
              <w:top w:val="single" w:sz="4" w:space="0" w:color="auto"/>
            </w:tcBorders>
            <w:vAlign w:val="center"/>
          </w:tcPr>
          <w:p w:rsidR="00EB0CB3" w:rsidRPr="00F467BD" w:rsidRDefault="00EB0CB3" w:rsidP="00B05DC5">
            <w:pPr>
              <w:pStyle w:val="Default"/>
              <w:spacing w:line="360" w:lineRule="auto"/>
              <w:rPr>
                <w:rFonts w:ascii="Times New Roman" w:hAnsi="Times New Roman" w:cs="Times New Roman"/>
                <w:color w:val="auto"/>
                <w:sz w:val="16"/>
                <w:szCs w:val="16"/>
              </w:rPr>
            </w:pPr>
            <w:r w:rsidRPr="00F467BD">
              <w:rPr>
                <w:rFonts w:ascii="Times New Roman" w:hAnsi="Times New Roman" w:cs="Times New Roman"/>
                <w:color w:val="auto"/>
                <w:sz w:val="16"/>
                <w:szCs w:val="16"/>
              </w:rPr>
              <w:t>Mobility Inventory</w:t>
            </w:r>
            <w:r w:rsidRPr="00F467BD">
              <w:rPr>
                <w:rFonts w:ascii="Times New Roman" w:hAnsi="Times New Roman" w:cs="Times New Roman"/>
                <w:color w:val="auto"/>
                <w:sz w:val="16"/>
                <w:szCs w:val="16"/>
              </w:rPr>
              <w:fldChar w:fldCharType="begin" w:fldLock="1"/>
            </w:r>
            <w:r w:rsidR="00352259">
              <w:rPr>
                <w:rFonts w:ascii="Times New Roman" w:hAnsi="Times New Roman" w:cs="Times New Roman"/>
                <w:color w:val="auto"/>
                <w:sz w:val="16"/>
                <w:szCs w:val="16"/>
              </w:rPr>
              <w:instrText>ADDIN CSL_CITATION {"citationItems":[{"id":"ITEM-1","itemData":{"DOI":"10.1016/0005-7967(85)90140-8","ISSN":"00057967","abstract":"The development of the Mobility Inventory for Agoraphobia (MI), a 27-item inventory for the measurement of self-reported agoraphobic avoidance behavior and frequency of panic attacks, is described. On this instrument, 26 situations are rated for avoidance both when clients are accompanied and when they are alone. These two conditions were found to be only moderately correlated and are thus analyzed separately, as is the item on frequency of panic attacks. Studies are reported which support the reliability and the concurrent and construct validity of these three measures, using comparison samples of agoraphobic, socially phobic and normal Ss. The MI appears to be a sound instrument, with which a broad range of situations troublesome to agoraphobic clients can be surveyed, and should prove useful for treatment planning and research. © 1985.","author":[{"dropping-particle":"","family":"Chambless","given":"Dianne L.","non-dropping-particle":"","parse-names":false,"suffix":""},{"dropping-particle":"","family":"Caputo","given":"G. Craig","non-dropping-particle":"","parse-names":false,"suffix":""},{"dropping-particle":"","family":"Jasin","given":"Susan E.","non-dropping-particle":"","parse-names":false,"suffix":""},{"dropping-particle":"","family":"Gracely","given":"Edward J.","non-dropping-particle":"","parse-names":false,"suffix":""},{"dropping-particle":"","family":"Williams","given":"Christine","non-dropping-particle":"","parse-names":false,"suffix":""}],"container-title":"Behaviour Research and Therapy","id":"ITEM-1","issue":"1","issued":{"date-parts":[["1985"]]},"page":"35-44","title":"The Mobility Inventory for Agoraphobia","type":"article-journal","volume":"23"},"uris":["http://www.mendeley.com/documents/?uuid=486fba50-06ad-4a95-8b22-55e979ef7f86","http://www.mendeley.com/documents/?uuid=815602f3-fd09-4f66-ab62-702984fa50bb"]}],"mendeley":{"formattedCitation":"(Chambless, Caputo, Jasin, Gracely, &amp; Williams, 1985)","plainTextFormattedCitation":"(Chambless, Caputo, Jasin, Gracely, &amp; Williams, 1985)","previouslyFormattedCitation":"&lt;sup&gt;2&lt;/sup&gt;"},"properties":{"noteIndex":0},"schema":"https://github.com/citation-style-language/schema/raw/master/csl-citation.json"}</w:instrText>
            </w:r>
            <w:r w:rsidRPr="00F467BD">
              <w:rPr>
                <w:rFonts w:ascii="Times New Roman" w:hAnsi="Times New Roman" w:cs="Times New Roman"/>
                <w:color w:val="auto"/>
                <w:sz w:val="16"/>
                <w:szCs w:val="16"/>
              </w:rPr>
              <w:fldChar w:fldCharType="separate"/>
            </w:r>
            <w:r w:rsidR="00352259" w:rsidRPr="00352259">
              <w:rPr>
                <w:rFonts w:ascii="Times New Roman" w:hAnsi="Times New Roman" w:cs="Times New Roman"/>
                <w:noProof/>
                <w:color w:val="auto"/>
                <w:sz w:val="16"/>
                <w:szCs w:val="16"/>
              </w:rPr>
              <w:t>(Chambless, Caputo, Jasin, Gracely, &amp; Williams, 1985)</w:t>
            </w:r>
            <w:r w:rsidRPr="00F467BD">
              <w:rPr>
                <w:rFonts w:ascii="Times New Roman" w:hAnsi="Times New Roman" w:cs="Times New Roman"/>
                <w:color w:val="auto"/>
                <w:sz w:val="16"/>
                <w:szCs w:val="16"/>
              </w:rPr>
              <w:fldChar w:fldCharType="end"/>
            </w:r>
          </w:p>
        </w:tc>
        <w:tc>
          <w:tcPr>
            <w:tcW w:w="2410" w:type="dxa"/>
            <w:tcBorders>
              <w:top w:val="single" w:sz="4" w:space="0" w:color="auto"/>
            </w:tcBorders>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2.3 (for version 1.5)</w:t>
            </w:r>
          </w:p>
        </w:tc>
        <w:tc>
          <w:tcPr>
            <w:tcW w:w="2835" w:type="dxa"/>
            <w:tcBorders>
              <w:top w:val="single" w:sz="4" w:space="0" w:color="auto"/>
            </w:tcBorders>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0.73 (for version 1.5)</w:t>
            </w:r>
          </w:p>
        </w:tc>
      </w:tr>
      <w:tr w:rsidR="00EB0CB3" w:rsidRPr="00F467BD" w:rsidTr="007409A7">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Health anxiety</w:t>
            </w:r>
          </w:p>
        </w:tc>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 xml:space="preserve">Health Anxiety Inventory </w:t>
            </w:r>
            <w:r w:rsidRPr="00F467BD">
              <w:rPr>
                <w:rFonts w:ascii="Times New Roman" w:hAnsi="Times New Roman" w:cs="Times New Roman"/>
                <w:sz w:val="16"/>
                <w:szCs w:val="16"/>
              </w:rPr>
              <w:fldChar w:fldCharType="begin" w:fldLock="1"/>
            </w:r>
            <w:r w:rsidR="00352259">
              <w:rPr>
                <w:rFonts w:ascii="Times New Roman" w:hAnsi="Times New Roman" w:cs="Times New Roman"/>
                <w:sz w:val="16"/>
                <w:szCs w:val="16"/>
              </w:rPr>
              <w:instrText>ADDIN CSL_CITATION {"citationItems":[{"id":"ITEM-1","itemData":{"ISSN":"0033-2917","PMID":"12171378","abstract":"BACKGROUND A self-rated measure of health anxiety should be sensitive across the full range of intensity (from mild concern to frank hypochondriasis) and should differentiate people suffering from health anxiety from those who have actual physical illness but who are not excessively concerned about their health. It should also encompass the full range of clinical symptoms characteristic of clinical hypochondriasis. The development and validation of such a scale is described. METHOD Three studies were conducted. First, the questionnaire was validated by comparing the responses of patients suffering from hypochondriasis with those suffering from hypochondriasis and panic disorder, panic disorder, social phobia and non-patient controls. Secondly, a state version of the questionnaire was administered to patients undergoing cognitive-behavioural treatment or wait-list in order to examine the measure's sensitivity to change. In the third study, a shortened version was developed and validated in similar types of sample, and in a range of samples of people seeking medical help for physical illness. RESULTS The scale was found to be reliable and to have a high internal consistency. Hypochondriacal patients scored significantly higher than anxiety disorder patients, including both social phobic patients and panic disorder patients as well as normal controls. In the second study, a 'state' version of the scale was found to be sensitive to treatment effects, and to correlate very highly with a clinician rating based on an interview of present clinical state. A development and refinement of the scale (intended to reflect more fully the range of symptoms of and reactions to hypochondriasis) was found to be reliable and valid. A very short (14 item) version of the scale was found to have comparable properties to the full length scale. CONCLUSIONS The HAI is a reliable and valid measure of health anxiety. It is likely to be useful as a brief screening instrument, as there is a short form which correlates highly with the longer version.","author":[{"dropping-particle":"","family":"Salkovskis","given":"P M","non-dropping-particle":"","parse-names":false,"suffix":""},{"dropping-particle":"","family":"Rimes","given":"K A","non-dropping-particle":"","parse-names":false,"suffix":""},{"dropping-particle":"","family":"Warwick","given":"H M C","non-dropping-particle":"","parse-names":false,"suffix":""},{"dropping-particle":"","family":"Clark","given":"D","non-dropping-particle":"","parse-names":false,"suffix":""}],"container-title":"Psychological medicine","id":"ITEM-1","issue":"5","issued":{"date-parts":[["2002"]]},"page":"843-53","title":"The Health Anxiety Inventory: development and validation of scales for the measurement of health anxiety and hypochondriasis.","type":"article-journal","volume":"32"},"uris":["http://www.mendeley.com/documents/?uuid=0a4d9ba4-c369-4cb5-b06e-83357b1bb497","http://www.mendeley.com/documents/?uuid=5ccd7d31-c1a4-407f-ad1a-4b6f2333c052"]}],"mendeley":{"formattedCitation":"(Salkovskis, Rimes, Warwick, &amp; Clark, 2002)","plainTextFormattedCitation":"(Salkovskis, Rimes, Warwick, &amp; Clark, 2002)","previouslyFormattedCitation":"&lt;sup&gt;3&lt;/sup&gt;"},"properties":{"noteIndex":0},"schema":"https://github.com/citation-style-language/schema/raw/master/csl-citation.json"}</w:instrText>
            </w:r>
            <w:r w:rsidRPr="00F467BD">
              <w:rPr>
                <w:rFonts w:ascii="Times New Roman" w:hAnsi="Times New Roman" w:cs="Times New Roman"/>
                <w:sz w:val="16"/>
                <w:szCs w:val="16"/>
              </w:rPr>
              <w:fldChar w:fldCharType="separate"/>
            </w:r>
            <w:r w:rsidR="00352259" w:rsidRPr="00352259">
              <w:rPr>
                <w:rFonts w:ascii="Times New Roman" w:hAnsi="Times New Roman" w:cs="Times New Roman"/>
                <w:noProof/>
                <w:sz w:val="16"/>
                <w:szCs w:val="16"/>
              </w:rPr>
              <w:t>(Salkovskis, Rimes, Warwick, &amp; Clark, 2002)</w:t>
            </w:r>
            <w:r w:rsidRPr="00F467BD">
              <w:rPr>
                <w:rFonts w:ascii="Times New Roman" w:hAnsi="Times New Roman" w:cs="Times New Roman"/>
                <w:sz w:val="16"/>
                <w:szCs w:val="16"/>
              </w:rPr>
              <w:fldChar w:fldCharType="end"/>
            </w:r>
          </w:p>
        </w:tc>
        <w:tc>
          <w:tcPr>
            <w:tcW w:w="2410"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18</w:t>
            </w:r>
          </w:p>
        </w:tc>
        <w:tc>
          <w:tcPr>
            <w:tcW w:w="2835"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4</w:t>
            </w:r>
          </w:p>
        </w:tc>
      </w:tr>
      <w:tr w:rsidR="00EB0CB3" w:rsidRPr="00F467BD" w:rsidTr="007409A7">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Obsessive compulsive disorder (OCD)</w:t>
            </w:r>
          </w:p>
        </w:tc>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 xml:space="preserve">Obsessive Compulsive Inventory </w:t>
            </w:r>
            <w:r w:rsidRPr="00F467BD">
              <w:rPr>
                <w:rFonts w:ascii="Times New Roman" w:hAnsi="Times New Roman" w:cs="Times New Roman"/>
                <w:sz w:val="16"/>
                <w:szCs w:val="16"/>
              </w:rPr>
              <w:fldChar w:fldCharType="begin" w:fldLock="1"/>
            </w:r>
            <w:r w:rsidR="00352259">
              <w:rPr>
                <w:rFonts w:ascii="Times New Roman" w:hAnsi="Times New Roman" w:cs="Times New Roman"/>
                <w:sz w:val="16"/>
                <w:szCs w:val="16"/>
              </w:rPr>
              <w:instrText>ADDIN CSL_CITATION {"citationItems":[{"id":"ITEM-1","itemData":{"DOI":"10.1037/1040-3590.10.3.206","ISSN":"10403590","abstract":"The Obsessive-Compulsive Inventory (OCI) is a new self-report instrument developed to address the problems inherent in available instruments for determining the diagnosis and severity of obsessive-compulsive disorder (OCD). The OCI consists of 42 items composing 7 subscales: Washing, Checking, Doubting, Ordering, Obsessing (i.e., having obsessional thoughts), Hoarding, and Mental Neutralizing. Each item is rated on a 5-point (0-4) Likert scale of symptom frequency and associated distress. One hundred and forty-seven individuals diagnosed with OCD; 58 with generalized social phobia; 44 with posttraumatic stress disorder; and 194 nonpatients completed the OCI and other measures of OCD, anxiety, and depression. The present article describes the psychometrics of the OCI including (a) scale construction and content validity, (b) reliability (internal consistency and retest reliability), and (c) convergent and discriminant validity. The OCI exhibited satisfactory reliability and validity with all 4 samples.","author":[{"dropping-particle":"","family":"Foa","given":"Edna B.","non-dropping-particle":"","parse-names":false,"suffix":""},{"dropping-particle":"","family":"Kozak","given":"Michael J.","non-dropping-particle":"","parse-names":false,"suffix":""},{"dropping-particle":"","family":"Salkovskis","given":"Paul M.","non-dropping-particle":"","parse-names":false,"suffix":""},{"dropping-particle":"","family":"Coles","given":"Meredith E.","non-dropping-particle":"","parse-names":false,"suffix":""},{"dropping-particle":"","family":"Amir","given":"Nader","non-dropping-particle":"","parse-names":false,"suffix":""}],"container-title":"Psychological Assessment","id":"ITEM-1","issue":"3","issued":{"date-parts":[["1998"]]},"page":"206-214","title":"The validation of a new obsessive-compulsive disorder scale: The obsessive-compulsive inventory","type":"article-journal","volume":"10"},"uris":["http://www.mendeley.com/documents/?uuid=8652ed42-0fcc-406e-b093-af3db8b13953","http://www.mendeley.com/documents/?uuid=4ad10596-de0e-4f51-bebb-4c538f9f24cf"]}],"mendeley":{"formattedCitation":"(Foa, Kozak, Salkovskis, Coles, &amp; Amir, 1998)","plainTextFormattedCitation":"(Foa, Kozak, Salkovskis, Coles, &amp; Amir, 1998)","previouslyFormattedCitation":"&lt;sup&gt;4&lt;/sup&gt;"},"properties":{"noteIndex":0},"schema":"https://github.com/citation-style-language/schema/raw/master/csl-citation.json"}</w:instrText>
            </w:r>
            <w:r w:rsidRPr="00F467BD">
              <w:rPr>
                <w:rFonts w:ascii="Times New Roman" w:hAnsi="Times New Roman" w:cs="Times New Roman"/>
                <w:sz w:val="16"/>
                <w:szCs w:val="16"/>
              </w:rPr>
              <w:fldChar w:fldCharType="separate"/>
            </w:r>
            <w:r w:rsidR="00352259" w:rsidRPr="00352259">
              <w:rPr>
                <w:rFonts w:ascii="Times New Roman" w:hAnsi="Times New Roman" w:cs="Times New Roman"/>
                <w:noProof/>
                <w:sz w:val="16"/>
                <w:szCs w:val="16"/>
              </w:rPr>
              <w:t>(Foa, Kozak, Salkovskis, Coles, &amp; Amir, 1998)</w:t>
            </w:r>
            <w:r w:rsidRPr="00F467BD">
              <w:rPr>
                <w:rFonts w:ascii="Times New Roman" w:hAnsi="Times New Roman" w:cs="Times New Roman"/>
                <w:sz w:val="16"/>
                <w:szCs w:val="16"/>
              </w:rPr>
              <w:fldChar w:fldCharType="end"/>
            </w:r>
          </w:p>
        </w:tc>
        <w:tc>
          <w:tcPr>
            <w:tcW w:w="2410"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40</w:t>
            </w:r>
          </w:p>
        </w:tc>
        <w:tc>
          <w:tcPr>
            <w:tcW w:w="2835"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32</w:t>
            </w:r>
          </w:p>
        </w:tc>
      </w:tr>
      <w:tr w:rsidR="00EB0CB3" w:rsidRPr="00F467BD" w:rsidTr="007409A7">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Panic disorder</w:t>
            </w:r>
          </w:p>
        </w:tc>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 xml:space="preserve">Panic Disorder Severity Scale </w:t>
            </w:r>
            <w:r w:rsidRPr="00F467BD">
              <w:rPr>
                <w:rFonts w:ascii="Times New Roman" w:hAnsi="Times New Roman" w:cs="Times New Roman"/>
                <w:sz w:val="16"/>
                <w:szCs w:val="16"/>
              </w:rPr>
              <w:fldChar w:fldCharType="begin" w:fldLock="1"/>
            </w:r>
            <w:r w:rsidR="00352259">
              <w:rPr>
                <w:rFonts w:ascii="Times New Roman" w:hAnsi="Times New Roman" w:cs="Times New Roman"/>
                <w:sz w:val="16"/>
                <w:szCs w:val="16"/>
              </w:rPr>
              <w:instrText>ADDIN CSL_CITATION {"citationItems":[{"id":"ITEM-1","itemData":{"DOI":"10.1016/S0022-3956(01)00028-0","ISSN":"00223956","abstract":"The Panic Disorder Severity Scale (PDSS) is a recently developed seven-item instrument to rate overall severity of Panic Disorder. The scale has previously shown good psychometric properties in a sample of Panic Disorder patients with no more than mild agoraphobia. The purpose of this paper is to confirm reliability and validity, to provide an estimate of a cut-score discriminating the presence or absence of current DSM-IV Panic Disorder, and to determine the factor structure of the instrument. Procedures: 104 psychiatric outpatients, including 54 with current Panic Disorder, underwent structured diagnostic assessment and the PDSS interview. The PDSS was repeated within 3-17 days. Results: we confirmed reliability and validity of the instrument and found a one-factor solution fit the data. A cut-off score of eight identifies patients with current panic with a sensitivity of 83.3%, and a specificity of 64%. Conclusion: the PDSS is a simple, reliable instrument for use in Panic Disorder studies. A cut-score of eight may be useful as a tool to screen patients in settings such as primary care, for diagnosis-level symptoms. © 2001 Elsevier Science Ltd. All rights reserved.","author":[{"dropping-particle":"","family":"Shear","given":"M. Katherine","non-dropping-particle":"","parse-names":false,"suffix":""},{"dropping-particle":"","family":"Rucci","given":"Paola","non-dropping-particle":"","parse-names":false,"suffix":""},{"dropping-particle":"","family":"Williams","given":"Jenna","non-dropping-particle":"","parse-names":false,"suffix":""},{"dropping-particle":"","family":"Frank","given":"Ellen","non-dropping-particle":"","parse-names":false,"suffix":""},{"dropping-particle":"","family":"Grochocinski","given":"Victoria","non-dropping-particle":"","parse-names":false,"suffix":""},{"dropping-particle":"","family":"Bilt","given":"Joni","non-dropping-particle":"Vander","parse-names":false,"suffix":""},{"dropping-particle":"","family":"Houck","given":"Patricia","non-dropping-particle":"","parse-names":false,"suffix":""},{"dropping-particle":"","family":"Wang","given":"Tracey","non-dropping-particle":"","parse-names":false,"suffix":""}],"container-title":"Journal of Psychiatric Research","id":"ITEM-1","issue":"5","issued":{"date-parts":[["2001"]]},"page":"293-296","title":"Reliability and validity of the Panic Disorder Severity Scale: Replication and extension","type":"article-journal","volume":"35"},"uris":["http://www.mendeley.com/documents/?uuid=5ea18453-f8c1-4606-a694-61b60d703be5","http://www.mendeley.com/documents/?uuid=2f023ce6-c36f-42a5-ab43-7edbe748cd2c"]}],"mendeley":{"formattedCitation":"(Shear et al., 2001)","plainTextFormattedCitation":"(Shear et al., 2001)","previouslyFormattedCitation":"&lt;sup&gt;5&lt;/sup&gt;"},"properties":{"noteIndex":0},"schema":"https://github.com/citation-style-language/schema/raw/master/csl-citation.json"}</w:instrText>
            </w:r>
            <w:r w:rsidRPr="00F467BD">
              <w:rPr>
                <w:rFonts w:ascii="Times New Roman" w:hAnsi="Times New Roman" w:cs="Times New Roman"/>
                <w:sz w:val="16"/>
                <w:szCs w:val="16"/>
              </w:rPr>
              <w:fldChar w:fldCharType="separate"/>
            </w:r>
            <w:r w:rsidR="00352259" w:rsidRPr="00352259">
              <w:rPr>
                <w:rFonts w:ascii="Times New Roman" w:hAnsi="Times New Roman" w:cs="Times New Roman"/>
                <w:noProof/>
                <w:sz w:val="16"/>
                <w:szCs w:val="16"/>
              </w:rPr>
              <w:t>(Shear et al., 2001)</w:t>
            </w:r>
            <w:r w:rsidRPr="00F467BD">
              <w:rPr>
                <w:rFonts w:ascii="Times New Roman" w:hAnsi="Times New Roman" w:cs="Times New Roman"/>
                <w:sz w:val="16"/>
                <w:szCs w:val="16"/>
              </w:rPr>
              <w:fldChar w:fldCharType="end"/>
            </w:r>
          </w:p>
        </w:tc>
        <w:tc>
          <w:tcPr>
            <w:tcW w:w="2410"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w:t>
            </w:r>
          </w:p>
        </w:tc>
        <w:tc>
          <w:tcPr>
            <w:tcW w:w="2835"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w:t>
            </w:r>
          </w:p>
        </w:tc>
      </w:tr>
      <w:tr w:rsidR="00EB0CB3" w:rsidRPr="00F467BD" w:rsidTr="007409A7">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Post-traumatic stress disorder (PTSD)</w:t>
            </w:r>
          </w:p>
        </w:tc>
        <w:tc>
          <w:tcPr>
            <w:tcW w:w="3544" w:type="dxa"/>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 xml:space="preserve">Impact of Events Scale (IES-R) </w:t>
            </w:r>
            <w:r w:rsidRPr="00F467BD">
              <w:rPr>
                <w:rFonts w:ascii="Times New Roman" w:hAnsi="Times New Roman" w:cs="Times New Roman"/>
                <w:sz w:val="16"/>
                <w:szCs w:val="16"/>
              </w:rPr>
              <w:fldChar w:fldCharType="begin" w:fldLock="1"/>
            </w:r>
            <w:r w:rsidR="00352259">
              <w:rPr>
                <w:rFonts w:ascii="Times New Roman" w:hAnsi="Times New Roman" w:cs="Times New Roman"/>
                <w:sz w:val="16"/>
                <w:szCs w:val="16"/>
              </w:rPr>
              <w:instrText>ADDIN CSL_CITATION {"citationItems":[{"id":"ITEM-1","itemData":{"DOI":"10.1016/j.brat.2003.07.010","ISSN":"00057967","abstract":"This study investigated the psychometric properties of the Impact of Event Scale - Revised (IES-R) in two samples of male Vietnam veterans: a treatment-seeking sample with a confirmed posttraumatic stress disorder (PTSD) diagnosis (N=120) and a community sample with varying levels of traumatic stress symptomatology (N=154). The scale showed high internal consistency (alpha=0.96). Confirmatory factor analysis did not provide support for a three-factor solution corresponding to the three subscales of intrusion, avoidance, and hyperarousal. Exploratory factor analysis suggested that either a single, or a two-factor solution (intrusion/hyperarousal and avoidance), provided the best account of the data. However, correlations among the subscales were higher in the community sample than in the treatment sample, suggesting that the IES-R may be sensitive to a more general construct of traumatic stress in those with lower symptom levels. The correlation between the IES-R and the PTSD Checklist was high (0.84) and a cutoff of 1.5 (equivalent to a total score of 33) was found to provide the best diagnostic accuracy. © 2003 Elsevier Ltd. All rights reserved.","author":[{"dropping-particle":"","family":"Creamer","given":"Mark","non-dropping-particle":"","parse-names":false,"suffix":""},{"dropping-particle":"","family":"Bell","given":"Richard","non-dropping-particle":"","parse-names":false,"suffix":""},{"dropping-particle":"","family":"Failla","given":"Salvina","non-dropping-particle":"","parse-names":false,"suffix":""}],"container-title":"Behaviour Research and Therapy","id":"ITEM-1","issue":"12","issued":{"date-parts":[["2003"]]},"page":"1489-1496","title":"Psychometric properties of the Impact of Event Scale - Revised","type":"article-journal","volume":"41"},"uris":["http://www.mendeley.com/documents/?uuid=2bc9d0a2-329d-48ea-a7c0-acb5ac869ea1","http://www.mendeley.com/documents/?uuid=c39c870a-523d-4484-a564-999e8d49b9da"]}],"mendeley":{"formattedCitation":"(Creamer, Bell, &amp; Failla, 2003)","plainTextFormattedCitation":"(Creamer, Bell, &amp; Failla, 2003)","previouslyFormattedCitation":"&lt;sup&gt;6&lt;/sup&gt;"},"properties":{"noteIndex":0},"schema":"https://github.com/citation-style-language/schema/raw/master/csl-citation.json"}</w:instrText>
            </w:r>
            <w:r w:rsidRPr="00F467BD">
              <w:rPr>
                <w:rFonts w:ascii="Times New Roman" w:hAnsi="Times New Roman" w:cs="Times New Roman"/>
                <w:sz w:val="16"/>
                <w:szCs w:val="16"/>
              </w:rPr>
              <w:fldChar w:fldCharType="separate"/>
            </w:r>
            <w:r w:rsidR="00352259" w:rsidRPr="00352259">
              <w:rPr>
                <w:rFonts w:ascii="Times New Roman" w:hAnsi="Times New Roman" w:cs="Times New Roman"/>
                <w:noProof/>
                <w:sz w:val="16"/>
                <w:szCs w:val="16"/>
              </w:rPr>
              <w:t>(Creamer, Bell, &amp; Failla, 2003)</w:t>
            </w:r>
            <w:r w:rsidRPr="00F467BD">
              <w:rPr>
                <w:rFonts w:ascii="Times New Roman" w:hAnsi="Times New Roman" w:cs="Times New Roman"/>
                <w:sz w:val="16"/>
                <w:szCs w:val="16"/>
              </w:rPr>
              <w:fldChar w:fldCharType="end"/>
            </w:r>
          </w:p>
        </w:tc>
        <w:tc>
          <w:tcPr>
            <w:tcW w:w="2410"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33</w:t>
            </w:r>
          </w:p>
        </w:tc>
        <w:tc>
          <w:tcPr>
            <w:tcW w:w="2835" w:type="dxa"/>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9</w:t>
            </w:r>
          </w:p>
        </w:tc>
      </w:tr>
      <w:tr w:rsidR="00EB0CB3" w:rsidRPr="00F467BD" w:rsidTr="007409A7">
        <w:tc>
          <w:tcPr>
            <w:tcW w:w="3544" w:type="dxa"/>
            <w:tcBorders>
              <w:bottom w:val="single" w:sz="4" w:space="0" w:color="auto"/>
            </w:tcBorders>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Social anxiety disorder</w:t>
            </w:r>
          </w:p>
        </w:tc>
        <w:tc>
          <w:tcPr>
            <w:tcW w:w="3544" w:type="dxa"/>
            <w:tcBorders>
              <w:bottom w:val="single" w:sz="4" w:space="0" w:color="auto"/>
            </w:tcBorders>
            <w:vAlign w:val="center"/>
          </w:tcPr>
          <w:p w:rsidR="00EB0CB3" w:rsidRPr="00F467BD" w:rsidRDefault="00EB0CB3" w:rsidP="007409A7">
            <w:pPr>
              <w:spacing w:line="360" w:lineRule="auto"/>
              <w:rPr>
                <w:rFonts w:ascii="Times New Roman" w:hAnsi="Times New Roman" w:cs="Times New Roman"/>
                <w:sz w:val="16"/>
                <w:szCs w:val="16"/>
              </w:rPr>
            </w:pPr>
            <w:r w:rsidRPr="00F467BD">
              <w:rPr>
                <w:rFonts w:ascii="Times New Roman" w:hAnsi="Times New Roman" w:cs="Times New Roman"/>
                <w:sz w:val="16"/>
                <w:szCs w:val="16"/>
              </w:rPr>
              <w:t>Social Phobia Inventory</w:t>
            </w:r>
            <w:r w:rsidRPr="00F467BD">
              <w:rPr>
                <w:rFonts w:ascii="Times New Roman" w:hAnsi="Times New Roman" w:cs="Times New Roman"/>
                <w:sz w:val="16"/>
                <w:szCs w:val="16"/>
              </w:rPr>
              <w:fldChar w:fldCharType="begin" w:fldLock="1"/>
            </w:r>
            <w:r w:rsidR="00352259">
              <w:rPr>
                <w:rFonts w:ascii="Times New Roman" w:hAnsi="Times New Roman" w:cs="Times New Roman"/>
                <w:sz w:val="16"/>
                <w:szCs w:val="16"/>
              </w:rPr>
              <w:instrText>ADDIN CSL_CITATION {"citationItems":[{"id":"ITEM-1","itemData":{"DOI":"10.1192/bjp.176.4.379","ISBN":"0007-1250","ISSN":"00071250","PMID":"10827888","abstract":"Background Of available self-rated social phobia scales, none assesses the spectrum of fear, avoidance, and physiological symptoms, all of which are clinically important. Because of this limitation, we developed the Social Phobia Inventory (SPIN).Aims To establish psychometric validation of the SPIN.Method Subjects from three clinical trials and two control groups were given the 17-item, self-rated SPIN. Validity was assessed against several established measures of social anxiety, global assessments of severity and improvement, and scales assessing physical health and disability.Results Good test—retest reliability, internal consistency, convergent and divergent validity were obtained. A SPIN score of 19 distinguished between social phobia subjects and controls. The SPIN was responsive to change in symptoms over time and reflected different responses to active drugs v. placebo. Factorial analysis identified five factors.Conclusions The SPIN demonstrates solid psychometric properties and shows promise as a measurement for the screening of, and treatment response to, social phobia.","author":[{"dropping-particle":"","family":"Connor","given":"Kathryn M.","non-dropping-particle":"","parse-names":false,"suffix":""},{"dropping-particle":"","family":"Davidson","given":"Jonathan R. T.","non-dropping-particle":"","parse-names":false,"suffix":""},{"dropping-particle":"","family":"Churchill","given":"L. Erik","non-dropping-particle":"","parse-names":false,"suffix":""},{"dropping-particle":"","family":"Sherwood","given":"Andrew","non-dropping-particle":"","parse-names":false,"suffix":""},{"dropping-particle":"","family":"Weisler","given":"Richard H.","non-dropping-particle":"","parse-names":false,"suffix":""},{"dropping-particle":"","family":"Foa","given":"Edna","non-dropping-particle":"","parse-names":false,"suffix":""}],"container-title":"The British Journal of Psychiatry","id":"ITEM-1","issue":"4","issued":{"date-parts":[["2000"]]},"page":"379 -386","title":"Psychometric properties of the Social Phobia Inventory (SPIN)","type":"article-journal","volume":"176"},"uris":["http://www.mendeley.com/documents/?uuid=d8dce00c-7d29-48ca-95b0-6a934b69150f"]}],"mendeley":{"formattedCitation":"(Connor et al., 2000)","plainTextFormattedCitation":"(Connor et al., 2000)","previouslyFormattedCitation":"&lt;sup&gt;7&lt;/sup&gt;"},"properties":{"noteIndex":0},"schema":"https://github.com/citation-style-language/schema/raw/master/csl-citation.json"}</w:instrText>
            </w:r>
            <w:r w:rsidRPr="00F467BD">
              <w:rPr>
                <w:rFonts w:ascii="Times New Roman" w:hAnsi="Times New Roman" w:cs="Times New Roman"/>
                <w:sz w:val="16"/>
                <w:szCs w:val="16"/>
              </w:rPr>
              <w:fldChar w:fldCharType="separate"/>
            </w:r>
            <w:r w:rsidR="00352259" w:rsidRPr="00352259">
              <w:rPr>
                <w:rFonts w:ascii="Times New Roman" w:hAnsi="Times New Roman" w:cs="Times New Roman"/>
                <w:noProof/>
                <w:sz w:val="16"/>
                <w:szCs w:val="16"/>
              </w:rPr>
              <w:t>(Connor et al., 2000)</w:t>
            </w:r>
            <w:r w:rsidRPr="00F467BD">
              <w:rPr>
                <w:rFonts w:ascii="Times New Roman" w:hAnsi="Times New Roman" w:cs="Times New Roman"/>
                <w:sz w:val="16"/>
                <w:szCs w:val="16"/>
              </w:rPr>
              <w:fldChar w:fldCharType="end"/>
            </w:r>
          </w:p>
        </w:tc>
        <w:tc>
          <w:tcPr>
            <w:tcW w:w="2410" w:type="dxa"/>
            <w:tcBorders>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19</w:t>
            </w:r>
          </w:p>
        </w:tc>
        <w:tc>
          <w:tcPr>
            <w:tcW w:w="2835" w:type="dxa"/>
            <w:tcBorders>
              <w:bottom w:val="single" w:sz="4" w:space="0" w:color="auto"/>
            </w:tcBorders>
            <w:vAlign w:val="center"/>
          </w:tcPr>
          <w:p w:rsidR="00EB0CB3" w:rsidRPr="00F467BD" w:rsidRDefault="00EB0CB3" w:rsidP="007409A7">
            <w:pPr>
              <w:spacing w:line="360" w:lineRule="auto"/>
              <w:jc w:val="center"/>
              <w:rPr>
                <w:rFonts w:ascii="Times New Roman" w:hAnsi="Times New Roman" w:cs="Times New Roman"/>
                <w:sz w:val="16"/>
                <w:szCs w:val="16"/>
              </w:rPr>
            </w:pPr>
            <w:r w:rsidRPr="00F467BD">
              <w:rPr>
                <w:rFonts w:ascii="Times New Roman" w:hAnsi="Times New Roman" w:cs="Times New Roman"/>
                <w:sz w:val="16"/>
                <w:szCs w:val="16"/>
              </w:rPr>
              <w:t>10</w:t>
            </w:r>
          </w:p>
        </w:tc>
      </w:tr>
    </w:tbl>
    <w:p w:rsidR="00EB0CB3" w:rsidRPr="00F467BD" w:rsidRDefault="00EB0CB3" w:rsidP="00EB0CB3">
      <w:pPr>
        <w:spacing w:line="360" w:lineRule="auto"/>
        <w:rPr>
          <w:rFonts w:ascii="Times New Roman" w:hAnsi="Times New Roman" w:cs="Times New Roman"/>
          <w:sz w:val="16"/>
          <w:szCs w:val="16"/>
        </w:rPr>
      </w:pPr>
    </w:p>
    <w:p w:rsidR="00EB0CB3" w:rsidRPr="00F467BD" w:rsidRDefault="00EB0CB3" w:rsidP="00EB0CB3">
      <w:pPr>
        <w:spacing w:line="360" w:lineRule="auto"/>
        <w:rPr>
          <w:rFonts w:ascii="Times New Roman" w:hAnsi="Times New Roman" w:cs="Times New Roman"/>
          <w:sz w:val="16"/>
          <w:szCs w:val="16"/>
        </w:rPr>
      </w:pPr>
      <w:r w:rsidRPr="00F467BD">
        <w:rPr>
          <w:rFonts w:ascii="Times New Roman" w:hAnsi="Times New Roman" w:cs="Times New Roman"/>
          <w:sz w:val="16"/>
          <w:szCs w:val="16"/>
        </w:rPr>
        <w:t>Supplementary Table 1 presents the recommended Anxiety Disorder Specific Measures (ADSMs) used in IAPT services for each anxiety disorder problem descriptor. The table also includes the threshold which indicates clinical caseness on each measure as well as the number of points of change on the measure which are used to indicate reliable change (improvement/deterioration). Note that the PDSS does not have a threshold for caseness or reliable change and instead the GAD-7 is used in the calculation of key IAPT outcomes for these individuals.</w:t>
      </w:r>
    </w:p>
    <w:p w:rsidR="009630A8" w:rsidRDefault="00F467BD" w:rsidP="00F467BD">
      <w:pPr>
        <w:pStyle w:val="Heading3"/>
      </w:pPr>
      <w:r>
        <w:t>Sensitivity Analyses</w:t>
      </w:r>
    </w:p>
    <w:p w:rsidR="009630A8" w:rsidRDefault="009630A8" w:rsidP="009630A8">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Supplementary Table 2. </w:t>
      </w:r>
      <w:r>
        <w:rPr>
          <w:rFonts w:ascii="Times New Roman" w:hAnsi="Times New Roman" w:cs="Times New Roman"/>
          <w:sz w:val="16"/>
          <w:szCs w:val="16"/>
        </w:rPr>
        <w:t>Associations between</w:t>
      </w:r>
      <w:r w:rsidRPr="00F14FFD">
        <w:rPr>
          <w:rFonts w:ascii="Times New Roman" w:hAnsi="Times New Roman" w:cs="Times New Roman"/>
          <w:sz w:val="16"/>
          <w:szCs w:val="16"/>
        </w:rPr>
        <w:t xml:space="preserve"> each outcome </w:t>
      </w:r>
      <w:r>
        <w:rPr>
          <w:rFonts w:ascii="Times New Roman" w:hAnsi="Times New Roman" w:cs="Times New Roman"/>
          <w:sz w:val="16"/>
          <w:szCs w:val="16"/>
        </w:rPr>
        <w:t xml:space="preserve">and </w:t>
      </w:r>
      <w:r w:rsidRPr="00F14FFD">
        <w:rPr>
          <w:rFonts w:ascii="Times New Roman" w:hAnsi="Times New Roman" w:cs="Times New Roman"/>
          <w:sz w:val="16"/>
          <w:szCs w:val="16"/>
        </w:rPr>
        <w:t xml:space="preserve">NEET </w:t>
      </w:r>
      <w:r>
        <w:rPr>
          <w:rFonts w:ascii="Times New Roman" w:hAnsi="Times New Roman" w:cs="Times New Roman"/>
          <w:sz w:val="16"/>
          <w:szCs w:val="16"/>
        </w:rPr>
        <w:t>status</w:t>
      </w:r>
      <w:r w:rsidRPr="00F14FFD">
        <w:rPr>
          <w:rFonts w:ascii="Times New Roman" w:hAnsi="Times New Roman" w:cs="Times New Roman"/>
          <w:sz w:val="16"/>
          <w:szCs w:val="16"/>
        </w:rPr>
        <w:t xml:space="preserve">, </w:t>
      </w:r>
      <w:r>
        <w:rPr>
          <w:rFonts w:ascii="Times New Roman" w:hAnsi="Times New Roman" w:cs="Times New Roman"/>
          <w:sz w:val="16"/>
          <w:szCs w:val="16"/>
        </w:rPr>
        <w:t>with and without mixed effects modelling to account for potential service level clustering</w:t>
      </w:r>
      <w:r w:rsidR="00324239" w:rsidRPr="00324239">
        <w:rPr>
          <w:rFonts w:ascii="Times New Roman" w:hAnsi="Times New Roman" w:cs="Times New Roman"/>
          <w:color w:val="1C1D1E"/>
          <w:sz w:val="16"/>
          <w:szCs w:val="16"/>
          <w:shd w:val="clear" w:color="auto" w:fill="FFFFFF"/>
          <w:vertAlign w:val="superscript"/>
        </w:rPr>
        <w:t>¶</w:t>
      </w:r>
      <w:r w:rsidR="00ED130B">
        <w:rPr>
          <w:rFonts w:ascii="Times New Roman" w:hAnsi="Times New Roman" w:cs="Times New Roman"/>
          <w:sz w:val="16"/>
          <w:szCs w:val="16"/>
        </w:rPr>
        <w:t>, using observed data only</w:t>
      </w:r>
      <w:r w:rsidR="00ED130B" w:rsidRPr="00F14FFD">
        <w:rPr>
          <w:rFonts w:ascii="Times New Roman" w:hAnsi="Times New Roman" w:cs="Times New Roman"/>
          <w:sz w:val="16"/>
          <w:szCs w:val="16"/>
        </w:rPr>
        <w:t>.</w:t>
      </w:r>
    </w:p>
    <w:tbl>
      <w:tblPr>
        <w:tblW w:w="7513" w:type="dxa"/>
        <w:tblLook w:val="04A0" w:firstRow="1" w:lastRow="0" w:firstColumn="1" w:lastColumn="0" w:noHBand="0" w:noVBand="1"/>
      </w:tblPr>
      <w:tblGrid>
        <w:gridCol w:w="2280"/>
        <w:gridCol w:w="2180"/>
        <w:gridCol w:w="3053"/>
      </w:tblGrid>
      <w:tr w:rsidR="00ED130B" w:rsidRPr="00ED130B" w:rsidTr="00ED130B">
        <w:trPr>
          <w:trHeight w:val="288"/>
        </w:trPr>
        <w:tc>
          <w:tcPr>
            <w:tcW w:w="2280" w:type="dxa"/>
            <w:tcBorders>
              <w:top w:val="single" w:sz="8" w:space="0" w:color="auto"/>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 </w:t>
            </w:r>
          </w:p>
        </w:tc>
        <w:tc>
          <w:tcPr>
            <w:tcW w:w="5233" w:type="dxa"/>
            <w:gridSpan w:val="2"/>
            <w:tcBorders>
              <w:top w:val="single" w:sz="8" w:space="0" w:color="auto"/>
              <w:left w:val="nil"/>
              <w:bottom w:val="nil"/>
              <w:right w:val="nil"/>
            </w:tcBorders>
            <w:shd w:val="clear" w:color="auto" w:fill="auto"/>
            <w:noWrap/>
            <w:vAlign w:val="bottom"/>
            <w:hideMark/>
          </w:tcPr>
          <w:p w:rsidR="00ED130B" w:rsidRPr="00ED130B" w:rsidRDefault="00ED130B" w:rsidP="00ED130B">
            <w:pPr>
              <w:spacing w:after="0" w:line="240" w:lineRule="auto"/>
              <w:jc w:val="center"/>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Model</w:t>
            </w:r>
          </w:p>
        </w:tc>
      </w:tr>
      <w:tr w:rsidR="00ED130B" w:rsidRPr="00ED130B" w:rsidTr="00ED130B">
        <w:trPr>
          <w:trHeight w:val="444"/>
        </w:trPr>
        <w:tc>
          <w:tcPr>
            <w:tcW w:w="2280" w:type="dxa"/>
            <w:tcBorders>
              <w:top w:val="nil"/>
              <w:left w:val="nil"/>
              <w:bottom w:val="single" w:sz="8" w:space="0" w:color="auto"/>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Outcome Variable</w:t>
            </w:r>
          </w:p>
        </w:tc>
        <w:tc>
          <w:tcPr>
            <w:tcW w:w="2180" w:type="dxa"/>
            <w:tcBorders>
              <w:top w:val="nil"/>
              <w:left w:val="nil"/>
              <w:bottom w:val="single" w:sz="8" w:space="0" w:color="auto"/>
              <w:right w:val="nil"/>
            </w:tcBorders>
            <w:shd w:val="clear" w:color="auto" w:fill="auto"/>
            <w:vAlign w:val="bottom"/>
            <w:hideMark/>
          </w:tcPr>
          <w:p w:rsidR="00ED130B" w:rsidRPr="00ED130B" w:rsidRDefault="00ED130B" w:rsidP="00ED130B">
            <w:pPr>
              <w:spacing w:after="0" w:line="240" w:lineRule="auto"/>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Original Analysis</w:t>
            </w:r>
          </w:p>
        </w:tc>
        <w:tc>
          <w:tcPr>
            <w:tcW w:w="3053" w:type="dxa"/>
            <w:tcBorders>
              <w:top w:val="nil"/>
              <w:left w:val="nil"/>
              <w:bottom w:val="single" w:sz="8" w:space="0" w:color="auto"/>
              <w:right w:val="nil"/>
            </w:tcBorders>
            <w:shd w:val="clear" w:color="auto" w:fill="auto"/>
            <w:vAlign w:val="bottom"/>
            <w:hideMark/>
          </w:tcPr>
          <w:p w:rsidR="00ED130B" w:rsidRPr="00ED130B" w:rsidRDefault="00ED130B" w:rsidP="00ED130B">
            <w:pPr>
              <w:spacing w:after="0" w:line="240" w:lineRule="auto"/>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Mixed Effects Model Analysis</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b/>
                <w:bCs/>
                <w:color w:val="000000"/>
                <w:sz w:val="16"/>
                <w:szCs w:val="16"/>
                <w:lang w:eastAsia="en-GB"/>
              </w:rPr>
            </w:pPr>
          </w:p>
        </w:tc>
        <w:tc>
          <w:tcPr>
            <w:tcW w:w="5233" w:type="dxa"/>
            <w:gridSpan w:val="2"/>
            <w:tcBorders>
              <w:top w:val="single" w:sz="8" w:space="0" w:color="auto"/>
              <w:left w:val="nil"/>
              <w:bottom w:val="nil"/>
              <w:right w:val="nil"/>
            </w:tcBorders>
            <w:shd w:val="clear" w:color="auto" w:fill="auto"/>
            <w:noWrap/>
            <w:vAlign w:val="bottom"/>
            <w:hideMark/>
          </w:tcPr>
          <w:p w:rsidR="00ED130B" w:rsidRPr="00ED130B" w:rsidRDefault="00ED130B" w:rsidP="00ED130B">
            <w:pPr>
              <w:spacing w:after="0" w:line="240" w:lineRule="auto"/>
              <w:jc w:val="center"/>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OR(95%CI)</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Reliable Recovery</w:t>
            </w:r>
          </w:p>
        </w:tc>
        <w:tc>
          <w:tcPr>
            <w:tcW w:w="21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0.68(0.62 to 0.74)</w:t>
            </w:r>
          </w:p>
        </w:tc>
        <w:tc>
          <w:tcPr>
            <w:tcW w:w="3053"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0.69(0.63 to 0.75)</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Reliable Improvement</w:t>
            </w:r>
          </w:p>
        </w:tc>
        <w:tc>
          <w:tcPr>
            <w:tcW w:w="21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0.68(0.62 to 0.74)</w:t>
            </w:r>
          </w:p>
        </w:tc>
        <w:tc>
          <w:tcPr>
            <w:tcW w:w="3053"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0.68(0.63 to 0.74)</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Reliable Deterioration</w:t>
            </w:r>
          </w:p>
        </w:tc>
        <w:tc>
          <w:tcPr>
            <w:tcW w:w="21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1.40(1.20 to 1.60)</w:t>
            </w:r>
          </w:p>
        </w:tc>
        <w:tc>
          <w:tcPr>
            <w:tcW w:w="3053"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1.40(1.22 to 1.61)</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Attrition</w:t>
            </w:r>
          </w:p>
        </w:tc>
        <w:tc>
          <w:tcPr>
            <w:tcW w:w="21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1.30(1.16 to 1.43)</w:t>
            </w:r>
          </w:p>
        </w:tc>
        <w:tc>
          <w:tcPr>
            <w:tcW w:w="3053"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1.28(1.15 to 1.42)</w:t>
            </w:r>
          </w:p>
        </w:tc>
      </w:tr>
      <w:tr w:rsidR="00ED130B" w:rsidRPr="00ED130B" w:rsidTr="00ED130B">
        <w:trPr>
          <w:trHeight w:val="288"/>
        </w:trPr>
        <w:tc>
          <w:tcPr>
            <w:tcW w:w="2280" w:type="dxa"/>
            <w:tcBorders>
              <w:top w:val="nil"/>
              <w:left w:val="nil"/>
              <w:bottom w:val="nil"/>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p>
        </w:tc>
        <w:tc>
          <w:tcPr>
            <w:tcW w:w="5233" w:type="dxa"/>
            <w:gridSpan w:val="2"/>
            <w:tcBorders>
              <w:top w:val="nil"/>
              <w:left w:val="nil"/>
              <w:bottom w:val="nil"/>
              <w:right w:val="nil"/>
            </w:tcBorders>
            <w:shd w:val="clear" w:color="auto" w:fill="auto"/>
            <w:noWrap/>
            <w:vAlign w:val="bottom"/>
            <w:hideMark/>
          </w:tcPr>
          <w:p w:rsidR="00ED130B" w:rsidRPr="00ED130B" w:rsidRDefault="00ED130B" w:rsidP="00ED130B">
            <w:pPr>
              <w:spacing w:after="0" w:line="240" w:lineRule="auto"/>
              <w:jc w:val="center"/>
              <w:rPr>
                <w:rFonts w:ascii="Times New Roman" w:eastAsia="Times New Roman" w:hAnsi="Times New Roman" w:cs="Times New Roman"/>
                <w:b/>
                <w:bCs/>
                <w:color w:val="000000"/>
                <w:sz w:val="16"/>
                <w:szCs w:val="16"/>
                <w:lang w:eastAsia="en-GB"/>
              </w:rPr>
            </w:pPr>
            <w:r w:rsidRPr="00ED130B">
              <w:rPr>
                <w:rFonts w:ascii="Times New Roman" w:eastAsia="Times New Roman" w:hAnsi="Times New Roman" w:cs="Times New Roman"/>
                <w:b/>
                <w:bCs/>
                <w:color w:val="000000"/>
                <w:sz w:val="16"/>
                <w:szCs w:val="16"/>
                <w:lang w:eastAsia="en-GB"/>
              </w:rPr>
              <w:t>Beta(95%CI), p-value</w:t>
            </w:r>
          </w:p>
        </w:tc>
      </w:tr>
      <w:tr w:rsidR="00ED130B" w:rsidRPr="00ED130B" w:rsidTr="00ED130B">
        <w:trPr>
          <w:trHeight w:val="300"/>
        </w:trPr>
        <w:tc>
          <w:tcPr>
            <w:tcW w:w="2280" w:type="dxa"/>
            <w:tcBorders>
              <w:top w:val="nil"/>
              <w:left w:val="nil"/>
              <w:bottom w:val="single" w:sz="8" w:space="0" w:color="auto"/>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Engagement</w:t>
            </w:r>
          </w:p>
        </w:tc>
        <w:tc>
          <w:tcPr>
            <w:tcW w:w="2180" w:type="dxa"/>
            <w:tcBorders>
              <w:top w:val="nil"/>
              <w:left w:val="nil"/>
              <w:bottom w:val="single" w:sz="8" w:space="0" w:color="auto"/>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-0.03(-0.03 to -0.02)</w:t>
            </w:r>
            <w:r>
              <w:rPr>
                <w:rFonts w:ascii="Times New Roman" w:eastAsia="Times New Roman" w:hAnsi="Times New Roman" w:cs="Times New Roman"/>
                <w:color w:val="000000"/>
                <w:sz w:val="16"/>
                <w:szCs w:val="16"/>
                <w:lang w:eastAsia="en-GB"/>
              </w:rPr>
              <w:t>, p&lt;.001</w:t>
            </w:r>
          </w:p>
        </w:tc>
        <w:tc>
          <w:tcPr>
            <w:tcW w:w="3053" w:type="dxa"/>
            <w:tcBorders>
              <w:top w:val="nil"/>
              <w:left w:val="nil"/>
              <w:bottom w:val="single" w:sz="8" w:space="0" w:color="auto"/>
              <w:right w:val="nil"/>
            </w:tcBorders>
            <w:shd w:val="clear" w:color="auto" w:fill="auto"/>
            <w:noWrap/>
            <w:vAlign w:val="bottom"/>
            <w:hideMark/>
          </w:tcPr>
          <w:p w:rsidR="00ED130B" w:rsidRPr="00ED130B" w:rsidRDefault="00ED130B" w:rsidP="00ED130B">
            <w:pPr>
              <w:spacing w:after="0" w:line="240" w:lineRule="auto"/>
              <w:rPr>
                <w:rFonts w:ascii="Times New Roman" w:eastAsia="Times New Roman" w:hAnsi="Times New Roman" w:cs="Times New Roman"/>
                <w:color w:val="000000"/>
                <w:sz w:val="16"/>
                <w:szCs w:val="16"/>
                <w:lang w:eastAsia="en-GB"/>
              </w:rPr>
            </w:pPr>
            <w:r w:rsidRPr="00ED130B">
              <w:rPr>
                <w:rFonts w:ascii="Times New Roman" w:eastAsia="Times New Roman" w:hAnsi="Times New Roman" w:cs="Times New Roman"/>
                <w:color w:val="000000"/>
                <w:sz w:val="16"/>
                <w:szCs w:val="16"/>
                <w:lang w:eastAsia="en-GB"/>
              </w:rPr>
              <w:t>-0.03(-0.04 to -0.02), p&lt;.001</w:t>
            </w:r>
          </w:p>
        </w:tc>
      </w:tr>
    </w:tbl>
    <w:p w:rsidR="00ED130B" w:rsidRPr="00F11C91" w:rsidRDefault="00324239" w:rsidP="00ED130B">
      <w:pPr>
        <w:spacing w:after="0" w:line="240" w:lineRule="auto"/>
        <w:rPr>
          <w:rFonts w:ascii="Times New Roman" w:hAnsi="Times New Roman" w:cs="Times New Roman"/>
          <w:sz w:val="16"/>
          <w:szCs w:val="16"/>
        </w:rPr>
      </w:pPr>
      <w:r w:rsidRPr="00324239">
        <w:rPr>
          <w:rFonts w:ascii="Times New Roman" w:hAnsi="Times New Roman" w:cs="Times New Roman"/>
          <w:color w:val="1C1D1E"/>
          <w:sz w:val="16"/>
          <w:szCs w:val="16"/>
          <w:shd w:val="clear" w:color="auto" w:fill="FFFFFF"/>
          <w:vertAlign w:val="superscript"/>
        </w:rPr>
        <w:t>¶</w:t>
      </w:r>
      <w:r w:rsidR="00ED130B" w:rsidRPr="00324239">
        <w:rPr>
          <w:rFonts w:ascii="Times New Roman" w:hAnsi="Times New Roman" w:cs="Times New Roman"/>
          <w:sz w:val="16"/>
          <w:szCs w:val="16"/>
        </w:rPr>
        <w:t>A</w:t>
      </w:r>
      <w:r w:rsidR="00ED130B" w:rsidRPr="00F11C91">
        <w:rPr>
          <w:rFonts w:ascii="Times New Roman" w:hAnsi="Times New Roman" w:cs="Times New Roman"/>
          <w:sz w:val="16"/>
          <w:szCs w:val="16"/>
        </w:rPr>
        <w:t xml:space="preserve">ll models adjusted for </w:t>
      </w:r>
      <w:r w:rsidR="00ED130B" w:rsidRPr="00F11C91">
        <w:rPr>
          <w:rFonts w:ascii="Times New Roman" w:eastAsia="Times New Roman" w:hAnsi="Times New Roman" w:cs="Times New Roman"/>
          <w:sz w:val="16"/>
          <w:szCs w:val="16"/>
          <w:lang w:eastAsia="en-GB"/>
        </w:rPr>
        <w:t xml:space="preserve">PHQ-9 scores, GAD-7 scores, W&amp;SAS items 2-5 scores, IAPT phobias scale item scores, psychotropic medication, diagnosis, </w:t>
      </w:r>
      <w:r w:rsidR="00ED130B" w:rsidRPr="00F11C91">
        <w:rPr>
          <w:rFonts w:ascii="Times New Roman" w:eastAsia="Times New Roman" w:hAnsi="Times New Roman" w:cs="Times New Roman"/>
          <w:bCs/>
          <w:sz w:val="16"/>
          <w:szCs w:val="16"/>
          <w:lang w:eastAsia="en-GB"/>
        </w:rPr>
        <w:t>gender, age, ethnicity, IMD decile, long-term conditions,  number of LI sessions, number of HI sessions, days between referral and assessment, days between assessment and starting treatment, year and month of first appointme</w:t>
      </w:r>
      <w:r w:rsidR="00ED130B">
        <w:rPr>
          <w:rFonts w:ascii="Times New Roman" w:eastAsia="Times New Roman" w:hAnsi="Times New Roman" w:cs="Times New Roman"/>
          <w:bCs/>
          <w:sz w:val="16"/>
          <w:szCs w:val="16"/>
          <w:lang w:eastAsia="en-GB"/>
        </w:rPr>
        <w:t>nt, and service data came from.</w:t>
      </w:r>
    </w:p>
    <w:p w:rsidR="009630A8" w:rsidRDefault="009630A8" w:rsidP="009630A8">
      <w:pPr>
        <w:spacing w:after="0" w:line="240" w:lineRule="auto"/>
        <w:rPr>
          <w:rFonts w:ascii="Times New Roman" w:hAnsi="Times New Roman" w:cs="Times New Roman"/>
          <w:b/>
          <w:sz w:val="16"/>
          <w:szCs w:val="16"/>
        </w:rPr>
      </w:pPr>
    </w:p>
    <w:p w:rsidR="00F467BD" w:rsidRDefault="00F467BD" w:rsidP="00F467BD">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Supplementary </w:t>
      </w:r>
      <w:r w:rsidRPr="00F14FFD">
        <w:rPr>
          <w:rFonts w:ascii="Times New Roman" w:hAnsi="Times New Roman" w:cs="Times New Roman"/>
          <w:b/>
          <w:sz w:val="16"/>
          <w:szCs w:val="16"/>
        </w:rPr>
        <w:t xml:space="preserve">Table </w:t>
      </w:r>
      <w:r w:rsidR="009630A8">
        <w:rPr>
          <w:rFonts w:ascii="Times New Roman" w:hAnsi="Times New Roman" w:cs="Times New Roman"/>
          <w:b/>
          <w:sz w:val="16"/>
          <w:szCs w:val="16"/>
        </w:rPr>
        <w:t>3</w:t>
      </w:r>
      <w:r w:rsidRPr="00F14FFD">
        <w:rPr>
          <w:rFonts w:ascii="Times New Roman" w:hAnsi="Times New Roman" w:cs="Times New Roman"/>
          <w:b/>
          <w:sz w:val="16"/>
          <w:szCs w:val="16"/>
        </w:rPr>
        <w:t xml:space="preserve">. </w:t>
      </w:r>
      <w:r>
        <w:rPr>
          <w:rFonts w:ascii="Times New Roman" w:hAnsi="Times New Roman" w:cs="Times New Roman"/>
          <w:sz w:val="16"/>
          <w:szCs w:val="16"/>
        </w:rPr>
        <w:t>Associations between</w:t>
      </w:r>
      <w:r w:rsidRPr="00F14FFD">
        <w:rPr>
          <w:rFonts w:ascii="Times New Roman" w:hAnsi="Times New Roman" w:cs="Times New Roman"/>
          <w:sz w:val="16"/>
          <w:szCs w:val="16"/>
        </w:rPr>
        <w:t xml:space="preserve"> each outcome </w:t>
      </w:r>
      <w:r>
        <w:rPr>
          <w:rFonts w:ascii="Times New Roman" w:hAnsi="Times New Roman" w:cs="Times New Roman"/>
          <w:sz w:val="16"/>
          <w:szCs w:val="16"/>
        </w:rPr>
        <w:t xml:space="preserve">and </w:t>
      </w:r>
      <w:r w:rsidRPr="00F14FFD">
        <w:rPr>
          <w:rFonts w:ascii="Times New Roman" w:hAnsi="Times New Roman" w:cs="Times New Roman"/>
          <w:sz w:val="16"/>
          <w:szCs w:val="16"/>
        </w:rPr>
        <w:t xml:space="preserve">NEET </w:t>
      </w:r>
      <w:r>
        <w:rPr>
          <w:rFonts w:ascii="Times New Roman" w:hAnsi="Times New Roman" w:cs="Times New Roman"/>
          <w:sz w:val="16"/>
          <w:szCs w:val="16"/>
        </w:rPr>
        <w:t>status</w:t>
      </w:r>
      <w:r w:rsidRPr="00F14FFD">
        <w:rPr>
          <w:rFonts w:ascii="Times New Roman" w:hAnsi="Times New Roman" w:cs="Times New Roman"/>
          <w:sz w:val="16"/>
          <w:szCs w:val="16"/>
        </w:rPr>
        <w:t xml:space="preserve">, crude and adjusted for </w:t>
      </w:r>
      <w:r>
        <w:rPr>
          <w:rFonts w:ascii="Times New Roman" w:hAnsi="Times New Roman" w:cs="Times New Roman"/>
          <w:sz w:val="16"/>
          <w:szCs w:val="16"/>
        </w:rPr>
        <w:t>increasing numbers of potential confounding factors, using observed data only</w:t>
      </w:r>
      <w:r w:rsidRPr="00F14FFD">
        <w:rPr>
          <w:rFonts w:ascii="Times New Roman" w:hAnsi="Times New Roman" w:cs="Times New Roman"/>
          <w:sz w:val="16"/>
          <w:szCs w:val="16"/>
        </w:rPr>
        <w:t>.</w:t>
      </w:r>
    </w:p>
    <w:tbl>
      <w:tblPr>
        <w:tblpPr w:leftFromText="180" w:rightFromText="180" w:horzAnchor="margin" w:tblpY="540"/>
        <w:tblW w:w="15309" w:type="dxa"/>
        <w:tblLayout w:type="fixed"/>
        <w:tblLook w:val="04A0" w:firstRow="1" w:lastRow="0" w:firstColumn="1" w:lastColumn="0" w:noHBand="0" w:noVBand="1"/>
      </w:tblPr>
      <w:tblGrid>
        <w:gridCol w:w="1732"/>
        <w:gridCol w:w="2218"/>
        <w:gridCol w:w="2292"/>
        <w:gridCol w:w="2263"/>
        <w:gridCol w:w="2268"/>
        <w:gridCol w:w="2268"/>
        <w:gridCol w:w="2268"/>
      </w:tblGrid>
      <w:tr w:rsidR="00F467BD" w:rsidRPr="002737CB" w:rsidTr="007409A7">
        <w:trPr>
          <w:trHeight w:val="288"/>
        </w:trPr>
        <w:tc>
          <w:tcPr>
            <w:tcW w:w="1732" w:type="dxa"/>
            <w:tcBorders>
              <w:top w:val="single" w:sz="8" w:space="0" w:color="auto"/>
              <w:left w:val="nil"/>
              <w:bottom w:val="nil"/>
              <w:right w:val="nil"/>
            </w:tcBorders>
            <w:shd w:val="clear" w:color="auto" w:fill="auto"/>
            <w:noWrap/>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lastRenderedPageBreak/>
              <w:t> </w:t>
            </w:r>
          </w:p>
        </w:tc>
        <w:tc>
          <w:tcPr>
            <w:tcW w:w="13577" w:type="dxa"/>
            <w:gridSpan w:val="6"/>
            <w:tcBorders>
              <w:top w:val="single" w:sz="8" w:space="0" w:color="auto"/>
              <w:left w:val="nil"/>
              <w:bottom w:val="nil"/>
              <w:right w:val="nil"/>
            </w:tcBorders>
            <w:shd w:val="clear" w:color="auto" w:fill="auto"/>
            <w:noWrap/>
            <w:vAlign w:val="bottom"/>
            <w:hideMark/>
          </w:tcPr>
          <w:p w:rsidR="00F467BD" w:rsidRPr="002737CB" w:rsidRDefault="00F467BD" w:rsidP="007409A7">
            <w:pPr>
              <w:spacing w:after="0" w:line="240" w:lineRule="auto"/>
              <w:jc w:val="center"/>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Model</w:t>
            </w:r>
          </w:p>
        </w:tc>
      </w:tr>
      <w:tr w:rsidR="00F467BD" w:rsidRPr="002737CB" w:rsidTr="007409A7">
        <w:trPr>
          <w:trHeight w:val="393"/>
        </w:trPr>
        <w:tc>
          <w:tcPr>
            <w:tcW w:w="1732"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Outcome Variable</w:t>
            </w:r>
          </w:p>
        </w:tc>
        <w:tc>
          <w:tcPr>
            <w:tcW w:w="2218"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Crude Effects</w:t>
            </w:r>
          </w:p>
        </w:tc>
        <w:tc>
          <w:tcPr>
            <w:tcW w:w="2292"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Adjusted for Clinical Factors</w:t>
            </w:r>
            <w:r w:rsidR="001A58C6" w:rsidRPr="001A58C6">
              <w:rPr>
                <w:rFonts w:ascii="Times New Roman" w:hAnsi="Times New Roman" w:cs="Times New Roman"/>
                <w:color w:val="1C1D1E"/>
                <w:sz w:val="16"/>
                <w:szCs w:val="16"/>
                <w:shd w:val="clear" w:color="auto" w:fill="FFFFFF"/>
                <w:vertAlign w:val="superscript"/>
              </w:rPr>
              <w:t>†</w:t>
            </w:r>
          </w:p>
        </w:tc>
        <w:tc>
          <w:tcPr>
            <w:tcW w:w="2263"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Additionally Adjusted for socio-demographics</w:t>
            </w:r>
            <w:r w:rsidR="001A58C6" w:rsidRPr="001A58C6">
              <w:rPr>
                <w:rFonts w:ascii="Times New Roman" w:hAnsi="Times New Roman" w:cs="Times New Roman"/>
                <w:color w:val="1C1D1E"/>
                <w:sz w:val="16"/>
                <w:szCs w:val="16"/>
                <w:shd w:val="clear" w:color="auto" w:fill="FFFFFF"/>
                <w:vertAlign w:val="superscript"/>
              </w:rPr>
              <w:t>‡</w:t>
            </w:r>
          </w:p>
        </w:tc>
        <w:tc>
          <w:tcPr>
            <w:tcW w:w="2268"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Additionally adjusted for treatment factors</w:t>
            </w:r>
            <w:r w:rsidR="001114BF" w:rsidRPr="001114BF">
              <w:rPr>
                <w:rFonts w:ascii="Times New Roman" w:hAnsi="Times New Roman" w:cs="Times New Roman"/>
                <w:color w:val="1C1D1E"/>
                <w:sz w:val="16"/>
                <w:szCs w:val="16"/>
                <w:shd w:val="clear" w:color="auto" w:fill="FFFFFF"/>
                <w:vertAlign w:val="superscript"/>
              </w:rPr>
              <w:t>§</w:t>
            </w:r>
          </w:p>
        </w:tc>
        <w:tc>
          <w:tcPr>
            <w:tcW w:w="2268"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Additionally adjusted for cohort factors</w:t>
            </w:r>
            <w:r w:rsidRPr="00EC4C6E">
              <w:rPr>
                <w:rFonts w:ascii="Times New Roman" w:eastAsia="Times New Roman" w:hAnsi="Times New Roman" w:cs="Times New Roman"/>
                <w:b/>
                <w:bCs/>
                <w:sz w:val="16"/>
                <w:szCs w:val="16"/>
                <w:vertAlign w:val="superscript"/>
                <w:lang w:eastAsia="en-GB"/>
              </w:rPr>
              <w:t>⸹</w:t>
            </w:r>
          </w:p>
        </w:tc>
        <w:tc>
          <w:tcPr>
            <w:tcW w:w="2268" w:type="dxa"/>
            <w:tcBorders>
              <w:top w:val="nil"/>
              <w:left w:val="nil"/>
              <w:bottom w:val="single" w:sz="8" w:space="0" w:color="auto"/>
              <w:right w:val="nil"/>
            </w:tcBorders>
            <w:shd w:val="clear" w:color="auto" w:fill="auto"/>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Additionally adjusted for service factors</w:t>
            </w:r>
            <w:r w:rsidR="00324239" w:rsidRPr="00324239">
              <w:rPr>
                <w:rFonts w:ascii="Times New Roman" w:hAnsi="Times New Roman" w:cs="Times New Roman"/>
                <w:color w:val="1C1D1E"/>
                <w:sz w:val="16"/>
                <w:szCs w:val="16"/>
                <w:shd w:val="clear" w:color="auto" w:fill="FFFFFF"/>
                <w:vertAlign w:val="superscript"/>
              </w:rPr>
              <w:t>¶</w:t>
            </w:r>
          </w:p>
        </w:tc>
      </w:tr>
      <w:tr w:rsidR="00F467BD" w:rsidRPr="002737CB" w:rsidTr="007409A7">
        <w:trPr>
          <w:trHeight w:val="288"/>
        </w:trPr>
        <w:tc>
          <w:tcPr>
            <w:tcW w:w="1732" w:type="dxa"/>
            <w:tcBorders>
              <w:top w:val="nil"/>
              <w:left w:val="nil"/>
              <w:bottom w:val="nil"/>
              <w:right w:val="nil"/>
            </w:tcBorders>
            <w:shd w:val="clear" w:color="auto" w:fill="auto"/>
            <w:noWrap/>
            <w:vAlign w:val="bottom"/>
            <w:hideMark/>
          </w:tcPr>
          <w:p w:rsidR="00F467BD" w:rsidRPr="002737CB" w:rsidRDefault="00F467BD" w:rsidP="007409A7">
            <w:pPr>
              <w:spacing w:after="0" w:line="240" w:lineRule="auto"/>
              <w:rPr>
                <w:rFonts w:ascii="Times New Roman" w:eastAsia="Times New Roman" w:hAnsi="Times New Roman" w:cs="Times New Roman"/>
                <w:b/>
                <w:bCs/>
                <w:sz w:val="16"/>
                <w:szCs w:val="16"/>
                <w:lang w:eastAsia="en-GB"/>
              </w:rPr>
            </w:pPr>
          </w:p>
        </w:tc>
        <w:tc>
          <w:tcPr>
            <w:tcW w:w="13577" w:type="dxa"/>
            <w:gridSpan w:val="6"/>
            <w:tcBorders>
              <w:top w:val="nil"/>
              <w:left w:val="nil"/>
              <w:bottom w:val="nil"/>
              <w:right w:val="nil"/>
            </w:tcBorders>
            <w:shd w:val="clear" w:color="auto" w:fill="auto"/>
            <w:noWrap/>
            <w:vAlign w:val="bottom"/>
            <w:hideMark/>
          </w:tcPr>
          <w:p w:rsidR="00F467BD" w:rsidRPr="002737CB" w:rsidRDefault="00F467BD" w:rsidP="007409A7">
            <w:pPr>
              <w:spacing w:after="0" w:line="240" w:lineRule="auto"/>
              <w:jc w:val="center"/>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OR(95%CI)</w:t>
            </w:r>
          </w:p>
        </w:tc>
      </w:tr>
      <w:tr w:rsidR="007D2378" w:rsidRPr="002737CB" w:rsidTr="00426A6C">
        <w:trPr>
          <w:trHeight w:val="270"/>
        </w:trPr>
        <w:tc>
          <w:tcPr>
            <w:tcW w:w="1732" w:type="dxa"/>
            <w:tcBorders>
              <w:top w:val="nil"/>
              <w:left w:val="nil"/>
              <w:bottom w:val="nil"/>
              <w:right w:val="nil"/>
            </w:tcBorders>
            <w:shd w:val="clear" w:color="auto" w:fill="auto"/>
            <w:noWrap/>
            <w:hideMark/>
          </w:tcPr>
          <w:p w:rsidR="007D2378" w:rsidRPr="002737CB" w:rsidRDefault="007D2378"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Reliable Recovery</w:t>
            </w:r>
          </w:p>
        </w:tc>
        <w:tc>
          <w:tcPr>
            <w:tcW w:w="221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0.57(0.53 to 0.61)</w:t>
            </w:r>
          </w:p>
        </w:tc>
        <w:tc>
          <w:tcPr>
            <w:tcW w:w="2292"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0.68(0.62 to 0.73)</w:t>
            </w:r>
          </w:p>
        </w:tc>
        <w:tc>
          <w:tcPr>
            <w:tcW w:w="2263"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0.67(0.62 to 0.73)</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0.7(0.64 to 0.76)</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0.71(0.65 to 0.77)</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0.68(0.62 to 0.74)</w:t>
            </w:r>
          </w:p>
        </w:tc>
      </w:tr>
      <w:tr w:rsidR="007D2378" w:rsidRPr="002737CB" w:rsidTr="00426A6C">
        <w:trPr>
          <w:trHeight w:val="288"/>
        </w:trPr>
        <w:tc>
          <w:tcPr>
            <w:tcW w:w="1732" w:type="dxa"/>
            <w:tcBorders>
              <w:top w:val="nil"/>
              <w:left w:val="nil"/>
              <w:bottom w:val="nil"/>
              <w:right w:val="nil"/>
            </w:tcBorders>
            <w:shd w:val="clear" w:color="auto" w:fill="auto"/>
            <w:noWrap/>
            <w:hideMark/>
          </w:tcPr>
          <w:p w:rsidR="007D2378" w:rsidRPr="002737CB" w:rsidRDefault="007D2378"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Reliable Improvement</w:t>
            </w:r>
          </w:p>
        </w:tc>
        <w:tc>
          <w:tcPr>
            <w:tcW w:w="221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0.63(0.59 to 0.68)</w:t>
            </w:r>
          </w:p>
        </w:tc>
        <w:tc>
          <w:tcPr>
            <w:tcW w:w="2292"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0.64(0.59 to 0.7)</w:t>
            </w:r>
          </w:p>
        </w:tc>
        <w:tc>
          <w:tcPr>
            <w:tcW w:w="2263"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0.64(0.62 to 0.73)</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0.67(0.62 to 0.73)</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0.69(0.63 to 0.75)</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0.68(0.62 to 0.74)</w:t>
            </w:r>
          </w:p>
        </w:tc>
      </w:tr>
      <w:tr w:rsidR="007D2378" w:rsidRPr="002737CB" w:rsidTr="00426A6C">
        <w:trPr>
          <w:trHeight w:val="288"/>
        </w:trPr>
        <w:tc>
          <w:tcPr>
            <w:tcW w:w="1732" w:type="dxa"/>
            <w:tcBorders>
              <w:top w:val="nil"/>
              <w:left w:val="nil"/>
              <w:bottom w:val="nil"/>
              <w:right w:val="nil"/>
            </w:tcBorders>
            <w:shd w:val="clear" w:color="auto" w:fill="auto"/>
            <w:noWrap/>
            <w:hideMark/>
          </w:tcPr>
          <w:p w:rsidR="007D2378" w:rsidRPr="002737CB" w:rsidRDefault="007D2378"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Reliable Deterioration</w:t>
            </w:r>
          </w:p>
        </w:tc>
        <w:tc>
          <w:tcPr>
            <w:tcW w:w="221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1.45(1.29 to 1.62)</w:t>
            </w:r>
          </w:p>
        </w:tc>
        <w:tc>
          <w:tcPr>
            <w:tcW w:w="2292"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1.47(1.27 to 1.68)</w:t>
            </w:r>
          </w:p>
        </w:tc>
        <w:tc>
          <w:tcPr>
            <w:tcW w:w="2263"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1.48(1.27 to 1.69)</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1.42(1.22 to 1.62)</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1.38(1.18 to 1.58)</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1.4(1.2 to 1.6)</w:t>
            </w:r>
          </w:p>
        </w:tc>
      </w:tr>
      <w:tr w:rsidR="007D2378" w:rsidRPr="002737CB" w:rsidTr="00426A6C">
        <w:trPr>
          <w:trHeight w:val="288"/>
        </w:trPr>
        <w:tc>
          <w:tcPr>
            <w:tcW w:w="1732" w:type="dxa"/>
            <w:tcBorders>
              <w:top w:val="nil"/>
              <w:left w:val="nil"/>
              <w:bottom w:val="nil"/>
              <w:right w:val="nil"/>
            </w:tcBorders>
            <w:shd w:val="clear" w:color="auto" w:fill="auto"/>
            <w:noWrap/>
            <w:hideMark/>
          </w:tcPr>
          <w:p w:rsidR="007D2378" w:rsidRPr="002737CB" w:rsidRDefault="007D2378"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Attrition</w:t>
            </w:r>
          </w:p>
        </w:tc>
        <w:tc>
          <w:tcPr>
            <w:tcW w:w="221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1.66(1.54 to 1.78)</w:t>
            </w:r>
          </w:p>
        </w:tc>
        <w:tc>
          <w:tcPr>
            <w:tcW w:w="2292"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1.5(1.37 to 1.62)</w:t>
            </w:r>
          </w:p>
        </w:tc>
        <w:tc>
          <w:tcPr>
            <w:tcW w:w="2263"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1.47(1.34 to 1.59)</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1.39(1.24 to 1.53)</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1.34(1.2 to 1.48)</w:t>
            </w:r>
          </w:p>
        </w:tc>
        <w:tc>
          <w:tcPr>
            <w:tcW w:w="2268" w:type="dxa"/>
            <w:tcBorders>
              <w:top w:val="nil"/>
              <w:left w:val="nil"/>
              <w:bottom w:val="nil"/>
              <w:right w:val="nil"/>
            </w:tcBorders>
            <w:shd w:val="clear" w:color="auto" w:fill="auto"/>
            <w:noWrap/>
            <w:vAlign w:val="bottom"/>
            <w:hideMark/>
          </w:tcPr>
          <w:p w:rsidR="007D2378" w:rsidRPr="007D2378" w:rsidRDefault="007D2378" w:rsidP="00426A6C">
            <w:pPr>
              <w:rPr>
                <w:rFonts w:ascii="Times New Roman" w:hAnsi="Times New Roman" w:cs="Times New Roman"/>
                <w:sz w:val="16"/>
                <w:szCs w:val="16"/>
              </w:rPr>
            </w:pPr>
            <w:r w:rsidRPr="007D2378">
              <w:rPr>
                <w:rFonts w:ascii="Times New Roman" w:hAnsi="Times New Roman" w:cs="Times New Roman"/>
                <w:sz w:val="16"/>
                <w:szCs w:val="16"/>
              </w:rPr>
              <w:t>1.3(1.16 to 1.43)</w:t>
            </w:r>
          </w:p>
        </w:tc>
      </w:tr>
      <w:tr w:rsidR="00F467BD" w:rsidRPr="002737CB" w:rsidTr="00426A6C">
        <w:trPr>
          <w:trHeight w:val="106"/>
        </w:trPr>
        <w:tc>
          <w:tcPr>
            <w:tcW w:w="1732" w:type="dxa"/>
            <w:tcBorders>
              <w:top w:val="nil"/>
              <w:left w:val="nil"/>
              <w:bottom w:val="nil"/>
              <w:right w:val="nil"/>
            </w:tcBorders>
            <w:shd w:val="clear" w:color="auto" w:fill="auto"/>
            <w:noWrap/>
            <w:vAlign w:val="bottom"/>
            <w:hideMark/>
          </w:tcPr>
          <w:p w:rsidR="00F467BD" w:rsidRPr="002737CB" w:rsidRDefault="00F467BD" w:rsidP="007409A7">
            <w:pPr>
              <w:spacing w:after="0" w:line="240" w:lineRule="auto"/>
              <w:rPr>
                <w:rFonts w:ascii="Times New Roman" w:eastAsia="Times New Roman" w:hAnsi="Times New Roman" w:cs="Times New Roman"/>
                <w:sz w:val="16"/>
                <w:szCs w:val="16"/>
                <w:lang w:eastAsia="en-GB"/>
              </w:rPr>
            </w:pPr>
          </w:p>
        </w:tc>
        <w:tc>
          <w:tcPr>
            <w:tcW w:w="13577" w:type="dxa"/>
            <w:gridSpan w:val="6"/>
            <w:tcBorders>
              <w:top w:val="nil"/>
              <w:left w:val="nil"/>
              <w:bottom w:val="nil"/>
              <w:right w:val="nil"/>
            </w:tcBorders>
            <w:shd w:val="clear" w:color="auto" w:fill="auto"/>
            <w:noWrap/>
            <w:hideMark/>
          </w:tcPr>
          <w:p w:rsidR="00F467BD" w:rsidRPr="002737CB" w:rsidRDefault="00F467BD" w:rsidP="00426A6C">
            <w:pPr>
              <w:spacing w:after="0" w:line="240" w:lineRule="auto"/>
              <w:jc w:val="center"/>
              <w:rPr>
                <w:rFonts w:ascii="Times New Roman" w:eastAsia="Times New Roman" w:hAnsi="Times New Roman" w:cs="Times New Roman"/>
                <w:b/>
                <w:bCs/>
                <w:sz w:val="16"/>
                <w:szCs w:val="16"/>
                <w:lang w:eastAsia="en-GB"/>
              </w:rPr>
            </w:pPr>
            <w:r w:rsidRPr="002737CB">
              <w:rPr>
                <w:rFonts w:ascii="Times New Roman" w:eastAsia="Times New Roman" w:hAnsi="Times New Roman" w:cs="Times New Roman"/>
                <w:b/>
                <w:bCs/>
                <w:sz w:val="16"/>
                <w:szCs w:val="16"/>
                <w:lang w:eastAsia="en-GB"/>
              </w:rPr>
              <w:t>Beta(95%CI)</w:t>
            </w:r>
            <w:r>
              <w:rPr>
                <w:rFonts w:ascii="Times New Roman" w:eastAsia="Times New Roman" w:hAnsi="Times New Roman" w:cs="Times New Roman"/>
                <w:b/>
                <w:bCs/>
                <w:sz w:val="16"/>
                <w:szCs w:val="16"/>
                <w:lang w:eastAsia="en-GB"/>
              </w:rPr>
              <w:t>, p-value</w:t>
            </w:r>
          </w:p>
        </w:tc>
      </w:tr>
      <w:tr w:rsidR="00F467BD" w:rsidRPr="002737CB" w:rsidTr="00426A6C">
        <w:trPr>
          <w:trHeight w:val="81"/>
        </w:trPr>
        <w:tc>
          <w:tcPr>
            <w:tcW w:w="1732" w:type="dxa"/>
            <w:tcBorders>
              <w:top w:val="nil"/>
              <w:left w:val="nil"/>
              <w:bottom w:val="single" w:sz="8" w:space="0" w:color="auto"/>
              <w:right w:val="nil"/>
            </w:tcBorders>
            <w:shd w:val="clear" w:color="auto" w:fill="auto"/>
            <w:noWrap/>
            <w:vAlign w:val="bottom"/>
            <w:hideMark/>
          </w:tcPr>
          <w:p w:rsidR="00F467BD" w:rsidRPr="002737CB" w:rsidRDefault="00F467BD" w:rsidP="007409A7">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Engagement</w:t>
            </w:r>
          </w:p>
        </w:tc>
        <w:tc>
          <w:tcPr>
            <w:tcW w:w="2218" w:type="dxa"/>
            <w:tcBorders>
              <w:top w:val="nil"/>
              <w:left w:val="nil"/>
              <w:bottom w:val="single" w:sz="8" w:space="0" w:color="auto"/>
              <w:right w:val="nil"/>
            </w:tcBorders>
            <w:shd w:val="clear" w:color="auto" w:fill="auto"/>
            <w:noWrap/>
            <w:vAlign w:val="bottom"/>
            <w:hideMark/>
          </w:tcPr>
          <w:p w:rsidR="00F467BD" w:rsidRPr="002737CB" w:rsidRDefault="00F467BD" w:rsidP="001114BF">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-0.05(-0.06 to -0.04)</w:t>
            </w:r>
            <w:r>
              <w:rPr>
                <w:rFonts w:ascii="Times New Roman" w:eastAsia="Times New Roman" w:hAnsi="Times New Roman" w:cs="Times New Roman"/>
                <w:sz w:val="16"/>
                <w:szCs w:val="16"/>
                <w:lang w:eastAsia="en-GB"/>
              </w:rPr>
              <w:t>, p&lt;.001</w:t>
            </w:r>
          </w:p>
        </w:tc>
        <w:tc>
          <w:tcPr>
            <w:tcW w:w="2292" w:type="dxa"/>
            <w:tcBorders>
              <w:top w:val="nil"/>
              <w:left w:val="nil"/>
              <w:bottom w:val="single" w:sz="8" w:space="0" w:color="auto"/>
              <w:right w:val="nil"/>
            </w:tcBorders>
            <w:shd w:val="clear" w:color="auto" w:fill="auto"/>
            <w:noWrap/>
            <w:vAlign w:val="bottom"/>
            <w:hideMark/>
          </w:tcPr>
          <w:p w:rsidR="00F467BD" w:rsidRPr="002737CB" w:rsidRDefault="00426A6C" w:rsidP="001114BF">
            <w:pPr>
              <w:spacing w:after="0" w:line="24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-0.04(-0.05 to -0.03</w:t>
            </w:r>
            <w:r w:rsidR="00F467BD" w:rsidRPr="002737CB">
              <w:rPr>
                <w:rFonts w:ascii="Times New Roman" w:eastAsia="Times New Roman" w:hAnsi="Times New Roman" w:cs="Times New Roman"/>
                <w:sz w:val="16"/>
                <w:szCs w:val="16"/>
                <w:lang w:eastAsia="en-GB"/>
              </w:rPr>
              <w:t>)</w:t>
            </w:r>
            <w:r w:rsidR="00F467BD">
              <w:rPr>
                <w:rFonts w:ascii="Times New Roman" w:eastAsia="Times New Roman" w:hAnsi="Times New Roman" w:cs="Times New Roman"/>
                <w:sz w:val="16"/>
                <w:szCs w:val="16"/>
                <w:lang w:eastAsia="en-GB"/>
              </w:rPr>
              <w:t>,  p&lt;.001</w:t>
            </w:r>
          </w:p>
        </w:tc>
        <w:tc>
          <w:tcPr>
            <w:tcW w:w="2263" w:type="dxa"/>
            <w:tcBorders>
              <w:top w:val="nil"/>
              <w:left w:val="nil"/>
              <w:bottom w:val="single" w:sz="8" w:space="0" w:color="auto"/>
              <w:right w:val="nil"/>
            </w:tcBorders>
            <w:shd w:val="clear" w:color="auto" w:fill="auto"/>
            <w:noWrap/>
            <w:vAlign w:val="bottom"/>
            <w:hideMark/>
          </w:tcPr>
          <w:p w:rsidR="00F467BD" w:rsidRPr="002737CB" w:rsidRDefault="00F467BD"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-0.04(-0.05 to -0.0</w:t>
            </w:r>
            <w:r w:rsidR="00426A6C">
              <w:rPr>
                <w:rFonts w:ascii="Times New Roman" w:eastAsia="Times New Roman" w:hAnsi="Times New Roman" w:cs="Times New Roman"/>
                <w:sz w:val="16"/>
                <w:szCs w:val="16"/>
                <w:lang w:eastAsia="en-GB"/>
              </w:rPr>
              <w:t>3</w:t>
            </w:r>
            <w:r w:rsidRPr="002737CB">
              <w:rPr>
                <w:rFonts w:ascii="Times New Roman" w:eastAsia="Times New Roman" w:hAnsi="Times New Roman" w:cs="Times New Roman"/>
                <w:sz w:val="16"/>
                <w:szCs w:val="16"/>
                <w:lang w:eastAsia="en-GB"/>
              </w:rPr>
              <w:t>)</w:t>
            </w:r>
            <w:r w:rsidR="001114BF">
              <w:rPr>
                <w:rFonts w:ascii="Times New Roman" w:eastAsia="Times New Roman" w:hAnsi="Times New Roman" w:cs="Times New Roman"/>
                <w:sz w:val="16"/>
                <w:szCs w:val="16"/>
                <w:lang w:eastAsia="en-GB"/>
              </w:rPr>
              <w:t>,  p&lt;.00</w:t>
            </w:r>
            <w:r>
              <w:rPr>
                <w:rFonts w:ascii="Times New Roman" w:eastAsia="Times New Roman" w:hAnsi="Times New Roman" w:cs="Times New Roman"/>
                <w:sz w:val="16"/>
                <w:szCs w:val="16"/>
                <w:lang w:eastAsia="en-GB"/>
              </w:rPr>
              <w:t>1</w:t>
            </w:r>
          </w:p>
        </w:tc>
        <w:tc>
          <w:tcPr>
            <w:tcW w:w="2268" w:type="dxa"/>
            <w:tcBorders>
              <w:top w:val="nil"/>
              <w:left w:val="nil"/>
              <w:bottom w:val="single" w:sz="8" w:space="0" w:color="auto"/>
              <w:right w:val="nil"/>
            </w:tcBorders>
            <w:shd w:val="clear" w:color="auto" w:fill="auto"/>
            <w:noWrap/>
            <w:vAlign w:val="bottom"/>
            <w:hideMark/>
          </w:tcPr>
          <w:p w:rsidR="00F467BD" w:rsidRPr="00767CD0" w:rsidRDefault="00F467BD" w:rsidP="001114BF">
            <w:pPr>
              <w:spacing w:after="0" w:line="240" w:lineRule="auto"/>
              <w:rPr>
                <w:lang w:eastAsia="en-GB"/>
              </w:rPr>
            </w:pPr>
            <w:r w:rsidRPr="002737CB">
              <w:rPr>
                <w:rFonts w:ascii="Times New Roman" w:eastAsia="Times New Roman" w:hAnsi="Times New Roman" w:cs="Times New Roman"/>
                <w:sz w:val="16"/>
                <w:szCs w:val="16"/>
                <w:lang w:eastAsia="en-GB"/>
              </w:rPr>
              <w:t>-0.03(-0.04 to -0.0</w:t>
            </w:r>
            <w:r w:rsidR="00426A6C">
              <w:rPr>
                <w:rFonts w:ascii="Times New Roman" w:eastAsia="Times New Roman" w:hAnsi="Times New Roman" w:cs="Times New Roman"/>
                <w:sz w:val="16"/>
                <w:szCs w:val="16"/>
                <w:lang w:eastAsia="en-GB"/>
              </w:rPr>
              <w:t>2</w:t>
            </w:r>
            <w:r w:rsidRPr="002737CB">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 p&lt;.001</w:t>
            </w:r>
          </w:p>
        </w:tc>
        <w:tc>
          <w:tcPr>
            <w:tcW w:w="2268" w:type="dxa"/>
            <w:tcBorders>
              <w:top w:val="nil"/>
              <w:left w:val="nil"/>
              <w:bottom w:val="single" w:sz="8" w:space="0" w:color="auto"/>
              <w:right w:val="nil"/>
            </w:tcBorders>
            <w:shd w:val="clear" w:color="auto" w:fill="auto"/>
            <w:noWrap/>
            <w:vAlign w:val="bottom"/>
            <w:hideMark/>
          </w:tcPr>
          <w:p w:rsidR="00F467BD" w:rsidRPr="002737CB" w:rsidRDefault="00F467BD" w:rsidP="001114BF">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w:t>
            </w:r>
            <w:r w:rsidR="00426A6C">
              <w:rPr>
                <w:rFonts w:ascii="Times New Roman" w:eastAsia="Times New Roman" w:hAnsi="Times New Roman" w:cs="Times New Roman"/>
                <w:sz w:val="16"/>
                <w:szCs w:val="16"/>
                <w:lang w:eastAsia="en-GB"/>
              </w:rPr>
              <w:t>0.03(-0.03</w:t>
            </w:r>
            <w:r w:rsidRPr="002737CB">
              <w:rPr>
                <w:rFonts w:ascii="Times New Roman" w:eastAsia="Times New Roman" w:hAnsi="Times New Roman" w:cs="Times New Roman"/>
                <w:sz w:val="16"/>
                <w:szCs w:val="16"/>
                <w:lang w:eastAsia="en-GB"/>
              </w:rPr>
              <w:t xml:space="preserve"> to -0.0</w:t>
            </w:r>
            <w:r w:rsidR="00426A6C">
              <w:rPr>
                <w:rFonts w:ascii="Times New Roman" w:eastAsia="Times New Roman" w:hAnsi="Times New Roman" w:cs="Times New Roman"/>
                <w:sz w:val="16"/>
                <w:szCs w:val="16"/>
                <w:lang w:eastAsia="en-GB"/>
              </w:rPr>
              <w:t>2</w:t>
            </w:r>
            <w:r w:rsidRPr="002737CB">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  p&lt;.001</w:t>
            </w:r>
          </w:p>
        </w:tc>
        <w:tc>
          <w:tcPr>
            <w:tcW w:w="2268" w:type="dxa"/>
            <w:tcBorders>
              <w:top w:val="nil"/>
              <w:left w:val="nil"/>
              <w:bottom w:val="single" w:sz="8" w:space="0" w:color="auto"/>
              <w:right w:val="nil"/>
            </w:tcBorders>
            <w:shd w:val="clear" w:color="auto" w:fill="auto"/>
            <w:noWrap/>
            <w:vAlign w:val="bottom"/>
            <w:hideMark/>
          </w:tcPr>
          <w:p w:rsidR="00F467BD" w:rsidRPr="002737CB" w:rsidRDefault="00F467BD" w:rsidP="00426A6C">
            <w:pPr>
              <w:spacing w:after="0" w:line="240" w:lineRule="auto"/>
              <w:rPr>
                <w:rFonts w:ascii="Times New Roman" w:eastAsia="Times New Roman" w:hAnsi="Times New Roman" w:cs="Times New Roman"/>
                <w:sz w:val="16"/>
                <w:szCs w:val="16"/>
                <w:lang w:eastAsia="en-GB"/>
              </w:rPr>
            </w:pPr>
            <w:r w:rsidRPr="002737CB">
              <w:rPr>
                <w:rFonts w:ascii="Times New Roman" w:eastAsia="Times New Roman" w:hAnsi="Times New Roman" w:cs="Times New Roman"/>
                <w:sz w:val="16"/>
                <w:szCs w:val="16"/>
                <w:lang w:eastAsia="en-GB"/>
              </w:rPr>
              <w:t>-</w:t>
            </w:r>
            <w:r w:rsidR="00426A6C">
              <w:rPr>
                <w:rFonts w:ascii="Times New Roman" w:eastAsia="Times New Roman" w:hAnsi="Times New Roman" w:cs="Times New Roman"/>
                <w:sz w:val="16"/>
                <w:szCs w:val="16"/>
                <w:lang w:eastAsia="en-GB"/>
              </w:rPr>
              <w:t>0.03(-0.03</w:t>
            </w:r>
            <w:r w:rsidRPr="002737CB">
              <w:rPr>
                <w:rFonts w:ascii="Times New Roman" w:eastAsia="Times New Roman" w:hAnsi="Times New Roman" w:cs="Times New Roman"/>
                <w:sz w:val="16"/>
                <w:szCs w:val="16"/>
                <w:lang w:eastAsia="en-GB"/>
              </w:rPr>
              <w:t xml:space="preserve"> to -0.0</w:t>
            </w:r>
            <w:r w:rsidR="00426A6C">
              <w:rPr>
                <w:rFonts w:ascii="Times New Roman" w:eastAsia="Times New Roman" w:hAnsi="Times New Roman" w:cs="Times New Roman"/>
                <w:sz w:val="16"/>
                <w:szCs w:val="16"/>
                <w:lang w:eastAsia="en-GB"/>
              </w:rPr>
              <w:t>2</w:t>
            </w:r>
            <w:r w:rsidRPr="002737CB">
              <w:rPr>
                <w:rFonts w:ascii="Times New Roman" w:eastAsia="Times New Roman" w:hAnsi="Times New Roman" w:cs="Times New Roman"/>
                <w:sz w:val="16"/>
                <w:szCs w:val="16"/>
                <w:lang w:eastAsia="en-GB"/>
              </w:rPr>
              <w:t>)</w:t>
            </w:r>
            <w:r w:rsidR="001114BF">
              <w:rPr>
                <w:rFonts w:ascii="Times New Roman" w:eastAsia="Times New Roman" w:hAnsi="Times New Roman" w:cs="Times New Roman"/>
                <w:sz w:val="16"/>
                <w:szCs w:val="16"/>
                <w:lang w:eastAsia="en-GB"/>
              </w:rPr>
              <w:t>,  p&lt;.00</w:t>
            </w:r>
            <w:r>
              <w:rPr>
                <w:rFonts w:ascii="Times New Roman" w:eastAsia="Times New Roman" w:hAnsi="Times New Roman" w:cs="Times New Roman"/>
                <w:sz w:val="16"/>
                <w:szCs w:val="16"/>
                <w:lang w:eastAsia="en-GB"/>
              </w:rPr>
              <w:t>1</w:t>
            </w:r>
          </w:p>
        </w:tc>
      </w:tr>
      <w:tr w:rsidR="00F467BD" w:rsidRPr="002737CB" w:rsidTr="007409A7">
        <w:trPr>
          <w:trHeight w:val="300"/>
        </w:trPr>
        <w:tc>
          <w:tcPr>
            <w:tcW w:w="15309" w:type="dxa"/>
            <w:gridSpan w:val="7"/>
            <w:tcBorders>
              <w:top w:val="single" w:sz="8" w:space="0" w:color="auto"/>
              <w:left w:val="nil"/>
              <w:right w:val="nil"/>
            </w:tcBorders>
            <w:shd w:val="clear" w:color="auto" w:fill="auto"/>
            <w:noWrap/>
            <w:vAlign w:val="bottom"/>
          </w:tcPr>
          <w:p w:rsidR="00F467BD" w:rsidRPr="0036436C" w:rsidRDefault="001A58C6" w:rsidP="007409A7">
            <w:pPr>
              <w:spacing w:after="0" w:line="240" w:lineRule="auto"/>
              <w:rPr>
                <w:rFonts w:ascii="Times New Roman" w:eastAsia="Times New Roman" w:hAnsi="Times New Roman" w:cs="Times New Roman"/>
                <w:sz w:val="16"/>
                <w:szCs w:val="16"/>
                <w:lang w:eastAsia="en-GB"/>
              </w:rPr>
            </w:pPr>
            <w:r w:rsidRPr="001A58C6">
              <w:rPr>
                <w:rFonts w:ascii="Times New Roman" w:hAnsi="Times New Roman" w:cs="Times New Roman"/>
                <w:color w:val="1C1D1E"/>
                <w:sz w:val="16"/>
                <w:szCs w:val="16"/>
                <w:shd w:val="clear" w:color="auto" w:fill="FFFFFF"/>
                <w:vertAlign w:val="superscript"/>
              </w:rPr>
              <w:t>†</w:t>
            </w:r>
            <w:r w:rsidR="00F467BD">
              <w:rPr>
                <w:rFonts w:ascii="Times New Roman" w:eastAsia="Times New Roman" w:hAnsi="Times New Roman" w:cs="Times New Roman"/>
                <w:sz w:val="16"/>
                <w:szCs w:val="16"/>
                <w:lang w:eastAsia="en-GB"/>
              </w:rPr>
              <w:t xml:space="preserve">adjusted for pre-treatment PHQ-9 scores, GAD-7 scores, W&amp;SAS items 2-5 scores, IAPT phobias scale item scores, psychotropic medication, and diagnosis. </w:t>
            </w:r>
            <w:r w:rsidRPr="001A58C6">
              <w:rPr>
                <w:rFonts w:ascii="Times New Roman" w:hAnsi="Times New Roman" w:cs="Times New Roman"/>
                <w:color w:val="1C1D1E"/>
                <w:sz w:val="16"/>
                <w:szCs w:val="16"/>
                <w:shd w:val="clear" w:color="auto" w:fill="FFFFFF"/>
                <w:vertAlign w:val="superscript"/>
              </w:rPr>
              <w:t>‡</w:t>
            </w:r>
            <w:r w:rsidR="00F467BD">
              <w:rPr>
                <w:rFonts w:ascii="Times New Roman" w:eastAsia="Times New Roman" w:hAnsi="Times New Roman" w:cs="Times New Roman"/>
                <w:bCs/>
                <w:sz w:val="16"/>
                <w:szCs w:val="16"/>
                <w:lang w:eastAsia="en-GB"/>
              </w:rPr>
              <w:t xml:space="preserve">additionally adjusted for gender, age, ethnicity, IMD decile, and long-term conditions; </w:t>
            </w:r>
            <w:r w:rsidR="001114BF" w:rsidRPr="001114BF">
              <w:rPr>
                <w:rFonts w:ascii="Times New Roman" w:hAnsi="Times New Roman" w:cs="Times New Roman"/>
                <w:color w:val="1C1D1E"/>
                <w:sz w:val="16"/>
                <w:szCs w:val="16"/>
                <w:shd w:val="clear" w:color="auto" w:fill="FFFFFF"/>
                <w:vertAlign w:val="superscript"/>
              </w:rPr>
              <w:t>§</w:t>
            </w:r>
            <w:r w:rsidR="00F467BD">
              <w:rPr>
                <w:rFonts w:ascii="Times New Roman" w:eastAsia="Times New Roman" w:hAnsi="Times New Roman" w:cs="Times New Roman"/>
                <w:b/>
                <w:bCs/>
                <w:sz w:val="16"/>
                <w:szCs w:val="16"/>
                <w:vertAlign w:val="superscript"/>
                <w:lang w:eastAsia="en-GB"/>
              </w:rPr>
              <w:t xml:space="preserve"> </w:t>
            </w:r>
            <w:r w:rsidR="00F467BD">
              <w:rPr>
                <w:rFonts w:ascii="Times New Roman" w:eastAsia="Times New Roman" w:hAnsi="Times New Roman" w:cs="Times New Roman"/>
                <w:bCs/>
                <w:sz w:val="16"/>
                <w:szCs w:val="16"/>
                <w:lang w:eastAsia="en-GB"/>
              </w:rPr>
              <w:t xml:space="preserve">additionally adjusted for number of LI sessions, number of HI sessions, days between referral and assessment, days between assessment and starting treatment; </w:t>
            </w:r>
            <w:r w:rsidR="00F467BD" w:rsidRPr="00EC4C6E">
              <w:rPr>
                <w:rFonts w:ascii="Times New Roman" w:eastAsia="Times New Roman" w:hAnsi="Times New Roman" w:cs="Times New Roman"/>
                <w:b/>
                <w:bCs/>
                <w:sz w:val="16"/>
                <w:szCs w:val="16"/>
                <w:vertAlign w:val="superscript"/>
                <w:lang w:eastAsia="en-GB"/>
              </w:rPr>
              <w:t>⸹</w:t>
            </w:r>
            <w:r w:rsidR="00F467BD">
              <w:rPr>
                <w:rFonts w:ascii="Times New Roman" w:eastAsia="Times New Roman" w:hAnsi="Times New Roman" w:cs="Times New Roman"/>
                <w:bCs/>
                <w:sz w:val="16"/>
                <w:szCs w:val="16"/>
                <w:lang w:eastAsia="en-GB"/>
              </w:rPr>
              <w:t xml:space="preserve">additionally adjusted for year and month of first appointment; </w:t>
            </w:r>
            <w:r w:rsidR="00324239" w:rsidRPr="00324239">
              <w:rPr>
                <w:rFonts w:ascii="Times New Roman" w:hAnsi="Times New Roman" w:cs="Times New Roman"/>
                <w:color w:val="1C1D1E"/>
                <w:sz w:val="16"/>
                <w:szCs w:val="16"/>
                <w:shd w:val="clear" w:color="auto" w:fill="FFFFFF"/>
                <w:vertAlign w:val="superscript"/>
              </w:rPr>
              <w:t>¶</w:t>
            </w:r>
            <w:r w:rsidR="00F467BD">
              <w:rPr>
                <w:rFonts w:ascii="Times New Roman" w:eastAsia="Times New Roman" w:hAnsi="Times New Roman" w:cs="Times New Roman"/>
                <w:bCs/>
                <w:sz w:val="16"/>
                <w:szCs w:val="16"/>
                <w:lang w:eastAsia="en-GB"/>
              </w:rPr>
              <w:t>additionally adjusted for service data came from.</w:t>
            </w:r>
          </w:p>
        </w:tc>
      </w:tr>
    </w:tbl>
    <w:p w:rsidR="00F467BD" w:rsidRDefault="00F467BD" w:rsidP="00F467BD">
      <w:pPr>
        <w:spacing w:after="0" w:line="240" w:lineRule="auto"/>
        <w:rPr>
          <w:rFonts w:ascii="Times New Roman" w:hAnsi="Times New Roman" w:cs="Times New Roman"/>
          <w:sz w:val="16"/>
          <w:szCs w:val="16"/>
        </w:rPr>
      </w:pPr>
    </w:p>
    <w:p w:rsidR="00F467BD" w:rsidRPr="00E57996" w:rsidRDefault="00F467BD" w:rsidP="00F467BD">
      <w:pPr>
        <w:rPr>
          <w:rFonts w:ascii="Times New Roman" w:hAnsi="Times New Roman" w:cs="Times New Roman"/>
          <w:sz w:val="16"/>
          <w:szCs w:val="16"/>
        </w:rPr>
      </w:pPr>
    </w:p>
    <w:p w:rsidR="00F467BD" w:rsidRDefault="00F467BD" w:rsidP="00F467BD">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Supplementary </w:t>
      </w:r>
      <w:r w:rsidRPr="00F14FFD">
        <w:rPr>
          <w:rFonts w:ascii="Times New Roman" w:hAnsi="Times New Roman" w:cs="Times New Roman"/>
          <w:b/>
          <w:sz w:val="16"/>
          <w:szCs w:val="16"/>
        </w:rPr>
        <w:t xml:space="preserve">Table </w:t>
      </w:r>
      <w:r w:rsidR="009630A8">
        <w:rPr>
          <w:rFonts w:ascii="Times New Roman" w:hAnsi="Times New Roman" w:cs="Times New Roman"/>
          <w:b/>
          <w:sz w:val="16"/>
          <w:szCs w:val="16"/>
        </w:rPr>
        <w:t>4</w:t>
      </w:r>
      <w:r w:rsidRPr="00F14FFD">
        <w:rPr>
          <w:rFonts w:ascii="Times New Roman" w:hAnsi="Times New Roman" w:cs="Times New Roman"/>
          <w:b/>
          <w:sz w:val="16"/>
          <w:szCs w:val="16"/>
        </w:rPr>
        <w:t xml:space="preserve">. </w:t>
      </w:r>
      <w:r>
        <w:rPr>
          <w:rFonts w:ascii="Times New Roman" w:hAnsi="Times New Roman" w:cs="Times New Roman"/>
          <w:sz w:val="16"/>
          <w:szCs w:val="16"/>
        </w:rPr>
        <w:t>Associations between each outcome</w:t>
      </w:r>
      <w:r w:rsidRPr="00F14FFD">
        <w:rPr>
          <w:rFonts w:ascii="Times New Roman" w:hAnsi="Times New Roman" w:cs="Times New Roman"/>
          <w:sz w:val="16"/>
          <w:szCs w:val="16"/>
        </w:rPr>
        <w:t xml:space="preserve"> </w:t>
      </w:r>
      <w:r>
        <w:rPr>
          <w:rFonts w:ascii="Times New Roman" w:hAnsi="Times New Roman" w:cs="Times New Roman"/>
          <w:sz w:val="16"/>
          <w:szCs w:val="16"/>
        </w:rPr>
        <w:t xml:space="preserve">and </w:t>
      </w:r>
      <w:r w:rsidRPr="00F14FFD">
        <w:rPr>
          <w:rFonts w:ascii="Times New Roman" w:hAnsi="Times New Roman" w:cs="Times New Roman"/>
          <w:sz w:val="16"/>
          <w:szCs w:val="16"/>
        </w:rPr>
        <w:t xml:space="preserve">NEET </w:t>
      </w:r>
      <w:r>
        <w:rPr>
          <w:rFonts w:ascii="Times New Roman" w:hAnsi="Times New Roman" w:cs="Times New Roman"/>
          <w:sz w:val="16"/>
          <w:szCs w:val="16"/>
        </w:rPr>
        <w:t xml:space="preserve">status moderated by baseline characteristic, in fully </w:t>
      </w:r>
      <w:r w:rsidRPr="00F14FFD">
        <w:rPr>
          <w:rFonts w:ascii="Times New Roman" w:hAnsi="Times New Roman" w:cs="Times New Roman"/>
          <w:sz w:val="16"/>
          <w:szCs w:val="16"/>
        </w:rPr>
        <w:t xml:space="preserve">adjusted </w:t>
      </w:r>
      <w:r>
        <w:rPr>
          <w:rFonts w:ascii="Times New Roman" w:hAnsi="Times New Roman" w:cs="Times New Roman"/>
          <w:sz w:val="16"/>
          <w:szCs w:val="16"/>
        </w:rPr>
        <w:t>models</w:t>
      </w:r>
      <w:r w:rsidR="00324239" w:rsidRPr="00324239">
        <w:rPr>
          <w:rFonts w:ascii="Times New Roman" w:hAnsi="Times New Roman" w:cs="Times New Roman"/>
          <w:color w:val="1C1D1E"/>
          <w:sz w:val="16"/>
          <w:szCs w:val="16"/>
          <w:shd w:val="clear" w:color="auto" w:fill="FFFFFF"/>
          <w:vertAlign w:val="superscript"/>
        </w:rPr>
        <w:t>¶</w:t>
      </w:r>
      <w:r>
        <w:rPr>
          <w:rFonts w:ascii="Times New Roman" w:hAnsi="Times New Roman" w:cs="Times New Roman"/>
          <w:sz w:val="16"/>
          <w:szCs w:val="16"/>
        </w:rPr>
        <w:t>, using observed data only</w:t>
      </w:r>
      <w:r w:rsidRPr="00F14FFD">
        <w:rPr>
          <w:rFonts w:ascii="Times New Roman" w:hAnsi="Times New Roman" w:cs="Times New Roman"/>
          <w:sz w:val="16"/>
          <w:szCs w:val="16"/>
        </w:rPr>
        <w:t>.</w:t>
      </w:r>
    </w:p>
    <w:p w:rsidR="00F467BD" w:rsidRDefault="00F467BD" w:rsidP="00F467BD">
      <w:pPr>
        <w:spacing w:after="0" w:line="240" w:lineRule="auto"/>
        <w:rPr>
          <w:rFonts w:ascii="Times New Roman" w:hAnsi="Times New Roman" w:cs="Times New Roman"/>
          <w:sz w:val="16"/>
          <w:szCs w:val="16"/>
        </w:rPr>
      </w:pPr>
    </w:p>
    <w:tbl>
      <w:tblPr>
        <w:tblW w:w="13966" w:type="dxa"/>
        <w:tblLook w:val="04A0" w:firstRow="1" w:lastRow="0" w:firstColumn="1" w:lastColumn="0" w:noHBand="0" w:noVBand="1"/>
      </w:tblPr>
      <w:tblGrid>
        <w:gridCol w:w="4322"/>
        <w:gridCol w:w="1794"/>
        <w:gridCol w:w="1753"/>
        <w:gridCol w:w="1844"/>
        <w:gridCol w:w="1418"/>
        <w:gridCol w:w="2835"/>
      </w:tblGrid>
      <w:tr w:rsidR="00F467BD" w:rsidRPr="00E57996" w:rsidTr="006F1528">
        <w:trPr>
          <w:trHeight w:val="288"/>
        </w:trPr>
        <w:tc>
          <w:tcPr>
            <w:tcW w:w="4322" w:type="dxa"/>
            <w:tcBorders>
              <w:top w:val="single" w:sz="8" w:space="0" w:color="auto"/>
              <w:left w:val="nil"/>
              <w:bottom w:val="nil"/>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color w:val="000000"/>
                <w:sz w:val="16"/>
                <w:szCs w:val="16"/>
                <w:lang w:eastAsia="en-GB"/>
              </w:rPr>
            </w:pPr>
            <w:r w:rsidRPr="00E57996">
              <w:rPr>
                <w:rFonts w:ascii="Times New Roman" w:eastAsia="Times New Roman" w:hAnsi="Times New Roman" w:cs="Times New Roman"/>
                <w:color w:val="000000"/>
                <w:sz w:val="16"/>
                <w:szCs w:val="16"/>
                <w:lang w:eastAsia="en-GB"/>
              </w:rPr>
              <w:t> </w:t>
            </w:r>
          </w:p>
        </w:tc>
        <w:tc>
          <w:tcPr>
            <w:tcW w:w="9644" w:type="dxa"/>
            <w:gridSpan w:val="5"/>
            <w:tcBorders>
              <w:top w:val="single" w:sz="8" w:space="0" w:color="auto"/>
              <w:left w:val="nil"/>
              <w:bottom w:val="nil"/>
              <w:right w:val="nil"/>
            </w:tcBorders>
            <w:shd w:val="clear" w:color="auto" w:fill="auto"/>
            <w:noWrap/>
            <w:vAlign w:val="bottom"/>
            <w:hideMark/>
          </w:tcPr>
          <w:p w:rsidR="00F467BD" w:rsidRPr="00E57996" w:rsidRDefault="00F467BD" w:rsidP="007409A7">
            <w:pPr>
              <w:spacing w:after="0" w:line="240" w:lineRule="auto"/>
              <w:jc w:val="center"/>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Outcome (OR (95%CI) unless otherwise stated)</w:t>
            </w:r>
          </w:p>
        </w:tc>
      </w:tr>
      <w:tr w:rsidR="00F467BD" w:rsidRPr="00E57996" w:rsidTr="006F1528">
        <w:trPr>
          <w:trHeight w:val="300"/>
        </w:trPr>
        <w:tc>
          <w:tcPr>
            <w:tcW w:w="4322"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Interaction</w:t>
            </w:r>
          </w:p>
        </w:tc>
        <w:tc>
          <w:tcPr>
            <w:tcW w:w="1794"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Reliable Recovery</w:t>
            </w:r>
          </w:p>
        </w:tc>
        <w:tc>
          <w:tcPr>
            <w:tcW w:w="1753"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Reliable Improvement</w:t>
            </w:r>
          </w:p>
        </w:tc>
        <w:tc>
          <w:tcPr>
            <w:tcW w:w="1844"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Reliable Deterioration</w:t>
            </w:r>
          </w:p>
        </w:tc>
        <w:tc>
          <w:tcPr>
            <w:tcW w:w="1418"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Attrition</w:t>
            </w:r>
          </w:p>
        </w:tc>
        <w:tc>
          <w:tcPr>
            <w:tcW w:w="2835" w:type="dxa"/>
            <w:tcBorders>
              <w:top w:val="nil"/>
              <w:left w:val="nil"/>
              <w:bottom w:val="single" w:sz="8" w:space="0" w:color="auto"/>
              <w:right w:val="nil"/>
            </w:tcBorders>
            <w:shd w:val="clear" w:color="auto" w:fill="auto"/>
            <w:noWrap/>
            <w:vAlign w:val="bottom"/>
            <w:hideMark/>
          </w:tcPr>
          <w:p w:rsidR="00F467BD" w:rsidRPr="00E57996" w:rsidRDefault="00F467BD" w:rsidP="007409A7">
            <w:pPr>
              <w:spacing w:after="0" w:line="240" w:lineRule="auto"/>
              <w:rPr>
                <w:rFonts w:ascii="Times New Roman" w:eastAsia="Times New Roman" w:hAnsi="Times New Roman" w:cs="Times New Roman"/>
                <w:b/>
                <w:bCs/>
                <w:color w:val="000000"/>
                <w:sz w:val="16"/>
                <w:szCs w:val="16"/>
                <w:lang w:eastAsia="en-GB"/>
              </w:rPr>
            </w:pPr>
            <w:r w:rsidRPr="00E57996">
              <w:rPr>
                <w:rFonts w:ascii="Times New Roman" w:eastAsia="Times New Roman" w:hAnsi="Times New Roman" w:cs="Times New Roman"/>
                <w:b/>
                <w:bCs/>
                <w:color w:val="000000"/>
                <w:sz w:val="16"/>
                <w:szCs w:val="16"/>
                <w:lang w:eastAsia="en-GB"/>
              </w:rPr>
              <w:t>Engagement (Beta (95%CI) , p-value)</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sidRPr="00E57996">
              <w:rPr>
                <w:rFonts w:ascii="Times New Roman" w:eastAsia="Times New Roman" w:hAnsi="Times New Roman" w:cs="Times New Roman"/>
                <w:color w:val="000000"/>
                <w:sz w:val="16"/>
                <w:szCs w:val="16"/>
                <w:lang w:eastAsia="en-GB"/>
              </w:rPr>
              <w:t>NEET</w:t>
            </w:r>
            <w:r>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Female Gender</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0.96(0.8 to 1.15)</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0.94(0.78 to 1.12)</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1.05(0.77 to 1.42)</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0.95(0.76 to 1.18)</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-0.01(-0.02 to 0)</w:t>
            </w:r>
            <w:r w:rsidR="001C4D8C">
              <w:rPr>
                <w:rFonts w:ascii="Times New Roman" w:hAnsi="Times New Roman" w:cs="Times New Roman"/>
                <w:sz w:val="16"/>
                <w:szCs w:val="16"/>
              </w:rPr>
              <w:t xml:space="preserve">, </w:t>
            </w:r>
            <w:r w:rsidR="001C4D8C" w:rsidRPr="00513CD6">
              <w:rPr>
                <w:rFonts w:ascii="Times New Roman" w:hAnsi="Times New Roman" w:cs="Times New Roman"/>
                <w:sz w:val="16"/>
                <w:szCs w:val="16"/>
              </w:rPr>
              <w:t>p</w:t>
            </w:r>
            <w:r w:rsidR="00513CD6" w:rsidRPr="00513CD6">
              <w:rPr>
                <w:rFonts w:ascii="Times New Roman" w:hAnsi="Times New Roman" w:cs="Times New Roman"/>
                <w:sz w:val="16"/>
                <w:szCs w:val="16"/>
              </w:rPr>
              <w:t>=.189</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 xml:space="preserve">NEET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Black or minority ethnicity</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1.16(0.97 to 1.38)</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1.19(1 to 1.42)</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0.9(0.67 to 1.2)</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0.87(0.7 to 1.07)</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0.03(0.02 to 0.04)</w:t>
            </w:r>
            <w:r w:rsidR="001C4D8C">
              <w:rPr>
                <w:rFonts w:ascii="Times New Roman" w:hAnsi="Times New Roman" w:cs="Times New Roman"/>
                <w:sz w:val="16"/>
                <w:szCs w:val="16"/>
              </w:rPr>
              <w:t>, p</w:t>
            </w:r>
            <w:r w:rsidR="00513CD6">
              <w:rPr>
                <w:rFonts w:ascii="Times New Roman" w:hAnsi="Times New Roman" w:cs="Times New Roman"/>
                <w:sz w:val="16"/>
                <w:szCs w:val="16"/>
              </w:rPr>
              <w:t>&lt;.001</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NEET</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IMD Tertile 2</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0.95(0.78 to 1.17)</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0.95(0.78 to 1.16)</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1.09(0.78 to 1.51)</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1(0.78 to 1.28)</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0.01(-0.01 to 0.02)</w:t>
            </w:r>
            <w:r w:rsidR="001C4D8C">
              <w:rPr>
                <w:rFonts w:ascii="Times New Roman" w:hAnsi="Times New Roman" w:cs="Times New Roman"/>
                <w:sz w:val="16"/>
                <w:szCs w:val="16"/>
              </w:rPr>
              <w:t>, p</w:t>
            </w:r>
            <w:r w:rsidR="00513CD6">
              <w:rPr>
                <w:rFonts w:ascii="Times New Roman" w:hAnsi="Times New Roman" w:cs="Times New Roman"/>
                <w:sz w:val="16"/>
                <w:szCs w:val="16"/>
              </w:rPr>
              <w:t>=.369</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NEET</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IMD Tertile 3</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1.28(1.04 to 1.57)</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1.27(1.03 to 1.56)</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0.89(0.63 to 1.27)</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0.94(0.73 to 1.21)</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0.01(-0.01 to 0.02)</w:t>
            </w:r>
            <w:r w:rsidR="001C4D8C">
              <w:rPr>
                <w:rFonts w:ascii="Times New Roman" w:hAnsi="Times New Roman" w:cs="Times New Roman"/>
                <w:sz w:val="16"/>
                <w:szCs w:val="16"/>
              </w:rPr>
              <w:t>, p</w:t>
            </w:r>
            <w:r w:rsidR="00513CD6">
              <w:rPr>
                <w:rFonts w:ascii="Times New Roman" w:hAnsi="Times New Roman" w:cs="Times New Roman"/>
                <w:sz w:val="16"/>
                <w:szCs w:val="16"/>
              </w:rPr>
              <w:t>=.238</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NEET</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LTC Yes</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1.09(0.86 to 1.37)</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1.28(1.02 to 1.61)</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0.79(0.54 to 1.16)</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0.81(0.61 to 1.07)</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0.01(0 to 0.03)</w:t>
            </w:r>
            <w:r w:rsidR="001C4D8C">
              <w:rPr>
                <w:rFonts w:ascii="Times New Roman" w:hAnsi="Times New Roman" w:cs="Times New Roman"/>
                <w:sz w:val="16"/>
                <w:szCs w:val="16"/>
              </w:rPr>
              <w:t>, p</w:t>
            </w:r>
            <w:r w:rsidR="00513CD6">
              <w:rPr>
                <w:rFonts w:ascii="Times New Roman" w:hAnsi="Times New Roman" w:cs="Times New Roman"/>
                <w:sz w:val="16"/>
                <w:szCs w:val="16"/>
              </w:rPr>
              <w:t>=.126</w:t>
            </w:r>
          </w:p>
        </w:tc>
      </w:tr>
      <w:tr w:rsidR="00426A6C" w:rsidRPr="00E57996" w:rsidTr="006F1528">
        <w:trPr>
          <w:trHeight w:val="288"/>
        </w:trPr>
        <w:tc>
          <w:tcPr>
            <w:tcW w:w="4322" w:type="dxa"/>
            <w:tcBorders>
              <w:top w:val="nil"/>
              <w:left w:val="nil"/>
              <w:bottom w:val="nil"/>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NEET</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LTC Missing</w:t>
            </w:r>
          </w:p>
        </w:tc>
        <w:tc>
          <w:tcPr>
            <w:tcW w:w="179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1.1(0.88 to 1.38)</w:t>
            </w:r>
          </w:p>
        </w:tc>
        <w:tc>
          <w:tcPr>
            <w:tcW w:w="1753"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1.06(0.85 to 1.32)</w:t>
            </w:r>
          </w:p>
        </w:tc>
        <w:tc>
          <w:tcPr>
            <w:tcW w:w="1844"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1.13(0.78 to 1.63)</w:t>
            </w:r>
          </w:p>
        </w:tc>
        <w:tc>
          <w:tcPr>
            <w:tcW w:w="1418"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0.83(0.63 to 1.09)</w:t>
            </w:r>
          </w:p>
        </w:tc>
        <w:tc>
          <w:tcPr>
            <w:tcW w:w="2835" w:type="dxa"/>
            <w:tcBorders>
              <w:top w:val="nil"/>
              <w:left w:val="nil"/>
              <w:bottom w:val="nil"/>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0(-0.02 to 0.02)</w:t>
            </w:r>
            <w:r w:rsidR="001C4D8C">
              <w:rPr>
                <w:rFonts w:ascii="Times New Roman" w:hAnsi="Times New Roman" w:cs="Times New Roman"/>
                <w:sz w:val="16"/>
                <w:szCs w:val="16"/>
              </w:rPr>
              <w:t>, p</w:t>
            </w:r>
            <w:r w:rsidR="00513CD6">
              <w:rPr>
                <w:rFonts w:ascii="Times New Roman" w:hAnsi="Times New Roman" w:cs="Times New Roman"/>
                <w:sz w:val="16"/>
                <w:szCs w:val="16"/>
              </w:rPr>
              <w:t>=.949</w:t>
            </w:r>
          </w:p>
        </w:tc>
      </w:tr>
      <w:tr w:rsidR="00426A6C" w:rsidRPr="00E57996" w:rsidTr="006F1528">
        <w:trPr>
          <w:trHeight w:val="212"/>
        </w:trPr>
        <w:tc>
          <w:tcPr>
            <w:tcW w:w="4322" w:type="dxa"/>
            <w:tcBorders>
              <w:top w:val="nil"/>
              <w:left w:val="nil"/>
              <w:bottom w:val="single" w:sz="8" w:space="0" w:color="auto"/>
              <w:right w:val="nil"/>
            </w:tcBorders>
            <w:shd w:val="clear" w:color="auto" w:fill="auto"/>
            <w:noWrap/>
            <w:hideMark/>
          </w:tcPr>
          <w:p w:rsidR="00426A6C" w:rsidRPr="00E57996" w:rsidRDefault="00426A6C" w:rsidP="001F6136">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NEET</w:t>
            </w:r>
            <w:r w:rsidRPr="00E57996">
              <w:rPr>
                <w:rFonts w:ascii="Times New Roman" w:eastAsia="Times New Roman" w:hAnsi="Times New Roman" w:cs="Times New Roman"/>
                <w:color w:val="000000"/>
                <w:sz w:val="16"/>
                <w:szCs w:val="16"/>
                <w:lang w:eastAsia="en-GB"/>
              </w:rPr>
              <w:t xml:space="preserve"> </w:t>
            </w:r>
            <w:r w:rsidR="001F6136">
              <w:rPr>
                <w:rFonts w:ascii="Times New Roman" w:eastAsia="Times New Roman" w:hAnsi="Times New Roman" w:cs="Times New Roman"/>
                <w:color w:val="000000"/>
                <w:sz w:val="16"/>
                <w:szCs w:val="16"/>
                <w:lang w:eastAsia="en-GB"/>
              </w:rPr>
              <w:t>and</w:t>
            </w:r>
            <w:r w:rsidRPr="00E57996">
              <w:rPr>
                <w:rFonts w:ascii="Times New Roman" w:eastAsia="Times New Roman" w:hAnsi="Times New Roman" w:cs="Times New Roman"/>
                <w:color w:val="000000"/>
                <w:sz w:val="16"/>
                <w:szCs w:val="16"/>
                <w:lang w:eastAsia="en-GB"/>
              </w:rPr>
              <w:t xml:space="preserve"> High Intensity Treatment</w:t>
            </w:r>
          </w:p>
        </w:tc>
        <w:tc>
          <w:tcPr>
            <w:tcW w:w="1794" w:type="dxa"/>
            <w:tcBorders>
              <w:top w:val="nil"/>
              <w:left w:val="nil"/>
              <w:bottom w:val="single" w:sz="8" w:space="0" w:color="auto"/>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0.83(0.68 to 1.02)</w:t>
            </w:r>
          </w:p>
        </w:tc>
        <w:tc>
          <w:tcPr>
            <w:tcW w:w="1753" w:type="dxa"/>
            <w:tcBorders>
              <w:top w:val="nil"/>
              <w:left w:val="nil"/>
              <w:bottom w:val="single" w:sz="8" w:space="0" w:color="auto"/>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0.7(0.56 to 0.87)</w:t>
            </w:r>
          </w:p>
        </w:tc>
        <w:tc>
          <w:tcPr>
            <w:tcW w:w="1844" w:type="dxa"/>
            <w:tcBorders>
              <w:top w:val="nil"/>
              <w:left w:val="nil"/>
              <w:bottom w:val="single" w:sz="8" w:space="0" w:color="auto"/>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1.49(1.02 to 2.17)</w:t>
            </w:r>
          </w:p>
        </w:tc>
        <w:tc>
          <w:tcPr>
            <w:tcW w:w="1418" w:type="dxa"/>
            <w:tcBorders>
              <w:top w:val="nil"/>
              <w:left w:val="nil"/>
              <w:bottom w:val="single" w:sz="8" w:space="0" w:color="auto"/>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0.99(0.77 to 1.27)</w:t>
            </w:r>
          </w:p>
        </w:tc>
        <w:tc>
          <w:tcPr>
            <w:tcW w:w="2835" w:type="dxa"/>
            <w:tcBorders>
              <w:top w:val="nil"/>
              <w:left w:val="nil"/>
              <w:bottom w:val="single" w:sz="8" w:space="0" w:color="auto"/>
              <w:right w:val="nil"/>
            </w:tcBorders>
            <w:shd w:val="clear" w:color="auto" w:fill="auto"/>
            <w:noWrap/>
            <w:hideMark/>
          </w:tcPr>
          <w:p w:rsidR="00426A6C" w:rsidRPr="00426A6C" w:rsidRDefault="00426A6C" w:rsidP="00426A6C">
            <w:pPr>
              <w:rPr>
                <w:rFonts w:ascii="Times New Roman" w:hAnsi="Times New Roman" w:cs="Times New Roman"/>
                <w:sz w:val="16"/>
                <w:szCs w:val="16"/>
              </w:rPr>
            </w:pPr>
            <w:r w:rsidRPr="00426A6C">
              <w:rPr>
                <w:rFonts w:ascii="Times New Roman" w:hAnsi="Times New Roman" w:cs="Times New Roman"/>
                <w:sz w:val="16"/>
                <w:szCs w:val="16"/>
              </w:rPr>
              <w:t>0.01(0 to 0.02)</w:t>
            </w:r>
            <w:r w:rsidR="001C4D8C">
              <w:rPr>
                <w:rFonts w:ascii="Times New Roman" w:hAnsi="Times New Roman" w:cs="Times New Roman"/>
                <w:sz w:val="16"/>
                <w:szCs w:val="16"/>
              </w:rPr>
              <w:t>, p</w:t>
            </w:r>
            <w:r w:rsidR="00513CD6">
              <w:rPr>
                <w:rFonts w:ascii="Times New Roman" w:hAnsi="Times New Roman" w:cs="Times New Roman"/>
                <w:sz w:val="16"/>
                <w:szCs w:val="16"/>
              </w:rPr>
              <w:t>=.146</w:t>
            </w:r>
          </w:p>
        </w:tc>
      </w:tr>
    </w:tbl>
    <w:p w:rsidR="00F467BD" w:rsidRPr="00F11C91" w:rsidRDefault="00324239" w:rsidP="00F467BD">
      <w:pPr>
        <w:spacing w:after="0" w:line="240" w:lineRule="auto"/>
        <w:rPr>
          <w:rFonts w:ascii="Times New Roman" w:hAnsi="Times New Roman" w:cs="Times New Roman"/>
          <w:sz w:val="16"/>
          <w:szCs w:val="16"/>
        </w:rPr>
      </w:pPr>
      <w:r w:rsidRPr="00324239">
        <w:rPr>
          <w:rFonts w:ascii="Times New Roman" w:hAnsi="Times New Roman" w:cs="Times New Roman"/>
          <w:color w:val="1C1D1E"/>
          <w:sz w:val="16"/>
          <w:szCs w:val="16"/>
          <w:shd w:val="clear" w:color="auto" w:fill="FFFFFF"/>
          <w:vertAlign w:val="superscript"/>
        </w:rPr>
        <w:t>¶</w:t>
      </w:r>
      <w:r w:rsidR="00F467BD" w:rsidRPr="00F11C91">
        <w:rPr>
          <w:rFonts w:ascii="Times New Roman" w:hAnsi="Times New Roman" w:cs="Times New Roman"/>
          <w:sz w:val="16"/>
          <w:szCs w:val="16"/>
        </w:rPr>
        <w:t xml:space="preserve">All models adjusted for </w:t>
      </w:r>
      <w:r w:rsidR="00F467BD" w:rsidRPr="00F11C91">
        <w:rPr>
          <w:rFonts w:ascii="Times New Roman" w:eastAsia="Times New Roman" w:hAnsi="Times New Roman" w:cs="Times New Roman"/>
          <w:sz w:val="16"/>
          <w:szCs w:val="16"/>
          <w:lang w:eastAsia="en-GB"/>
        </w:rPr>
        <w:t xml:space="preserve">PHQ-9 scores, GAD-7 scores, W&amp;SAS items 2-5 scores, IAPT phobias scale item scores, psychotropic medication, diagnosis, </w:t>
      </w:r>
      <w:r w:rsidR="00F467BD" w:rsidRPr="00F11C91">
        <w:rPr>
          <w:rFonts w:ascii="Times New Roman" w:eastAsia="Times New Roman" w:hAnsi="Times New Roman" w:cs="Times New Roman"/>
          <w:bCs/>
          <w:sz w:val="16"/>
          <w:szCs w:val="16"/>
          <w:lang w:eastAsia="en-GB"/>
        </w:rPr>
        <w:t xml:space="preserve">gender, age, ethnicity, IMD decile, long-term conditions,  number of LI sessions, number of HI sessions, days between referral and assessment, days between assessment and starting treatment, year and month of first appointment, and service data came from. Items from this list were excluded if the same as or highly collinear with the moderating variable (e.g. gender, ethnicity, IMD Decile, and long-term conditions). </w:t>
      </w:r>
    </w:p>
    <w:p w:rsidR="00F467BD" w:rsidRDefault="00F467BD" w:rsidP="00F467BD">
      <w:pPr>
        <w:tabs>
          <w:tab w:val="left" w:pos="2780"/>
        </w:tabs>
        <w:rPr>
          <w:rFonts w:ascii="Times New Roman" w:hAnsi="Times New Roman" w:cs="Times New Roman"/>
          <w:sz w:val="16"/>
          <w:szCs w:val="16"/>
        </w:rPr>
      </w:pPr>
    </w:p>
    <w:p w:rsidR="00F467BD" w:rsidRDefault="00F467BD" w:rsidP="00F467BD">
      <w:pPr>
        <w:tabs>
          <w:tab w:val="left" w:pos="2780"/>
        </w:tabs>
        <w:rPr>
          <w:rFonts w:ascii="Times New Roman" w:hAnsi="Times New Roman" w:cs="Times New Roman"/>
          <w:b/>
          <w:sz w:val="16"/>
          <w:szCs w:val="16"/>
        </w:rPr>
      </w:pPr>
    </w:p>
    <w:p w:rsidR="00F467BD" w:rsidRDefault="00F467BD" w:rsidP="00F467BD">
      <w:pPr>
        <w:tabs>
          <w:tab w:val="left" w:pos="2780"/>
        </w:tabs>
        <w:rPr>
          <w:rFonts w:ascii="Times New Roman" w:hAnsi="Times New Roman" w:cs="Times New Roman"/>
          <w:b/>
          <w:sz w:val="16"/>
          <w:szCs w:val="16"/>
        </w:rPr>
      </w:pPr>
    </w:p>
    <w:p w:rsidR="00F467BD" w:rsidRDefault="00F467BD" w:rsidP="00F467BD">
      <w:pPr>
        <w:tabs>
          <w:tab w:val="left" w:pos="2780"/>
        </w:tabs>
        <w:rPr>
          <w:rFonts w:ascii="Times New Roman" w:hAnsi="Times New Roman" w:cs="Times New Roman"/>
          <w:b/>
          <w:sz w:val="16"/>
          <w:szCs w:val="16"/>
        </w:rPr>
      </w:pPr>
    </w:p>
    <w:p w:rsidR="00F467BD" w:rsidRDefault="00F467BD" w:rsidP="00F467BD">
      <w:pPr>
        <w:tabs>
          <w:tab w:val="left" w:pos="2780"/>
        </w:tabs>
        <w:rPr>
          <w:rFonts w:ascii="Times New Roman" w:hAnsi="Times New Roman" w:cs="Times New Roman"/>
          <w:b/>
          <w:sz w:val="16"/>
          <w:szCs w:val="16"/>
        </w:rPr>
      </w:pPr>
    </w:p>
    <w:p w:rsidR="00F467BD" w:rsidRDefault="00F467BD" w:rsidP="00F467BD">
      <w:pPr>
        <w:tabs>
          <w:tab w:val="left" w:pos="2780"/>
        </w:tabs>
        <w:rPr>
          <w:rFonts w:ascii="Times New Roman" w:hAnsi="Times New Roman" w:cs="Times New Roman"/>
          <w:b/>
          <w:sz w:val="16"/>
          <w:szCs w:val="16"/>
        </w:rPr>
      </w:pPr>
    </w:p>
    <w:p w:rsidR="00F467BD" w:rsidRDefault="00F467BD" w:rsidP="00F467BD">
      <w:pPr>
        <w:tabs>
          <w:tab w:val="left" w:pos="2780"/>
        </w:tabs>
        <w:rPr>
          <w:rFonts w:ascii="Times New Roman" w:hAnsi="Times New Roman" w:cs="Times New Roman"/>
          <w:b/>
          <w:sz w:val="16"/>
          <w:szCs w:val="16"/>
        </w:rPr>
      </w:pPr>
    </w:p>
    <w:p w:rsidR="006F1528" w:rsidRDefault="006F1528" w:rsidP="00F467BD">
      <w:pPr>
        <w:tabs>
          <w:tab w:val="left" w:pos="2780"/>
        </w:tabs>
        <w:rPr>
          <w:rFonts w:ascii="Times New Roman" w:hAnsi="Times New Roman" w:cs="Times New Roman"/>
          <w:b/>
          <w:sz w:val="16"/>
          <w:szCs w:val="16"/>
        </w:rPr>
      </w:pPr>
    </w:p>
    <w:p w:rsidR="00F467BD" w:rsidRPr="00024460" w:rsidRDefault="00F467BD" w:rsidP="00F467BD">
      <w:pPr>
        <w:tabs>
          <w:tab w:val="left" w:pos="2780"/>
        </w:tabs>
        <w:rPr>
          <w:rFonts w:ascii="Times New Roman" w:hAnsi="Times New Roman" w:cs="Times New Roman"/>
          <w:sz w:val="16"/>
          <w:szCs w:val="16"/>
        </w:rPr>
      </w:pPr>
      <w:bookmarkStart w:id="0" w:name="_GoBack"/>
      <w:bookmarkEnd w:id="0"/>
      <w:r>
        <w:rPr>
          <w:rFonts w:ascii="Times New Roman" w:hAnsi="Times New Roman" w:cs="Times New Roman"/>
          <w:b/>
          <w:sz w:val="16"/>
          <w:szCs w:val="16"/>
        </w:rPr>
        <w:lastRenderedPageBreak/>
        <w:t xml:space="preserve">Supplementary Table </w:t>
      </w:r>
      <w:r w:rsidR="009630A8">
        <w:rPr>
          <w:rFonts w:ascii="Times New Roman" w:hAnsi="Times New Roman" w:cs="Times New Roman"/>
          <w:b/>
          <w:sz w:val="16"/>
          <w:szCs w:val="16"/>
        </w:rPr>
        <w:t>5</w:t>
      </w:r>
      <w:r>
        <w:rPr>
          <w:rFonts w:ascii="Times New Roman" w:hAnsi="Times New Roman" w:cs="Times New Roman"/>
          <w:b/>
          <w:sz w:val="16"/>
          <w:szCs w:val="16"/>
        </w:rPr>
        <w:t xml:space="preserve">. </w:t>
      </w:r>
      <w:r w:rsidRPr="00024460">
        <w:rPr>
          <w:rFonts w:ascii="Times New Roman" w:hAnsi="Times New Roman" w:cs="Times New Roman"/>
          <w:sz w:val="16"/>
          <w:szCs w:val="16"/>
        </w:rPr>
        <w:t xml:space="preserve">Associations between each outcome with each potential moderator in stratified analysis of </w:t>
      </w:r>
      <w:r w:rsidR="001F6136">
        <w:rPr>
          <w:rFonts w:ascii="Times New Roman" w:hAnsi="Times New Roman" w:cs="Times New Roman"/>
          <w:sz w:val="16"/>
          <w:szCs w:val="16"/>
        </w:rPr>
        <w:t xml:space="preserve">those who were </w:t>
      </w:r>
      <w:r w:rsidRPr="00024460">
        <w:rPr>
          <w:rFonts w:ascii="Times New Roman" w:hAnsi="Times New Roman" w:cs="Times New Roman"/>
          <w:sz w:val="16"/>
          <w:szCs w:val="16"/>
        </w:rPr>
        <w:t>NEET only</w:t>
      </w:r>
      <w:r>
        <w:rPr>
          <w:rFonts w:ascii="Times New Roman" w:hAnsi="Times New Roman" w:cs="Times New Roman"/>
          <w:sz w:val="16"/>
          <w:szCs w:val="16"/>
        </w:rPr>
        <w:t>, using observed data only</w:t>
      </w:r>
      <w:r w:rsidRPr="00024460">
        <w:rPr>
          <w:rFonts w:ascii="Times New Roman" w:hAnsi="Times New Roman" w:cs="Times New Roman"/>
          <w:sz w:val="16"/>
          <w:szCs w:val="16"/>
        </w:rPr>
        <w:t>.</w:t>
      </w:r>
    </w:p>
    <w:tbl>
      <w:tblPr>
        <w:tblW w:w="13612" w:type="dxa"/>
        <w:tblLook w:val="04A0" w:firstRow="1" w:lastRow="0" w:firstColumn="1" w:lastColumn="0" w:noHBand="0" w:noVBand="1"/>
      </w:tblPr>
      <w:tblGrid>
        <w:gridCol w:w="3953"/>
        <w:gridCol w:w="1529"/>
        <w:gridCol w:w="1886"/>
        <w:gridCol w:w="1849"/>
        <w:gridCol w:w="1418"/>
        <w:gridCol w:w="2977"/>
      </w:tblGrid>
      <w:tr w:rsidR="00F467BD" w:rsidRPr="00F3189B" w:rsidTr="007409A7">
        <w:trPr>
          <w:trHeight w:val="288"/>
        </w:trPr>
        <w:tc>
          <w:tcPr>
            <w:tcW w:w="3953" w:type="dxa"/>
            <w:tcBorders>
              <w:top w:val="single" w:sz="8" w:space="0" w:color="auto"/>
              <w:left w:val="nil"/>
              <w:bottom w:val="nil"/>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 </w:t>
            </w:r>
          </w:p>
        </w:tc>
        <w:tc>
          <w:tcPr>
            <w:tcW w:w="9659" w:type="dxa"/>
            <w:gridSpan w:val="5"/>
            <w:tcBorders>
              <w:top w:val="single" w:sz="8" w:space="0" w:color="auto"/>
              <w:left w:val="nil"/>
              <w:bottom w:val="nil"/>
              <w:right w:val="nil"/>
            </w:tcBorders>
            <w:shd w:val="clear" w:color="auto" w:fill="auto"/>
            <w:noWrap/>
            <w:vAlign w:val="bottom"/>
            <w:hideMark/>
          </w:tcPr>
          <w:p w:rsidR="00F467BD" w:rsidRPr="00F3189B" w:rsidRDefault="00F467BD" w:rsidP="007409A7">
            <w:pPr>
              <w:spacing w:after="0" w:line="240" w:lineRule="auto"/>
              <w:jc w:val="center"/>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Outcome (OR (95%CI) unless otherwise stated)</w:t>
            </w:r>
            <w:r w:rsidRPr="00F11C91">
              <w:rPr>
                <w:rFonts w:ascii="Times New Roman" w:hAnsi="Times New Roman" w:cs="Times New Roman"/>
                <w:sz w:val="16"/>
                <w:szCs w:val="16"/>
              </w:rPr>
              <w:t xml:space="preserve"> </w:t>
            </w:r>
            <w:r w:rsidR="00324239" w:rsidRPr="00324239">
              <w:rPr>
                <w:rFonts w:ascii="Times New Roman" w:hAnsi="Times New Roman" w:cs="Times New Roman"/>
                <w:color w:val="1C1D1E"/>
                <w:sz w:val="16"/>
                <w:szCs w:val="16"/>
                <w:shd w:val="clear" w:color="auto" w:fill="FFFFFF"/>
                <w:vertAlign w:val="superscript"/>
              </w:rPr>
              <w:t>¶</w:t>
            </w:r>
          </w:p>
        </w:tc>
      </w:tr>
      <w:tr w:rsidR="00F467BD" w:rsidRPr="00F3189B" w:rsidTr="007409A7">
        <w:trPr>
          <w:trHeight w:val="300"/>
        </w:trPr>
        <w:tc>
          <w:tcPr>
            <w:tcW w:w="3953"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Moderator investigated in stratified analysis</w:t>
            </w:r>
          </w:p>
        </w:tc>
        <w:tc>
          <w:tcPr>
            <w:tcW w:w="1529"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Reliable Recovery</w:t>
            </w:r>
          </w:p>
        </w:tc>
        <w:tc>
          <w:tcPr>
            <w:tcW w:w="1886"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Reliable Improvement</w:t>
            </w:r>
          </w:p>
        </w:tc>
        <w:tc>
          <w:tcPr>
            <w:tcW w:w="1849"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Reliable Deterioration</w:t>
            </w:r>
          </w:p>
        </w:tc>
        <w:tc>
          <w:tcPr>
            <w:tcW w:w="1418"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Attrition</w:t>
            </w:r>
          </w:p>
        </w:tc>
        <w:tc>
          <w:tcPr>
            <w:tcW w:w="2977" w:type="dxa"/>
            <w:tcBorders>
              <w:top w:val="nil"/>
              <w:left w:val="nil"/>
              <w:bottom w:val="single" w:sz="8" w:space="0" w:color="auto"/>
              <w:right w:val="nil"/>
            </w:tcBorders>
            <w:shd w:val="clear" w:color="auto" w:fill="auto"/>
            <w:noWrap/>
            <w:vAlign w:val="bottom"/>
            <w:hideMark/>
          </w:tcPr>
          <w:p w:rsidR="00F467BD" w:rsidRPr="00F3189B" w:rsidRDefault="00F467BD" w:rsidP="007409A7">
            <w:pPr>
              <w:spacing w:after="0" w:line="240" w:lineRule="auto"/>
              <w:rPr>
                <w:rFonts w:ascii="Times New Roman" w:eastAsia="Times New Roman" w:hAnsi="Times New Roman" w:cs="Times New Roman"/>
                <w:b/>
                <w:bCs/>
                <w:color w:val="000000"/>
                <w:sz w:val="16"/>
                <w:szCs w:val="16"/>
                <w:lang w:eastAsia="en-GB"/>
              </w:rPr>
            </w:pPr>
            <w:r w:rsidRPr="00F3189B">
              <w:rPr>
                <w:rFonts w:ascii="Times New Roman" w:eastAsia="Times New Roman" w:hAnsi="Times New Roman" w:cs="Times New Roman"/>
                <w:b/>
                <w:bCs/>
                <w:color w:val="000000"/>
                <w:sz w:val="16"/>
                <w:szCs w:val="16"/>
                <w:lang w:eastAsia="en-GB"/>
              </w:rPr>
              <w:t>Engagement (Beta (95%CI) , p-value)</w:t>
            </w:r>
          </w:p>
        </w:tc>
      </w:tr>
      <w:tr w:rsidR="00F467BD" w:rsidRPr="00F3189B" w:rsidTr="00325A73">
        <w:trPr>
          <w:trHeight w:val="288"/>
        </w:trPr>
        <w:tc>
          <w:tcPr>
            <w:tcW w:w="3953"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Number of Missed Appointments</w:t>
            </w:r>
          </w:p>
        </w:tc>
        <w:tc>
          <w:tcPr>
            <w:tcW w:w="152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0.95(0.92 to 0.99)</w:t>
            </w:r>
          </w:p>
        </w:tc>
        <w:tc>
          <w:tcPr>
            <w:tcW w:w="1886"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0.98(0.95 to 1.16)</w:t>
            </w:r>
          </w:p>
        </w:tc>
        <w:tc>
          <w:tcPr>
            <w:tcW w:w="184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1.08(1.02 to 1.14)</w:t>
            </w:r>
          </w:p>
        </w:tc>
        <w:tc>
          <w:tcPr>
            <w:tcW w:w="1418"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1.13(1.09 to 1.17)</w:t>
            </w:r>
          </w:p>
        </w:tc>
        <w:tc>
          <w:tcPr>
            <w:tcW w:w="2977"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-0.06(-0.06 to -0.06), p&lt;.001</w:t>
            </w:r>
          </w:p>
        </w:tc>
      </w:tr>
      <w:tr w:rsidR="00F467BD" w:rsidRPr="00F3189B" w:rsidTr="00325A73">
        <w:trPr>
          <w:trHeight w:val="288"/>
        </w:trPr>
        <w:tc>
          <w:tcPr>
            <w:tcW w:w="3953"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Number of therapy sessions attended</w:t>
            </w:r>
            <w:r w:rsidR="00AC3AEA">
              <w:rPr>
                <w:rFonts w:ascii="Times New Roman" w:eastAsia="Times New Roman" w:hAnsi="Times New Roman" w:cs="Times New Roman"/>
                <w:color w:val="000000"/>
                <w:sz w:val="16"/>
                <w:szCs w:val="16"/>
                <w:lang w:eastAsia="en-GB"/>
              </w:rPr>
              <w:t xml:space="preserve"> (per one session)</w:t>
            </w:r>
          </w:p>
        </w:tc>
        <w:tc>
          <w:tcPr>
            <w:tcW w:w="152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1.09(1.07 to 1.11)</w:t>
            </w:r>
          </w:p>
        </w:tc>
        <w:tc>
          <w:tcPr>
            <w:tcW w:w="1886"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1.11(1.09 to 1.13)</w:t>
            </w:r>
          </w:p>
        </w:tc>
        <w:tc>
          <w:tcPr>
            <w:tcW w:w="184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0.95(0.92 to 0.98)</w:t>
            </w:r>
          </w:p>
        </w:tc>
        <w:tc>
          <w:tcPr>
            <w:tcW w:w="1418"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0.71(0.69 to 0.73)</w:t>
            </w:r>
          </w:p>
        </w:tc>
        <w:tc>
          <w:tcPr>
            <w:tcW w:w="2977"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0.01(0.01 to 0.01), p&lt;.001</w:t>
            </w:r>
          </w:p>
        </w:tc>
      </w:tr>
      <w:tr w:rsidR="00F467BD" w:rsidRPr="00F3189B" w:rsidTr="00325A73">
        <w:trPr>
          <w:trHeight w:val="288"/>
        </w:trPr>
        <w:tc>
          <w:tcPr>
            <w:tcW w:w="3953"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No recorded Diagnosis</w:t>
            </w:r>
          </w:p>
        </w:tc>
        <w:tc>
          <w:tcPr>
            <w:tcW w:w="152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1.10(0.84 to 1.45)</w:t>
            </w:r>
          </w:p>
        </w:tc>
        <w:tc>
          <w:tcPr>
            <w:tcW w:w="1886"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1.01(0.79 to 1.29)</w:t>
            </w:r>
          </w:p>
        </w:tc>
        <w:tc>
          <w:tcPr>
            <w:tcW w:w="1849"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0.86(0.57 to 1.28)</w:t>
            </w:r>
          </w:p>
        </w:tc>
        <w:tc>
          <w:tcPr>
            <w:tcW w:w="1418"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0.68(0.50 to 0.92)</w:t>
            </w:r>
          </w:p>
        </w:tc>
        <w:tc>
          <w:tcPr>
            <w:tcW w:w="2977" w:type="dxa"/>
            <w:tcBorders>
              <w:top w:val="nil"/>
              <w:left w:val="nil"/>
              <w:bottom w:val="nil"/>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0.04(0.02 to 0.06), p&lt;.001</w:t>
            </w:r>
          </w:p>
        </w:tc>
      </w:tr>
      <w:tr w:rsidR="00325A73" w:rsidRPr="00F3189B" w:rsidTr="00325A73">
        <w:trPr>
          <w:trHeight w:val="288"/>
        </w:trPr>
        <w:tc>
          <w:tcPr>
            <w:tcW w:w="3953" w:type="dxa"/>
            <w:tcBorders>
              <w:top w:val="nil"/>
              <w:left w:val="nil"/>
              <w:bottom w:val="nil"/>
              <w:right w:val="nil"/>
            </w:tcBorders>
            <w:shd w:val="clear" w:color="auto" w:fill="auto"/>
            <w:noWrap/>
            <w:hideMark/>
          </w:tcPr>
          <w:p w:rsidR="00325A73" w:rsidRPr="00F3189B" w:rsidRDefault="00325A73"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Number of weeks between referral and starting treatment</w:t>
            </w:r>
          </w:p>
        </w:tc>
        <w:tc>
          <w:tcPr>
            <w:tcW w:w="1529" w:type="dxa"/>
            <w:tcBorders>
              <w:top w:val="nil"/>
              <w:left w:val="nil"/>
              <w:bottom w:val="nil"/>
              <w:right w:val="nil"/>
            </w:tcBorders>
            <w:shd w:val="clear" w:color="auto" w:fill="auto"/>
            <w:noWrap/>
            <w:hideMark/>
          </w:tcPr>
          <w:p w:rsidR="00325A73" w:rsidRPr="00325A73" w:rsidRDefault="00325A73" w:rsidP="00325A73">
            <w:pPr>
              <w:rPr>
                <w:rFonts w:ascii="Times New Roman" w:eastAsia="Times New Roman" w:hAnsi="Times New Roman" w:cs="Times New Roman"/>
                <w:color w:val="000000"/>
                <w:sz w:val="16"/>
                <w:szCs w:val="16"/>
              </w:rPr>
            </w:pPr>
            <w:r w:rsidRPr="00325A73">
              <w:rPr>
                <w:rFonts w:ascii="Times New Roman" w:hAnsi="Times New Roman" w:cs="Times New Roman"/>
                <w:color w:val="000000"/>
                <w:sz w:val="16"/>
                <w:szCs w:val="16"/>
              </w:rPr>
              <w:t>0.99(0.96 to 1.01)</w:t>
            </w:r>
          </w:p>
        </w:tc>
        <w:tc>
          <w:tcPr>
            <w:tcW w:w="1886" w:type="dxa"/>
            <w:tcBorders>
              <w:top w:val="nil"/>
              <w:left w:val="nil"/>
              <w:bottom w:val="nil"/>
              <w:right w:val="nil"/>
            </w:tcBorders>
            <w:shd w:val="clear" w:color="auto" w:fill="auto"/>
            <w:noWrap/>
            <w:hideMark/>
          </w:tcPr>
          <w:p w:rsidR="00325A73" w:rsidRPr="00325A73" w:rsidRDefault="00325A73" w:rsidP="00325A73">
            <w:pPr>
              <w:rPr>
                <w:rFonts w:ascii="Times New Roman" w:hAnsi="Times New Roman" w:cs="Times New Roman"/>
                <w:color w:val="000000"/>
                <w:sz w:val="16"/>
                <w:szCs w:val="16"/>
              </w:rPr>
            </w:pPr>
            <w:r w:rsidRPr="00325A73">
              <w:rPr>
                <w:rFonts w:ascii="Times New Roman" w:hAnsi="Times New Roman" w:cs="Times New Roman"/>
                <w:color w:val="000000"/>
                <w:sz w:val="16"/>
                <w:szCs w:val="16"/>
              </w:rPr>
              <w:t>0.98(0.96 to 1.00)</w:t>
            </w:r>
          </w:p>
        </w:tc>
        <w:tc>
          <w:tcPr>
            <w:tcW w:w="1849" w:type="dxa"/>
            <w:tcBorders>
              <w:top w:val="nil"/>
              <w:left w:val="nil"/>
              <w:bottom w:val="nil"/>
              <w:right w:val="nil"/>
            </w:tcBorders>
            <w:shd w:val="clear" w:color="auto" w:fill="auto"/>
            <w:noWrap/>
            <w:hideMark/>
          </w:tcPr>
          <w:p w:rsidR="00325A73" w:rsidRPr="00325A73" w:rsidRDefault="00325A73" w:rsidP="00325A73">
            <w:pPr>
              <w:rPr>
                <w:rFonts w:ascii="Times New Roman" w:hAnsi="Times New Roman" w:cs="Times New Roman"/>
                <w:color w:val="000000"/>
                <w:sz w:val="16"/>
                <w:szCs w:val="16"/>
              </w:rPr>
            </w:pPr>
            <w:r w:rsidRPr="00325A73">
              <w:rPr>
                <w:rFonts w:ascii="Times New Roman" w:hAnsi="Times New Roman" w:cs="Times New Roman"/>
                <w:color w:val="000000"/>
                <w:sz w:val="16"/>
                <w:szCs w:val="16"/>
              </w:rPr>
              <w:t>0.98(0.95 to 1.02)</w:t>
            </w:r>
          </w:p>
        </w:tc>
        <w:tc>
          <w:tcPr>
            <w:tcW w:w="1418" w:type="dxa"/>
            <w:tcBorders>
              <w:top w:val="nil"/>
              <w:left w:val="nil"/>
              <w:bottom w:val="nil"/>
              <w:right w:val="nil"/>
            </w:tcBorders>
            <w:shd w:val="clear" w:color="auto" w:fill="auto"/>
            <w:noWrap/>
            <w:hideMark/>
          </w:tcPr>
          <w:p w:rsidR="00325A73" w:rsidRPr="00325A73" w:rsidRDefault="00325A73" w:rsidP="00325A73">
            <w:pPr>
              <w:rPr>
                <w:rFonts w:ascii="Times New Roman" w:hAnsi="Times New Roman" w:cs="Times New Roman"/>
                <w:color w:val="000000"/>
                <w:sz w:val="16"/>
                <w:szCs w:val="16"/>
              </w:rPr>
            </w:pPr>
            <w:r w:rsidRPr="00325A73">
              <w:rPr>
                <w:rFonts w:ascii="Times New Roman" w:hAnsi="Times New Roman" w:cs="Times New Roman"/>
                <w:color w:val="000000"/>
                <w:sz w:val="16"/>
                <w:szCs w:val="16"/>
              </w:rPr>
              <w:t>1.00(0.97 to 1.03)</w:t>
            </w:r>
          </w:p>
        </w:tc>
        <w:tc>
          <w:tcPr>
            <w:tcW w:w="2977" w:type="dxa"/>
            <w:tcBorders>
              <w:top w:val="nil"/>
              <w:left w:val="nil"/>
              <w:bottom w:val="nil"/>
              <w:right w:val="nil"/>
            </w:tcBorders>
            <w:shd w:val="clear" w:color="auto" w:fill="auto"/>
            <w:noWrap/>
            <w:hideMark/>
          </w:tcPr>
          <w:p w:rsidR="00325A73" w:rsidRPr="00325A73" w:rsidRDefault="00325A73" w:rsidP="00325A73">
            <w:pPr>
              <w:rPr>
                <w:rFonts w:ascii="Times New Roman" w:hAnsi="Times New Roman" w:cs="Times New Roman"/>
                <w:color w:val="000000"/>
                <w:sz w:val="16"/>
                <w:szCs w:val="16"/>
              </w:rPr>
            </w:pPr>
            <w:r w:rsidRPr="00325A73">
              <w:rPr>
                <w:rFonts w:ascii="Times New Roman" w:hAnsi="Times New Roman" w:cs="Times New Roman"/>
                <w:color w:val="000000"/>
                <w:sz w:val="16"/>
                <w:szCs w:val="16"/>
              </w:rPr>
              <w:t>0.00(0.00 to 0.00), p=.279</w:t>
            </w:r>
          </w:p>
        </w:tc>
      </w:tr>
      <w:tr w:rsidR="00F467BD" w:rsidRPr="00F3189B" w:rsidTr="00325A73">
        <w:trPr>
          <w:trHeight w:val="198"/>
        </w:trPr>
        <w:tc>
          <w:tcPr>
            <w:tcW w:w="3953"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 xml:space="preserve">Started treatment within 21 days of assessment </w:t>
            </w:r>
          </w:p>
        </w:tc>
        <w:tc>
          <w:tcPr>
            <w:tcW w:w="1529"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1.27(1.03 to 1.57)</w:t>
            </w:r>
          </w:p>
        </w:tc>
        <w:tc>
          <w:tcPr>
            <w:tcW w:w="1886"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1.25(1.02 to 1.53)</w:t>
            </w:r>
          </w:p>
        </w:tc>
        <w:tc>
          <w:tcPr>
            <w:tcW w:w="1849"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0.58(0.41 to 0.83)</w:t>
            </w:r>
          </w:p>
        </w:tc>
        <w:tc>
          <w:tcPr>
            <w:tcW w:w="1418"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0.76(0.60 to 0.96)</w:t>
            </w:r>
          </w:p>
        </w:tc>
        <w:tc>
          <w:tcPr>
            <w:tcW w:w="2977" w:type="dxa"/>
            <w:tcBorders>
              <w:top w:val="nil"/>
              <w:left w:val="nil"/>
              <w:bottom w:val="single" w:sz="8" w:space="0" w:color="auto"/>
              <w:right w:val="nil"/>
            </w:tcBorders>
            <w:shd w:val="clear" w:color="auto" w:fill="auto"/>
            <w:noWrap/>
            <w:hideMark/>
          </w:tcPr>
          <w:p w:rsidR="00F467BD" w:rsidRPr="00F3189B" w:rsidRDefault="00F467BD" w:rsidP="00325A73">
            <w:pPr>
              <w:spacing w:after="0" w:line="240" w:lineRule="auto"/>
              <w:rPr>
                <w:rFonts w:ascii="Times New Roman" w:eastAsia="Times New Roman" w:hAnsi="Times New Roman" w:cs="Times New Roman"/>
                <w:color w:val="000000"/>
                <w:sz w:val="16"/>
                <w:szCs w:val="16"/>
                <w:lang w:eastAsia="en-GB"/>
              </w:rPr>
            </w:pPr>
            <w:r w:rsidRPr="00F3189B">
              <w:rPr>
                <w:rFonts w:ascii="Times New Roman" w:eastAsia="Times New Roman" w:hAnsi="Times New Roman" w:cs="Times New Roman"/>
                <w:color w:val="000000"/>
                <w:sz w:val="16"/>
                <w:szCs w:val="16"/>
                <w:lang w:eastAsia="en-GB"/>
              </w:rPr>
              <w:t>0.04(0.03 to 0.06), p&lt;.001</w:t>
            </w:r>
          </w:p>
        </w:tc>
      </w:tr>
    </w:tbl>
    <w:p w:rsidR="00F467BD" w:rsidRPr="00F11C91" w:rsidRDefault="00324239" w:rsidP="00F467BD">
      <w:pPr>
        <w:spacing w:after="0" w:line="240" w:lineRule="auto"/>
        <w:rPr>
          <w:rFonts w:ascii="Times New Roman" w:hAnsi="Times New Roman" w:cs="Times New Roman"/>
          <w:sz w:val="16"/>
          <w:szCs w:val="16"/>
        </w:rPr>
      </w:pPr>
      <w:r w:rsidRPr="00324239">
        <w:rPr>
          <w:rFonts w:ascii="Times New Roman" w:hAnsi="Times New Roman" w:cs="Times New Roman"/>
          <w:color w:val="1C1D1E"/>
          <w:sz w:val="16"/>
          <w:szCs w:val="16"/>
          <w:shd w:val="clear" w:color="auto" w:fill="FFFFFF"/>
          <w:vertAlign w:val="superscript"/>
        </w:rPr>
        <w:t>¶</w:t>
      </w:r>
      <w:r w:rsidR="00F467BD" w:rsidRPr="00F11C91">
        <w:rPr>
          <w:rFonts w:ascii="Times New Roman" w:hAnsi="Times New Roman" w:cs="Times New Roman"/>
          <w:sz w:val="16"/>
          <w:szCs w:val="16"/>
        </w:rPr>
        <w:t xml:space="preserve">All models adjusted for </w:t>
      </w:r>
      <w:r w:rsidR="00F467BD" w:rsidRPr="00F11C91">
        <w:rPr>
          <w:rFonts w:ascii="Times New Roman" w:eastAsia="Times New Roman" w:hAnsi="Times New Roman" w:cs="Times New Roman"/>
          <w:sz w:val="16"/>
          <w:szCs w:val="16"/>
          <w:lang w:eastAsia="en-GB"/>
        </w:rPr>
        <w:t xml:space="preserve">PHQ-9 scores, GAD-7 scores, W&amp;SAS items 2-5 scores, IAPT phobias scale item scores, psychotropic medication, diagnosis, </w:t>
      </w:r>
      <w:r w:rsidR="00F467BD" w:rsidRPr="00F11C91">
        <w:rPr>
          <w:rFonts w:ascii="Times New Roman" w:eastAsia="Times New Roman" w:hAnsi="Times New Roman" w:cs="Times New Roman"/>
          <w:bCs/>
          <w:sz w:val="16"/>
          <w:szCs w:val="16"/>
          <w:lang w:eastAsia="en-GB"/>
        </w:rPr>
        <w:t xml:space="preserve">gender, age, ethnicity, IMD decile, long-term conditions,  number of LI sessions, number of HI sessions, days between referral and assessment, days between assessment and starting treatment, year and month of first appointment, and service data came from. Items from this list were excluded if the same as or highly collinear with the moderating variable (e.g. </w:t>
      </w:r>
      <w:r w:rsidR="00F467BD">
        <w:rPr>
          <w:rFonts w:ascii="Times New Roman" w:eastAsia="Times New Roman" w:hAnsi="Times New Roman" w:cs="Times New Roman"/>
          <w:bCs/>
          <w:sz w:val="16"/>
          <w:szCs w:val="16"/>
          <w:lang w:eastAsia="en-GB"/>
        </w:rPr>
        <w:t>number of attended appointments, number of HI sessions</w:t>
      </w:r>
      <w:r w:rsidR="00F467BD" w:rsidRPr="00F11C91">
        <w:rPr>
          <w:rFonts w:ascii="Times New Roman" w:eastAsia="Times New Roman" w:hAnsi="Times New Roman" w:cs="Times New Roman"/>
          <w:bCs/>
          <w:sz w:val="16"/>
          <w:szCs w:val="16"/>
          <w:lang w:eastAsia="en-GB"/>
        </w:rPr>
        <w:t xml:space="preserve">, </w:t>
      </w:r>
      <w:r w:rsidR="00F467BD">
        <w:rPr>
          <w:rFonts w:ascii="Times New Roman" w:eastAsia="Times New Roman" w:hAnsi="Times New Roman" w:cs="Times New Roman"/>
          <w:bCs/>
          <w:sz w:val="16"/>
          <w:szCs w:val="16"/>
          <w:lang w:eastAsia="en-GB"/>
        </w:rPr>
        <w:t>number of LI sessions</w:t>
      </w:r>
      <w:r w:rsidR="00F467BD" w:rsidRPr="00F11C91">
        <w:rPr>
          <w:rFonts w:ascii="Times New Roman" w:eastAsia="Times New Roman" w:hAnsi="Times New Roman" w:cs="Times New Roman"/>
          <w:bCs/>
          <w:sz w:val="16"/>
          <w:szCs w:val="16"/>
          <w:lang w:eastAsia="en-GB"/>
        </w:rPr>
        <w:t xml:space="preserve">, </w:t>
      </w:r>
      <w:r w:rsidR="00F467BD">
        <w:rPr>
          <w:rFonts w:ascii="Times New Roman" w:eastAsia="Times New Roman" w:hAnsi="Times New Roman" w:cs="Times New Roman"/>
          <w:bCs/>
          <w:sz w:val="16"/>
          <w:szCs w:val="16"/>
          <w:lang w:eastAsia="en-GB"/>
        </w:rPr>
        <w:t>diagnosis, and days between referral and starting treatment</w:t>
      </w:r>
      <w:r w:rsidR="00F467BD" w:rsidRPr="00F11C91">
        <w:rPr>
          <w:rFonts w:ascii="Times New Roman" w:eastAsia="Times New Roman" w:hAnsi="Times New Roman" w:cs="Times New Roman"/>
          <w:bCs/>
          <w:sz w:val="16"/>
          <w:szCs w:val="16"/>
          <w:lang w:eastAsia="en-GB"/>
        </w:rPr>
        <w:t xml:space="preserve">). </w:t>
      </w:r>
    </w:p>
    <w:p w:rsidR="00EB0CB3" w:rsidRDefault="00EB0CB3"/>
    <w:p w:rsidR="00F467BD" w:rsidRDefault="00F467BD"/>
    <w:p w:rsidR="00B67336" w:rsidRDefault="00B67336">
      <w:r>
        <w:br w:type="page"/>
      </w:r>
    </w:p>
    <w:p w:rsidR="00B67336" w:rsidRDefault="00B67336">
      <w:pPr>
        <w:sectPr w:rsidR="00B67336" w:rsidSect="00F467BD">
          <w:pgSz w:w="16838" w:h="11906" w:orient="landscape"/>
          <w:pgMar w:top="567" w:right="567" w:bottom="567" w:left="567" w:header="709" w:footer="709" w:gutter="0"/>
          <w:cols w:space="708"/>
          <w:docGrid w:linePitch="360"/>
        </w:sectPr>
      </w:pPr>
    </w:p>
    <w:p w:rsidR="00B67336" w:rsidRPr="00B51FE5" w:rsidRDefault="00B67336" w:rsidP="00B67336">
      <w:pPr>
        <w:spacing w:line="360" w:lineRule="auto"/>
        <w:rPr>
          <w:rFonts w:ascii="Times New Roman" w:hAnsi="Times New Roman" w:cs="Times New Roman"/>
          <w:b/>
          <w:sz w:val="20"/>
          <w:szCs w:val="20"/>
          <w:u w:val="single"/>
        </w:rPr>
      </w:pPr>
      <w:r w:rsidRPr="00B51FE5">
        <w:rPr>
          <w:rFonts w:ascii="Times New Roman" w:hAnsi="Times New Roman" w:cs="Times New Roman"/>
          <w:b/>
          <w:sz w:val="20"/>
          <w:szCs w:val="20"/>
          <w:u w:val="single"/>
        </w:rPr>
        <w:lastRenderedPageBreak/>
        <w:t>References</w:t>
      </w:r>
      <w:r>
        <w:rPr>
          <w:rFonts w:ascii="Times New Roman" w:hAnsi="Times New Roman" w:cs="Times New Roman"/>
          <w:b/>
          <w:sz w:val="20"/>
          <w:szCs w:val="20"/>
          <w:u w:val="single"/>
        </w:rPr>
        <w:t>.</w:t>
      </w:r>
    </w:p>
    <w:p w:rsidR="00B67336" w:rsidRPr="00B51FE5" w:rsidRDefault="00B67336" w:rsidP="00B67336">
      <w:pPr>
        <w:spacing w:line="360" w:lineRule="auto"/>
        <w:rPr>
          <w:rFonts w:ascii="Times New Roman" w:hAnsi="Times New Roman" w:cs="Times New Roman"/>
          <w:sz w:val="20"/>
          <w:szCs w:val="20"/>
        </w:rPr>
      </w:pPr>
    </w:p>
    <w:p w:rsidR="00352259" w:rsidRPr="00352259" w:rsidRDefault="00B67336"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B51FE5">
        <w:rPr>
          <w:rFonts w:ascii="Times New Roman" w:hAnsi="Times New Roman" w:cs="Times New Roman"/>
          <w:sz w:val="20"/>
          <w:szCs w:val="20"/>
        </w:rPr>
        <w:fldChar w:fldCharType="begin" w:fldLock="1"/>
      </w:r>
      <w:r w:rsidRPr="00B51FE5">
        <w:rPr>
          <w:rFonts w:ascii="Times New Roman" w:hAnsi="Times New Roman" w:cs="Times New Roman"/>
          <w:sz w:val="20"/>
          <w:szCs w:val="20"/>
        </w:rPr>
        <w:instrText xml:space="preserve">ADDIN Mendeley Bibliography CSL_BIBLIOGRAPHY </w:instrText>
      </w:r>
      <w:r w:rsidRPr="00B51FE5">
        <w:rPr>
          <w:rFonts w:ascii="Times New Roman" w:hAnsi="Times New Roman" w:cs="Times New Roman"/>
          <w:sz w:val="20"/>
          <w:szCs w:val="20"/>
        </w:rPr>
        <w:fldChar w:fldCharType="separate"/>
      </w:r>
      <w:r w:rsidR="00352259" w:rsidRPr="00352259">
        <w:rPr>
          <w:rFonts w:ascii="Times New Roman" w:hAnsi="Times New Roman" w:cs="Times New Roman"/>
          <w:noProof/>
          <w:sz w:val="20"/>
          <w:szCs w:val="24"/>
        </w:rPr>
        <w:t xml:space="preserve">Chambless, D. L., Caputo, G. C., Jasin, S. E., Gracely, E. J., &amp; Williams, C. (1985). The Mobility Inventory for Agoraphobia. </w:t>
      </w:r>
      <w:r w:rsidR="00352259" w:rsidRPr="00352259">
        <w:rPr>
          <w:rFonts w:ascii="Times New Roman" w:hAnsi="Times New Roman" w:cs="Times New Roman"/>
          <w:i/>
          <w:iCs/>
          <w:noProof/>
          <w:sz w:val="20"/>
          <w:szCs w:val="24"/>
        </w:rPr>
        <w:t>Behaviour Research and Therapy</w:t>
      </w:r>
      <w:r w:rsidR="00352259" w:rsidRPr="00352259">
        <w:rPr>
          <w:rFonts w:ascii="Times New Roman" w:hAnsi="Times New Roman" w:cs="Times New Roman"/>
          <w:noProof/>
          <w:sz w:val="20"/>
          <w:szCs w:val="24"/>
        </w:rPr>
        <w:t xml:space="preserve">, </w:t>
      </w:r>
      <w:r w:rsidR="00352259" w:rsidRPr="00352259">
        <w:rPr>
          <w:rFonts w:ascii="Times New Roman" w:hAnsi="Times New Roman" w:cs="Times New Roman"/>
          <w:i/>
          <w:iCs/>
          <w:noProof/>
          <w:sz w:val="20"/>
          <w:szCs w:val="24"/>
        </w:rPr>
        <w:t>23</w:t>
      </w:r>
      <w:r w:rsidR="00352259" w:rsidRPr="00352259">
        <w:rPr>
          <w:rFonts w:ascii="Times New Roman" w:hAnsi="Times New Roman" w:cs="Times New Roman"/>
          <w:noProof/>
          <w:sz w:val="20"/>
          <w:szCs w:val="24"/>
        </w:rPr>
        <w:t>(1), 35–44. https://doi.org/10.1016/0005-7967(85)90140-8</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352259">
        <w:rPr>
          <w:rFonts w:ascii="Times New Roman" w:hAnsi="Times New Roman" w:cs="Times New Roman"/>
          <w:noProof/>
          <w:sz w:val="20"/>
          <w:szCs w:val="24"/>
        </w:rPr>
        <w:t xml:space="preserve">Connor, K. M., Davidson, J. R. T., Churchill, L. E., Sherwood, A., Weisler, R. H., &amp; Foa, E. (2000). Psychometric properties of the Social Phobia Inventory (SPIN). </w:t>
      </w:r>
      <w:r w:rsidRPr="00352259">
        <w:rPr>
          <w:rFonts w:ascii="Times New Roman" w:hAnsi="Times New Roman" w:cs="Times New Roman"/>
          <w:i/>
          <w:iCs/>
          <w:noProof/>
          <w:sz w:val="20"/>
          <w:szCs w:val="24"/>
        </w:rPr>
        <w:t>The British Journal of Psychiatry</w:t>
      </w:r>
      <w:r w:rsidRPr="00352259">
        <w:rPr>
          <w:rFonts w:ascii="Times New Roman" w:hAnsi="Times New Roman" w:cs="Times New Roman"/>
          <w:noProof/>
          <w:sz w:val="20"/>
          <w:szCs w:val="24"/>
        </w:rPr>
        <w:t xml:space="preserve">, </w:t>
      </w:r>
      <w:r w:rsidRPr="00352259">
        <w:rPr>
          <w:rFonts w:ascii="Times New Roman" w:hAnsi="Times New Roman" w:cs="Times New Roman"/>
          <w:i/>
          <w:iCs/>
          <w:noProof/>
          <w:sz w:val="20"/>
          <w:szCs w:val="24"/>
        </w:rPr>
        <w:t>176</w:t>
      </w:r>
      <w:r w:rsidRPr="00352259">
        <w:rPr>
          <w:rFonts w:ascii="Times New Roman" w:hAnsi="Times New Roman" w:cs="Times New Roman"/>
          <w:noProof/>
          <w:sz w:val="20"/>
          <w:szCs w:val="24"/>
        </w:rPr>
        <w:t>(4), 379–386. https://doi.org/10.1192/bjp.176.4.379</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352259">
        <w:rPr>
          <w:rFonts w:ascii="Times New Roman" w:hAnsi="Times New Roman" w:cs="Times New Roman"/>
          <w:noProof/>
          <w:sz w:val="20"/>
          <w:szCs w:val="24"/>
        </w:rPr>
        <w:t xml:space="preserve">Creamer, M., Bell, R., &amp; Failla, S. (2003). Psychometric properties of the Impact of Event Scale - Revised. </w:t>
      </w:r>
      <w:r w:rsidRPr="00352259">
        <w:rPr>
          <w:rFonts w:ascii="Times New Roman" w:hAnsi="Times New Roman" w:cs="Times New Roman"/>
          <w:i/>
          <w:iCs/>
          <w:noProof/>
          <w:sz w:val="20"/>
          <w:szCs w:val="24"/>
        </w:rPr>
        <w:t>Behaviour Research and Therapy</w:t>
      </w:r>
      <w:r w:rsidRPr="00352259">
        <w:rPr>
          <w:rFonts w:ascii="Times New Roman" w:hAnsi="Times New Roman" w:cs="Times New Roman"/>
          <w:noProof/>
          <w:sz w:val="20"/>
          <w:szCs w:val="24"/>
        </w:rPr>
        <w:t xml:space="preserve">, </w:t>
      </w:r>
      <w:r w:rsidRPr="00352259">
        <w:rPr>
          <w:rFonts w:ascii="Times New Roman" w:hAnsi="Times New Roman" w:cs="Times New Roman"/>
          <w:i/>
          <w:iCs/>
          <w:noProof/>
          <w:sz w:val="20"/>
          <w:szCs w:val="24"/>
        </w:rPr>
        <w:t>41</w:t>
      </w:r>
      <w:r w:rsidRPr="00352259">
        <w:rPr>
          <w:rFonts w:ascii="Times New Roman" w:hAnsi="Times New Roman" w:cs="Times New Roman"/>
          <w:noProof/>
          <w:sz w:val="20"/>
          <w:szCs w:val="24"/>
        </w:rPr>
        <w:t>(12), 1489–1496. https://doi.org/10.1016/j.brat.2003.07.010</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352259">
        <w:rPr>
          <w:rFonts w:ascii="Times New Roman" w:hAnsi="Times New Roman" w:cs="Times New Roman"/>
          <w:noProof/>
          <w:sz w:val="20"/>
          <w:szCs w:val="24"/>
        </w:rPr>
        <w:t xml:space="preserve">Foa, E. B., Kozak, M. J., Salkovskis, P. M., Coles, M. E., &amp; Amir, N. (1998). The validation of a new obsessive-compulsive disorder scale: The obsessive-compulsive inventory. </w:t>
      </w:r>
      <w:r w:rsidRPr="00352259">
        <w:rPr>
          <w:rFonts w:ascii="Times New Roman" w:hAnsi="Times New Roman" w:cs="Times New Roman"/>
          <w:i/>
          <w:iCs/>
          <w:noProof/>
          <w:sz w:val="20"/>
          <w:szCs w:val="24"/>
        </w:rPr>
        <w:t>Psychological Assessment</w:t>
      </w:r>
      <w:r w:rsidRPr="00352259">
        <w:rPr>
          <w:rFonts w:ascii="Times New Roman" w:hAnsi="Times New Roman" w:cs="Times New Roman"/>
          <w:noProof/>
          <w:sz w:val="20"/>
          <w:szCs w:val="24"/>
        </w:rPr>
        <w:t xml:space="preserve">, </w:t>
      </w:r>
      <w:r w:rsidRPr="00352259">
        <w:rPr>
          <w:rFonts w:ascii="Times New Roman" w:hAnsi="Times New Roman" w:cs="Times New Roman"/>
          <w:i/>
          <w:iCs/>
          <w:noProof/>
          <w:sz w:val="20"/>
          <w:szCs w:val="24"/>
        </w:rPr>
        <w:t>10</w:t>
      </w:r>
      <w:r w:rsidRPr="00352259">
        <w:rPr>
          <w:rFonts w:ascii="Times New Roman" w:hAnsi="Times New Roman" w:cs="Times New Roman"/>
          <w:noProof/>
          <w:sz w:val="20"/>
          <w:szCs w:val="24"/>
        </w:rPr>
        <w:t>(3), 206–214. https://doi.org/10.1037/1040-3590.10.3.206</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352259">
        <w:rPr>
          <w:rFonts w:ascii="Times New Roman" w:hAnsi="Times New Roman" w:cs="Times New Roman"/>
          <w:noProof/>
          <w:sz w:val="20"/>
          <w:szCs w:val="24"/>
        </w:rPr>
        <w:t xml:space="preserve">NHS Digital. (2016). </w:t>
      </w:r>
      <w:r w:rsidRPr="00352259">
        <w:rPr>
          <w:rFonts w:ascii="Times New Roman" w:hAnsi="Times New Roman" w:cs="Times New Roman"/>
          <w:i/>
          <w:iCs/>
          <w:noProof/>
          <w:sz w:val="20"/>
          <w:szCs w:val="24"/>
        </w:rPr>
        <w:t>Psychological Therapies, Annual Report on the use of IAPT services: England 2015-16</w:t>
      </w:r>
      <w:r w:rsidRPr="00352259">
        <w:rPr>
          <w:rFonts w:ascii="Times New Roman" w:hAnsi="Times New Roman" w:cs="Times New Roman"/>
          <w:noProof/>
          <w:sz w:val="20"/>
          <w:szCs w:val="24"/>
        </w:rPr>
        <w:t>.</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szCs w:val="24"/>
        </w:rPr>
      </w:pPr>
      <w:r w:rsidRPr="00352259">
        <w:rPr>
          <w:rFonts w:ascii="Times New Roman" w:hAnsi="Times New Roman" w:cs="Times New Roman"/>
          <w:noProof/>
          <w:sz w:val="20"/>
          <w:szCs w:val="24"/>
        </w:rPr>
        <w:t xml:space="preserve">Salkovskis, P. M., Rimes, K. A., Warwick, H. M. C., &amp; Clark, D. (2002). The Health Anxiety Inventory: development and validation of scales for the measurement of health anxiety and hypochondriasis. </w:t>
      </w:r>
      <w:r w:rsidRPr="00352259">
        <w:rPr>
          <w:rFonts w:ascii="Times New Roman" w:hAnsi="Times New Roman" w:cs="Times New Roman"/>
          <w:i/>
          <w:iCs/>
          <w:noProof/>
          <w:sz w:val="20"/>
          <w:szCs w:val="24"/>
        </w:rPr>
        <w:t>Psychological Medicine</w:t>
      </w:r>
      <w:r w:rsidRPr="00352259">
        <w:rPr>
          <w:rFonts w:ascii="Times New Roman" w:hAnsi="Times New Roman" w:cs="Times New Roman"/>
          <w:noProof/>
          <w:sz w:val="20"/>
          <w:szCs w:val="24"/>
        </w:rPr>
        <w:t xml:space="preserve">, </w:t>
      </w:r>
      <w:r w:rsidRPr="00352259">
        <w:rPr>
          <w:rFonts w:ascii="Times New Roman" w:hAnsi="Times New Roman" w:cs="Times New Roman"/>
          <w:i/>
          <w:iCs/>
          <w:noProof/>
          <w:sz w:val="20"/>
          <w:szCs w:val="24"/>
        </w:rPr>
        <w:t>32</w:t>
      </w:r>
      <w:r w:rsidRPr="00352259">
        <w:rPr>
          <w:rFonts w:ascii="Times New Roman" w:hAnsi="Times New Roman" w:cs="Times New Roman"/>
          <w:noProof/>
          <w:sz w:val="20"/>
          <w:szCs w:val="24"/>
        </w:rPr>
        <w:t>(5), 843–853.</w:t>
      </w:r>
    </w:p>
    <w:p w:rsidR="00352259" w:rsidRPr="00352259" w:rsidRDefault="00352259" w:rsidP="00352259">
      <w:pPr>
        <w:widowControl w:val="0"/>
        <w:autoSpaceDE w:val="0"/>
        <w:autoSpaceDN w:val="0"/>
        <w:adjustRightInd w:val="0"/>
        <w:spacing w:line="360" w:lineRule="auto"/>
        <w:ind w:left="480" w:hanging="480"/>
        <w:rPr>
          <w:rFonts w:ascii="Times New Roman" w:hAnsi="Times New Roman" w:cs="Times New Roman"/>
          <w:noProof/>
          <w:sz w:val="20"/>
        </w:rPr>
      </w:pPr>
      <w:r w:rsidRPr="00352259">
        <w:rPr>
          <w:rFonts w:ascii="Times New Roman" w:hAnsi="Times New Roman" w:cs="Times New Roman"/>
          <w:noProof/>
          <w:sz w:val="20"/>
          <w:szCs w:val="24"/>
        </w:rPr>
        <w:t xml:space="preserve">Shear, M. K., Rucci, P., Williams, J., Frank, E., Grochocinski, V., Vander Bilt, J., … Wang, T. (2001). Reliability and validity of the Panic Disorder Severity Scale: Replication and extension. </w:t>
      </w:r>
      <w:r w:rsidRPr="00352259">
        <w:rPr>
          <w:rFonts w:ascii="Times New Roman" w:hAnsi="Times New Roman" w:cs="Times New Roman"/>
          <w:i/>
          <w:iCs/>
          <w:noProof/>
          <w:sz w:val="20"/>
          <w:szCs w:val="24"/>
        </w:rPr>
        <w:t>Journal of Psychiatric Research</w:t>
      </w:r>
      <w:r w:rsidRPr="00352259">
        <w:rPr>
          <w:rFonts w:ascii="Times New Roman" w:hAnsi="Times New Roman" w:cs="Times New Roman"/>
          <w:noProof/>
          <w:sz w:val="20"/>
          <w:szCs w:val="24"/>
        </w:rPr>
        <w:t xml:space="preserve">, </w:t>
      </w:r>
      <w:r w:rsidRPr="00352259">
        <w:rPr>
          <w:rFonts w:ascii="Times New Roman" w:hAnsi="Times New Roman" w:cs="Times New Roman"/>
          <w:i/>
          <w:iCs/>
          <w:noProof/>
          <w:sz w:val="20"/>
          <w:szCs w:val="24"/>
        </w:rPr>
        <w:t>35</w:t>
      </w:r>
      <w:r w:rsidRPr="00352259">
        <w:rPr>
          <w:rFonts w:ascii="Times New Roman" w:hAnsi="Times New Roman" w:cs="Times New Roman"/>
          <w:noProof/>
          <w:sz w:val="20"/>
          <w:szCs w:val="24"/>
        </w:rPr>
        <w:t>(5), 293–296. https://doi.org/10.1016/S0022-3956(01)00028-0</w:t>
      </w:r>
    </w:p>
    <w:p w:rsidR="00F467BD" w:rsidRDefault="00B67336" w:rsidP="00B67336">
      <w:r w:rsidRPr="00B51FE5">
        <w:rPr>
          <w:rFonts w:ascii="Times New Roman" w:hAnsi="Times New Roman" w:cs="Times New Roman"/>
          <w:sz w:val="20"/>
          <w:szCs w:val="20"/>
        </w:rPr>
        <w:fldChar w:fldCharType="end"/>
      </w:r>
    </w:p>
    <w:sectPr w:rsidR="00F467BD" w:rsidSect="00B6733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53869"/>
    <w:multiLevelType w:val="hybridMultilevel"/>
    <w:tmpl w:val="F24CD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5E7D7C"/>
    <w:multiLevelType w:val="hybridMultilevel"/>
    <w:tmpl w:val="ADAC4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B3"/>
    <w:rsid w:val="001114BF"/>
    <w:rsid w:val="001A58C6"/>
    <w:rsid w:val="001C4D8C"/>
    <w:rsid w:val="001F6136"/>
    <w:rsid w:val="00324239"/>
    <w:rsid w:val="00325A73"/>
    <w:rsid w:val="00352259"/>
    <w:rsid w:val="0036150A"/>
    <w:rsid w:val="003C7746"/>
    <w:rsid w:val="00426A6C"/>
    <w:rsid w:val="00513CD6"/>
    <w:rsid w:val="005426D7"/>
    <w:rsid w:val="005E3118"/>
    <w:rsid w:val="006F1528"/>
    <w:rsid w:val="00751578"/>
    <w:rsid w:val="007D2378"/>
    <w:rsid w:val="008F38BA"/>
    <w:rsid w:val="009630A8"/>
    <w:rsid w:val="00A35BBD"/>
    <w:rsid w:val="00AC3AEA"/>
    <w:rsid w:val="00B05DC5"/>
    <w:rsid w:val="00B67336"/>
    <w:rsid w:val="00D37C6C"/>
    <w:rsid w:val="00D641B9"/>
    <w:rsid w:val="00D7733F"/>
    <w:rsid w:val="00EB0CB3"/>
    <w:rsid w:val="00ED130B"/>
    <w:rsid w:val="00F4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9088"/>
  <w15:chartTrackingRefBased/>
  <w15:docId w15:val="{032DEC18-FBBB-4F91-9B61-27246F42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B3"/>
    <w:rPr>
      <w:rFonts w:eastAsiaTheme="minorHAnsi"/>
    </w:rPr>
  </w:style>
  <w:style w:type="paragraph" w:styleId="Heading1">
    <w:name w:val="heading 1"/>
    <w:basedOn w:val="Normal"/>
    <w:next w:val="Normal"/>
    <w:link w:val="Heading1Char"/>
    <w:uiPriority w:val="9"/>
    <w:qFormat/>
    <w:rsid w:val="00F467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67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67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C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0CB3"/>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eading1Char">
    <w:name w:val="Heading 1 Char"/>
    <w:basedOn w:val="DefaultParagraphFont"/>
    <w:link w:val="Heading1"/>
    <w:uiPriority w:val="9"/>
    <w:rsid w:val="00F467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67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467B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67336"/>
    <w:pPr>
      <w:ind w:left="720"/>
      <w:contextualSpacing/>
    </w:pPr>
  </w:style>
  <w:style w:type="character" w:styleId="CommentReference">
    <w:name w:val="annotation reference"/>
    <w:basedOn w:val="DefaultParagraphFont"/>
    <w:uiPriority w:val="99"/>
    <w:semiHidden/>
    <w:unhideWhenUsed/>
    <w:rsid w:val="00324239"/>
    <w:rPr>
      <w:sz w:val="16"/>
      <w:szCs w:val="16"/>
    </w:rPr>
  </w:style>
  <w:style w:type="paragraph" w:styleId="CommentText">
    <w:name w:val="annotation text"/>
    <w:basedOn w:val="Normal"/>
    <w:link w:val="CommentTextChar"/>
    <w:uiPriority w:val="99"/>
    <w:semiHidden/>
    <w:unhideWhenUsed/>
    <w:rsid w:val="00324239"/>
    <w:pPr>
      <w:spacing w:line="240" w:lineRule="auto"/>
    </w:pPr>
    <w:rPr>
      <w:sz w:val="20"/>
      <w:szCs w:val="20"/>
    </w:rPr>
  </w:style>
  <w:style w:type="character" w:customStyle="1" w:styleId="CommentTextChar">
    <w:name w:val="Comment Text Char"/>
    <w:basedOn w:val="DefaultParagraphFont"/>
    <w:link w:val="CommentText"/>
    <w:uiPriority w:val="99"/>
    <w:semiHidden/>
    <w:rsid w:val="0032423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24239"/>
    <w:rPr>
      <w:b/>
      <w:bCs/>
    </w:rPr>
  </w:style>
  <w:style w:type="character" w:customStyle="1" w:styleId="CommentSubjectChar">
    <w:name w:val="Comment Subject Char"/>
    <w:basedOn w:val="CommentTextChar"/>
    <w:link w:val="CommentSubject"/>
    <w:uiPriority w:val="99"/>
    <w:semiHidden/>
    <w:rsid w:val="00324239"/>
    <w:rPr>
      <w:rFonts w:eastAsiaTheme="minorHAnsi"/>
      <w:b/>
      <w:bCs/>
      <w:sz w:val="20"/>
      <w:szCs w:val="20"/>
    </w:rPr>
  </w:style>
  <w:style w:type="paragraph" w:styleId="BalloonText">
    <w:name w:val="Balloon Text"/>
    <w:basedOn w:val="Normal"/>
    <w:link w:val="BalloonTextChar"/>
    <w:uiPriority w:val="99"/>
    <w:semiHidden/>
    <w:unhideWhenUsed/>
    <w:rsid w:val="0032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39"/>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2EE77-0CC1-4D9B-9B90-1B6672C0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2021-09-10T14:15:00Z</dcterms:created>
  <dcterms:modified xsi:type="dcterms:W3CDTF">2021-09-10T14:15:00Z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http://www.zotero.org/styles/acta-psychiatrica-scandinavica</vt:lpwstr>
  </property>
  <property fmtid="{D5CDD505-2E9C-101B-9397-08002B2CF9AE}" pid="3" name="Mendeley Recent Style Name 0_1">
    <vt:lpwstr>Acta Psychiatrica Scandinavica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http://www.zotero.org/styles/bmc-medicine</vt:lpwstr>
  </property>
  <property fmtid="{D5CDD505-2E9C-101B-9397-08002B2CF9AE}" pid="7" name="Mendeley Recent Style Name 2_1">
    <vt:lpwstr>BMC Medicine</vt:lpwstr>
  </property>
  <property fmtid="{D5CDD505-2E9C-101B-9397-08002B2CF9AE}" pid="8" name="Mendeley Recent Style Id 3_1">
    <vt:lpwstr>http://www.zotero.org/styles/bmj</vt:lpwstr>
  </property>
  <property fmtid="{D5CDD505-2E9C-101B-9397-08002B2CF9AE}" pid="9" name="Mendeley Recent Style Name 3_1">
    <vt:lpwstr>BMJ</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http://www.zotero.org/styles/harvard-cite-them-right-no-et-al</vt:lpwstr>
  </property>
  <property fmtid="{D5CDD505-2E9C-101B-9397-08002B2CF9AE}" pid="13" name="Mendeley Recent Style Name 5_1">
    <vt:lpwstr>Cite Them Right 10th edition - Harvard (no "et al.")</vt:lpwstr>
  </property>
  <property fmtid="{D5CDD505-2E9C-101B-9397-08002B2CF9AE}" pid="14" name="Mendeley Recent Style Id 6_1">
    <vt:lpwstr>http://www.zotero.org/styles/journal-of-affective-disorders</vt:lpwstr>
  </property>
  <property fmtid="{D5CDD505-2E9C-101B-9397-08002B2CF9AE}" pid="15" name="Mendeley Recent Style Name 6_1">
    <vt:lpwstr>Journal of Affective Disorders</vt:lpwstr>
  </property>
  <property fmtid="{D5CDD505-2E9C-101B-9397-08002B2CF9AE}" pid="16" name="Mendeley Recent Style Id 7_1">
    <vt:lpwstr>http://www.zotero.org/styles/psychological-medicine</vt:lpwstr>
  </property>
  <property fmtid="{D5CDD505-2E9C-101B-9397-08002B2CF9AE}" pid="17" name="Mendeley Recent Style Name 7_1">
    <vt:lpwstr>Psychological Medicine</vt:lpwstr>
  </property>
  <property fmtid="{D5CDD505-2E9C-101B-9397-08002B2CF9AE}" pid="18" name="Mendeley Recent Style Id 8_1">
    <vt:lpwstr>http://www.zotero.org/styles/the-british-journal-of-psychiatry</vt:lpwstr>
  </property>
  <property fmtid="{D5CDD505-2E9C-101B-9397-08002B2CF9AE}" pid="19" name="Mendeley Recent Style Name 8_1">
    <vt:lpwstr>The British Journal of Psychiatry</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a406fb25-0b64-3ce3-8cab-229ae7a6c534</vt:lpwstr>
  </property>
</Properties>
</file>