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CC30B" w14:textId="77777777" w:rsidR="00035C08" w:rsidRDefault="00035C08" w:rsidP="00035C08">
      <w:pPr>
        <w:rPr>
          <w:rFonts w:cs="Times New Roman"/>
          <w:b/>
          <w:bCs/>
        </w:rPr>
      </w:pPr>
      <w:r w:rsidRPr="00097A4B">
        <w:rPr>
          <w:rFonts w:cs="Times New Roman"/>
          <w:b/>
          <w:bCs/>
        </w:rPr>
        <w:t>Supplementary Materials</w:t>
      </w:r>
    </w:p>
    <w:p w14:paraId="12335EC8" w14:textId="77777777" w:rsidR="00035C08" w:rsidRDefault="00035C08" w:rsidP="00035C08">
      <w:pPr>
        <w:rPr>
          <w:rFonts w:cs="Times New Roman"/>
          <w:b/>
          <w:bCs/>
        </w:rPr>
      </w:pPr>
    </w:p>
    <w:p w14:paraId="57C7D3B4" w14:textId="144436F9" w:rsidR="00035C08" w:rsidRPr="00DA5389" w:rsidRDefault="0006474E" w:rsidP="00035C08">
      <w:pPr>
        <w:rPr>
          <w:rFonts w:cs="Times New Roman"/>
          <w:b/>
          <w:bCs/>
          <w:i/>
          <w:iCs/>
        </w:rPr>
      </w:pPr>
      <w:r>
        <w:rPr>
          <w:rFonts w:cs="Times New Roman"/>
          <w:b/>
          <w:bCs/>
          <w:i/>
          <w:iCs/>
        </w:rPr>
        <w:t>Measures of Inflammation</w:t>
      </w:r>
    </w:p>
    <w:p w14:paraId="2811914F" w14:textId="77777777" w:rsidR="00035C08" w:rsidRPr="00FB09FD" w:rsidRDefault="00035C08" w:rsidP="00035C08">
      <w:pPr>
        <w:pStyle w:val="NormalWeb"/>
        <w:spacing w:after="240" w:line="360" w:lineRule="auto"/>
        <w:jc w:val="both"/>
        <w:rPr>
          <w:rFonts w:asciiTheme="minorHAnsi" w:hAnsiTheme="minorHAnsi" w:cstheme="minorHAnsi"/>
          <w:sz w:val="22"/>
          <w:szCs w:val="22"/>
        </w:rPr>
      </w:pPr>
      <w:r w:rsidRPr="00FB09FD">
        <w:rPr>
          <w:rFonts w:asciiTheme="minorHAnsi" w:hAnsiTheme="minorHAnsi" w:cstheme="minorHAnsi"/>
          <w:sz w:val="22"/>
          <w:szCs w:val="22"/>
        </w:rPr>
        <w:t>A venous blood sample was collected at baseline using 9ml VACUETTE® EDTA tubes for the extraction of six aliquots of 0.5 ml of plasma. The aliquots were stored at -80</w:t>
      </w:r>
      <w:r w:rsidRPr="00FB09FD">
        <w:rPr>
          <w:rFonts w:asciiTheme="minorHAnsi" w:hAnsiTheme="minorHAnsi" w:cstheme="minorHAnsi"/>
          <w:sz w:val="22"/>
          <w:szCs w:val="22"/>
          <w:vertAlign w:val="superscript"/>
        </w:rPr>
        <w:t>o</w:t>
      </w:r>
      <w:r w:rsidRPr="00FB09FD">
        <w:rPr>
          <w:rFonts w:asciiTheme="minorHAnsi" w:hAnsiTheme="minorHAnsi" w:cstheme="minorHAnsi"/>
          <w:sz w:val="22"/>
          <w:szCs w:val="22"/>
        </w:rPr>
        <w:t xml:space="preserve">C in each individual site, where the collection took place, and three of the aliquots were subsequently transferred at King’s College London for the measurement of the </w:t>
      </w:r>
      <w:proofErr w:type="spellStart"/>
      <w:r w:rsidRPr="00FB09FD">
        <w:rPr>
          <w:rFonts w:asciiTheme="minorHAnsi" w:hAnsiTheme="minorHAnsi" w:cstheme="minorHAnsi"/>
          <w:sz w:val="22"/>
          <w:szCs w:val="22"/>
        </w:rPr>
        <w:t>hs</w:t>
      </w:r>
      <w:proofErr w:type="spellEnd"/>
      <w:r w:rsidRPr="00FB09FD">
        <w:rPr>
          <w:rFonts w:asciiTheme="minorHAnsi" w:hAnsiTheme="minorHAnsi" w:cstheme="minorHAnsi"/>
          <w:sz w:val="22"/>
          <w:szCs w:val="22"/>
        </w:rPr>
        <w:t>-CRP, IL-1RA, IL-6, and TNF-</w:t>
      </w:r>
      <w:r w:rsidRPr="00FB09FD">
        <w:rPr>
          <w:rFonts w:asciiTheme="minorHAnsi" w:hAnsiTheme="minorHAnsi" w:cstheme="minorHAnsi"/>
          <w:sz w:val="22"/>
          <w:szCs w:val="22"/>
        </w:rPr>
        <w:sym w:font="Symbol" w:char="F061"/>
      </w:r>
      <w:r w:rsidRPr="00FB09FD">
        <w:rPr>
          <w:rFonts w:asciiTheme="minorHAnsi" w:hAnsiTheme="minorHAnsi" w:cstheme="minorHAnsi"/>
          <w:sz w:val="22"/>
          <w:szCs w:val="22"/>
        </w:rPr>
        <w:t>, whereas the other three aliquots were kept stored in each site as backup.</w:t>
      </w:r>
    </w:p>
    <w:p w14:paraId="45005346" w14:textId="3C82970F" w:rsidR="00035C08" w:rsidRDefault="00553F9F" w:rsidP="00035C08">
      <w:pPr>
        <w:spacing w:line="360" w:lineRule="auto"/>
        <w:rPr>
          <w:rFonts w:cstheme="minorHAnsi"/>
          <w:shd w:val="clear" w:color="auto" w:fill="FFFFFF"/>
        </w:rPr>
      </w:pPr>
      <w:r>
        <w:t>T</w:t>
      </w:r>
      <w:r w:rsidR="00035C08" w:rsidRPr="00FB09FD">
        <w:t>he samples were centrifuged and the plasma supernatant was extracted and stored at -80</w:t>
      </w:r>
      <w:r w:rsidR="00035C08" w:rsidRPr="00FB09FD">
        <w:rPr>
          <w:vertAlign w:val="superscript"/>
        </w:rPr>
        <w:t>o</w:t>
      </w:r>
      <w:r w:rsidR="00035C08" w:rsidRPr="00FB09FD">
        <w:t>C within four hours of withdrawal</w:t>
      </w:r>
      <w:r w:rsidR="004B6C85">
        <w:t>.</w:t>
      </w:r>
      <w:r w:rsidR="00035C08" w:rsidRPr="00FB09FD">
        <w:rPr>
          <w:rFonts w:cstheme="minorHAnsi"/>
          <w:shd w:val="clear" w:color="auto" w:fill="FFFFFF"/>
        </w:rPr>
        <w:t xml:space="preserve"> Bloods for plasma </w:t>
      </w:r>
      <w:r w:rsidR="004B6C85">
        <w:rPr>
          <w:rFonts w:cstheme="minorHAnsi"/>
          <w:shd w:val="clear" w:color="auto" w:fill="FFFFFF"/>
        </w:rPr>
        <w:t>CRP</w:t>
      </w:r>
      <w:r w:rsidR="004B6C85" w:rsidRPr="00FB09FD">
        <w:rPr>
          <w:rFonts w:cstheme="minorHAnsi"/>
          <w:shd w:val="clear" w:color="auto" w:fill="FFFFFF"/>
        </w:rPr>
        <w:t xml:space="preserve"> </w:t>
      </w:r>
      <w:r w:rsidR="00035C08" w:rsidRPr="00FB09FD">
        <w:rPr>
          <w:rFonts w:cstheme="minorHAnsi"/>
          <w:shd w:val="clear" w:color="auto" w:fill="FFFFFF"/>
        </w:rPr>
        <w:t>marker w</w:t>
      </w:r>
      <w:r w:rsidR="004B6C85">
        <w:rPr>
          <w:rFonts w:cstheme="minorHAnsi"/>
          <w:shd w:val="clear" w:color="auto" w:fill="FFFFFF"/>
        </w:rPr>
        <w:t>as</w:t>
      </w:r>
      <w:r w:rsidR="00035C08" w:rsidRPr="00FB09FD">
        <w:rPr>
          <w:rFonts w:cstheme="minorHAnsi"/>
          <w:shd w:val="clear" w:color="auto" w:fill="FFFFFF"/>
        </w:rPr>
        <w:t xml:space="preserve"> measured using the </w:t>
      </w:r>
      <w:proofErr w:type="spellStart"/>
      <w:r w:rsidR="00035C08" w:rsidRPr="00FB09FD">
        <w:rPr>
          <w:rFonts w:cstheme="minorHAnsi"/>
          <w:shd w:val="clear" w:color="auto" w:fill="FFFFFF"/>
        </w:rPr>
        <w:t>Cormay</w:t>
      </w:r>
      <w:proofErr w:type="spellEnd"/>
      <w:r w:rsidR="00035C08" w:rsidRPr="00FB09FD">
        <w:rPr>
          <w:rFonts w:cstheme="minorHAnsi"/>
          <w:shd w:val="clear" w:color="auto" w:fill="FFFFFF"/>
        </w:rPr>
        <w:t xml:space="preserve"> anti-CRP antibody (PZ </w:t>
      </w:r>
      <w:proofErr w:type="spellStart"/>
      <w:r w:rsidR="00035C08" w:rsidRPr="00FB09FD">
        <w:rPr>
          <w:rFonts w:cstheme="minorHAnsi"/>
          <w:shd w:val="clear" w:color="auto" w:fill="FFFFFF"/>
        </w:rPr>
        <w:t>Cormay</w:t>
      </w:r>
      <w:proofErr w:type="spellEnd"/>
      <w:r w:rsidR="00035C08" w:rsidRPr="00FB09FD">
        <w:rPr>
          <w:rFonts w:cstheme="minorHAnsi"/>
          <w:shd w:val="clear" w:color="auto" w:fill="FFFFFF"/>
        </w:rPr>
        <w:t xml:space="preserve"> SA, </w:t>
      </w:r>
      <w:proofErr w:type="spellStart"/>
      <w:r w:rsidR="00035C08" w:rsidRPr="00FB09FD">
        <w:rPr>
          <w:rFonts w:cstheme="minorHAnsi"/>
          <w:shd w:val="clear" w:color="auto" w:fill="FFFFFF"/>
        </w:rPr>
        <w:t>Lomianki</w:t>
      </w:r>
      <w:proofErr w:type="spellEnd"/>
      <w:r w:rsidR="00035C08" w:rsidRPr="00FB09FD">
        <w:rPr>
          <w:rFonts w:cstheme="minorHAnsi"/>
          <w:shd w:val="clear" w:color="auto" w:fill="FFFFFF"/>
        </w:rPr>
        <w:t>, Poland) sensitised to latex particles</w:t>
      </w:r>
      <w:r>
        <w:rPr>
          <w:rFonts w:cstheme="minorHAnsi"/>
          <w:shd w:val="clear" w:color="auto" w:fill="FFFFFF"/>
        </w:rPr>
        <w:t xml:space="preserve"> and</w:t>
      </w:r>
      <w:r w:rsidR="00035C08" w:rsidRPr="00FB09FD">
        <w:rPr>
          <w:rFonts w:cstheme="minorHAnsi"/>
          <w:shd w:val="clear" w:color="auto" w:fill="FFFFFF"/>
        </w:rPr>
        <w:t xml:space="preserve"> </w:t>
      </w:r>
      <w:r>
        <w:rPr>
          <w:rFonts w:cstheme="minorHAnsi"/>
          <w:shd w:val="clear" w:color="auto" w:fill="FFFFFF"/>
        </w:rPr>
        <w:t xml:space="preserve">for IL-1RA </w:t>
      </w:r>
      <w:r w:rsidR="00996BEC" w:rsidRPr="00DA5389">
        <w:rPr>
          <w:rFonts w:cstheme="minorHAnsi"/>
        </w:rPr>
        <w:t>E</w:t>
      </w:r>
      <w:r w:rsidR="00996BEC">
        <w:rPr>
          <w:rFonts w:cstheme="minorHAnsi"/>
        </w:rPr>
        <w:t>LISA</w:t>
      </w:r>
      <w:r w:rsidR="00996BEC" w:rsidRPr="00DA5389">
        <w:rPr>
          <w:rFonts w:cstheme="minorHAnsi"/>
        </w:rPr>
        <w:t xml:space="preserve"> kit</w:t>
      </w:r>
      <w:r w:rsidR="00996BEC" w:rsidRPr="00FB09FD">
        <w:rPr>
          <w:rFonts w:cstheme="minorHAnsi"/>
        </w:rPr>
        <w:t xml:space="preserve"> supplied by R&amp;D Systems was use</w:t>
      </w:r>
      <w:r w:rsidR="0021295A">
        <w:rPr>
          <w:rFonts w:cstheme="minorHAnsi"/>
        </w:rPr>
        <w:t>d, which</w:t>
      </w:r>
      <w:r w:rsidR="00996BEC" w:rsidRPr="00FB09FD">
        <w:rPr>
          <w:rFonts w:cstheme="minorHAnsi"/>
        </w:rPr>
        <w:t xml:space="preserve"> employs the quantitative sandwich enzyme immunoassay technique</w:t>
      </w:r>
      <w:r w:rsidR="00996BEC">
        <w:rPr>
          <w:rFonts w:cstheme="minorHAnsi"/>
        </w:rPr>
        <w:t>.</w:t>
      </w:r>
      <w:r w:rsidR="00996BEC" w:rsidRPr="00FB09FD">
        <w:rPr>
          <w:rFonts w:cstheme="minorHAnsi"/>
          <w:shd w:val="clear" w:color="auto" w:fill="FFFFFF"/>
        </w:rPr>
        <w:t xml:space="preserve"> </w:t>
      </w:r>
      <w:r w:rsidR="004B6C85">
        <w:t>Plasma cytokine</w:t>
      </w:r>
      <w:r w:rsidR="00996BEC">
        <w:t>s</w:t>
      </w:r>
      <w:r w:rsidR="00035C08">
        <w:t xml:space="preserve"> were </w:t>
      </w:r>
      <w:r w:rsidR="004B6C85">
        <w:t>measured using</w:t>
      </w:r>
      <w:r w:rsidR="00035C08">
        <w:t xml:space="preserve"> </w:t>
      </w:r>
      <w:r w:rsidR="00035C08">
        <w:rPr>
          <w:color w:val="000000"/>
        </w:rPr>
        <w:t>Meso Scale Discovery</w:t>
      </w:r>
      <w:r w:rsidR="00057B77">
        <w:rPr>
          <w:color w:val="000000"/>
        </w:rPr>
        <w:t xml:space="preserve"> (MSD)</w:t>
      </w:r>
      <w:r w:rsidR="00035C08">
        <w:rPr>
          <w:color w:val="000000"/>
        </w:rPr>
        <w:t xml:space="preserve"> </w:t>
      </w:r>
      <w:r w:rsidR="00035C08">
        <w:t>sandwich immunoassays</w:t>
      </w:r>
      <w:r w:rsidR="00996BEC">
        <w:t xml:space="preserve">. </w:t>
      </w:r>
      <w:r w:rsidR="004B6C85" w:rsidRPr="004B6C85">
        <w:t>V-PLEX Plus Proinflammatory Panel</w:t>
      </w:r>
      <w:r w:rsidR="004B6C85">
        <w:t xml:space="preserve"> 1 </w:t>
      </w:r>
      <w:r w:rsidR="00996BEC">
        <w:t>H</w:t>
      </w:r>
      <w:r w:rsidR="004B6C85">
        <w:t xml:space="preserve">uman </w:t>
      </w:r>
      <w:r w:rsidR="00996BEC">
        <w:t>K</w:t>
      </w:r>
      <w:r w:rsidR="004B6C85">
        <w:t xml:space="preserve">it </w:t>
      </w:r>
      <w:r w:rsidR="00996BEC">
        <w:t xml:space="preserve">was used to detect the levels of IL-6 and TNF-α levels, </w:t>
      </w:r>
      <w:r w:rsidR="00996BEC" w:rsidRPr="00996BEC">
        <w:t>and</w:t>
      </w:r>
      <w:r w:rsidR="00996BEC">
        <w:t xml:space="preserve"> </w:t>
      </w:r>
      <w:r w:rsidR="00996BEC" w:rsidRPr="00996BEC">
        <w:t xml:space="preserve">plates read on an MSD </w:t>
      </w:r>
      <w:proofErr w:type="spellStart"/>
      <w:r w:rsidR="00996BEC" w:rsidRPr="00996BEC">
        <w:t>QuickPlex</w:t>
      </w:r>
      <w:proofErr w:type="spellEnd"/>
      <w:r w:rsidR="00996BEC" w:rsidRPr="00996BEC">
        <w:t xml:space="preserve"> SQ 120</w:t>
      </w:r>
      <w:r w:rsidR="00996BEC">
        <w:t xml:space="preserve">, as previously conducted </w:t>
      </w:r>
      <w:r w:rsidR="009E4594">
        <w:fldChar w:fldCharType="begin"/>
      </w:r>
      <w:r w:rsidR="00BC6190">
        <w:instrText xml:space="preserve"> ADDIN ZOTERO_ITEM CSL_CITATION {"citationID":"9qSOStId","properties":{"formattedCitation":"(Nettis et al., 2020; Russell et al., 2019)","plainCitation":"(Nettis et al., 2020; Russell et al., 2019)","noteIndex":0},"citationItems":[{"id":615,"uris":["http://zotero.org/users/local/czmHEvyb/items/5J2L8MQF"],"uri":["http://zotero.org/users/local/czmHEvyb/items/5J2L8MQF"],"itemData":{"id":615,"type":"article-journal","abstract":"Depression is associated with peripheral inflammation, but its link with brain microglial activity remains unclear. In seven healthy males, we used repeated translocator protein-Positron Emission Tomography (TSPO-PET) dynamic scans with [11C]PBR28 to image brain microglial activation before and 24 h after the immune challenge interferon (IFN)-α. We also investigated the association between changes in peripheral inflammation, changes in microglial activity, and changes in mood. IFN-α administration decreased [11C]PBR28 PET tissue volume of distribution (Vt) across the brain (-20 ± 4%; t6 = 4.1, p = 0.01), but after correction for radioligand free-plasma fraction there were no longer any changes (+23 ± 31%; t = 0.1, p = 0.91). IFN-α increased serum IL-6 (1826 ± 513%, t6 = -7.5, p &lt; 0.001), IL-7 (39 ± 12%, t6 = -3.6, p = 0.01), IL-10 (328 ± 48%, t6 = -12.8, p &lt; 0.001), and IFN-γ (272 ± 64%, t6 = -7.0, p &lt; 0.001) at 4-6 h, and increased serum TNF-α (49 ± 7.6%, t6 = -7.5, p &lt; 0.001), IL-8 (39 ± 12%, t6 = -3.5, p = 0.013), and C-reactive protein (1320 ± 459%, t6 = -7.2, p &lt; 0.001) at 24 h. IFN-α induced temporary mood changes and sickness symptoms after 4-6 h, measured as an increase in POMS-2 total mood score, confusion and fatigue, and a decrease in vigor and friendliness (all p ≤ 0.04). No association was found between changes in peripheral inflammation and changes in PET or mood measures. Our work suggests that brain TSPO-PET signal is highly dependent of inflammation-induced changes in ligand binding to plasma proteins. This limits its usefulness as a sensitive marker of neuroinflammation and consequently, data interpretation. Thus, our results can be interpreted as showing either that [11C]PBR28 is not sensitive enough under these conditions, or that there is simply no microglial activation in this model.","container-title":"Translational Psychiatry","DOI":"10.1038/s41398-020-0768-z","ISSN":"2158-3188","issue":"1","journalAbbreviation":"Transl Psychiatry","language":"eng","note":"PMID: 32152285\nPMCID: PMC7063038","page":"89","source":"PubMed","title":"PET imaging shows no changes in TSPO brain density after IFN-α immune challenge in healthy human volunteers","volume":"10","author":[{"family":"Nettis","given":"M. A."},{"family":"Veronese","given":"M."},{"family":"Nikkheslat","given":"N."},{"family":"Mariani","given":"N."},{"family":"Lombardo","given":"G."},{"family":"Sforzini","given":"L."},{"family":"Enache","given":"D."},{"family":"Harrison","given":"N. A."},{"family":"Turkheimer","given":"F. E."},{"family":"Mondelli","given":"V."},{"family":"Pariante","given":"C. M."}],"issued":{"date-parts":[["2020",3,9]]}}},{"id":618,"uris":["http://zotero.org/users/local/czmHEvyb/items/FU76TI3U"],"uri":["http://zotero.org/users/local/czmHEvyb/items/FU76TI3U"],"itemData":{"id":618,"type":"article-journal","abstract":"The role of immune or infective triggers in the pathogenesis of Chronic Fatigue Syndrome (CFS) is not yet fully understood. Barriers to obtaining immune measures at baseline (i.e., before the trigger) in CFS and post-infective fatigue model cohorts have prevented the study of pre-existing immune dysfunction and subsequent immune changes in response to the trigger. This study presents interferon-alpha (IFN-α)-induced persistent fatigue as a model of CFS. IFN-α, which is used in the treatment of chronic Hepatitis C Virus (HCV) infection, induces a persistent fatigue in some individuals, which does not abate post-treatment, that is, once there is no longer immune activation. This model allows for the assessment of patients before and during exposure to the immune trigger, and afterwards when the original trigger is no longer present. Fifty-five patients undergoing IFN-α treatment for chronic HCV were assessed at baseline, during the 6-12 months of IFN-α treatment, and at six-months post-treatment. Measures of fatigue, cytokines and kynurenine pathway metabolites were obtained. Fifty-four CFS patients and 57 healthy volunteers completed the same measures at a one-off assessment, which were compared with post-treatment follow-up measures from the HCV patients. Eighteen patients undergoing IFN-α treatment (33%) were subsequently defined as having 'persistent fatigue' (the proposed model for CFS), if their levels of fatigue were higher six-months post-treatment than at baseline; the other 67% were considered 'resolved fatigue'. Patients who went on to develop persistent fatigue experienced a greater increase in fatigue symptoms over the first four weeks of IFN-α, compared with patients who did not (Δ Treatment Week (TW)-0 vs. TW4; PF: 7.1 ± 1.5 vs. RF: 4.0 ± 0.8, p = 0.046). Moreover, there was a trend towards increased baseline interleukin (IL)-6, and significantly higher baseline IL-10 levels, as well as higher levels of these cytokines in response to IFN-α treatment, alongside concurrent increases in fatigue. Levels increased to more than double those of the other patients by Treatment Week (TW)4 (p =  0.011 for IL-6 and p = 0.001 for IL-10). There was no evidence of an association between persistent fatigue and peripheral inflammation six-months post-treatment, nor did we observe peripheral inflammation in the CFS cohort. While there were changes in kynurenine metabolites in response to IFN-α, there was no association with persistent fatigue. CFS patients had lower levels of the ratio of kynurenine to tryptophan and 3-hydroxykynurenine than controls. Future studies are needed to elucidate the mechanisms behind the initial exaggerated response of the immune system in those who go on to experience persistent fatigue even if the immune trigger is no longer present, and the change from acute to chronic fatigue in the absence of continued peripheral immune activation.","container-title":"Psychoneuroendocrinology","DOI":"10.1016/j.psyneuen.2018.11.032","ISSN":"1873-3360","journalAbbreviation":"Psychoneuroendocrinology","language":"eng","note":"PMID: 30567628\nPMCID: PMC6350004","page":"276-285","source":"PubMed","title":"Persistent fatigue induced by interferon-alpha: a novel, inflammation-based, proxy model of chronic fatigue syndrome","title-short":"Persistent fatigue induced by interferon-alpha","volume":"100","author":[{"family":"Russell","given":"Alice"},{"family":"Hepgul","given":"Nilay"},{"family":"Nikkheslat","given":"Naghmeh"},{"family":"Borsini","given":"Alessandra"},{"family":"Zajkowska","given":"Zuzanna"},{"family":"Moll","given":"Natalie"},{"family":"Forton","given":"Daniel"},{"family":"Agarwal","given":"Kosh"},{"family":"Chalder","given":"Trudie"},{"family":"Mondelli","given":"Valeria"},{"family":"Hotopf","given":"Matthew"},{"family":"Cleare","given":"Anthony"},{"family":"Murphy","given":"Gabrielle"},{"family":"Foster","given":"Graham"},{"family":"Wong","given":"Terry"},{"family":"Schütze","given":"Gregor A."},{"family":"Schwarz","given":"Markus J."},{"family":"Harrison","given":"Neil"},{"family":"Zunszain","given":"Patricia A."},{"family":"Pariante","given":"Carmine M."}],"issued":{"date-parts":[["2019",2]]}}}],"schema":"https://github.com/citation-style-language/schema/raw/master/csl-citation.json"} </w:instrText>
      </w:r>
      <w:r w:rsidR="009E4594">
        <w:fldChar w:fldCharType="separate"/>
      </w:r>
      <w:r w:rsidR="00BC6190" w:rsidRPr="00BC6190">
        <w:rPr>
          <w:rFonts w:ascii="Calibri" w:hAnsi="Calibri" w:cs="Calibri"/>
        </w:rPr>
        <w:t>(</w:t>
      </w:r>
      <w:proofErr w:type="spellStart"/>
      <w:r w:rsidR="00BC6190" w:rsidRPr="00BC6190">
        <w:rPr>
          <w:rFonts w:ascii="Calibri" w:hAnsi="Calibri" w:cs="Calibri"/>
        </w:rPr>
        <w:t>Nettis</w:t>
      </w:r>
      <w:proofErr w:type="spellEnd"/>
      <w:r w:rsidR="00BC6190" w:rsidRPr="00BC6190">
        <w:rPr>
          <w:rFonts w:ascii="Calibri" w:hAnsi="Calibri" w:cs="Calibri"/>
        </w:rPr>
        <w:t xml:space="preserve"> et al., 2020; Russell et al., 2019)</w:t>
      </w:r>
      <w:r w:rsidR="009E4594">
        <w:fldChar w:fldCharType="end"/>
      </w:r>
      <w:r w:rsidR="009E4594">
        <w:t xml:space="preserve"> </w:t>
      </w:r>
      <w:r w:rsidR="00996BEC">
        <w:t xml:space="preserve">. </w:t>
      </w:r>
      <w:r w:rsidR="00996BEC" w:rsidRPr="00996BEC">
        <w:t>The inter-assay co</w:t>
      </w:r>
      <w:r w:rsidR="00996BEC">
        <w:t>e</w:t>
      </w:r>
      <w:r w:rsidR="00996BEC" w:rsidRPr="00996BEC">
        <w:t>fficient of variations was &lt;10%. The results were analysed using MSD DISCOVERY WORKBENCH analysis software.</w:t>
      </w:r>
      <w:r w:rsidR="00035C08">
        <w:t xml:space="preserve">  </w:t>
      </w:r>
      <w:r w:rsidR="00996BEC" w:rsidRPr="00FB09FD">
        <w:rPr>
          <w:rFonts w:cstheme="minorHAnsi"/>
          <w:shd w:val="clear" w:color="auto" w:fill="FFFFFF"/>
        </w:rPr>
        <w:t xml:space="preserve">Assays were </w:t>
      </w:r>
      <w:r w:rsidR="00996BEC">
        <w:rPr>
          <w:rFonts w:cstheme="minorHAnsi"/>
          <w:shd w:val="clear" w:color="auto" w:fill="FFFFFF"/>
        </w:rPr>
        <w:t>performed</w:t>
      </w:r>
      <w:r w:rsidR="00996BEC" w:rsidRPr="00FB09FD">
        <w:rPr>
          <w:rFonts w:cstheme="minorHAnsi"/>
          <w:shd w:val="clear" w:color="auto" w:fill="FFFFFF"/>
        </w:rPr>
        <w:t xml:space="preserve"> at King's College London.</w:t>
      </w:r>
    </w:p>
    <w:p w14:paraId="507C14C1" w14:textId="77777777" w:rsidR="009E4594" w:rsidRDefault="009E4594" w:rsidP="00035C08">
      <w:pPr>
        <w:spacing w:line="360" w:lineRule="auto"/>
        <w:rPr>
          <w:rFonts w:cstheme="minorHAnsi"/>
          <w:shd w:val="clear" w:color="auto" w:fill="FFFFFF"/>
        </w:rPr>
      </w:pPr>
    </w:p>
    <w:p w14:paraId="406C4A04" w14:textId="77777777" w:rsidR="00BC6190" w:rsidRPr="00BC6190" w:rsidRDefault="009E4594" w:rsidP="00BC6190">
      <w:pPr>
        <w:pStyle w:val="Bibliography"/>
        <w:rPr>
          <w:rFonts w:ascii="Calibri" w:hAnsi="Calibri" w:cs="Calibri"/>
        </w:rPr>
      </w:pPr>
      <w:r>
        <w:rPr>
          <w:rFonts w:cstheme="minorHAnsi"/>
          <w:shd w:val="clear" w:color="auto" w:fill="FFFFFF"/>
        </w:rPr>
        <w:fldChar w:fldCharType="begin"/>
      </w:r>
      <w:r w:rsidR="00BC6190">
        <w:rPr>
          <w:rFonts w:cstheme="minorHAnsi"/>
          <w:shd w:val="clear" w:color="auto" w:fill="FFFFFF"/>
        </w:rPr>
        <w:instrText xml:space="preserve"> ADDIN ZOTERO_BIBL {"uncited":[],"omitted":[],"custom":[]} CSL_BIBLIOGRAPHY </w:instrText>
      </w:r>
      <w:r>
        <w:rPr>
          <w:rFonts w:cstheme="minorHAnsi"/>
          <w:shd w:val="clear" w:color="auto" w:fill="FFFFFF"/>
        </w:rPr>
        <w:fldChar w:fldCharType="separate"/>
      </w:r>
      <w:proofErr w:type="spellStart"/>
      <w:r w:rsidR="00BC6190" w:rsidRPr="00BC6190">
        <w:rPr>
          <w:rFonts w:ascii="Calibri" w:hAnsi="Calibri" w:cs="Calibri"/>
        </w:rPr>
        <w:t>Nettis</w:t>
      </w:r>
      <w:proofErr w:type="spellEnd"/>
      <w:r w:rsidR="00BC6190" w:rsidRPr="00BC6190">
        <w:rPr>
          <w:rFonts w:ascii="Calibri" w:hAnsi="Calibri" w:cs="Calibri"/>
        </w:rPr>
        <w:t xml:space="preserve">, M. A., Veronese, M., </w:t>
      </w:r>
      <w:proofErr w:type="spellStart"/>
      <w:r w:rsidR="00BC6190" w:rsidRPr="00BC6190">
        <w:rPr>
          <w:rFonts w:ascii="Calibri" w:hAnsi="Calibri" w:cs="Calibri"/>
        </w:rPr>
        <w:t>Nikkheslat</w:t>
      </w:r>
      <w:proofErr w:type="spellEnd"/>
      <w:r w:rsidR="00BC6190" w:rsidRPr="00BC6190">
        <w:rPr>
          <w:rFonts w:ascii="Calibri" w:hAnsi="Calibri" w:cs="Calibri"/>
        </w:rPr>
        <w:t xml:space="preserve">, N., </w:t>
      </w:r>
      <w:proofErr w:type="spellStart"/>
      <w:r w:rsidR="00BC6190" w:rsidRPr="00BC6190">
        <w:rPr>
          <w:rFonts w:ascii="Calibri" w:hAnsi="Calibri" w:cs="Calibri"/>
        </w:rPr>
        <w:t>Mariani</w:t>
      </w:r>
      <w:proofErr w:type="spellEnd"/>
      <w:r w:rsidR="00BC6190" w:rsidRPr="00BC6190">
        <w:rPr>
          <w:rFonts w:ascii="Calibri" w:hAnsi="Calibri" w:cs="Calibri"/>
        </w:rPr>
        <w:t xml:space="preserve">, N., Lombardo, G., </w:t>
      </w:r>
      <w:proofErr w:type="spellStart"/>
      <w:r w:rsidR="00BC6190" w:rsidRPr="00BC6190">
        <w:rPr>
          <w:rFonts w:ascii="Calibri" w:hAnsi="Calibri" w:cs="Calibri"/>
        </w:rPr>
        <w:t>Sforzini</w:t>
      </w:r>
      <w:proofErr w:type="spellEnd"/>
      <w:r w:rsidR="00BC6190" w:rsidRPr="00BC6190">
        <w:rPr>
          <w:rFonts w:ascii="Calibri" w:hAnsi="Calibri" w:cs="Calibri"/>
        </w:rPr>
        <w:t xml:space="preserve">, L., … </w:t>
      </w:r>
      <w:proofErr w:type="spellStart"/>
      <w:r w:rsidR="00BC6190" w:rsidRPr="00BC6190">
        <w:rPr>
          <w:rFonts w:ascii="Calibri" w:hAnsi="Calibri" w:cs="Calibri"/>
        </w:rPr>
        <w:t>Pariante</w:t>
      </w:r>
      <w:proofErr w:type="spellEnd"/>
      <w:r w:rsidR="00BC6190" w:rsidRPr="00BC6190">
        <w:rPr>
          <w:rFonts w:ascii="Calibri" w:hAnsi="Calibri" w:cs="Calibri"/>
        </w:rPr>
        <w:t xml:space="preserve">, C. M. (2020). PET imaging shows no changes in TSPO brain density after IFN-α immune challenge in healthy human volunteers. </w:t>
      </w:r>
      <w:r w:rsidR="00BC6190" w:rsidRPr="00BC6190">
        <w:rPr>
          <w:rFonts w:ascii="Calibri" w:hAnsi="Calibri" w:cs="Calibri"/>
          <w:i/>
          <w:iCs/>
        </w:rPr>
        <w:t>Translational Psychiatry</w:t>
      </w:r>
      <w:r w:rsidR="00BC6190" w:rsidRPr="00BC6190">
        <w:rPr>
          <w:rFonts w:ascii="Calibri" w:hAnsi="Calibri" w:cs="Calibri"/>
        </w:rPr>
        <w:t xml:space="preserve">, </w:t>
      </w:r>
      <w:r w:rsidR="00BC6190" w:rsidRPr="00BC6190">
        <w:rPr>
          <w:rFonts w:ascii="Calibri" w:hAnsi="Calibri" w:cs="Calibri"/>
          <w:i/>
          <w:iCs/>
        </w:rPr>
        <w:t>10</w:t>
      </w:r>
      <w:r w:rsidR="00BC6190" w:rsidRPr="00BC6190">
        <w:rPr>
          <w:rFonts w:ascii="Calibri" w:hAnsi="Calibri" w:cs="Calibri"/>
        </w:rPr>
        <w:t>(1), 89. https://doi.org/10.1038/s41398-020-0768-z</w:t>
      </w:r>
    </w:p>
    <w:p w14:paraId="156040D7" w14:textId="77777777" w:rsidR="00BC6190" w:rsidRPr="00BC6190" w:rsidRDefault="00BC6190" w:rsidP="00BC6190">
      <w:pPr>
        <w:pStyle w:val="Bibliography"/>
        <w:rPr>
          <w:rFonts w:ascii="Calibri" w:hAnsi="Calibri" w:cs="Calibri"/>
        </w:rPr>
      </w:pPr>
      <w:r w:rsidRPr="00BC6190">
        <w:rPr>
          <w:rFonts w:ascii="Calibri" w:hAnsi="Calibri" w:cs="Calibri"/>
        </w:rPr>
        <w:t xml:space="preserve">Russell, A., </w:t>
      </w:r>
      <w:proofErr w:type="spellStart"/>
      <w:r w:rsidRPr="00BC6190">
        <w:rPr>
          <w:rFonts w:ascii="Calibri" w:hAnsi="Calibri" w:cs="Calibri"/>
        </w:rPr>
        <w:t>Hepgul</w:t>
      </w:r>
      <w:proofErr w:type="spellEnd"/>
      <w:r w:rsidRPr="00BC6190">
        <w:rPr>
          <w:rFonts w:ascii="Calibri" w:hAnsi="Calibri" w:cs="Calibri"/>
        </w:rPr>
        <w:t xml:space="preserve">, N., </w:t>
      </w:r>
      <w:proofErr w:type="spellStart"/>
      <w:r w:rsidRPr="00BC6190">
        <w:rPr>
          <w:rFonts w:ascii="Calibri" w:hAnsi="Calibri" w:cs="Calibri"/>
        </w:rPr>
        <w:t>Nikkheslat</w:t>
      </w:r>
      <w:proofErr w:type="spellEnd"/>
      <w:r w:rsidRPr="00BC6190">
        <w:rPr>
          <w:rFonts w:ascii="Calibri" w:hAnsi="Calibri" w:cs="Calibri"/>
        </w:rPr>
        <w:t xml:space="preserve">, N., </w:t>
      </w:r>
      <w:proofErr w:type="spellStart"/>
      <w:r w:rsidRPr="00BC6190">
        <w:rPr>
          <w:rFonts w:ascii="Calibri" w:hAnsi="Calibri" w:cs="Calibri"/>
        </w:rPr>
        <w:t>Borsini</w:t>
      </w:r>
      <w:proofErr w:type="spellEnd"/>
      <w:r w:rsidRPr="00BC6190">
        <w:rPr>
          <w:rFonts w:ascii="Calibri" w:hAnsi="Calibri" w:cs="Calibri"/>
        </w:rPr>
        <w:t xml:space="preserve">, A., </w:t>
      </w:r>
      <w:proofErr w:type="spellStart"/>
      <w:r w:rsidRPr="00BC6190">
        <w:rPr>
          <w:rFonts w:ascii="Calibri" w:hAnsi="Calibri" w:cs="Calibri"/>
        </w:rPr>
        <w:t>Zajkowska</w:t>
      </w:r>
      <w:proofErr w:type="spellEnd"/>
      <w:r w:rsidRPr="00BC6190">
        <w:rPr>
          <w:rFonts w:ascii="Calibri" w:hAnsi="Calibri" w:cs="Calibri"/>
        </w:rPr>
        <w:t xml:space="preserve">, Z., Moll, N., … </w:t>
      </w:r>
      <w:proofErr w:type="spellStart"/>
      <w:r w:rsidRPr="00BC6190">
        <w:rPr>
          <w:rFonts w:ascii="Calibri" w:hAnsi="Calibri" w:cs="Calibri"/>
        </w:rPr>
        <w:t>Pariante</w:t>
      </w:r>
      <w:proofErr w:type="spellEnd"/>
      <w:r w:rsidRPr="00BC6190">
        <w:rPr>
          <w:rFonts w:ascii="Calibri" w:hAnsi="Calibri" w:cs="Calibri"/>
        </w:rPr>
        <w:t xml:space="preserve">, C. M. (2019). Persistent fatigue induced by interferon-alpha: A novel, inflammation-based, proxy model of chronic fatigue syndrome. </w:t>
      </w:r>
      <w:proofErr w:type="spellStart"/>
      <w:r w:rsidRPr="00BC6190">
        <w:rPr>
          <w:rFonts w:ascii="Calibri" w:hAnsi="Calibri" w:cs="Calibri"/>
          <w:i/>
          <w:iCs/>
        </w:rPr>
        <w:t>Psychoneuroendocrinology</w:t>
      </w:r>
      <w:proofErr w:type="spellEnd"/>
      <w:r w:rsidRPr="00BC6190">
        <w:rPr>
          <w:rFonts w:ascii="Calibri" w:hAnsi="Calibri" w:cs="Calibri"/>
        </w:rPr>
        <w:t xml:space="preserve">, </w:t>
      </w:r>
      <w:r w:rsidRPr="00BC6190">
        <w:rPr>
          <w:rFonts w:ascii="Calibri" w:hAnsi="Calibri" w:cs="Calibri"/>
          <w:i/>
          <w:iCs/>
        </w:rPr>
        <w:t>100</w:t>
      </w:r>
      <w:r w:rsidRPr="00BC6190">
        <w:rPr>
          <w:rFonts w:ascii="Calibri" w:hAnsi="Calibri" w:cs="Calibri"/>
        </w:rPr>
        <w:t>, 276–285. https://doi.org/10.1016/j.psyneuen.2018.11.032</w:t>
      </w:r>
    </w:p>
    <w:p w14:paraId="38877A86" w14:textId="3E4DF79C" w:rsidR="00035C08" w:rsidRDefault="009E4594" w:rsidP="00035C08">
      <w:pPr>
        <w:spacing w:line="360" w:lineRule="auto"/>
        <w:rPr>
          <w:rFonts w:cstheme="minorHAnsi"/>
          <w:shd w:val="clear" w:color="auto" w:fill="FFFFFF"/>
        </w:rPr>
      </w:pPr>
      <w:r>
        <w:rPr>
          <w:rFonts w:cstheme="minorHAnsi"/>
          <w:shd w:val="clear" w:color="auto" w:fill="FFFFFF"/>
        </w:rPr>
        <w:fldChar w:fldCharType="end"/>
      </w:r>
    </w:p>
    <w:p w14:paraId="3EA9DBF7" w14:textId="77777777" w:rsidR="00035C08" w:rsidRDefault="00035C08" w:rsidP="00035C08">
      <w:pPr>
        <w:spacing w:line="360" w:lineRule="auto"/>
        <w:rPr>
          <w:rFonts w:cstheme="minorHAnsi"/>
          <w:shd w:val="clear" w:color="auto" w:fill="FFFFFF"/>
        </w:rPr>
      </w:pPr>
    </w:p>
    <w:p w14:paraId="156874BD" w14:textId="77777777" w:rsidR="00035C08" w:rsidRDefault="00035C08" w:rsidP="00035C08">
      <w:pPr>
        <w:spacing w:line="360" w:lineRule="auto"/>
        <w:rPr>
          <w:rFonts w:cstheme="minorHAnsi"/>
          <w:shd w:val="clear" w:color="auto" w:fill="FFFFFF"/>
        </w:rPr>
        <w:sectPr w:rsidR="00035C08" w:rsidSect="00733B91">
          <w:pgSz w:w="11906" w:h="16838"/>
          <w:pgMar w:top="1440" w:right="1440" w:bottom="1440" w:left="1440" w:header="709" w:footer="709" w:gutter="0"/>
          <w:cols w:space="708"/>
          <w:docGrid w:linePitch="360"/>
        </w:sectPr>
      </w:pPr>
    </w:p>
    <w:p w14:paraId="2E4EE504" w14:textId="0793B4DF" w:rsidR="00DC7ED8" w:rsidRDefault="007217B8" w:rsidP="00035C08">
      <w:pPr>
        <w:rPr>
          <w:b/>
          <w:bCs/>
        </w:rPr>
      </w:pPr>
      <w:r>
        <w:rPr>
          <w:b/>
          <w:bCs/>
        </w:rPr>
        <w:lastRenderedPageBreak/>
        <w:t xml:space="preserve">Supplementary </w:t>
      </w:r>
      <w:r w:rsidR="00497EDF">
        <w:rPr>
          <w:b/>
          <w:bCs/>
        </w:rPr>
        <w:t>T</w:t>
      </w:r>
      <w:r>
        <w:rPr>
          <w:b/>
          <w:bCs/>
        </w:rPr>
        <w:t>able 1</w:t>
      </w:r>
      <w:r w:rsidR="00497EDF">
        <w:rPr>
          <w:b/>
          <w:bCs/>
        </w:rPr>
        <w:t xml:space="preserve"> (S1)</w:t>
      </w:r>
      <w:r>
        <w:rPr>
          <w:b/>
          <w:bCs/>
        </w:rPr>
        <w:t xml:space="preserve">: </w:t>
      </w:r>
      <w:r w:rsidR="00E344A2">
        <w:rPr>
          <w:b/>
          <w:bCs/>
        </w:rPr>
        <w:t>Clinical and social functioning</w:t>
      </w:r>
      <w:r>
        <w:rPr>
          <w:b/>
          <w:bCs/>
        </w:rPr>
        <w:t xml:space="preserve"> of entire patient sample</w:t>
      </w:r>
    </w:p>
    <w:p w14:paraId="098BE24F" w14:textId="77777777" w:rsidR="007217B8" w:rsidRDefault="007217B8" w:rsidP="00035C08">
      <w:pPr>
        <w:rPr>
          <w:b/>
          <w:bCs/>
        </w:rPr>
      </w:pPr>
    </w:p>
    <w:tbl>
      <w:tblPr>
        <w:tblStyle w:val="TableGrid"/>
        <w:tblpPr w:leftFromText="180" w:rightFromText="180" w:vertAnchor="page" w:horzAnchor="margin" w:tblpY="2497"/>
        <w:tblW w:w="2250" w:type="pct"/>
        <w:tblBorders>
          <w:insideH w:val="none" w:sz="0" w:space="0" w:color="auto"/>
          <w:insideV w:val="none" w:sz="0" w:space="0" w:color="auto"/>
        </w:tblBorders>
        <w:tblLook w:val="04A0" w:firstRow="1" w:lastRow="0" w:firstColumn="1" w:lastColumn="0" w:noHBand="0" w:noVBand="1"/>
      </w:tblPr>
      <w:tblGrid>
        <w:gridCol w:w="3292"/>
        <w:gridCol w:w="2985"/>
      </w:tblGrid>
      <w:tr w:rsidR="00E344A2" w:rsidRPr="0007710C" w14:paraId="44A4C077" w14:textId="77777777" w:rsidTr="00E344A2">
        <w:tc>
          <w:tcPr>
            <w:tcW w:w="2622" w:type="pct"/>
            <w:tcBorders>
              <w:top w:val="single" w:sz="4" w:space="0" w:color="auto"/>
              <w:bottom w:val="nil"/>
            </w:tcBorders>
          </w:tcPr>
          <w:p w14:paraId="38F6D305" w14:textId="77777777" w:rsidR="00E344A2" w:rsidRPr="005A7B83" w:rsidRDefault="00E344A2" w:rsidP="007217B8">
            <w:pPr>
              <w:jc w:val="center"/>
              <w:rPr>
                <w:sz w:val="20"/>
                <w:szCs w:val="20"/>
              </w:rPr>
            </w:pPr>
          </w:p>
        </w:tc>
        <w:tc>
          <w:tcPr>
            <w:tcW w:w="2378" w:type="pct"/>
            <w:tcBorders>
              <w:top w:val="single" w:sz="4" w:space="0" w:color="auto"/>
              <w:bottom w:val="nil"/>
            </w:tcBorders>
          </w:tcPr>
          <w:p w14:paraId="700A356A" w14:textId="1CB8F2A2" w:rsidR="00E344A2" w:rsidRPr="005A7B83" w:rsidRDefault="00497EDF" w:rsidP="007217B8">
            <w:pPr>
              <w:jc w:val="center"/>
              <w:rPr>
                <w:b/>
                <w:sz w:val="20"/>
                <w:szCs w:val="20"/>
              </w:rPr>
            </w:pPr>
            <w:r>
              <w:rPr>
                <w:b/>
                <w:sz w:val="20"/>
                <w:szCs w:val="20"/>
              </w:rPr>
              <w:t>Patient Group</w:t>
            </w:r>
          </w:p>
        </w:tc>
      </w:tr>
      <w:tr w:rsidR="00E344A2" w:rsidRPr="0007710C" w14:paraId="17048869" w14:textId="77777777" w:rsidTr="00E344A2">
        <w:tc>
          <w:tcPr>
            <w:tcW w:w="2622" w:type="pct"/>
            <w:tcBorders>
              <w:top w:val="nil"/>
            </w:tcBorders>
          </w:tcPr>
          <w:p w14:paraId="7F787E80" w14:textId="4A040457" w:rsidR="00E344A2" w:rsidRPr="005A7B83" w:rsidRDefault="00E344A2" w:rsidP="007217B8">
            <w:pPr>
              <w:jc w:val="center"/>
              <w:rPr>
                <w:sz w:val="20"/>
                <w:szCs w:val="20"/>
              </w:rPr>
            </w:pPr>
          </w:p>
        </w:tc>
        <w:tc>
          <w:tcPr>
            <w:tcW w:w="2378" w:type="pct"/>
            <w:tcBorders>
              <w:top w:val="nil"/>
            </w:tcBorders>
          </w:tcPr>
          <w:p w14:paraId="4C99FC92" w14:textId="7E40E021" w:rsidR="00E344A2" w:rsidRPr="005A7B83" w:rsidRDefault="00497EDF" w:rsidP="007217B8">
            <w:pPr>
              <w:jc w:val="center"/>
              <w:rPr>
                <w:sz w:val="20"/>
                <w:szCs w:val="20"/>
              </w:rPr>
            </w:pPr>
            <w:r w:rsidRPr="005A7B83">
              <w:rPr>
                <w:b/>
                <w:sz w:val="20"/>
                <w:szCs w:val="20"/>
              </w:rPr>
              <w:t>Mean (SD)</w:t>
            </w:r>
          </w:p>
        </w:tc>
      </w:tr>
      <w:tr w:rsidR="00E344A2" w:rsidRPr="0007710C" w14:paraId="64A4A1C4" w14:textId="77777777" w:rsidTr="00E344A2">
        <w:tc>
          <w:tcPr>
            <w:tcW w:w="2622" w:type="pct"/>
          </w:tcPr>
          <w:p w14:paraId="23F1D779" w14:textId="71BD7314" w:rsidR="00E344A2" w:rsidRPr="005A7B83" w:rsidRDefault="007B335E" w:rsidP="007217B8">
            <w:pPr>
              <w:jc w:val="center"/>
              <w:rPr>
                <w:sz w:val="20"/>
                <w:szCs w:val="20"/>
              </w:rPr>
            </w:pPr>
            <w:r>
              <w:rPr>
                <w:sz w:val="20"/>
                <w:szCs w:val="20"/>
              </w:rPr>
              <w:t xml:space="preserve">PANSS </w:t>
            </w:r>
            <w:r w:rsidR="00E344A2" w:rsidRPr="005A7B83">
              <w:rPr>
                <w:sz w:val="20"/>
                <w:szCs w:val="20"/>
              </w:rPr>
              <w:t>Positive Symptoms</w:t>
            </w:r>
          </w:p>
        </w:tc>
        <w:tc>
          <w:tcPr>
            <w:tcW w:w="2378" w:type="pct"/>
          </w:tcPr>
          <w:p w14:paraId="0FE400B2" w14:textId="05EB9234" w:rsidR="00E344A2" w:rsidRPr="005A7B83" w:rsidRDefault="00E344A2" w:rsidP="007217B8">
            <w:pPr>
              <w:jc w:val="center"/>
              <w:rPr>
                <w:sz w:val="20"/>
                <w:szCs w:val="20"/>
              </w:rPr>
            </w:pPr>
            <w:r>
              <w:rPr>
                <w:sz w:val="20"/>
                <w:szCs w:val="20"/>
              </w:rPr>
              <w:t>16.55 (4.86)</w:t>
            </w:r>
          </w:p>
        </w:tc>
      </w:tr>
      <w:tr w:rsidR="00E344A2" w:rsidRPr="0007710C" w14:paraId="6D9E2C1A" w14:textId="77777777" w:rsidTr="00E344A2">
        <w:tc>
          <w:tcPr>
            <w:tcW w:w="2622" w:type="pct"/>
            <w:shd w:val="clear" w:color="auto" w:fill="D9E2F3" w:themeFill="accent1" w:themeFillTint="33"/>
          </w:tcPr>
          <w:p w14:paraId="1ADED165" w14:textId="17F9784B" w:rsidR="00E344A2" w:rsidRPr="005A7B83" w:rsidRDefault="007B335E" w:rsidP="007217B8">
            <w:pPr>
              <w:jc w:val="center"/>
              <w:rPr>
                <w:sz w:val="20"/>
                <w:szCs w:val="20"/>
              </w:rPr>
            </w:pPr>
            <w:r>
              <w:rPr>
                <w:sz w:val="20"/>
                <w:szCs w:val="20"/>
              </w:rPr>
              <w:t xml:space="preserve">PANSS </w:t>
            </w:r>
            <w:r w:rsidR="00E344A2" w:rsidRPr="005A7B83">
              <w:rPr>
                <w:sz w:val="20"/>
                <w:szCs w:val="20"/>
              </w:rPr>
              <w:t>Negative Symptoms</w:t>
            </w:r>
          </w:p>
        </w:tc>
        <w:tc>
          <w:tcPr>
            <w:tcW w:w="2378" w:type="pct"/>
            <w:shd w:val="clear" w:color="auto" w:fill="D9E2F3" w:themeFill="accent1" w:themeFillTint="33"/>
          </w:tcPr>
          <w:p w14:paraId="7113C676" w14:textId="7455E57C" w:rsidR="00E344A2" w:rsidRPr="005A7B83" w:rsidRDefault="00E344A2" w:rsidP="007217B8">
            <w:pPr>
              <w:jc w:val="center"/>
              <w:rPr>
                <w:sz w:val="20"/>
                <w:szCs w:val="20"/>
              </w:rPr>
            </w:pPr>
            <w:r>
              <w:rPr>
                <w:sz w:val="20"/>
                <w:szCs w:val="20"/>
              </w:rPr>
              <w:t>17.31 (5.73)</w:t>
            </w:r>
          </w:p>
        </w:tc>
      </w:tr>
      <w:tr w:rsidR="00E344A2" w:rsidRPr="0007710C" w14:paraId="70851A15" w14:textId="77777777" w:rsidTr="00E344A2">
        <w:tc>
          <w:tcPr>
            <w:tcW w:w="2622" w:type="pct"/>
            <w:tcBorders>
              <w:bottom w:val="nil"/>
            </w:tcBorders>
          </w:tcPr>
          <w:p w14:paraId="680EC9D1" w14:textId="2E4D71F7" w:rsidR="00E344A2" w:rsidRPr="005A7B83" w:rsidRDefault="007B335E" w:rsidP="007217B8">
            <w:pPr>
              <w:jc w:val="center"/>
              <w:rPr>
                <w:sz w:val="20"/>
                <w:szCs w:val="20"/>
              </w:rPr>
            </w:pPr>
            <w:r>
              <w:rPr>
                <w:sz w:val="20"/>
                <w:szCs w:val="20"/>
              </w:rPr>
              <w:t xml:space="preserve">PANSS </w:t>
            </w:r>
            <w:r w:rsidR="00E344A2" w:rsidRPr="005A7B83">
              <w:rPr>
                <w:sz w:val="20"/>
                <w:szCs w:val="20"/>
              </w:rPr>
              <w:t>General Symptoms</w:t>
            </w:r>
          </w:p>
        </w:tc>
        <w:tc>
          <w:tcPr>
            <w:tcW w:w="2378" w:type="pct"/>
            <w:tcBorders>
              <w:bottom w:val="nil"/>
            </w:tcBorders>
          </w:tcPr>
          <w:p w14:paraId="1A61582E" w14:textId="2B2C8E33" w:rsidR="00E344A2" w:rsidRPr="005A7B83" w:rsidRDefault="00E344A2" w:rsidP="007217B8">
            <w:pPr>
              <w:jc w:val="center"/>
              <w:rPr>
                <w:sz w:val="20"/>
                <w:szCs w:val="20"/>
              </w:rPr>
            </w:pPr>
            <w:r>
              <w:rPr>
                <w:sz w:val="20"/>
                <w:szCs w:val="20"/>
              </w:rPr>
              <w:t>33.77 (7.62)</w:t>
            </w:r>
          </w:p>
        </w:tc>
      </w:tr>
      <w:tr w:rsidR="00E344A2" w:rsidRPr="0007710C" w14:paraId="48A0498D" w14:textId="77777777" w:rsidTr="00E344A2">
        <w:tc>
          <w:tcPr>
            <w:tcW w:w="2622" w:type="pct"/>
            <w:tcBorders>
              <w:top w:val="nil"/>
              <w:bottom w:val="nil"/>
            </w:tcBorders>
            <w:shd w:val="clear" w:color="auto" w:fill="D9E2F3" w:themeFill="accent1" w:themeFillTint="33"/>
          </w:tcPr>
          <w:p w14:paraId="3D467ECE" w14:textId="6CA147F4" w:rsidR="00E344A2" w:rsidRPr="005A7B83" w:rsidRDefault="007B335E" w:rsidP="007217B8">
            <w:pPr>
              <w:jc w:val="center"/>
              <w:rPr>
                <w:sz w:val="20"/>
                <w:szCs w:val="20"/>
              </w:rPr>
            </w:pPr>
            <w:r>
              <w:rPr>
                <w:sz w:val="20"/>
                <w:szCs w:val="20"/>
              </w:rPr>
              <w:t xml:space="preserve">PANSS </w:t>
            </w:r>
            <w:r w:rsidR="00E344A2" w:rsidRPr="005A7B83">
              <w:rPr>
                <w:sz w:val="20"/>
                <w:szCs w:val="20"/>
              </w:rPr>
              <w:t>Total Symptoms</w:t>
            </w:r>
          </w:p>
        </w:tc>
        <w:tc>
          <w:tcPr>
            <w:tcW w:w="2378" w:type="pct"/>
            <w:tcBorders>
              <w:top w:val="nil"/>
              <w:bottom w:val="nil"/>
            </w:tcBorders>
            <w:shd w:val="clear" w:color="auto" w:fill="D9E2F3" w:themeFill="accent1" w:themeFillTint="33"/>
          </w:tcPr>
          <w:p w14:paraId="547B8352" w14:textId="7C27CAAA" w:rsidR="00E344A2" w:rsidRPr="005A7B83" w:rsidRDefault="00E344A2" w:rsidP="007217B8">
            <w:pPr>
              <w:jc w:val="center"/>
              <w:rPr>
                <w:sz w:val="20"/>
                <w:szCs w:val="20"/>
              </w:rPr>
            </w:pPr>
            <w:r>
              <w:rPr>
                <w:sz w:val="20"/>
                <w:szCs w:val="20"/>
              </w:rPr>
              <w:t>67.62 (14.48)</w:t>
            </w:r>
          </w:p>
        </w:tc>
      </w:tr>
      <w:tr w:rsidR="00E344A2" w:rsidRPr="0007710C" w14:paraId="337DBD6E" w14:textId="77777777" w:rsidTr="00E344A2">
        <w:tc>
          <w:tcPr>
            <w:tcW w:w="2622" w:type="pct"/>
            <w:tcBorders>
              <w:top w:val="nil"/>
              <w:bottom w:val="nil"/>
            </w:tcBorders>
          </w:tcPr>
          <w:p w14:paraId="48327DF7" w14:textId="23303D49" w:rsidR="00E344A2" w:rsidRPr="005A7B83" w:rsidRDefault="00E344A2" w:rsidP="007217B8">
            <w:pPr>
              <w:jc w:val="center"/>
              <w:rPr>
                <w:sz w:val="20"/>
                <w:szCs w:val="20"/>
              </w:rPr>
            </w:pPr>
            <w:r w:rsidRPr="005A7B83">
              <w:rPr>
                <w:sz w:val="20"/>
                <w:szCs w:val="20"/>
              </w:rPr>
              <w:t>Calgary Depression</w:t>
            </w:r>
            <w:r>
              <w:rPr>
                <w:sz w:val="20"/>
                <w:szCs w:val="20"/>
              </w:rPr>
              <w:t xml:space="preserve"> Scale</w:t>
            </w:r>
          </w:p>
        </w:tc>
        <w:tc>
          <w:tcPr>
            <w:tcW w:w="2378" w:type="pct"/>
            <w:tcBorders>
              <w:top w:val="nil"/>
              <w:bottom w:val="nil"/>
            </w:tcBorders>
          </w:tcPr>
          <w:p w14:paraId="54173B1B" w14:textId="37591C3E" w:rsidR="00E344A2" w:rsidRPr="005A7B83" w:rsidRDefault="00E344A2" w:rsidP="007217B8">
            <w:pPr>
              <w:jc w:val="center"/>
              <w:rPr>
                <w:sz w:val="20"/>
                <w:szCs w:val="20"/>
              </w:rPr>
            </w:pPr>
          </w:p>
        </w:tc>
      </w:tr>
      <w:tr w:rsidR="00E344A2" w:rsidRPr="0007710C" w14:paraId="09BC6912" w14:textId="77777777" w:rsidTr="00E344A2">
        <w:tc>
          <w:tcPr>
            <w:tcW w:w="2622" w:type="pct"/>
            <w:tcBorders>
              <w:top w:val="nil"/>
              <w:bottom w:val="single" w:sz="4" w:space="0" w:color="auto"/>
            </w:tcBorders>
          </w:tcPr>
          <w:p w14:paraId="79D8F26F" w14:textId="77777777" w:rsidR="00E344A2" w:rsidRPr="005A7B83" w:rsidRDefault="00E344A2" w:rsidP="007217B8">
            <w:pPr>
              <w:jc w:val="center"/>
              <w:rPr>
                <w:sz w:val="20"/>
                <w:szCs w:val="20"/>
              </w:rPr>
            </w:pPr>
          </w:p>
        </w:tc>
        <w:tc>
          <w:tcPr>
            <w:tcW w:w="2378" w:type="pct"/>
            <w:tcBorders>
              <w:top w:val="nil"/>
              <w:bottom w:val="single" w:sz="4" w:space="0" w:color="auto"/>
            </w:tcBorders>
          </w:tcPr>
          <w:p w14:paraId="12D9857D" w14:textId="77777777" w:rsidR="00E344A2" w:rsidRPr="005A7B83" w:rsidRDefault="00E344A2" w:rsidP="007217B8">
            <w:pPr>
              <w:jc w:val="center"/>
              <w:rPr>
                <w:sz w:val="20"/>
                <w:szCs w:val="20"/>
              </w:rPr>
            </w:pPr>
          </w:p>
        </w:tc>
      </w:tr>
      <w:tr w:rsidR="00E344A2" w:rsidRPr="0007710C" w14:paraId="64505954" w14:textId="77777777" w:rsidTr="00E344A2">
        <w:tc>
          <w:tcPr>
            <w:tcW w:w="2622" w:type="pct"/>
            <w:tcBorders>
              <w:top w:val="single" w:sz="4" w:space="0" w:color="auto"/>
            </w:tcBorders>
          </w:tcPr>
          <w:p w14:paraId="1C17956F" w14:textId="77777777" w:rsidR="00E344A2" w:rsidRPr="005A7B83" w:rsidRDefault="00E344A2" w:rsidP="007217B8">
            <w:pPr>
              <w:jc w:val="center"/>
              <w:rPr>
                <w:sz w:val="20"/>
                <w:szCs w:val="20"/>
              </w:rPr>
            </w:pPr>
          </w:p>
        </w:tc>
        <w:tc>
          <w:tcPr>
            <w:tcW w:w="2378" w:type="pct"/>
            <w:tcBorders>
              <w:top w:val="single" w:sz="4" w:space="0" w:color="auto"/>
            </w:tcBorders>
          </w:tcPr>
          <w:p w14:paraId="4FCC7826" w14:textId="77777777" w:rsidR="00E344A2" w:rsidRPr="005A7B83" w:rsidRDefault="00E344A2" w:rsidP="007217B8">
            <w:pPr>
              <w:jc w:val="center"/>
              <w:rPr>
                <w:sz w:val="20"/>
                <w:szCs w:val="20"/>
              </w:rPr>
            </w:pPr>
          </w:p>
        </w:tc>
      </w:tr>
      <w:tr w:rsidR="00E344A2" w:rsidRPr="0007710C" w14:paraId="2F584882" w14:textId="77777777" w:rsidTr="00E344A2">
        <w:tc>
          <w:tcPr>
            <w:tcW w:w="2622" w:type="pct"/>
          </w:tcPr>
          <w:p w14:paraId="797FCB92" w14:textId="4E42C604" w:rsidR="00E344A2" w:rsidRPr="005A7B83" w:rsidRDefault="007B335E" w:rsidP="007217B8">
            <w:pPr>
              <w:jc w:val="center"/>
              <w:rPr>
                <w:sz w:val="20"/>
                <w:szCs w:val="20"/>
              </w:rPr>
            </w:pPr>
            <w:r>
              <w:rPr>
                <w:sz w:val="20"/>
                <w:szCs w:val="20"/>
              </w:rPr>
              <w:t xml:space="preserve">SFS </w:t>
            </w:r>
            <w:r w:rsidR="00E344A2" w:rsidRPr="005A7B83">
              <w:rPr>
                <w:sz w:val="20"/>
                <w:szCs w:val="20"/>
              </w:rPr>
              <w:t>Social Withdrawal</w:t>
            </w:r>
          </w:p>
        </w:tc>
        <w:tc>
          <w:tcPr>
            <w:tcW w:w="2378" w:type="pct"/>
          </w:tcPr>
          <w:p w14:paraId="36B19AFF" w14:textId="4F147B30" w:rsidR="00E344A2" w:rsidRPr="005A7B83" w:rsidRDefault="00E344A2" w:rsidP="007217B8">
            <w:pPr>
              <w:jc w:val="center"/>
              <w:rPr>
                <w:sz w:val="20"/>
                <w:szCs w:val="20"/>
              </w:rPr>
            </w:pPr>
            <w:r>
              <w:rPr>
                <w:sz w:val="20"/>
                <w:szCs w:val="20"/>
              </w:rPr>
              <w:t>103.53 (13.84)</w:t>
            </w:r>
          </w:p>
        </w:tc>
      </w:tr>
      <w:tr w:rsidR="00E344A2" w:rsidRPr="0007710C" w14:paraId="0C2BB27F" w14:textId="77777777" w:rsidTr="00E344A2">
        <w:tc>
          <w:tcPr>
            <w:tcW w:w="2622" w:type="pct"/>
            <w:shd w:val="clear" w:color="auto" w:fill="D9E2F3" w:themeFill="accent1" w:themeFillTint="33"/>
          </w:tcPr>
          <w:p w14:paraId="68E27FB0" w14:textId="672F4937" w:rsidR="00E344A2" w:rsidRPr="005A7B83" w:rsidRDefault="007B335E" w:rsidP="007217B8">
            <w:pPr>
              <w:jc w:val="center"/>
              <w:rPr>
                <w:sz w:val="20"/>
                <w:szCs w:val="20"/>
              </w:rPr>
            </w:pPr>
            <w:r>
              <w:rPr>
                <w:sz w:val="20"/>
                <w:szCs w:val="20"/>
              </w:rPr>
              <w:t xml:space="preserve">SFS </w:t>
            </w:r>
            <w:r w:rsidR="00E344A2" w:rsidRPr="005A7B83">
              <w:rPr>
                <w:sz w:val="20"/>
                <w:szCs w:val="20"/>
              </w:rPr>
              <w:t>Relationships</w:t>
            </w:r>
          </w:p>
        </w:tc>
        <w:tc>
          <w:tcPr>
            <w:tcW w:w="2378" w:type="pct"/>
            <w:shd w:val="clear" w:color="auto" w:fill="D9E2F3" w:themeFill="accent1" w:themeFillTint="33"/>
          </w:tcPr>
          <w:p w14:paraId="54496252" w14:textId="59DD233E" w:rsidR="00E344A2" w:rsidRPr="005A7B83" w:rsidRDefault="00E344A2" w:rsidP="007217B8">
            <w:pPr>
              <w:jc w:val="center"/>
              <w:rPr>
                <w:sz w:val="20"/>
                <w:szCs w:val="20"/>
              </w:rPr>
            </w:pPr>
            <w:r>
              <w:rPr>
                <w:sz w:val="20"/>
                <w:szCs w:val="20"/>
              </w:rPr>
              <w:t>114.25 (17.45)</w:t>
            </w:r>
          </w:p>
        </w:tc>
      </w:tr>
      <w:tr w:rsidR="00E344A2" w:rsidRPr="0007710C" w14:paraId="3B7F729E" w14:textId="77777777" w:rsidTr="00E344A2">
        <w:tc>
          <w:tcPr>
            <w:tcW w:w="2622" w:type="pct"/>
          </w:tcPr>
          <w:p w14:paraId="036B5F79" w14:textId="3498D62A" w:rsidR="00E344A2" w:rsidRPr="005A7B83" w:rsidRDefault="007B335E" w:rsidP="007217B8">
            <w:pPr>
              <w:jc w:val="center"/>
              <w:rPr>
                <w:sz w:val="20"/>
                <w:szCs w:val="20"/>
              </w:rPr>
            </w:pPr>
            <w:r>
              <w:rPr>
                <w:sz w:val="20"/>
                <w:szCs w:val="20"/>
              </w:rPr>
              <w:t xml:space="preserve">SFS </w:t>
            </w:r>
            <w:r w:rsidR="00E344A2" w:rsidRPr="005A7B83">
              <w:rPr>
                <w:sz w:val="20"/>
                <w:szCs w:val="20"/>
              </w:rPr>
              <w:t xml:space="preserve">Independence Performance </w:t>
            </w:r>
          </w:p>
        </w:tc>
        <w:tc>
          <w:tcPr>
            <w:tcW w:w="2378" w:type="pct"/>
          </w:tcPr>
          <w:p w14:paraId="493A5450" w14:textId="5BAAE720" w:rsidR="00E344A2" w:rsidRPr="005A7B83" w:rsidRDefault="00E344A2" w:rsidP="007217B8">
            <w:pPr>
              <w:jc w:val="center"/>
              <w:rPr>
                <w:sz w:val="20"/>
                <w:szCs w:val="20"/>
              </w:rPr>
            </w:pPr>
            <w:r>
              <w:rPr>
                <w:sz w:val="20"/>
                <w:szCs w:val="20"/>
              </w:rPr>
              <w:t>104.17 (12,90)</w:t>
            </w:r>
          </w:p>
        </w:tc>
      </w:tr>
      <w:tr w:rsidR="00E344A2" w:rsidRPr="0007710C" w14:paraId="29FBAB5B" w14:textId="77777777" w:rsidTr="00E344A2">
        <w:tc>
          <w:tcPr>
            <w:tcW w:w="2622" w:type="pct"/>
            <w:shd w:val="clear" w:color="auto" w:fill="D9E2F3" w:themeFill="accent1" w:themeFillTint="33"/>
          </w:tcPr>
          <w:p w14:paraId="235CE507" w14:textId="59978381" w:rsidR="00E344A2" w:rsidRPr="005A7B83" w:rsidRDefault="007B335E" w:rsidP="007217B8">
            <w:pPr>
              <w:jc w:val="center"/>
              <w:rPr>
                <w:sz w:val="20"/>
                <w:szCs w:val="20"/>
              </w:rPr>
            </w:pPr>
            <w:r>
              <w:rPr>
                <w:sz w:val="20"/>
                <w:szCs w:val="20"/>
              </w:rPr>
              <w:t xml:space="preserve">SFS </w:t>
            </w:r>
            <w:r w:rsidR="00E344A2" w:rsidRPr="005A7B83">
              <w:rPr>
                <w:sz w:val="20"/>
                <w:szCs w:val="20"/>
              </w:rPr>
              <w:t>Recreation</w:t>
            </w:r>
          </w:p>
        </w:tc>
        <w:tc>
          <w:tcPr>
            <w:tcW w:w="2378" w:type="pct"/>
            <w:shd w:val="clear" w:color="auto" w:fill="D9E2F3" w:themeFill="accent1" w:themeFillTint="33"/>
          </w:tcPr>
          <w:p w14:paraId="3DCAF7EA" w14:textId="7C88A924" w:rsidR="00E344A2" w:rsidRPr="005A7B83" w:rsidRDefault="00E344A2" w:rsidP="007217B8">
            <w:pPr>
              <w:jc w:val="center"/>
              <w:rPr>
                <w:sz w:val="20"/>
                <w:szCs w:val="20"/>
              </w:rPr>
            </w:pPr>
            <w:r>
              <w:rPr>
                <w:sz w:val="20"/>
                <w:szCs w:val="20"/>
              </w:rPr>
              <w:t>106.25 (17.00)</w:t>
            </w:r>
          </w:p>
        </w:tc>
      </w:tr>
      <w:tr w:rsidR="00E344A2" w:rsidRPr="0007710C" w14:paraId="2D2825F8" w14:textId="77777777" w:rsidTr="00E344A2">
        <w:tc>
          <w:tcPr>
            <w:tcW w:w="2622" w:type="pct"/>
          </w:tcPr>
          <w:p w14:paraId="36E97CBA" w14:textId="34119BD2" w:rsidR="00E344A2" w:rsidRPr="005A7B83" w:rsidRDefault="007B335E" w:rsidP="007217B8">
            <w:pPr>
              <w:jc w:val="center"/>
              <w:rPr>
                <w:sz w:val="20"/>
                <w:szCs w:val="20"/>
              </w:rPr>
            </w:pPr>
            <w:r>
              <w:rPr>
                <w:sz w:val="20"/>
                <w:szCs w:val="20"/>
              </w:rPr>
              <w:t xml:space="preserve">SFS </w:t>
            </w:r>
            <w:r w:rsidR="00E344A2" w:rsidRPr="005A7B83">
              <w:rPr>
                <w:sz w:val="20"/>
                <w:szCs w:val="20"/>
              </w:rPr>
              <w:t>Prosocial</w:t>
            </w:r>
          </w:p>
        </w:tc>
        <w:tc>
          <w:tcPr>
            <w:tcW w:w="2378" w:type="pct"/>
          </w:tcPr>
          <w:p w14:paraId="3662CE07" w14:textId="442C01A8" w:rsidR="00E344A2" w:rsidRPr="005A7B83" w:rsidRDefault="00E344A2" w:rsidP="007217B8">
            <w:pPr>
              <w:jc w:val="center"/>
              <w:rPr>
                <w:sz w:val="20"/>
                <w:szCs w:val="20"/>
              </w:rPr>
            </w:pPr>
            <w:r>
              <w:rPr>
                <w:sz w:val="20"/>
                <w:szCs w:val="20"/>
              </w:rPr>
              <w:t>107.83 (16.10)</w:t>
            </w:r>
          </w:p>
        </w:tc>
      </w:tr>
      <w:tr w:rsidR="00E344A2" w:rsidRPr="0007710C" w14:paraId="313C281A" w14:textId="77777777" w:rsidTr="00E344A2">
        <w:tc>
          <w:tcPr>
            <w:tcW w:w="2622" w:type="pct"/>
            <w:shd w:val="clear" w:color="auto" w:fill="D9E2F3" w:themeFill="accent1" w:themeFillTint="33"/>
          </w:tcPr>
          <w:p w14:paraId="784577DA" w14:textId="50504245" w:rsidR="00E344A2" w:rsidRPr="005A7B83" w:rsidRDefault="007B335E" w:rsidP="007217B8">
            <w:pPr>
              <w:jc w:val="center"/>
              <w:rPr>
                <w:sz w:val="20"/>
                <w:szCs w:val="20"/>
              </w:rPr>
            </w:pPr>
            <w:r>
              <w:rPr>
                <w:sz w:val="20"/>
                <w:szCs w:val="20"/>
              </w:rPr>
              <w:t xml:space="preserve">SFS </w:t>
            </w:r>
            <w:r w:rsidR="00E344A2" w:rsidRPr="005A7B83">
              <w:rPr>
                <w:sz w:val="20"/>
                <w:szCs w:val="20"/>
              </w:rPr>
              <w:t>Independence Competence</w:t>
            </w:r>
          </w:p>
        </w:tc>
        <w:tc>
          <w:tcPr>
            <w:tcW w:w="2378" w:type="pct"/>
            <w:shd w:val="clear" w:color="auto" w:fill="D9E2F3" w:themeFill="accent1" w:themeFillTint="33"/>
          </w:tcPr>
          <w:p w14:paraId="1C13E174" w14:textId="2EC6DB23" w:rsidR="00E344A2" w:rsidRPr="005A7B83" w:rsidRDefault="00E344A2" w:rsidP="007217B8">
            <w:pPr>
              <w:jc w:val="center"/>
              <w:rPr>
                <w:sz w:val="20"/>
                <w:szCs w:val="20"/>
              </w:rPr>
            </w:pPr>
            <w:r>
              <w:rPr>
                <w:sz w:val="20"/>
                <w:szCs w:val="20"/>
              </w:rPr>
              <w:t>109.37 (12.30)</w:t>
            </w:r>
          </w:p>
        </w:tc>
      </w:tr>
      <w:tr w:rsidR="00E344A2" w:rsidRPr="0007710C" w14:paraId="45CD92BB" w14:textId="77777777" w:rsidTr="00E344A2">
        <w:tc>
          <w:tcPr>
            <w:tcW w:w="2622" w:type="pct"/>
          </w:tcPr>
          <w:p w14:paraId="6BDB3BD1" w14:textId="202EC79C" w:rsidR="00E344A2" w:rsidRPr="005A7B83" w:rsidRDefault="007B335E" w:rsidP="007217B8">
            <w:pPr>
              <w:jc w:val="center"/>
              <w:rPr>
                <w:sz w:val="20"/>
                <w:szCs w:val="20"/>
              </w:rPr>
            </w:pPr>
            <w:r>
              <w:rPr>
                <w:sz w:val="20"/>
                <w:szCs w:val="20"/>
              </w:rPr>
              <w:t xml:space="preserve">SFS </w:t>
            </w:r>
            <w:r w:rsidR="00E344A2" w:rsidRPr="005A7B83">
              <w:rPr>
                <w:sz w:val="20"/>
                <w:szCs w:val="20"/>
              </w:rPr>
              <w:t>Employment</w:t>
            </w:r>
          </w:p>
        </w:tc>
        <w:tc>
          <w:tcPr>
            <w:tcW w:w="2378" w:type="pct"/>
          </w:tcPr>
          <w:p w14:paraId="5492C0FA" w14:textId="37311E07" w:rsidR="00E344A2" w:rsidRPr="005A7B83" w:rsidRDefault="00E344A2" w:rsidP="007217B8">
            <w:pPr>
              <w:jc w:val="center"/>
              <w:rPr>
                <w:sz w:val="20"/>
                <w:szCs w:val="20"/>
              </w:rPr>
            </w:pPr>
            <w:r>
              <w:rPr>
                <w:sz w:val="20"/>
                <w:szCs w:val="20"/>
              </w:rPr>
              <w:t>104.36 (10.87)</w:t>
            </w:r>
          </w:p>
        </w:tc>
      </w:tr>
      <w:tr w:rsidR="00E344A2" w:rsidRPr="0007710C" w14:paraId="12469EA9" w14:textId="77777777" w:rsidTr="00E344A2">
        <w:tc>
          <w:tcPr>
            <w:tcW w:w="2622" w:type="pct"/>
            <w:shd w:val="clear" w:color="auto" w:fill="D9E2F3" w:themeFill="accent1" w:themeFillTint="33"/>
          </w:tcPr>
          <w:p w14:paraId="7A82E32D" w14:textId="77777777" w:rsidR="00E344A2" w:rsidRPr="001B4E67" w:rsidRDefault="00E344A2" w:rsidP="007217B8">
            <w:pPr>
              <w:jc w:val="center"/>
              <w:rPr>
                <w:sz w:val="20"/>
                <w:szCs w:val="20"/>
              </w:rPr>
            </w:pPr>
            <w:r w:rsidRPr="001B4E67">
              <w:rPr>
                <w:sz w:val="20"/>
                <w:szCs w:val="20"/>
              </w:rPr>
              <w:t>SFS Total</w:t>
            </w:r>
          </w:p>
        </w:tc>
        <w:tc>
          <w:tcPr>
            <w:tcW w:w="2378" w:type="pct"/>
            <w:shd w:val="clear" w:color="auto" w:fill="D9E2F3" w:themeFill="accent1" w:themeFillTint="33"/>
          </w:tcPr>
          <w:p w14:paraId="0A522DFC" w14:textId="3B6CD81E" w:rsidR="00E344A2" w:rsidRPr="001B4E67" w:rsidRDefault="00E344A2" w:rsidP="007217B8">
            <w:pPr>
              <w:jc w:val="center"/>
              <w:rPr>
                <w:sz w:val="20"/>
                <w:szCs w:val="20"/>
              </w:rPr>
            </w:pPr>
            <w:r>
              <w:rPr>
                <w:sz w:val="20"/>
                <w:szCs w:val="20"/>
              </w:rPr>
              <w:t>107.09 (9.74)</w:t>
            </w:r>
          </w:p>
        </w:tc>
      </w:tr>
      <w:tr w:rsidR="00E344A2" w:rsidRPr="0007710C" w14:paraId="7370DA1B" w14:textId="77777777" w:rsidTr="00E344A2">
        <w:tc>
          <w:tcPr>
            <w:tcW w:w="2622" w:type="pct"/>
          </w:tcPr>
          <w:p w14:paraId="3A4169F3" w14:textId="77777777" w:rsidR="00E344A2" w:rsidRPr="005A7B83" w:rsidRDefault="00E344A2" w:rsidP="007217B8">
            <w:pPr>
              <w:jc w:val="center"/>
              <w:rPr>
                <w:sz w:val="20"/>
                <w:szCs w:val="20"/>
              </w:rPr>
            </w:pPr>
            <w:r w:rsidRPr="005A7B83">
              <w:rPr>
                <w:sz w:val="20"/>
                <w:szCs w:val="20"/>
              </w:rPr>
              <w:t>GAF</w:t>
            </w:r>
          </w:p>
        </w:tc>
        <w:tc>
          <w:tcPr>
            <w:tcW w:w="2378" w:type="pct"/>
          </w:tcPr>
          <w:p w14:paraId="7A8A5DB9" w14:textId="1A7FAAF7" w:rsidR="00E344A2" w:rsidRPr="005A7B83" w:rsidRDefault="00E344A2" w:rsidP="007217B8">
            <w:pPr>
              <w:jc w:val="center"/>
              <w:rPr>
                <w:sz w:val="20"/>
                <w:szCs w:val="20"/>
              </w:rPr>
            </w:pPr>
            <w:r>
              <w:rPr>
                <w:sz w:val="20"/>
                <w:szCs w:val="20"/>
              </w:rPr>
              <w:t>55.81 (10.65)</w:t>
            </w:r>
          </w:p>
        </w:tc>
      </w:tr>
      <w:tr w:rsidR="00E344A2" w:rsidRPr="0007710C" w14:paraId="77838F88" w14:textId="77777777" w:rsidTr="00E344A2">
        <w:tc>
          <w:tcPr>
            <w:tcW w:w="2622" w:type="pct"/>
            <w:tcBorders>
              <w:top w:val="nil"/>
              <w:bottom w:val="single" w:sz="4" w:space="0" w:color="auto"/>
            </w:tcBorders>
          </w:tcPr>
          <w:p w14:paraId="4B6C25E2" w14:textId="77777777" w:rsidR="00E344A2" w:rsidRPr="0007710C" w:rsidRDefault="00E344A2" w:rsidP="007217B8">
            <w:pPr>
              <w:jc w:val="center"/>
            </w:pPr>
          </w:p>
        </w:tc>
        <w:tc>
          <w:tcPr>
            <w:tcW w:w="2378" w:type="pct"/>
            <w:tcBorders>
              <w:top w:val="nil"/>
              <w:bottom w:val="single" w:sz="4" w:space="0" w:color="auto"/>
            </w:tcBorders>
          </w:tcPr>
          <w:p w14:paraId="0EF6347C" w14:textId="77777777" w:rsidR="00E344A2" w:rsidRPr="0007710C" w:rsidRDefault="00E344A2" w:rsidP="007217B8">
            <w:pPr>
              <w:jc w:val="center"/>
            </w:pPr>
          </w:p>
        </w:tc>
      </w:tr>
    </w:tbl>
    <w:p w14:paraId="6E81003E" w14:textId="77777777" w:rsidR="007217B8" w:rsidRDefault="007217B8" w:rsidP="007217B8">
      <w:pPr>
        <w:rPr>
          <w:b/>
          <w:bCs/>
        </w:rPr>
      </w:pPr>
    </w:p>
    <w:p w14:paraId="2E9D3D89" w14:textId="77777777" w:rsidR="007217B8" w:rsidRDefault="007217B8" w:rsidP="007217B8">
      <w:pPr>
        <w:rPr>
          <w:b/>
          <w:bCs/>
        </w:rPr>
      </w:pPr>
    </w:p>
    <w:p w14:paraId="1C1460C3" w14:textId="77777777" w:rsidR="007217B8" w:rsidRDefault="007217B8" w:rsidP="007217B8">
      <w:pPr>
        <w:rPr>
          <w:b/>
          <w:bCs/>
        </w:rPr>
      </w:pPr>
    </w:p>
    <w:p w14:paraId="6AF5BD2E" w14:textId="77777777" w:rsidR="007217B8" w:rsidRDefault="007217B8" w:rsidP="007217B8">
      <w:pPr>
        <w:rPr>
          <w:b/>
          <w:bCs/>
        </w:rPr>
      </w:pPr>
    </w:p>
    <w:p w14:paraId="4C8BC07C" w14:textId="14BC0E20" w:rsidR="007217B8" w:rsidRDefault="007217B8" w:rsidP="007217B8">
      <w:pPr>
        <w:rPr>
          <w:b/>
          <w:bCs/>
        </w:rPr>
      </w:pPr>
    </w:p>
    <w:p w14:paraId="0D76A79D" w14:textId="1C08D82D" w:rsidR="007217B8" w:rsidRDefault="007217B8" w:rsidP="007217B8">
      <w:pPr>
        <w:rPr>
          <w:b/>
          <w:bCs/>
        </w:rPr>
      </w:pPr>
    </w:p>
    <w:p w14:paraId="1A59FB49" w14:textId="0909D732" w:rsidR="007217B8" w:rsidRDefault="007217B8" w:rsidP="007217B8">
      <w:pPr>
        <w:rPr>
          <w:b/>
          <w:bCs/>
        </w:rPr>
      </w:pPr>
    </w:p>
    <w:p w14:paraId="59914B11" w14:textId="35F9A3F7" w:rsidR="007217B8" w:rsidRDefault="007217B8" w:rsidP="007217B8">
      <w:pPr>
        <w:rPr>
          <w:b/>
          <w:bCs/>
        </w:rPr>
      </w:pPr>
    </w:p>
    <w:p w14:paraId="45141DEF" w14:textId="2FCD468C" w:rsidR="007217B8" w:rsidRDefault="007217B8" w:rsidP="007217B8">
      <w:pPr>
        <w:rPr>
          <w:b/>
          <w:bCs/>
        </w:rPr>
      </w:pPr>
    </w:p>
    <w:p w14:paraId="711831D6" w14:textId="483CDBCC" w:rsidR="007217B8" w:rsidRDefault="007217B8" w:rsidP="007217B8">
      <w:pPr>
        <w:rPr>
          <w:b/>
          <w:bCs/>
        </w:rPr>
      </w:pPr>
    </w:p>
    <w:p w14:paraId="61C90117" w14:textId="773BC357" w:rsidR="007217B8" w:rsidRDefault="007217B8" w:rsidP="007217B8">
      <w:pPr>
        <w:rPr>
          <w:b/>
          <w:bCs/>
        </w:rPr>
      </w:pPr>
    </w:p>
    <w:p w14:paraId="4AC1E7B3" w14:textId="0BE2AB0D" w:rsidR="007217B8" w:rsidRDefault="007217B8" w:rsidP="007217B8">
      <w:pPr>
        <w:rPr>
          <w:b/>
          <w:bCs/>
        </w:rPr>
      </w:pPr>
    </w:p>
    <w:p w14:paraId="11C8D037" w14:textId="228950B3" w:rsidR="007217B8" w:rsidRPr="007B335E" w:rsidRDefault="007B335E" w:rsidP="007217B8">
      <w:r w:rsidRPr="007B335E">
        <w:t>SFS = Social Functioning Scale, GAF – Global assessment of Functioning</w:t>
      </w:r>
    </w:p>
    <w:p w14:paraId="7889D6D7" w14:textId="5B03FB67" w:rsidR="007217B8" w:rsidRDefault="007217B8" w:rsidP="007217B8">
      <w:pPr>
        <w:rPr>
          <w:b/>
          <w:bCs/>
        </w:rPr>
      </w:pPr>
    </w:p>
    <w:p w14:paraId="42D07DA7" w14:textId="53714456" w:rsidR="007217B8" w:rsidRDefault="007217B8" w:rsidP="007217B8">
      <w:pPr>
        <w:rPr>
          <w:b/>
          <w:bCs/>
        </w:rPr>
      </w:pPr>
    </w:p>
    <w:p w14:paraId="3B577AD3" w14:textId="77777777" w:rsidR="007217B8" w:rsidRDefault="007217B8" w:rsidP="007217B8">
      <w:pPr>
        <w:rPr>
          <w:b/>
          <w:bCs/>
        </w:rPr>
      </w:pPr>
    </w:p>
    <w:p w14:paraId="24902159" w14:textId="77777777" w:rsidR="007217B8" w:rsidRDefault="007217B8" w:rsidP="007217B8">
      <w:pPr>
        <w:rPr>
          <w:b/>
          <w:bCs/>
        </w:rPr>
      </w:pPr>
    </w:p>
    <w:p w14:paraId="39AEA863" w14:textId="77777777" w:rsidR="007217B8" w:rsidRDefault="007217B8" w:rsidP="007217B8">
      <w:pPr>
        <w:rPr>
          <w:b/>
          <w:bCs/>
        </w:rPr>
      </w:pPr>
    </w:p>
    <w:p w14:paraId="65F34315" w14:textId="394A4549" w:rsidR="007217B8" w:rsidRDefault="007217B8" w:rsidP="007217B8">
      <w:pPr>
        <w:rPr>
          <w:b/>
          <w:bCs/>
        </w:rPr>
      </w:pPr>
      <w:r>
        <w:rPr>
          <w:b/>
          <w:bCs/>
        </w:rPr>
        <w:lastRenderedPageBreak/>
        <w:t>S</w:t>
      </w:r>
      <w:r w:rsidRPr="00E704B7">
        <w:rPr>
          <w:b/>
          <w:bCs/>
        </w:rPr>
        <w:t xml:space="preserve">upplementary Table </w:t>
      </w:r>
      <w:r>
        <w:rPr>
          <w:b/>
          <w:bCs/>
        </w:rPr>
        <w:t>2</w:t>
      </w:r>
      <w:r w:rsidRPr="00E704B7">
        <w:rPr>
          <w:b/>
          <w:bCs/>
        </w:rPr>
        <w:t xml:space="preserve"> (S</w:t>
      </w:r>
      <w:r>
        <w:rPr>
          <w:b/>
          <w:bCs/>
        </w:rPr>
        <w:t>2</w:t>
      </w:r>
      <w:r w:rsidRPr="00E704B7">
        <w:rPr>
          <w:b/>
          <w:bCs/>
        </w:rPr>
        <w:t>): Between-group comparison of symptoms and social functioning</w:t>
      </w:r>
    </w:p>
    <w:p w14:paraId="40616082" w14:textId="7C7EA299" w:rsidR="007217B8" w:rsidRDefault="007217B8" w:rsidP="007217B8">
      <w:pPr>
        <w:rPr>
          <w:b/>
          <w:bCs/>
        </w:rPr>
      </w:pPr>
    </w:p>
    <w:p w14:paraId="2130B01C" w14:textId="77777777" w:rsidR="007217B8" w:rsidRPr="00E704B7" w:rsidRDefault="007217B8" w:rsidP="007217B8">
      <w:pPr>
        <w:rPr>
          <w:b/>
          <w:bCs/>
        </w:rPr>
      </w:pPr>
    </w:p>
    <w:p w14:paraId="72C039EF" w14:textId="77777777" w:rsidR="007217B8" w:rsidRPr="00BC008C" w:rsidRDefault="007217B8" w:rsidP="007217B8">
      <w:r w:rsidRPr="00DB17FE">
        <w:t>PIQ, Preserved IQ: DIQ, Deteriorated IQ: CIQ, Compromised IQ</w:t>
      </w:r>
      <w:r>
        <w:t xml:space="preserve">, </w:t>
      </w:r>
      <w:r w:rsidRPr="00BC008C">
        <w:rPr>
          <w:vertAlign w:val="superscript"/>
        </w:rPr>
        <w:t xml:space="preserve"> </w:t>
      </w:r>
      <w:proofErr w:type="spellStart"/>
      <w:r w:rsidRPr="005F4A33">
        <w:rPr>
          <w:vertAlign w:val="superscript"/>
        </w:rPr>
        <w:t>a</w:t>
      </w:r>
      <w:r w:rsidRPr="005F4A33">
        <w:t>D</w:t>
      </w:r>
      <w:r>
        <w:t>oes</w:t>
      </w:r>
      <w:proofErr w:type="spellEnd"/>
      <w:r w:rsidRPr="005F4A33">
        <w:t xml:space="preserve"> not survive FDR</w:t>
      </w:r>
      <w:r>
        <w:t xml:space="preserve"> correction</w:t>
      </w:r>
    </w:p>
    <w:tbl>
      <w:tblPr>
        <w:tblStyle w:val="TableGrid"/>
        <w:tblpPr w:leftFromText="180" w:rightFromText="180" w:vertAnchor="page" w:horzAnchor="margin" w:tblpXSpec="center" w:tblpY="2569"/>
        <w:tblW w:w="5815" w:type="pct"/>
        <w:tblBorders>
          <w:insideH w:val="none" w:sz="0" w:space="0" w:color="auto"/>
          <w:insideV w:val="none" w:sz="0" w:space="0" w:color="auto"/>
        </w:tblBorders>
        <w:tblLook w:val="04A0" w:firstRow="1" w:lastRow="0" w:firstColumn="1" w:lastColumn="0" w:noHBand="0" w:noVBand="1"/>
      </w:tblPr>
      <w:tblGrid>
        <w:gridCol w:w="3290"/>
        <w:gridCol w:w="2985"/>
        <w:gridCol w:w="1658"/>
        <w:gridCol w:w="2553"/>
        <w:gridCol w:w="5736"/>
      </w:tblGrid>
      <w:tr w:rsidR="007217B8" w:rsidRPr="0007710C" w14:paraId="7070A850" w14:textId="77777777" w:rsidTr="001A0763">
        <w:tc>
          <w:tcPr>
            <w:tcW w:w="1014" w:type="pct"/>
            <w:tcBorders>
              <w:top w:val="single" w:sz="4" w:space="0" w:color="auto"/>
              <w:bottom w:val="single" w:sz="4" w:space="0" w:color="auto"/>
            </w:tcBorders>
          </w:tcPr>
          <w:p w14:paraId="537B7671" w14:textId="77777777" w:rsidR="007217B8" w:rsidRPr="0007710C" w:rsidRDefault="007217B8" w:rsidP="001A0763">
            <w:pPr>
              <w:jc w:val="center"/>
            </w:pPr>
          </w:p>
        </w:tc>
        <w:tc>
          <w:tcPr>
            <w:tcW w:w="920" w:type="pct"/>
            <w:tcBorders>
              <w:top w:val="single" w:sz="4" w:space="0" w:color="auto"/>
              <w:bottom w:val="single" w:sz="4" w:space="0" w:color="auto"/>
            </w:tcBorders>
          </w:tcPr>
          <w:p w14:paraId="427BA731" w14:textId="77777777" w:rsidR="007217B8" w:rsidRPr="005A7B83" w:rsidRDefault="007217B8" w:rsidP="001A0763">
            <w:pPr>
              <w:jc w:val="center"/>
              <w:rPr>
                <w:b/>
                <w:sz w:val="20"/>
                <w:szCs w:val="20"/>
              </w:rPr>
            </w:pPr>
            <w:r w:rsidRPr="005A7B83">
              <w:rPr>
                <w:b/>
                <w:sz w:val="20"/>
                <w:szCs w:val="20"/>
              </w:rPr>
              <w:t>PIQ (n = 55)</w:t>
            </w:r>
          </w:p>
        </w:tc>
        <w:tc>
          <w:tcPr>
            <w:tcW w:w="511" w:type="pct"/>
            <w:tcBorders>
              <w:top w:val="single" w:sz="4" w:space="0" w:color="auto"/>
              <w:bottom w:val="single" w:sz="4" w:space="0" w:color="auto"/>
            </w:tcBorders>
          </w:tcPr>
          <w:p w14:paraId="1CC9C9FC" w14:textId="77777777" w:rsidR="007217B8" w:rsidRPr="005A7B83" w:rsidRDefault="007217B8" w:rsidP="001A0763">
            <w:pPr>
              <w:jc w:val="center"/>
              <w:rPr>
                <w:b/>
                <w:sz w:val="20"/>
                <w:szCs w:val="20"/>
              </w:rPr>
            </w:pPr>
            <w:r w:rsidRPr="005A7B83">
              <w:rPr>
                <w:b/>
                <w:sz w:val="20"/>
                <w:szCs w:val="20"/>
              </w:rPr>
              <w:t>DIQ (n = 61)</w:t>
            </w:r>
          </w:p>
        </w:tc>
        <w:tc>
          <w:tcPr>
            <w:tcW w:w="787" w:type="pct"/>
            <w:tcBorders>
              <w:top w:val="single" w:sz="4" w:space="0" w:color="auto"/>
              <w:bottom w:val="single" w:sz="4" w:space="0" w:color="auto"/>
            </w:tcBorders>
          </w:tcPr>
          <w:p w14:paraId="04569175" w14:textId="77777777" w:rsidR="007217B8" w:rsidRPr="005A7B83" w:rsidRDefault="007217B8" w:rsidP="001A0763">
            <w:pPr>
              <w:jc w:val="center"/>
              <w:rPr>
                <w:b/>
                <w:sz w:val="20"/>
                <w:szCs w:val="20"/>
              </w:rPr>
            </w:pPr>
            <w:r w:rsidRPr="005A7B83">
              <w:rPr>
                <w:b/>
                <w:sz w:val="20"/>
                <w:szCs w:val="20"/>
              </w:rPr>
              <w:t>CIQ (n = 43)</w:t>
            </w:r>
          </w:p>
        </w:tc>
        <w:tc>
          <w:tcPr>
            <w:tcW w:w="1768" w:type="pct"/>
            <w:tcBorders>
              <w:top w:val="single" w:sz="4" w:space="0" w:color="auto"/>
              <w:bottom w:val="single" w:sz="4" w:space="0" w:color="auto"/>
            </w:tcBorders>
          </w:tcPr>
          <w:p w14:paraId="0816DEDE" w14:textId="77777777" w:rsidR="007217B8" w:rsidRPr="0007710C" w:rsidRDefault="007217B8" w:rsidP="001A0763">
            <w:pPr>
              <w:jc w:val="center"/>
              <w:rPr>
                <w:b/>
              </w:rPr>
            </w:pPr>
          </w:p>
        </w:tc>
      </w:tr>
      <w:tr w:rsidR="007217B8" w:rsidRPr="0007710C" w14:paraId="1AC1110C" w14:textId="77777777" w:rsidTr="001A0763">
        <w:tc>
          <w:tcPr>
            <w:tcW w:w="1014" w:type="pct"/>
            <w:tcBorders>
              <w:top w:val="single" w:sz="4" w:space="0" w:color="auto"/>
              <w:bottom w:val="nil"/>
            </w:tcBorders>
          </w:tcPr>
          <w:p w14:paraId="2CF5F1B6" w14:textId="77777777" w:rsidR="007217B8" w:rsidRPr="005A7B83" w:rsidRDefault="007217B8" w:rsidP="001A0763">
            <w:pPr>
              <w:jc w:val="center"/>
              <w:rPr>
                <w:sz w:val="20"/>
                <w:szCs w:val="20"/>
              </w:rPr>
            </w:pPr>
          </w:p>
        </w:tc>
        <w:tc>
          <w:tcPr>
            <w:tcW w:w="920" w:type="pct"/>
            <w:tcBorders>
              <w:top w:val="single" w:sz="4" w:space="0" w:color="auto"/>
              <w:bottom w:val="nil"/>
            </w:tcBorders>
          </w:tcPr>
          <w:p w14:paraId="72469547" w14:textId="77777777" w:rsidR="007217B8" w:rsidRPr="005A7B83" w:rsidRDefault="007217B8" w:rsidP="001A0763">
            <w:pPr>
              <w:jc w:val="center"/>
              <w:rPr>
                <w:b/>
                <w:sz w:val="20"/>
                <w:szCs w:val="20"/>
              </w:rPr>
            </w:pPr>
            <w:r w:rsidRPr="005A7B83">
              <w:rPr>
                <w:b/>
                <w:sz w:val="20"/>
                <w:szCs w:val="20"/>
              </w:rPr>
              <w:t>Mean (SD)</w:t>
            </w:r>
          </w:p>
        </w:tc>
        <w:tc>
          <w:tcPr>
            <w:tcW w:w="511" w:type="pct"/>
            <w:tcBorders>
              <w:top w:val="single" w:sz="4" w:space="0" w:color="auto"/>
              <w:bottom w:val="nil"/>
            </w:tcBorders>
          </w:tcPr>
          <w:p w14:paraId="18D9AD8C" w14:textId="77777777" w:rsidR="007217B8" w:rsidRPr="005A7B83" w:rsidRDefault="007217B8" w:rsidP="001A0763">
            <w:pPr>
              <w:jc w:val="center"/>
              <w:rPr>
                <w:b/>
                <w:sz w:val="20"/>
                <w:szCs w:val="20"/>
              </w:rPr>
            </w:pPr>
            <w:r w:rsidRPr="005A7B83">
              <w:rPr>
                <w:b/>
                <w:sz w:val="20"/>
                <w:szCs w:val="20"/>
              </w:rPr>
              <w:t>Mean (SD)</w:t>
            </w:r>
          </w:p>
        </w:tc>
        <w:tc>
          <w:tcPr>
            <w:tcW w:w="787" w:type="pct"/>
            <w:tcBorders>
              <w:top w:val="single" w:sz="4" w:space="0" w:color="auto"/>
              <w:bottom w:val="nil"/>
            </w:tcBorders>
          </w:tcPr>
          <w:p w14:paraId="71E384EF" w14:textId="77777777" w:rsidR="007217B8" w:rsidRPr="005A7B83" w:rsidRDefault="007217B8" w:rsidP="001A0763">
            <w:pPr>
              <w:jc w:val="center"/>
              <w:rPr>
                <w:b/>
                <w:sz w:val="20"/>
                <w:szCs w:val="20"/>
              </w:rPr>
            </w:pPr>
            <w:r w:rsidRPr="005A7B83">
              <w:rPr>
                <w:b/>
                <w:sz w:val="20"/>
                <w:szCs w:val="20"/>
              </w:rPr>
              <w:t>Mean (SD)</w:t>
            </w:r>
          </w:p>
        </w:tc>
        <w:tc>
          <w:tcPr>
            <w:tcW w:w="1768" w:type="pct"/>
            <w:tcBorders>
              <w:top w:val="single" w:sz="4" w:space="0" w:color="auto"/>
              <w:bottom w:val="single" w:sz="4" w:space="0" w:color="auto"/>
            </w:tcBorders>
          </w:tcPr>
          <w:p w14:paraId="406FC40E" w14:textId="77777777" w:rsidR="007217B8" w:rsidRPr="005A7B83" w:rsidRDefault="007217B8" w:rsidP="001A0763">
            <w:pPr>
              <w:jc w:val="center"/>
              <w:rPr>
                <w:b/>
                <w:sz w:val="20"/>
                <w:szCs w:val="20"/>
              </w:rPr>
            </w:pPr>
            <w:r w:rsidRPr="005A7B83">
              <w:rPr>
                <w:b/>
                <w:sz w:val="20"/>
                <w:szCs w:val="20"/>
              </w:rPr>
              <w:t>Main Effect (F)</w:t>
            </w:r>
          </w:p>
        </w:tc>
      </w:tr>
      <w:tr w:rsidR="007217B8" w:rsidRPr="0007710C" w14:paraId="6D12887D" w14:textId="77777777" w:rsidTr="001A0763">
        <w:tc>
          <w:tcPr>
            <w:tcW w:w="1014" w:type="pct"/>
            <w:tcBorders>
              <w:top w:val="nil"/>
            </w:tcBorders>
          </w:tcPr>
          <w:p w14:paraId="7BB7C988" w14:textId="77777777" w:rsidR="007217B8" w:rsidRPr="005A7B83" w:rsidRDefault="007217B8" w:rsidP="001A0763">
            <w:pPr>
              <w:jc w:val="center"/>
              <w:rPr>
                <w:sz w:val="20"/>
                <w:szCs w:val="20"/>
              </w:rPr>
            </w:pPr>
          </w:p>
        </w:tc>
        <w:tc>
          <w:tcPr>
            <w:tcW w:w="920" w:type="pct"/>
            <w:tcBorders>
              <w:top w:val="nil"/>
            </w:tcBorders>
          </w:tcPr>
          <w:p w14:paraId="54BB4DE2" w14:textId="77777777" w:rsidR="007217B8" w:rsidRPr="005A7B83" w:rsidRDefault="007217B8" w:rsidP="001A0763">
            <w:pPr>
              <w:jc w:val="center"/>
              <w:rPr>
                <w:sz w:val="20"/>
                <w:szCs w:val="20"/>
              </w:rPr>
            </w:pPr>
          </w:p>
        </w:tc>
        <w:tc>
          <w:tcPr>
            <w:tcW w:w="511" w:type="pct"/>
            <w:tcBorders>
              <w:top w:val="nil"/>
            </w:tcBorders>
          </w:tcPr>
          <w:p w14:paraId="30A7AB19" w14:textId="77777777" w:rsidR="007217B8" w:rsidRPr="005A7B83" w:rsidRDefault="007217B8" w:rsidP="001A0763">
            <w:pPr>
              <w:jc w:val="center"/>
              <w:rPr>
                <w:sz w:val="20"/>
                <w:szCs w:val="20"/>
              </w:rPr>
            </w:pPr>
          </w:p>
        </w:tc>
        <w:tc>
          <w:tcPr>
            <w:tcW w:w="787" w:type="pct"/>
            <w:tcBorders>
              <w:top w:val="nil"/>
            </w:tcBorders>
          </w:tcPr>
          <w:p w14:paraId="2B5BA950" w14:textId="77777777" w:rsidR="007217B8" w:rsidRPr="005A7B83" w:rsidRDefault="007217B8" w:rsidP="001A0763">
            <w:pPr>
              <w:jc w:val="center"/>
              <w:rPr>
                <w:sz w:val="20"/>
                <w:szCs w:val="20"/>
              </w:rPr>
            </w:pPr>
          </w:p>
        </w:tc>
        <w:tc>
          <w:tcPr>
            <w:tcW w:w="1768" w:type="pct"/>
            <w:tcBorders>
              <w:top w:val="single" w:sz="4" w:space="0" w:color="auto"/>
            </w:tcBorders>
          </w:tcPr>
          <w:p w14:paraId="767B239F" w14:textId="77777777" w:rsidR="007217B8" w:rsidRPr="005A7B83" w:rsidRDefault="007217B8" w:rsidP="001A0763">
            <w:pPr>
              <w:jc w:val="center"/>
              <w:rPr>
                <w:b/>
                <w:sz w:val="20"/>
                <w:szCs w:val="20"/>
              </w:rPr>
            </w:pPr>
          </w:p>
        </w:tc>
      </w:tr>
      <w:tr w:rsidR="007217B8" w:rsidRPr="0007710C" w14:paraId="1531A803" w14:textId="77777777" w:rsidTr="001A0763">
        <w:tc>
          <w:tcPr>
            <w:tcW w:w="1014" w:type="pct"/>
          </w:tcPr>
          <w:p w14:paraId="7B0B1BD1" w14:textId="77777777" w:rsidR="007217B8" w:rsidRPr="005A7B83" w:rsidRDefault="007217B8" w:rsidP="001A0763">
            <w:pPr>
              <w:jc w:val="center"/>
              <w:rPr>
                <w:sz w:val="20"/>
                <w:szCs w:val="20"/>
              </w:rPr>
            </w:pPr>
            <w:r w:rsidRPr="005A7B83">
              <w:rPr>
                <w:sz w:val="20"/>
                <w:szCs w:val="20"/>
              </w:rPr>
              <w:t>Positive Symptoms</w:t>
            </w:r>
          </w:p>
        </w:tc>
        <w:tc>
          <w:tcPr>
            <w:tcW w:w="920" w:type="pct"/>
          </w:tcPr>
          <w:p w14:paraId="74371D3B" w14:textId="77777777" w:rsidR="007217B8" w:rsidRPr="005A7B83" w:rsidRDefault="007217B8" w:rsidP="001A0763">
            <w:pPr>
              <w:jc w:val="center"/>
              <w:rPr>
                <w:sz w:val="20"/>
                <w:szCs w:val="20"/>
              </w:rPr>
            </w:pPr>
            <w:r w:rsidRPr="005A7B83">
              <w:rPr>
                <w:sz w:val="20"/>
                <w:szCs w:val="20"/>
              </w:rPr>
              <w:t>16.42 (4.87)</w:t>
            </w:r>
          </w:p>
        </w:tc>
        <w:tc>
          <w:tcPr>
            <w:tcW w:w="511" w:type="pct"/>
          </w:tcPr>
          <w:p w14:paraId="01694777" w14:textId="77777777" w:rsidR="007217B8" w:rsidRPr="005A7B83" w:rsidRDefault="007217B8" w:rsidP="001A0763">
            <w:pPr>
              <w:jc w:val="center"/>
              <w:rPr>
                <w:sz w:val="20"/>
                <w:szCs w:val="20"/>
              </w:rPr>
            </w:pPr>
            <w:r w:rsidRPr="005A7B83">
              <w:rPr>
                <w:sz w:val="20"/>
                <w:szCs w:val="20"/>
              </w:rPr>
              <w:t>16.74 (4.70)</w:t>
            </w:r>
          </w:p>
        </w:tc>
        <w:tc>
          <w:tcPr>
            <w:tcW w:w="787" w:type="pct"/>
          </w:tcPr>
          <w:p w14:paraId="3EE74A6A" w14:textId="77777777" w:rsidR="007217B8" w:rsidRPr="005A7B83" w:rsidRDefault="007217B8" w:rsidP="001A0763">
            <w:pPr>
              <w:jc w:val="center"/>
              <w:rPr>
                <w:sz w:val="20"/>
                <w:szCs w:val="20"/>
              </w:rPr>
            </w:pPr>
            <w:r w:rsidRPr="005A7B83">
              <w:rPr>
                <w:sz w:val="20"/>
                <w:szCs w:val="20"/>
              </w:rPr>
              <w:t>16.44 (5.18)</w:t>
            </w:r>
          </w:p>
        </w:tc>
        <w:tc>
          <w:tcPr>
            <w:tcW w:w="1768" w:type="pct"/>
          </w:tcPr>
          <w:p w14:paraId="4A1EA877" w14:textId="77777777" w:rsidR="007217B8" w:rsidRPr="005A7B83" w:rsidRDefault="007217B8" w:rsidP="001A0763">
            <w:pPr>
              <w:jc w:val="center"/>
              <w:rPr>
                <w:sz w:val="20"/>
                <w:szCs w:val="20"/>
              </w:rPr>
            </w:pPr>
            <w:r w:rsidRPr="005A7B83">
              <w:rPr>
                <w:sz w:val="20"/>
                <w:szCs w:val="20"/>
              </w:rPr>
              <w:t xml:space="preserve">F (2, 156) = </w:t>
            </w:r>
            <w:r>
              <w:rPr>
                <w:sz w:val="20"/>
                <w:szCs w:val="20"/>
              </w:rPr>
              <w:t>0</w:t>
            </w:r>
            <w:r w:rsidRPr="005A7B83">
              <w:rPr>
                <w:sz w:val="20"/>
                <w:szCs w:val="20"/>
              </w:rPr>
              <w:t xml:space="preserve">.07, </w:t>
            </w:r>
            <w:r w:rsidRPr="005A7B83">
              <w:rPr>
                <w:rStyle w:val="Emphasis"/>
                <w:sz w:val="20"/>
                <w:szCs w:val="20"/>
              </w:rPr>
              <w:t>p</w:t>
            </w:r>
            <w:r w:rsidRPr="005A7B83">
              <w:rPr>
                <w:sz w:val="20"/>
                <w:szCs w:val="20"/>
              </w:rPr>
              <w:t xml:space="preserve"> = 0.928</w:t>
            </w:r>
          </w:p>
        </w:tc>
      </w:tr>
      <w:tr w:rsidR="007217B8" w:rsidRPr="0007710C" w14:paraId="737BA9F4" w14:textId="77777777" w:rsidTr="001A0763">
        <w:tc>
          <w:tcPr>
            <w:tcW w:w="1014" w:type="pct"/>
            <w:shd w:val="clear" w:color="auto" w:fill="D9E2F3" w:themeFill="accent1" w:themeFillTint="33"/>
          </w:tcPr>
          <w:p w14:paraId="2D073935" w14:textId="77777777" w:rsidR="007217B8" w:rsidRPr="005A7B83" w:rsidRDefault="007217B8" w:rsidP="001A0763">
            <w:pPr>
              <w:jc w:val="center"/>
              <w:rPr>
                <w:sz w:val="20"/>
                <w:szCs w:val="20"/>
              </w:rPr>
            </w:pPr>
            <w:r w:rsidRPr="005A7B83">
              <w:rPr>
                <w:sz w:val="20"/>
                <w:szCs w:val="20"/>
              </w:rPr>
              <w:t>Negative Symptoms</w:t>
            </w:r>
          </w:p>
        </w:tc>
        <w:tc>
          <w:tcPr>
            <w:tcW w:w="920" w:type="pct"/>
            <w:shd w:val="clear" w:color="auto" w:fill="D9E2F3" w:themeFill="accent1" w:themeFillTint="33"/>
          </w:tcPr>
          <w:p w14:paraId="092A6FFD" w14:textId="77777777" w:rsidR="007217B8" w:rsidRPr="005A7B83" w:rsidRDefault="007217B8" w:rsidP="001A0763">
            <w:pPr>
              <w:jc w:val="center"/>
              <w:rPr>
                <w:sz w:val="20"/>
                <w:szCs w:val="20"/>
              </w:rPr>
            </w:pPr>
            <w:r w:rsidRPr="005A7B83">
              <w:rPr>
                <w:sz w:val="20"/>
                <w:szCs w:val="20"/>
              </w:rPr>
              <w:t>17.11 (5.90)</w:t>
            </w:r>
          </w:p>
        </w:tc>
        <w:tc>
          <w:tcPr>
            <w:tcW w:w="511" w:type="pct"/>
            <w:shd w:val="clear" w:color="auto" w:fill="D9E2F3" w:themeFill="accent1" w:themeFillTint="33"/>
          </w:tcPr>
          <w:p w14:paraId="3C16E632" w14:textId="77777777" w:rsidR="007217B8" w:rsidRPr="005A7B83" w:rsidRDefault="007217B8" w:rsidP="001A0763">
            <w:pPr>
              <w:jc w:val="center"/>
              <w:rPr>
                <w:sz w:val="20"/>
                <w:szCs w:val="20"/>
              </w:rPr>
            </w:pPr>
            <w:r w:rsidRPr="005A7B83">
              <w:rPr>
                <w:sz w:val="20"/>
                <w:szCs w:val="20"/>
              </w:rPr>
              <w:t>16.95 (6.08)</w:t>
            </w:r>
          </w:p>
        </w:tc>
        <w:tc>
          <w:tcPr>
            <w:tcW w:w="787" w:type="pct"/>
            <w:shd w:val="clear" w:color="auto" w:fill="D9E2F3" w:themeFill="accent1" w:themeFillTint="33"/>
          </w:tcPr>
          <w:p w14:paraId="5589E939" w14:textId="77777777" w:rsidR="007217B8" w:rsidRPr="005A7B83" w:rsidRDefault="007217B8" w:rsidP="001A0763">
            <w:pPr>
              <w:jc w:val="center"/>
              <w:rPr>
                <w:sz w:val="20"/>
                <w:szCs w:val="20"/>
              </w:rPr>
            </w:pPr>
            <w:r w:rsidRPr="005A7B83">
              <w:rPr>
                <w:sz w:val="20"/>
                <w:szCs w:val="20"/>
              </w:rPr>
              <w:t>18.07 (6.25)</w:t>
            </w:r>
          </w:p>
        </w:tc>
        <w:tc>
          <w:tcPr>
            <w:tcW w:w="1768" w:type="pct"/>
            <w:shd w:val="clear" w:color="auto" w:fill="D9E2F3" w:themeFill="accent1" w:themeFillTint="33"/>
          </w:tcPr>
          <w:p w14:paraId="26C5207A" w14:textId="77777777" w:rsidR="007217B8" w:rsidRPr="005A7B83" w:rsidRDefault="007217B8" w:rsidP="001A0763">
            <w:pPr>
              <w:jc w:val="center"/>
              <w:rPr>
                <w:sz w:val="20"/>
                <w:szCs w:val="20"/>
              </w:rPr>
            </w:pPr>
            <w:r w:rsidRPr="005A7B83">
              <w:rPr>
                <w:sz w:val="20"/>
                <w:szCs w:val="20"/>
              </w:rPr>
              <w:t xml:space="preserve">F (2, 156) = </w:t>
            </w:r>
            <w:r>
              <w:rPr>
                <w:sz w:val="20"/>
                <w:szCs w:val="20"/>
              </w:rPr>
              <w:t>0</w:t>
            </w:r>
            <w:r w:rsidRPr="005A7B83">
              <w:rPr>
                <w:sz w:val="20"/>
                <w:szCs w:val="20"/>
              </w:rPr>
              <w:t>.52,</w:t>
            </w:r>
            <w:r w:rsidRPr="005A7B83">
              <w:rPr>
                <w:rStyle w:val="Emphasis"/>
                <w:sz w:val="20"/>
                <w:szCs w:val="20"/>
              </w:rPr>
              <w:t xml:space="preserve"> p</w:t>
            </w:r>
            <w:r w:rsidRPr="005A7B83">
              <w:rPr>
                <w:sz w:val="20"/>
                <w:szCs w:val="20"/>
              </w:rPr>
              <w:t xml:space="preserve"> = 0.592</w:t>
            </w:r>
          </w:p>
        </w:tc>
      </w:tr>
      <w:tr w:rsidR="007217B8" w:rsidRPr="0007710C" w14:paraId="4769B3BB" w14:textId="77777777" w:rsidTr="001A0763">
        <w:tc>
          <w:tcPr>
            <w:tcW w:w="1014" w:type="pct"/>
            <w:tcBorders>
              <w:bottom w:val="nil"/>
            </w:tcBorders>
          </w:tcPr>
          <w:p w14:paraId="6A33FA56" w14:textId="77777777" w:rsidR="007217B8" w:rsidRPr="005A7B83" w:rsidRDefault="007217B8" w:rsidP="001A0763">
            <w:pPr>
              <w:jc w:val="center"/>
              <w:rPr>
                <w:sz w:val="20"/>
                <w:szCs w:val="20"/>
              </w:rPr>
            </w:pPr>
            <w:r w:rsidRPr="005A7B83">
              <w:rPr>
                <w:sz w:val="20"/>
                <w:szCs w:val="20"/>
              </w:rPr>
              <w:t>General Symptoms</w:t>
            </w:r>
          </w:p>
        </w:tc>
        <w:tc>
          <w:tcPr>
            <w:tcW w:w="920" w:type="pct"/>
            <w:tcBorders>
              <w:bottom w:val="nil"/>
            </w:tcBorders>
          </w:tcPr>
          <w:p w14:paraId="6717A974" w14:textId="77777777" w:rsidR="007217B8" w:rsidRPr="005A7B83" w:rsidRDefault="007217B8" w:rsidP="001A0763">
            <w:pPr>
              <w:jc w:val="center"/>
              <w:rPr>
                <w:sz w:val="20"/>
                <w:szCs w:val="20"/>
              </w:rPr>
            </w:pPr>
            <w:r w:rsidRPr="005A7B83">
              <w:rPr>
                <w:sz w:val="20"/>
                <w:szCs w:val="20"/>
              </w:rPr>
              <w:t>33.16 (6.96)</w:t>
            </w:r>
          </w:p>
        </w:tc>
        <w:tc>
          <w:tcPr>
            <w:tcW w:w="511" w:type="pct"/>
            <w:tcBorders>
              <w:bottom w:val="nil"/>
            </w:tcBorders>
          </w:tcPr>
          <w:p w14:paraId="11CCBCC8" w14:textId="77777777" w:rsidR="007217B8" w:rsidRPr="005A7B83" w:rsidRDefault="007217B8" w:rsidP="001A0763">
            <w:pPr>
              <w:jc w:val="center"/>
              <w:rPr>
                <w:sz w:val="20"/>
                <w:szCs w:val="20"/>
              </w:rPr>
            </w:pPr>
            <w:r w:rsidRPr="005A7B83">
              <w:rPr>
                <w:sz w:val="20"/>
                <w:szCs w:val="20"/>
              </w:rPr>
              <w:t>33.75 (8.51)</w:t>
            </w:r>
          </w:p>
        </w:tc>
        <w:tc>
          <w:tcPr>
            <w:tcW w:w="787" w:type="pct"/>
            <w:tcBorders>
              <w:bottom w:val="nil"/>
            </w:tcBorders>
          </w:tcPr>
          <w:p w14:paraId="7672FEDF" w14:textId="77777777" w:rsidR="007217B8" w:rsidRPr="005A7B83" w:rsidRDefault="007217B8" w:rsidP="001A0763">
            <w:pPr>
              <w:jc w:val="center"/>
              <w:rPr>
                <w:sz w:val="20"/>
                <w:szCs w:val="20"/>
              </w:rPr>
            </w:pPr>
            <w:r w:rsidRPr="005A7B83">
              <w:rPr>
                <w:sz w:val="20"/>
                <w:szCs w:val="20"/>
              </w:rPr>
              <w:t>24.58 (7.19)</w:t>
            </w:r>
          </w:p>
        </w:tc>
        <w:tc>
          <w:tcPr>
            <w:tcW w:w="1768" w:type="pct"/>
          </w:tcPr>
          <w:p w14:paraId="34A8B663" w14:textId="77777777" w:rsidR="007217B8" w:rsidRPr="005A7B83" w:rsidRDefault="007217B8" w:rsidP="001A0763">
            <w:pPr>
              <w:jc w:val="center"/>
              <w:rPr>
                <w:sz w:val="20"/>
                <w:szCs w:val="20"/>
              </w:rPr>
            </w:pPr>
            <w:r w:rsidRPr="005A7B83">
              <w:rPr>
                <w:sz w:val="20"/>
                <w:szCs w:val="20"/>
              </w:rPr>
              <w:t xml:space="preserve">F (2, 156) = </w:t>
            </w:r>
            <w:r>
              <w:rPr>
                <w:sz w:val="20"/>
                <w:szCs w:val="20"/>
              </w:rPr>
              <w:t>0</w:t>
            </w:r>
            <w:r w:rsidRPr="005A7B83">
              <w:rPr>
                <w:sz w:val="20"/>
                <w:szCs w:val="20"/>
              </w:rPr>
              <w:t xml:space="preserve">.66, </w:t>
            </w:r>
            <w:r w:rsidRPr="005A7B83">
              <w:rPr>
                <w:rStyle w:val="Emphasis"/>
                <w:sz w:val="20"/>
                <w:szCs w:val="20"/>
              </w:rPr>
              <w:t>p</w:t>
            </w:r>
            <w:r w:rsidRPr="005A7B83">
              <w:rPr>
                <w:sz w:val="20"/>
                <w:szCs w:val="20"/>
                <w:shd w:val="clear" w:color="auto" w:fill="FFFFFF"/>
              </w:rPr>
              <w:t xml:space="preserve"> </w:t>
            </w:r>
            <w:r w:rsidRPr="005A7B83">
              <w:rPr>
                <w:sz w:val="20"/>
                <w:szCs w:val="20"/>
              </w:rPr>
              <w:t>= 0.662</w:t>
            </w:r>
          </w:p>
        </w:tc>
      </w:tr>
      <w:tr w:rsidR="007217B8" w:rsidRPr="0007710C" w14:paraId="60304BC3" w14:textId="77777777" w:rsidTr="001A0763">
        <w:tc>
          <w:tcPr>
            <w:tcW w:w="1014" w:type="pct"/>
            <w:tcBorders>
              <w:top w:val="nil"/>
              <w:bottom w:val="nil"/>
            </w:tcBorders>
            <w:shd w:val="clear" w:color="auto" w:fill="D9E2F3" w:themeFill="accent1" w:themeFillTint="33"/>
          </w:tcPr>
          <w:p w14:paraId="3D20D684" w14:textId="77777777" w:rsidR="007217B8" w:rsidRPr="005A7B83" w:rsidRDefault="007217B8" w:rsidP="001A0763">
            <w:pPr>
              <w:jc w:val="center"/>
              <w:rPr>
                <w:sz w:val="20"/>
                <w:szCs w:val="20"/>
              </w:rPr>
            </w:pPr>
            <w:r w:rsidRPr="005A7B83">
              <w:rPr>
                <w:sz w:val="20"/>
                <w:szCs w:val="20"/>
              </w:rPr>
              <w:t>Total Symptoms</w:t>
            </w:r>
          </w:p>
        </w:tc>
        <w:tc>
          <w:tcPr>
            <w:tcW w:w="920" w:type="pct"/>
            <w:tcBorders>
              <w:top w:val="nil"/>
              <w:bottom w:val="nil"/>
            </w:tcBorders>
            <w:shd w:val="clear" w:color="auto" w:fill="D9E2F3" w:themeFill="accent1" w:themeFillTint="33"/>
          </w:tcPr>
          <w:p w14:paraId="2FD247AB" w14:textId="77777777" w:rsidR="007217B8" w:rsidRPr="005A7B83" w:rsidRDefault="007217B8" w:rsidP="001A0763">
            <w:pPr>
              <w:jc w:val="center"/>
              <w:rPr>
                <w:sz w:val="20"/>
                <w:szCs w:val="20"/>
              </w:rPr>
            </w:pPr>
            <w:r w:rsidRPr="005A7B83">
              <w:rPr>
                <w:sz w:val="20"/>
                <w:szCs w:val="20"/>
              </w:rPr>
              <w:t>66.69 (13.19)</w:t>
            </w:r>
          </w:p>
        </w:tc>
        <w:tc>
          <w:tcPr>
            <w:tcW w:w="511" w:type="pct"/>
            <w:tcBorders>
              <w:top w:val="nil"/>
              <w:bottom w:val="nil"/>
            </w:tcBorders>
            <w:shd w:val="clear" w:color="auto" w:fill="D9E2F3" w:themeFill="accent1" w:themeFillTint="33"/>
          </w:tcPr>
          <w:p w14:paraId="31142A10" w14:textId="77777777" w:rsidR="007217B8" w:rsidRPr="005A7B83" w:rsidRDefault="007217B8" w:rsidP="001A0763">
            <w:pPr>
              <w:jc w:val="center"/>
              <w:rPr>
                <w:sz w:val="20"/>
                <w:szCs w:val="20"/>
              </w:rPr>
            </w:pPr>
            <w:r w:rsidRPr="005A7B83">
              <w:rPr>
                <w:sz w:val="20"/>
                <w:szCs w:val="20"/>
              </w:rPr>
              <w:t>67.44 (15.89)</w:t>
            </w:r>
          </w:p>
        </w:tc>
        <w:tc>
          <w:tcPr>
            <w:tcW w:w="787" w:type="pct"/>
            <w:tcBorders>
              <w:top w:val="nil"/>
              <w:bottom w:val="nil"/>
            </w:tcBorders>
            <w:shd w:val="clear" w:color="auto" w:fill="D9E2F3" w:themeFill="accent1" w:themeFillTint="33"/>
          </w:tcPr>
          <w:p w14:paraId="6D9E7177" w14:textId="77777777" w:rsidR="007217B8" w:rsidRPr="005A7B83" w:rsidRDefault="007217B8" w:rsidP="001A0763">
            <w:pPr>
              <w:jc w:val="center"/>
              <w:rPr>
                <w:sz w:val="20"/>
                <w:szCs w:val="20"/>
              </w:rPr>
            </w:pPr>
            <w:r w:rsidRPr="005A7B83">
              <w:rPr>
                <w:sz w:val="20"/>
                <w:szCs w:val="20"/>
              </w:rPr>
              <w:t>69.09 (14.17)</w:t>
            </w:r>
          </w:p>
        </w:tc>
        <w:tc>
          <w:tcPr>
            <w:tcW w:w="1768" w:type="pct"/>
            <w:shd w:val="clear" w:color="auto" w:fill="D9E2F3" w:themeFill="accent1" w:themeFillTint="33"/>
          </w:tcPr>
          <w:p w14:paraId="7273D145" w14:textId="77777777" w:rsidR="007217B8" w:rsidRPr="005A7B83" w:rsidRDefault="007217B8" w:rsidP="001A0763">
            <w:pPr>
              <w:jc w:val="center"/>
              <w:rPr>
                <w:sz w:val="20"/>
                <w:szCs w:val="20"/>
              </w:rPr>
            </w:pPr>
            <w:r w:rsidRPr="005A7B83">
              <w:rPr>
                <w:sz w:val="20"/>
                <w:szCs w:val="20"/>
              </w:rPr>
              <w:t xml:space="preserve">F (2,156) = </w:t>
            </w:r>
            <w:r>
              <w:rPr>
                <w:sz w:val="20"/>
                <w:szCs w:val="20"/>
              </w:rPr>
              <w:t>0</w:t>
            </w:r>
            <w:r w:rsidRPr="005A7B83">
              <w:rPr>
                <w:sz w:val="20"/>
                <w:szCs w:val="20"/>
              </w:rPr>
              <w:t xml:space="preserve">.41, </w:t>
            </w:r>
            <w:r w:rsidRPr="005A7B83">
              <w:rPr>
                <w:rStyle w:val="Emphasis"/>
                <w:sz w:val="20"/>
                <w:szCs w:val="20"/>
              </w:rPr>
              <w:t>p</w:t>
            </w:r>
            <w:r w:rsidRPr="005A7B83">
              <w:rPr>
                <w:sz w:val="20"/>
                <w:szCs w:val="20"/>
              </w:rPr>
              <w:t xml:space="preserve"> = 0.714</w:t>
            </w:r>
          </w:p>
        </w:tc>
      </w:tr>
      <w:tr w:rsidR="007217B8" w:rsidRPr="0007710C" w14:paraId="185C1557" w14:textId="77777777" w:rsidTr="001A0763">
        <w:tc>
          <w:tcPr>
            <w:tcW w:w="1014" w:type="pct"/>
            <w:tcBorders>
              <w:top w:val="nil"/>
              <w:bottom w:val="nil"/>
            </w:tcBorders>
          </w:tcPr>
          <w:p w14:paraId="37D74FE2" w14:textId="77777777" w:rsidR="007217B8" w:rsidRPr="005A7B83" w:rsidRDefault="007217B8" w:rsidP="001A0763">
            <w:pPr>
              <w:jc w:val="center"/>
              <w:rPr>
                <w:sz w:val="20"/>
                <w:szCs w:val="20"/>
              </w:rPr>
            </w:pPr>
            <w:r w:rsidRPr="005A7B83">
              <w:rPr>
                <w:sz w:val="20"/>
                <w:szCs w:val="20"/>
              </w:rPr>
              <w:t>Calgary Depression</w:t>
            </w:r>
          </w:p>
        </w:tc>
        <w:tc>
          <w:tcPr>
            <w:tcW w:w="920" w:type="pct"/>
            <w:tcBorders>
              <w:top w:val="nil"/>
              <w:bottom w:val="nil"/>
            </w:tcBorders>
          </w:tcPr>
          <w:p w14:paraId="5A2054FC" w14:textId="77777777" w:rsidR="007217B8" w:rsidRPr="005A7B83" w:rsidRDefault="007217B8" w:rsidP="001A0763">
            <w:pPr>
              <w:jc w:val="center"/>
              <w:rPr>
                <w:sz w:val="20"/>
                <w:szCs w:val="20"/>
              </w:rPr>
            </w:pPr>
            <w:r w:rsidRPr="005A7B83">
              <w:rPr>
                <w:sz w:val="20"/>
                <w:szCs w:val="20"/>
              </w:rPr>
              <w:t>5.65 (4.69)</w:t>
            </w:r>
          </w:p>
        </w:tc>
        <w:tc>
          <w:tcPr>
            <w:tcW w:w="511" w:type="pct"/>
            <w:tcBorders>
              <w:top w:val="nil"/>
              <w:bottom w:val="nil"/>
            </w:tcBorders>
          </w:tcPr>
          <w:p w14:paraId="2569371E" w14:textId="77777777" w:rsidR="007217B8" w:rsidRPr="005A7B83" w:rsidRDefault="007217B8" w:rsidP="001A0763">
            <w:pPr>
              <w:jc w:val="center"/>
              <w:rPr>
                <w:sz w:val="20"/>
                <w:szCs w:val="20"/>
              </w:rPr>
            </w:pPr>
            <w:r w:rsidRPr="005A7B83">
              <w:rPr>
                <w:sz w:val="20"/>
                <w:szCs w:val="20"/>
              </w:rPr>
              <w:t>5.04 (4.14)</w:t>
            </w:r>
          </w:p>
        </w:tc>
        <w:tc>
          <w:tcPr>
            <w:tcW w:w="787" w:type="pct"/>
            <w:tcBorders>
              <w:top w:val="nil"/>
              <w:bottom w:val="nil"/>
            </w:tcBorders>
          </w:tcPr>
          <w:p w14:paraId="50743F22" w14:textId="77777777" w:rsidR="007217B8" w:rsidRPr="005A7B83" w:rsidRDefault="007217B8" w:rsidP="001A0763">
            <w:pPr>
              <w:jc w:val="center"/>
              <w:rPr>
                <w:sz w:val="20"/>
                <w:szCs w:val="20"/>
              </w:rPr>
            </w:pPr>
            <w:r w:rsidRPr="005A7B83">
              <w:rPr>
                <w:sz w:val="20"/>
                <w:szCs w:val="20"/>
              </w:rPr>
              <w:t>4.27 (4.52)</w:t>
            </w:r>
          </w:p>
        </w:tc>
        <w:tc>
          <w:tcPr>
            <w:tcW w:w="1768" w:type="pct"/>
          </w:tcPr>
          <w:p w14:paraId="16A6CEE6" w14:textId="77777777" w:rsidR="007217B8" w:rsidRPr="005A7B83" w:rsidRDefault="007217B8" w:rsidP="001A0763">
            <w:pPr>
              <w:jc w:val="center"/>
              <w:rPr>
                <w:sz w:val="20"/>
                <w:szCs w:val="20"/>
              </w:rPr>
            </w:pPr>
            <w:r w:rsidRPr="005A7B83">
              <w:rPr>
                <w:sz w:val="20"/>
                <w:szCs w:val="20"/>
              </w:rPr>
              <w:t xml:space="preserve">F (2, 156) = 2.85, </w:t>
            </w:r>
            <w:r w:rsidRPr="005A7B83">
              <w:rPr>
                <w:rStyle w:val="Emphasis"/>
                <w:sz w:val="20"/>
                <w:szCs w:val="20"/>
              </w:rPr>
              <w:t>p</w:t>
            </w:r>
            <w:r w:rsidRPr="005A7B83">
              <w:rPr>
                <w:sz w:val="20"/>
                <w:szCs w:val="20"/>
                <w:shd w:val="clear" w:color="auto" w:fill="FFFFFF"/>
              </w:rPr>
              <w:t xml:space="preserve"> </w:t>
            </w:r>
            <w:r w:rsidRPr="005A7B83">
              <w:rPr>
                <w:sz w:val="20"/>
                <w:szCs w:val="20"/>
              </w:rPr>
              <w:t>= 0.240</w:t>
            </w:r>
          </w:p>
        </w:tc>
      </w:tr>
      <w:tr w:rsidR="007217B8" w:rsidRPr="0007710C" w14:paraId="01C50BF7" w14:textId="77777777" w:rsidTr="001A0763">
        <w:tc>
          <w:tcPr>
            <w:tcW w:w="1014" w:type="pct"/>
            <w:tcBorders>
              <w:top w:val="nil"/>
              <w:bottom w:val="single" w:sz="4" w:space="0" w:color="auto"/>
            </w:tcBorders>
          </w:tcPr>
          <w:p w14:paraId="1FAB5E88" w14:textId="77777777" w:rsidR="007217B8" w:rsidRPr="005A7B83" w:rsidRDefault="007217B8" w:rsidP="001A0763">
            <w:pPr>
              <w:jc w:val="center"/>
              <w:rPr>
                <w:sz w:val="20"/>
                <w:szCs w:val="20"/>
              </w:rPr>
            </w:pPr>
          </w:p>
        </w:tc>
        <w:tc>
          <w:tcPr>
            <w:tcW w:w="920" w:type="pct"/>
            <w:tcBorders>
              <w:top w:val="nil"/>
              <w:bottom w:val="single" w:sz="4" w:space="0" w:color="auto"/>
            </w:tcBorders>
          </w:tcPr>
          <w:p w14:paraId="0C565C87" w14:textId="77777777" w:rsidR="007217B8" w:rsidRPr="005A7B83" w:rsidRDefault="007217B8" w:rsidP="001A0763">
            <w:pPr>
              <w:jc w:val="center"/>
              <w:rPr>
                <w:sz w:val="20"/>
                <w:szCs w:val="20"/>
              </w:rPr>
            </w:pPr>
          </w:p>
        </w:tc>
        <w:tc>
          <w:tcPr>
            <w:tcW w:w="511" w:type="pct"/>
            <w:tcBorders>
              <w:top w:val="nil"/>
              <w:bottom w:val="single" w:sz="4" w:space="0" w:color="auto"/>
            </w:tcBorders>
          </w:tcPr>
          <w:p w14:paraId="682867B4" w14:textId="77777777" w:rsidR="007217B8" w:rsidRPr="005A7B83" w:rsidRDefault="007217B8" w:rsidP="001A0763">
            <w:pPr>
              <w:jc w:val="center"/>
              <w:rPr>
                <w:sz w:val="20"/>
                <w:szCs w:val="20"/>
              </w:rPr>
            </w:pPr>
          </w:p>
        </w:tc>
        <w:tc>
          <w:tcPr>
            <w:tcW w:w="787" w:type="pct"/>
            <w:tcBorders>
              <w:top w:val="nil"/>
              <w:bottom w:val="single" w:sz="4" w:space="0" w:color="auto"/>
            </w:tcBorders>
          </w:tcPr>
          <w:p w14:paraId="711F5B39" w14:textId="77777777" w:rsidR="007217B8" w:rsidRPr="005A7B83" w:rsidRDefault="007217B8" w:rsidP="001A0763">
            <w:pPr>
              <w:jc w:val="center"/>
              <w:rPr>
                <w:sz w:val="20"/>
                <w:szCs w:val="20"/>
              </w:rPr>
            </w:pPr>
          </w:p>
        </w:tc>
        <w:tc>
          <w:tcPr>
            <w:tcW w:w="1768" w:type="pct"/>
          </w:tcPr>
          <w:p w14:paraId="5AFB9D0E" w14:textId="77777777" w:rsidR="007217B8" w:rsidRPr="005A7B83" w:rsidRDefault="007217B8" w:rsidP="001A0763">
            <w:pPr>
              <w:jc w:val="center"/>
              <w:rPr>
                <w:sz w:val="20"/>
                <w:szCs w:val="20"/>
              </w:rPr>
            </w:pPr>
          </w:p>
        </w:tc>
      </w:tr>
      <w:tr w:rsidR="007217B8" w:rsidRPr="0007710C" w14:paraId="69046B95" w14:textId="77777777" w:rsidTr="001A0763">
        <w:tc>
          <w:tcPr>
            <w:tcW w:w="1014" w:type="pct"/>
            <w:tcBorders>
              <w:top w:val="single" w:sz="4" w:space="0" w:color="auto"/>
            </w:tcBorders>
          </w:tcPr>
          <w:p w14:paraId="7F68A917" w14:textId="77777777" w:rsidR="007217B8" w:rsidRPr="005A7B83" w:rsidRDefault="007217B8" w:rsidP="001A0763">
            <w:pPr>
              <w:jc w:val="center"/>
              <w:rPr>
                <w:sz w:val="20"/>
                <w:szCs w:val="20"/>
              </w:rPr>
            </w:pPr>
          </w:p>
        </w:tc>
        <w:tc>
          <w:tcPr>
            <w:tcW w:w="920" w:type="pct"/>
            <w:tcBorders>
              <w:top w:val="single" w:sz="4" w:space="0" w:color="auto"/>
            </w:tcBorders>
          </w:tcPr>
          <w:p w14:paraId="6D2BD78F" w14:textId="77777777" w:rsidR="007217B8" w:rsidRPr="005A7B83" w:rsidRDefault="007217B8" w:rsidP="001A0763">
            <w:pPr>
              <w:jc w:val="center"/>
              <w:rPr>
                <w:sz w:val="20"/>
                <w:szCs w:val="20"/>
              </w:rPr>
            </w:pPr>
          </w:p>
        </w:tc>
        <w:tc>
          <w:tcPr>
            <w:tcW w:w="511" w:type="pct"/>
            <w:tcBorders>
              <w:top w:val="single" w:sz="4" w:space="0" w:color="auto"/>
            </w:tcBorders>
          </w:tcPr>
          <w:p w14:paraId="45F971A0" w14:textId="77777777" w:rsidR="007217B8" w:rsidRPr="005A7B83" w:rsidRDefault="007217B8" w:rsidP="001A0763">
            <w:pPr>
              <w:jc w:val="center"/>
              <w:rPr>
                <w:sz w:val="20"/>
                <w:szCs w:val="20"/>
              </w:rPr>
            </w:pPr>
          </w:p>
        </w:tc>
        <w:tc>
          <w:tcPr>
            <w:tcW w:w="787" w:type="pct"/>
            <w:tcBorders>
              <w:top w:val="single" w:sz="4" w:space="0" w:color="auto"/>
            </w:tcBorders>
          </w:tcPr>
          <w:p w14:paraId="0D88D787" w14:textId="77777777" w:rsidR="007217B8" w:rsidRPr="005A7B83" w:rsidRDefault="007217B8" w:rsidP="001A0763">
            <w:pPr>
              <w:jc w:val="center"/>
              <w:rPr>
                <w:sz w:val="20"/>
                <w:szCs w:val="20"/>
              </w:rPr>
            </w:pPr>
          </w:p>
        </w:tc>
        <w:tc>
          <w:tcPr>
            <w:tcW w:w="1768" w:type="pct"/>
          </w:tcPr>
          <w:p w14:paraId="55C105B2" w14:textId="77777777" w:rsidR="007217B8" w:rsidRPr="005A7B83" w:rsidRDefault="007217B8" w:rsidP="001A0763">
            <w:pPr>
              <w:jc w:val="center"/>
              <w:rPr>
                <w:sz w:val="20"/>
                <w:szCs w:val="20"/>
              </w:rPr>
            </w:pPr>
          </w:p>
        </w:tc>
      </w:tr>
      <w:tr w:rsidR="007217B8" w:rsidRPr="0007710C" w14:paraId="10168D3E" w14:textId="77777777" w:rsidTr="001A0763">
        <w:tc>
          <w:tcPr>
            <w:tcW w:w="1014" w:type="pct"/>
          </w:tcPr>
          <w:p w14:paraId="69A01EE0" w14:textId="77777777" w:rsidR="007217B8" w:rsidRPr="005A7B83" w:rsidRDefault="007217B8" w:rsidP="001A0763">
            <w:pPr>
              <w:jc w:val="center"/>
              <w:rPr>
                <w:sz w:val="20"/>
                <w:szCs w:val="20"/>
              </w:rPr>
            </w:pPr>
            <w:r w:rsidRPr="005A7B83">
              <w:rPr>
                <w:sz w:val="20"/>
                <w:szCs w:val="20"/>
              </w:rPr>
              <w:t>Social Withdrawal</w:t>
            </w:r>
          </w:p>
        </w:tc>
        <w:tc>
          <w:tcPr>
            <w:tcW w:w="920" w:type="pct"/>
          </w:tcPr>
          <w:p w14:paraId="3ECD58DB" w14:textId="77777777" w:rsidR="007217B8" w:rsidRPr="005A7B83" w:rsidRDefault="007217B8" w:rsidP="001A0763">
            <w:pPr>
              <w:jc w:val="center"/>
              <w:rPr>
                <w:sz w:val="20"/>
                <w:szCs w:val="20"/>
              </w:rPr>
            </w:pPr>
            <w:r w:rsidRPr="005A7B83">
              <w:rPr>
                <w:sz w:val="20"/>
                <w:szCs w:val="20"/>
              </w:rPr>
              <w:t>105.09 (12.57)</w:t>
            </w:r>
          </w:p>
        </w:tc>
        <w:tc>
          <w:tcPr>
            <w:tcW w:w="511" w:type="pct"/>
          </w:tcPr>
          <w:p w14:paraId="66D6AF76" w14:textId="77777777" w:rsidR="007217B8" w:rsidRPr="005A7B83" w:rsidRDefault="007217B8" w:rsidP="001A0763">
            <w:pPr>
              <w:jc w:val="center"/>
              <w:rPr>
                <w:sz w:val="20"/>
                <w:szCs w:val="20"/>
              </w:rPr>
            </w:pPr>
            <w:r w:rsidRPr="005A7B83">
              <w:rPr>
                <w:sz w:val="20"/>
                <w:szCs w:val="20"/>
              </w:rPr>
              <w:t>104.18 (14.66)</w:t>
            </w:r>
          </w:p>
        </w:tc>
        <w:tc>
          <w:tcPr>
            <w:tcW w:w="787" w:type="pct"/>
          </w:tcPr>
          <w:p w14:paraId="55161CE7" w14:textId="77777777" w:rsidR="007217B8" w:rsidRPr="005A7B83" w:rsidRDefault="007217B8" w:rsidP="001A0763">
            <w:pPr>
              <w:jc w:val="center"/>
              <w:rPr>
                <w:sz w:val="20"/>
                <w:szCs w:val="20"/>
              </w:rPr>
            </w:pPr>
            <w:r w:rsidRPr="005A7B83">
              <w:rPr>
                <w:sz w:val="20"/>
                <w:szCs w:val="20"/>
              </w:rPr>
              <w:t>100.83 (14.53)</w:t>
            </w:r>
          </w:p>
        </w:tc>
        <w:tc>
          <w:tcPr>
            <w:tcW w:w="1768" w:type="pct"/>
          </w:tcPr>
          <w:p w14:paraId="4C5FBE5B" w14:textId="77777777" w:rsidR="007217B8" w:rsidRPr="005A7B83" w:rsidRDefault="007217B8" w:rsidP="001A0763">
            <w:pPr>
              <w:jc w:val="center"/>
              <w:rPr>
                <w:sz w:val="20"/>
                <w:szCs w:val="20"/>
              </w:rPr>
            </w:pPr>
            <w:r w:rsidRPr="005A7B83">
              <w:rPr>
                <w:sz w:val="20"/>
                <w:szCs w:val="20"/>
              </w:rPr>
              <w:t>F (2, 156) = 1.06,</w:t>
            </w:r>
            <w:r w:rsidRPr="005A7B83">
              <w:rPr>
                <w:rStyle w:val="Emphasis"/>
                <w:sz w:val="20"/>
                <w:szCs w:val="20"/>
              </w:rPr>
              <w:t xml:space="preserve"> p</w:t>
            </w:r>
            <w:r w:rsidRPr="005A7B83">
              <w:rPr>
                <w:sz w:val="20"/>
                <w:szCs w:val="20"/>
              </w:rPr>
              <w:t xml:space="preserve"> = 0.348</w:t>
            </w:r>
          </w:p>
        </w:tc>
      </w:tr>
      <w:tr w:rsidR="007217B8" w:rsidRPr="0007710C" w14:paraId="2B0E4606" w14:textId="77777777" w:rsidTr="001A0763">
        <w:tc>
          <w:tcPr>
            <w:tcW w:w="1014" w:type="pct"/>
            <w:shd w:val="clear" w:color="auto" w:fill="D9E2F3" w:themeFill="accent1" w:themeFillTint="33"/>
          </w:tcPr>
          <w:p w14:paraId="4C353161" w14:textId="77777777" w:rsidR="007217B8" w:rsidRPr="005A7B83" w:rsidRDefault="007217B8" w:rsidP="001A0763">
            <w:pPr>
              <w:jc w:val="center"/>
              <w:rPr>
                <w:sz w:val="20"/>
                <w:szCs w:val="20"/>
              </w:rPr>
            </w:pPr>
            <w:r w:rsidRPr="005A7B83">
              <w:rPr>
                <w:sz w:val="20"/>
                <w:szCs w:val="20"/>
              </w:rPr>
              <w:t>Relationships</w:t>
            </w:r>
          </w:p>
        </w:tc>
        <w:tc>
          <w:tcPr>
            <w:tcW w:w="920" w:type="pct"/>
            <w:shd w:val="clear" w:color="auto" w:fill="D9E2F3" w:themeFill="accent1" w:themeFillTint="33"/>
          </w:tcPr>
          <w:p w14:paraId="2FB4365F" w14:textId="77777777" w:rsidR="007217B8" w:rsidRPr="005A7B83" w:rsidRDefault="007217B8" w:rsidP="001A0763">
            <w:pPr>
              <w:jc w:val="center"/>
              <w:rPr>
                <w:sz w:val="20"/>
                <w:szCs w:val="20"/>
              </w:rPr>
            </w:pPr>
            <w:r w:rsidRPr="005A7B83">
              <w:rPr>
                <w:sz w:val="20"/>
                <w:szCs w:val="20"/>
              </w:rPr>
              <w:t>117.05 (17.19)</w:t>
            </w:r>
          </w:p>
        </w:tc>
        <w:tc>
          <w:tcPr>
            <w:tcW w:w="511" w:type="pct"/>
            <w:shd w:val="clear" w:color="auto" w:fill="D9E2F3" w:themeFill="accent1" w:themeFillTint="33"/>
          </w:tcPr>
          <w:p w14:paraId="2F96B613" w14:textId="77777777" w:rsidR="007217B8" w:rsidRPr="005A7B83" w:rsidRDefault="007217B8" w:rsidP="001A0763">
            <w:pPr>
              <w:jc w:val="center"/>
              <w:rPr>
                <w:sz w:val="20"/>
                <w:szCs w:val="20"/>
              </w:rPr>
            </w:pPr>
            <w:r w:rsidRPr="005A7B83">
              <w:rPr>
                <w:sz w:val="20"/>
                <w:szCs w:val="20"/>
              </w:rPr>
              <w:t>114.16 (18.91)</w:t>
            </w:r>
          </w:p>
        </w:tc>
        <w:tc>
          <w:tcPr>
            <w:tcW w:w="787" w:type="pct"/>
            <w:shd w:val="clear" w:color="auto" w:fill="D9E2F3" w:themeFill="accent1" w:themeFillTint="33"/>
          </w:tcPr>
          <w:p w14:paraId="43D3CF65" w14:textId="77777777" w:rsidR="007217B8" w:rsidRPr="005A7B83" w:rsidRDefault="007217B8" w:rsidP="001A0763">
            <w:pPr>
              <w:jc w:val="center"/>
              <w:rPr>
                <w:sz w:val="20"/>
                <w:szCs w:val="20"/>
              </w:rPr>
            </w:pPr>
            <w:r w:rsidRPr="005A7B83">
              <w:rPr>
                <w:sz w:val="20"/>
                <w:szCs w:val="20"/>
              </w:rPr>
              <w:t>110.02 (14.61)</w:t>
            </w:r>
          </w:p>
        </w:tc>
        <w:tc>
          <w:tcPr>
            <w:tcW w:w="1768" w:type="pct"/>
            <w:shd w:val="clear" w:color="auto" w:fill="D9E2F3" w:themeFill="accent1" w:themeFillTint="33"/>
          </w:tcPr>
          <w:p w14:paraId="2FC81D06" w14:textId="77777777" w:rsidR="007217B8" w:rsidRPr="005A7B83" w:rsidRDefault="007217B8" w:rsidP="001A0763">
            <w:pPr>
              <w:jc w:val="center"/>
              <w:rPr>
                <w:sz w:val="20"/>
                <w:szCs w:val="20"/>
              </w:rPr>
            </w:pPr>
            <w:r w:rsidRPr="005A7B83">
              <w:rPr>
                <w:sz w:val="20"/>
                <w:szCs w:val="20"/>
              </w:rPr>
              <w:t xml:space="preserve">F (2, 156) = 1.38, </w:t>
            </w:r>
            <w:r w:rsidRPr="005A7B83">
              <w:rPr>
                <w:rStyle w:val="Emphasis"/>
                <w:sz w:val="20"/>
                <w:szCs w:val="20"/>
              </w:rPr>
              <w:t>p</w:t>
            </w:r>
            <w:r w:rsidRPr="005A7B83">
              <w:rPr>
                <w:sz w:val="20"/>
                <w:szCs w:val="20"/>
              </w:rPr>
              <w:t xml:space="preserve"> = 0.254</w:t>
            </w:r>
          </w:p>
        </w:tc>
      </w:tr>
      <w:tr w:rsidR="007217B8" w:rsidRPr="0007710C" w14:paraId="2BE7338F" w14:textId="77777777" w:rsidTr="001A0763">
        <w:tc>
          <w:tcPr>
            <w:tcW w:w="1014" w:type="pct"/>
          </w:tcPr>
          <w:p w14:paraId="5DA11BA9" w14:textId="77777777" w:rsidR="007217B8" w:rsidRPr="005A7B83" w:rsidRDefault="007217B8" w:rsidP="001A0763">
            <w:pPr>
              <w:jc w:val="center"/>
              <w:rPr>
                <w:sz w:val="20"/>
                <w:szCs w:val="20"/>
              </w:rPr>
            </w:pPr>
            <w:r w:rsidRPr="005A7B83">
              <w:rPr>
                <w:sz w:val="20"/>
                <w:szCs w:val="20"/>
              </w:rPr>
              <w:t xml:space="preserve">Independence Performance </w:t>
            </w:r>
          </w:p>
        </w:tc>
        <w:tc>
          <w:tcPr>
            <w:tcW w:w="920" w:type="pct"/>
          </w:tcPr>
          <w:p w14:paraId="08AF072D" w14:textId="77777777" w:rsidR="007217B8" w:rsidRPr="005A7B83" w:rsidRDefault="007217B8" w:rsidP="001A0763">
            <w:pPr>
              <w:jc w:val="center"/>
              <w:rPr>
                <w:sz w:val="20"/>
                <w:szCs w:val="20"/>
              </w:rPr>
            </w:pPr>
            <w:r w:rsidRPr="005A7B83">
              <w:rPr>
                <w:sz w:val="20"/>
                <w:szCs w:val="20"/>
              </w:rPr>
              <w:t>105.16 (13.01)</w:t>
            </w:r>
          </w:p>
        </w:tc>
        <w:tc>
          <w:tcPr>
            <w:tcW w:w="511" w:type="pct"/>
          </w:tcPr>
          <w:p w14:paraId="3DB30896" w14:textId="77777777" w:rsidR="007217B8" w:rsidRPr="005A7B83" w:rsidRDefault="007217B8" w:rsidP="001A0763">
            <w:pPr>
              <w:jc w:val="center"/>
              <w:rPr>
                <w:sz w:val="20"/>
                <w:szCs w:val="20"/>
              </w:rPr>
            </w:pPr>
            <w:r w:rsidRPr="005A7B83">
              <w:rPr>
                <w:sz w:val="20"/>
                <w:szCs w:val="20"/>
              </w:rPr>
              <w:t>103.12 (12.96)</w:t>
            </w:r>
          </w:p>
        </w:tc>
        <w:tc>
          <w:tcPr>
            <w:tcW w:w="787" w:type="pct"/>
          </w:tcPr>
          <w:p w14:paraId="185D4806" w14:textId="77777777" w:rsidR="007217B8" w:rsidRPr="005A7B83" w:rsidRDefault="007217B8" w:rsidP="001A0763">
            <w:pPr>
              <w:jc w:val="center"/>
              <w:rPr>
                <w:sz w:val="20"/>
                <w:szCs w:val="20"/>
              </w:rPr>
            </w:pPr>
            <w:r w:rsidRPr="005A7B83">
              <w:rPr>
                <w:sz w:val="20"/>
                <w:szCs w:val="20"/>
              </w:rPr>
              <w:t>105.17 (12.91)</w:t>
            </w:r>
          </w:p>
        </w:tc>
        <w:tc>
          <w:tcPr>
            <w:tcW w:w="1768" w:type="pct"/>
          </w:tcPr>
          <w:p w14:paraId="4DA0C660" w14:textId="77777777" w:rsidR="007217B8" w:rsidRPr="005A7B83" w:rsidRDefault="007217B8" w:rsidP="001A0763">
            <w:pPr>
              <w:jc w:val="center"/>
              <w:rPr>
                <w:sz w:val="20"/>
                <w:szCs w:val="20"/>
              </w:rPr>
            </w:pPr>
            <w:r w:rsidRPr="005A7B83">
              <w:rPr>
                <w:sz w:val="20"/>
                <w:szCs w:val="20"/>
              </w:rPr>
              <w:t xml:space="preserve">F (2, 156) = </w:t>
            </w:r>
            <w:r>
              <w:rPr>
                <w:sz w:val="20"/>
                <w:szCs w:val="20"/>
              </w:rPr>
              <w:t>0</w:t>
            </w:r>
            <w:r w:rsidRPr="005A7B83">
              <w:rPr>
                <w:sz w:val="20"/>
                <w:szCs w:val="20"/>
              </w:rPr>
              <w:t xml:space="preserve">.47, </w:t>
            </w:r>
            <w:r w:rsidRPr="005A7B83">
              <w:rPr>
                <w:rStyle w:val="Emphasis"/>
                <w:sz w:val="20"/>
                <w:szCs w:val="20"/>
              </w:rPr>
              <w:t>p</w:t>
            </w:r>
            <w:r w:rsidRPr="005A7B83">
              <w:rPr>
                <w:sz w:val="20"/>
                <w:szCs w:val="20"/>
              </w:rPr>
              <w:t xml:space="preserve"> = 0.621</w:t>
            </w:r>
          </w:p>
        </w:tc>
      </w:tr>
      <w:tr w:rsidR="007217B8" w:rsidRPr="0007710C" w14:paraId="08BE7659" w14:textId="77777777" w:rsidTr="001A0763">
        <w:tc>
          <w:tcPr>
            <w:tcW w:w="1014" w:type="pct"/>
            <w:shd w:val="clear" w:color="auto" w:fill="D9E2F3" w:themeFill="accent1" w:themeFillTint="33"/>
          </w:tcPr>
          <w:p w14:paraId="5FB1B0E4" w14:textId="77777777" w:rsidR="007217B8" w:rsidRPr="005A7B83" w:rsidRDefault="007217B8" w:rsidP="001A0763">
            <w:pPr>
              <w:jc w:val="center"/>
              <w:rPr>
                <w:sz w:val="20"/>
                <w:szCs w:val="20"/>
              </w:rPr>
            </w:pPr>
            <w:r w:rsidRPr="005A7B83">
              <w:rPr>
                <w:sz w:val="20"/>
                <w:szCs w:val="20"/>
              </w:rPr>
              <w:t>Recreation</w:t>
            </w:r>
          </w:p>
        </w:tc>
        <w:tc>
          <w:tcPr>
            <w:tcW w:w="920" w:type="pct"/>
            <w:shd w:val="clear" w:color="auto" w:fill="D9E2F3" w:themeFill="accent1" w:themeFillTint="33"/>
          </w:tcPr>
          <w:p w14:paraId="3EDC00A8" w14:textId="77777777" w:rsidR="007217B8" w:rsidRPr="005A7B83" w:rsidRDefault="007217B8" w:rsidP="001A0763">
            <w:pPr>
              <w:jc w:val="center"/>
              <w:rPr>
                <w:sz w:val="20"/>
                <w:szCs w:val="20"/>
              </w:rPr>
            </w:pPr>
            <w:r w:rsidRPr="005A7B83">
              <w:rPr>
                <w:sz w:val="20"/>
                <w:szCs w:val="20"/>
              </w:rPr>
              <w:t>108.27 (18.72)</w:t>
            </w:r>
          </w:p>
        </w:tc>
        <w:tc>
          <w:tcPr>
            <w:tcW w:w="511" w:type="pct"/>
            <w:shd w:val="clear" w:color="auto" w:fill="D9E2F3" w:themeFill="accent1" w:themeFillTint="33"/>
          </w:tcPr>
          <w:p w14:paraId="1912011A" w14:textId="77777777" w:rsidR="007217B8" w:rsidRPr="005A7B83" w:rsidRDefault="007217B8" w:rsidP="001A0763">
            <w:pPr>
              <w:jc w:val="center"/>
              <w:rPr>
                <w:sz w:val="20"/>
                <w:szCs w:val="20"/>
              </w:rPr>
            </w:pPr>
            <w:r w:rsidRPr="005A7B83">
              <w:rPr>
                <w:sz w:val="20"/>
                <w:szCs w:val="20"/>
              </w:rPr>
              <w:t>105.88 (16.06)</w:t>
            </w:r>
          </w:p>
        </w:tc>
        <w:tc>
          <w:tcPr>
            <w:tcW w:w="787" w:type="pct"/>
            <w:shd w:val="clear" w:color="auto" w:fill="D9E2F3" w:themeFill="accent1" w:themeFillTint="33"/>
          </w:tcPr>
          <w:p w14:paraId="62C114A4" w14:textId="77777777" w:rsidR="007217B8" w:rsidRPr="005A7B83" w:rsidRDefault="007217B8" w:rsidP="001A0763">
            <w:pPr>
              <w:jc w:val="center"/>
              <w:rPr>
                <w:sz w:val="20"/>
                <w:szCs w:val="20"/>
              </w:rPr>
            </w:pPr>
            <w:r w:rsidRPr="005A7B83">
              <w:rPr>
                <w:sz w:val="20"/>
                <w:szCs w:val="20"/>
              </w:rPr>
              <w:t>104.84 (16.02)</w:t>
            </w:r>
          </w:p>
        </w:tc>
        <w:tc>
          <w:tcPr>
            <w:tcW w:w="1768" w:type="pct"/>
            <w:shd w:val="clear" w:color="auto" w:fill="D9E2F3" w:themeFill="accent1" w:themeFillTint="33"/>
          </w:tcPr>
          <w:p w14:paraId="2441BB62" w14:textId="77777777" w:rsidR="007217B8" w:rsidRPr="005A7B83" w:rsidRDefault="007217B8" w:rsidP="001A0763">
            <w:pPr>
              <w:jc w:val="center"/>
              <w:rPr>
                <w:sz w:val="20"/>
                <w:szCs w:val="20"/>
              </w:rPr>
            </w:pPr>
            <w:r w:rsidRPr="005A7B83">
              <w:rPr>
                <w:sz w:val="20"/>
                <w:szCs w:val="20"/>
              </w:rPr>
              <w:t xml:space="preserve">F (2, 156) = </w:t>
            </w:r>
            <w:r>
              <w:rPr>
                <w:sz w:val="20"/>
                <w:szCs w:val="20"/>
              </w:rPr>
              <w:t>0</w:t>
            </w:r>
            <w:r w:rsidRPr="005A7B83">
              <w:rPr>
                <w:sz w:val="20"/>
                <w:szCs w:val="20"/>
              </w:rPr>
              <w:t xml:space="preserve">.63, </w:t>
            </w:r>
            <w:r w:rsidRPr="005A7B83">
              <w:rPr>
                <w:rStyle w:val="Emphasis"/>
                <w:sz w:val="20"/>
                <w:szCs w:val="20"/>
              </w:rPr>
              <w:t xml:space="preserve">p </w:t>
            </w:r>
            <w:r w:rsidRPr="005A7B83">
              <w:rPr>
                <w:sz w:val="20"/>
                <w:szCs w:val="20"/>
              </w:rPr>
              <w:t>= 0.533</w:t>
            </w:r>
          </w:p>
        </w:tc>
      </w:tr>
      <w:tr w:rsidR="007217B8" w:rsidRPr="0007710C" w14:paraId="70B896F4" w14:textId="77777777" w:rsidTr="001A0763">
        <w:tc>
          <w:tcPr>
            <w:tcW w:w="1014" w:type="pct"/>
          </w:tcPr>
          <w:p w14:paraId="0DCEDC59" w14:textId="77777777" w:rsidR="007217B8" w:rsidRPr="005A7B83" w:rsidRDefault="007217B8" w:rsidP="001A0763">
            <w:pPr>
              <w:jc w:val="center"/>
              <w:rPr>
                <w:sz w:val="20"/>
                <w:szCs w:val="20"/>
              </w:rPr>
            </w:pPr>
            <w:r w:rsidRPr="005A7B83">
              <w:rPr>
                <w:sz w:val="20"/>
                <w:szCs w:val="20"/>
              </w:rPr>
              <w:t>Prosocial</w:t>
            </w:r>
          </w:p>
        </w:tc>
        <w:tc>
          <w:tcPr>
            <w:tcW w:w="920" w:type="pct"/>
          </w:tcPr>
          <w:p w14:paraId="53E7F5A8" w14:textId="77777777" w:rsidR="007217B8" w:rsidRPr="005A7B83" w:rsidRDefault="007217B8" w:rsidP="001A0763">
            <w:pPr>
              <w:jc w:val="center"/>
              <w:rPr>
                <w:sz w:val="20"/>
                <w:szCs w:val="20"/>
              </w:rPr>
            </w:pPr>
            <w:r w:rsidRPr="005A7B83">
              <w:rPr>
                <w:sz w:val="20"/>
                <w:szCs w:val="20"/>
              </w:rPr>
              <w:t>110.08 (14.03)</w:t>
            </w:r>
          </w:p>
        </w:tc>
        <w:tc>
          <w:tcPr>
            <w:tcW w:w="511" w:type="pct"/>
          </w:tcPr>
          <w:p w14:paraId="04C81822" w14:textId="77777777" w:rsidR="007217B8" w:rsidRPr="005A7B83" w:rsidRDefault="007217B8" w:rsidP="001A0763">
            <w:pPr>
              <w:jc w:val="center"/>
              <w:rPr>
                <w:sz w:val="20"/>
                <w:szCs w:val="20"/>
              </w:rPr>
            </w:pPr>
            <w:r w:rsidRPr="005A7B83">
              <w:rPr>
                <w:sz w:val="20"/>
                <w:szCs w:val="20"/>
              </w:rPr>
              <w:t>104.55 (16.87)</w:t>
            </w:r>
          </w:p>
        </w:tc>
        <w:tc>
          <w:tcPr>
            <w:tcW w:w="787" w:type="pct"/>
          </w:tcPr>
          <w:p w14:paraId="0B528BA0" w14:textId="77777777" w:rsidR="007217B8" w:rsidRPr="005A7B83" w:rsidRDefault="007217B8" w:rsidP="001A0763">
            <w:pPr>
              <w:jc w:val="center"/>
              <w:rPr>
                <w:sz w:val="20"/>
                <w:szCs w:val="20"/>
              </w:rPr>
            </w:pPr>
            <w:r w:rsidRPr="005A7B83">
              <w:rPr>
                <w:sz w:val="20"/>
                <w:szCs w:val="20"/>
              </w:rPr>
              <w:t>109.64 (16.50)</w:t>
            </w:r>
          </w:p>
        </w:tc>
        <w:tc>
          <w:tcPr>
            <w:tcW w:w="1768" w:type="pct"/>
          </w:tcPr>
          <w:p w14:paraId="78C3203C" w14:textId="77777777" w:rsidR="007217B8" w:rsidRPr="005A7B83" w:rsidRDefault="007217B8" w:rsidP="001A0763">
            <w:pPr>
              <w:jc w:val="center"/>
              <w:rPr>
                <w:sz w:val="20"/>
                <w:szCs w:val="20"/>
              </w:rPr>
            </w:pPr>
            <w:r w:rsidRPr="005A7B83">
              <w:rPr>
                <w:sz w:val="20"/>
                <w:szCs w:val="20"/>
              </w:rPr>
              <w:t xml:space="preserve">F (2, 156) = 2.79, </w:t>
            </w:r>
            <w:r w:rsidRPr="005A7B83">
              <w:rPr>
                <w:rStyle w:val="Emphasis"/>
                <w:sz w:val="20"/>
                <w:szCs w:val="20"/>
              </w:rPr>
              <w:t>p</w:t>
            </w:r>
            <w:r w:rsidRPr="005A7B83">
              <w:rPr>
                <w:sz w:val="20"/>
                <w:szCs w:val="20"/>
                <w:shd w:val="clear" w:color="auto" w:fill="FFFFFF"/>
              </w:rPr>
              <w:t xml:space="preserve"> </w:t>
            </w:r>
            <w:r w:rsidRPr="005A7B83">
              <w:rPr>
                <w:sz w:val="20"/>
                <w:szCs w:val="20"/>
              </w:rPr>
              <w:t>= 0.064</w:t>
            </w:r>
          </w:p>
        </w:tc>
      </w:tr>
      <w:tr w:rsidR="007217B8" w:rsidRPr="0007710C" w14:paraId="64EF5234" w14:textId="77777777" w:rsidTr="001A0763">
        <w:tc>
          <w:tcPr>
            <w:tcW w:w="1014" w:type="pct"/>
            <w:shd w:val="clear" w:color="auto" w:fill="D9E2F3" w:themeFill="accent1" w:themeFillTint="33"/>
          </w:tcPr>
          <w:p w14:paraId="748403E7" w14:textId="77777777" w:rsidR="007217B8" w:rsidRPr="005A7B83" w:rsidRDefault="007217B8" w:rsidP="001A0763">
            <w:pPr>
              <w:jc w:val="center"/>
              <w:rPr>
                <w:sz w:val="20"/>
                <w:szCs w:val="20"/>
              </w:rPr>
            </w:pPr>
            <w:r w:rsidRPr="005A7B83">
              <w:rPr>
                <w:sz w:val="20"/>
                <w:szCs w:val="20"/>
              </w:rPr>
              <w:t>Independence Competence</w:t>
            </w:r>
          </w:p>
        </w:tc>
        <w:tc>
          <w:tcPr>
            <w:tcW w:w="920" w:type="pct"/>
            <w:shd w:val="clear" w:color="auto" w:fill="D9E2F3" w:themeFill="accent1" w:themeFillTint="33"/>
          </w:tcPr>
          <w:p w14:paraId="0796991A" w14:textId="77777777" w:rsidR="007217B8" w:rsidRPr="005A7B83" w:rsidRDefault="007217B8" w:rsidP="001A0763">
            <w:pPr>
              <w:jc w:val="center"/>
              <w:rPr>
                <w:sz w:val="20"/>
                <w:szCs w:val="20"/>
              </w:rPr>
            </w:pPr>
            <w:r w:rsidRPr="005A7B83">
              <w:rPr>
                <w:sz w:val="20"/>
                <w:szCs w:val="20"/>
              </w:rPr>
              <w:t>111.21 (12.40)</w:t>
            </w:r>
          </w:p>
        </w:tc>
        <w:tc>
          <w:tcPr>
            <w:tcW w:w="511" w:type="pct"/>
            <w:shd w:val="clear" w:color="auto" w:fill="D9E2F3" w:themeFill="accent1" w:themeFillTint="33"/>
          </w:tcPr>
          <w:p w14:paraId="377C2861" w14:textId="77777777" w:rsidR="007217B8" w:rsidRPr="005A7B83" w:rsidRDefault="007217B8" w:rsidP="001A0763">
            <w:pPr>
              <w:jc w:val="center"/>
              <w:rPr>
                <w:sz w:val="20"/>
                <w:szCs w:val="20"/>
              </w:rPr>
            </w:pPr>
            <w:r w:rsidRPr="005A7B83">
              <w:rPr>
                <w:sz w:val="20"/>
                <w:szCs w:val="20"/>
              </w:rPr>
              <w:t>109.10 (11.30)</w:t>
            </w:r>
          </w:p>
        </w:tc>
        <w:tc>
          <w:tcPr>
            <w:tcW w:w="787" w:type="pct"/>
            <w:shd w:val="clear" w:color="auto" w:fill="D9E2F3" w:themeFill="accent1" w:themeFillTint="33"/>
          </w:tcPr>
          <w:p w14:paraId="3125D1FA" w14:textId="77777777" w:rsidR="007217B8" w:rsidRPr="005A7B83" w:rsidRDefault="007217B8" w:rsidP="001A0763">
            <w:pPr>
              <w:jc w:val="center"/>
              <w:rPr>
                <w:sz w:val="20"/>
                <w:szCs w:val="20"/>
              </w:rPr>
            </w:pPr>
            <w:r w:rsidRPr="005A7B83">
              <w:rPr>
                <w:sz w:val="20"/>
                <w:szCs w:val="20"/>
              </w:rPr>
              <w:t>107.05 (13.35)</w:t>
            </w:r>
          </w:p>
        </w:tc>
        <w:tc>
          <w:tcPr>
            <w:tcW w:w="1768" w:type="pct"/>
            <w:shd w:val="clear" w:color="auto" w:fill="D9E2F3" w:themeFill="accent1" w:themeFillTint="33"/>
          </w:tcPr>
          <w:p w14:paraId="12F53B44" w14:textId="77777777" w:rsidR="007217B8" w:rsidRPr="005A7B83" w:rsidRDefault="007217B8" w:rsidP="001A0763">
            <w:pPr>
              <w:jc w:val="center"/>
              <w:rPr>
                <w:sz w:val="20"/>
                <w:szCs w:val="20"/>
              </w:rPr>
            </w:pPr>
            <w:r w:rsidRPr="005A7B83">
              <w:rPr>
                <w:sz w:val="20"/>
                <w:szCs w:val="20"/>
              </w:rPr>
              <w:t xml:space="preserve">F (2, 155) = 1.17, </w:t>
            </w:r>
            <w:r w:rsidRPr="005A7B83">
              <w:rPr>
                <w:rStyle w:val="Emphasis"/>
                <w:sz w:val="20"/>
                <w:szCs w:val="20"/>
              </w:rPr>
              <w:t xml:space="preserve">p </w:t>
            </w:r>
            <w:r w:rsidRPr="005A7B83">
              <w:rPr>
                <w:sz w:val="20"/>
                <w:szCs w:val="20"/>
              </w:rPr>
              <w:t>= 0.312</w:t>
            </w:r>
          </w:p>
        </w:tc>
      </w:tr>
      <w:tr w:rsidR="007217B8" w:rsidRPr="0007710C" w14:paraId="199FC5BC" w14:textId="77777777" w:rsidTr="001A0763">
        <w:tc>
          <w:tcPr>
            <w:tcW w:w="1014" w:type="pct"/>
          </w:tcPr>
          <w:p w14:paraId="4C317F10" w14:textId="77777777" w:rsidR="007217B8" w:rsidRPr="005A7B83" w:rsidRDefault="007217B8" w:rsidP="001A0763">
            <w:pPr>
              <w:jc w:val="center"/>
              <w:rPr>
                <w:sz w:val="20"/>
                <w:szCs w:val="20"/>
              </w:rPr>
            </w:pPr>
            <w:r w:rsidRPr="005A7B83">
              <w:rPr>
                <w:sz w:val="20"/>
                <w:szCs w:val="20"/>
              </w:rPr>
              <w:t>Employment</w:t>
            </w:r>
          </w:p>
        </w:tc>
        <w:tc>
          <w:tcPr>
            <w:tcW w:w="920" w:type="pct"/>
          </w:tcPr>
          <w:p w14:paraId="21E4716A" w14:textId="77777777" w:rsidR="007217B8" w:rsidRPr="005A7B83" w:rsidRDefault="007217B8" w:rsidP="001A0763">
            <w:pPr>
              <w:jc w:val="center"/>
              <w:rPr>
                <w:sz w:val="20"/>
                <w:szCs w:val="20"/>
              </w:rPr>
            </w:pPr>
            <w:r w:rsidRPr="005A7B83">
              <w:rPr>
                <w:sz w:val="20"/>
                <w:szCs w:val="20"/>
              </w:rPr>
              <w:t>107.56 (11.22)</w:t>
            </w:r>
          </w:p>
        </w:tc>
        <w:tc>
          <w:tcPr>
            <w:tcW w:w="511" w:type="pct"/>
          </w:tcPr>
          <w:p w14:paraId="53DFB8DD" w14:textId="77777777" w:rsidR="007217B8" w:rsidRPr="005A7B83" w:rsidRDefault="007217B8" w:rsidP="001A0763">
            <w:pPr>
              <w:jc w:val="center"/>
              <w:rPr>
                <w:sz w:val="20"/>
                <w:szCs w:val="20"/>
              </w:rPr>
            </w:pPr>
            <w:r w:rsidRPr="005A7B83">
              <w:rPr>
                <w:sz w:val="20"/>
                <w:szCs w:val="20"/>
              </w:rPr>
              <w:t>102.79 (11.01)</w:t>
            </w:r>
          </w:p>
        </w:tc>
        <w:tc>
          <w:tcPr>
            <w:tcW w:w="787" w:type="pct"/>
          </w:tcPr>
          <w:p w14:paraId="48C3C975" w14:textId="77777777" w:rsidR="007217B8" w:rsidRPr="005A7B83" w:rsidRDefault="007217B8" w:rsidP="001A0763">
            <w:pPr>
              <w:jc w:val="center"/>
              <w:rPr>
                <w:sz w:val="20"/>
                <w:szCs w:val="20"/>
              </w:rPr>
            </w:pPr>
            <w:r w:rsidRPr="005A7B83">
              <w:rPr>
                <w:sz w:val="20"/>
                <w:szCs w:val="20"/>
              </w:rPr>
              <w:t>102.92 (9.71)</w:t>
            </w:r>
          </w:p>
        </w:tc>
        <w:tc>
          <w:tcPr>
            <w:tcW w:w="1768" w:type="pct"/>
          </w:tcPr>
          <w:p w14:paraId="1A1458CF" w14:textId="77777777" w:rsidR="007217B8" w:rsidRPr="005A7B83" w:rsidRDefault="007217B8" w:rsidP="001A0763">
            <w:pPr>
              <w:jc w:val="center"/>
              <w:rPr>
                <w:sz w:val="20"/>
                <w:szCs w:val="20"/>
              </w:rPr>
            </w:pPr>
            <w:r w:rsidRPr="005A7B83">
              <w:rPr>
                <w:sz w:val="20"/>
                <w:szCs w:val="20"/>
              </w:rPr>
              <w:t xml:space="preserve">F (2, 156) = 3.86, </w:t>
            </w:r>
            <w:r w:rsidRPr="005A7B83">
              <w:rPr>
                <w:rStyle w:val="Emphasis"/>
                <w:sz w:val="20"/>
                <w:szCs w:val="20"/>
              </w:rPr>
              <w:t>p</w:t>
            </w:r>
            <w:r w:rsidRPr="005A7B83">
              <w:rPr>
                <w:sz w:val="20"/>
                <w:szCs w:val="20"/>
                <w:shd w:val="clear" w:color="auto" w:fill="FFFFFF"/>
              </w:rPr>
              <w:t xml:space="preserve"> </w:t>
            </w:r>
            <w:r w:rsidRPr="005A7B83">
              <w:rPr>
                <w:sz w:val="20"/>
                <w:szCs w:val="20"/>
              </w:rPr>
              <w:t>= 0.023</w:t>
            </w:r>
            <w:r w:rsidRPr="005F4A33">
              <w:rPr>
                <w:vertAlign w:val="superscript"/>
              </w:rPr>
              <w:t>a</w:t>
            </w:r>
          </w:p>
        </w:tc>
      </w:tr>
      <w:tr w:rsidR="007217B8" w:rsidRPr="0007710C" w14:paraId="2B9FC48B" w14:textId="77777777" w:rsidTr="001A0763">
        <w:tc>
          <w:tcPr>
            <w:tcW w:w="1014" w:type="pct"/>
            <w:shd w:val="clear" w:color="auto" w:fill="D9E2F3" w:themeFill="accent1" w:themeFillTint="33"/>
          </w:tcPr>
          <w:p w14:paraId="21716A2E" w14:textId="77777777" w:rsidR="007217B8" w:rsidRPr="001B4E67" w:rsidRDefault="007217B8" w:rsidP="001A0763">
            <w:pPr>
              <w:jc w:val="center"/>
              <w:rPr>
                <w:sz w:val="20"/>
                <w:szCs w:val="20"/>
              </w:rPr>
            </w:pPr>
            <w:r w:rsidRPr="001B4E67">
              <w:rPr>
                <w:sz w:val="20"/>
                <w:szCs w:val="20"/>
              </w:rPr>
              <w:t>SFS Total</w:t>
            </w:r>
          </w:p>
        </w:tc>
        <w:tc>
          <w:tcPr>
            <w:tcW w:w="920" w:type="pct"/>
            <w:shd w:val="clear" w:color="auto" w:fill="D9E2F3" w:themeFill="accent1" w:themeFillTint="33"/>
          </w:tcPr>
          <w:p w14:paraId="170338FC" w14:textId="77777777" w:rsidR="007217B8" w:rsidRPr="001B4E67" w:rsidRDefault="007217B8" w:rsidP="001A0763">
            <w:pPr>
              <w:jc w:val="center"/>
              <w:rPr>
                <w:sz w:val="20"/>
                <w:szCs w:val="20"/>
              </w:rPr>
            </w:pPr>
            <w:r w:rsidRPr="001B4E67">
              <w:rPr>
                <w:sz w:val="20"/>
                <w:szCs w:val="20"/>
              </w:rPr>
              <w:t>109.20 (9.88)</w:t>
            </w:r>
          </w:p>
        </w:tc>
        <w:tc>
          <w:tcPr>
            <w:tcW w:w="511" w:type="pct"/>
            <w:shd w:val="clear" w:color="auto" w:fill="D9E2F3" w:themeFill="accent1" w:themeFillTint="33"/>
          </w:tcPr>
          <w:p w14:paraId="71ADDFF4" w14:textId="77777777" w:rsidR="007217B8" w:rsidRPr="001B4E67" w:rsidRDefault="007217B8" w:rsidP="001A0763">
            <w:pPr>
              <w:jc w:val="center"/>
              <w:rPr>
                <w:sz w:val="20"/>
                <w:szCs w:val="20"/>
              </w:rPr>
            </w:pPr>
            <w:r w:rsidRPr="001B4E67">
              <w:rPr>
                <w:sz w:val="20"/>
                <w:szCs w:val="20"/>
              </w:rPr>
              <w:t>105.95 (9.74)</w:t>
            </w:r>
          </w:p>
        </w:tc>
        <w:tc>
          <w:tcPr>
            <w:tcW w:w="787" w:type="pct"/>
            <w:shd w:val="clear" w:color="auto" w:fill="D9E2F3" w:themeFill="accent1" w:themeFillTint="33"/>
          </w:tcPr>
          <w:p w14:paraId="36758DA0" w14:textId="77777777" w:rsidR="007217B8" w:rsidRPr="001B4E67" w:rsidRDefault="007217B8" w:rsidP="001A0763">
            <w:pPr>
              <w:jc w:val="center"/>
              <w:rPr>
                <w:sz w:val="20"/>
                <w:szCs w:val="20"/>
              </w:rPr>
            </w:pPr>
            <w:r w:rsidRPr="001B4E67">
              <w:rPr>
                <w:sz w:val="20"/>
                <w:szCs w:val="20"/>
              </w:rPr>
              <w:t>105.92 (9.31)</w:t>
            </w:r>
          </w:p>
        </w:tc>
        <w:tc>
          <w:tcPr>
            <w:tcW w:w="1768" w:type="pct"/>
            <w:shd w:val="clear" w:color="auto" w:fill="D9E2F3" w:themeFill="accent1" w:themeFillTint="33"/>
          </w:tcPr>
          <w:p w14:paraId="56C701E0" w14:textId="77777777" w:rsidR="007217B8" w:rsidRPr="001B4E67" w:rsidRDefault="007217B8" w:rsidP="001A0763">
            <w:pPr>
              <w:jc w:val="center"/>
              <w:rPr>
                <w:sz w:val="20"/>
                <w:szCs w:val="20"/>
              </w:rPr>
            </w:pPr>
            <w:r w:rsidRPr="001B4E67">
              <w:rPr>
                <w:sz w:val="20"/>
                <w:szCs w:val="20"/>
              </w:rPr>
              <w:t>F (2, 155) = 2.05,</w:t>
            </w:r>
            <w:r w:rsidRPr="001B4E67">
              <w:rPr>
                <w:rStyle w:val="Emphasis"/>
                <w:sz w:val="20"/>
                <w:szCs w:val="20"/>
              </w:rPr>
              <w:t xml:space="preserve"> p </w:t>
            </w:r>
            <w:r w:rsidRPr="001B4E67">
              <w:rPr>
                <w:sz w:val="20"/>
                <w:szCs w:val="20"/>
              </w:rPr>
              <w:t>= 0.132</w:t>
            </w:r>
          </w:p>
        </w:tc>
      </w:tr>
      <w:tr w:rsidR="007217B8" w:rsidRPr="0007710C" w14:paraId="0ABA3DCB" w14:textId="77777777" w:rsidTr="001A0763">
        <w:tc>
          <w:tcPr>
            <w:tcW w:w="1014" w:type="pct"/>
          </w:tcPr>
          <w:p w14:paraId="2B43DDFE" w14:textId="77777777" w:rsidR="007217B8" w:rsidRPr="005A7B83" w:rsidRDefault="007217B8" w:rsidP="001A0763">
            <w:pPr>
              <w:jc w:val="center"/>
              <w:rPr>
                <w:sz w:val="20"/>
                <w:szCs w:val="20"/>
              </w:rPr>
            </w:pPr>
            <w:r w:rsidRPr="005A7B83">
              <w:rPr>
                <w:sz w:val="20"/>
                <w:szCs w:val="20"/>
              </w:rPr>
              <w:t>GAF</w:t>
            </w:r>
          </w:p>
        </w:tc>
        <w:tc>
          <w:tcPr>
            <w:tcW w:w="920" w:type="pct"/>
          </w:tcPr>
          <w:p w14:paraId="65A8166A" w14:textId="77777777" w:rsidR="007217B8" w:rsidRPr="005A7B83" w:rsidRDefault="007217B8" w:rsidP="001A0763">
            <w:pPr>
              <w:jc w:val="center"/>
              <w:rPr>
                <w:sz w:val="20"/>
                <w:szCs w:val="20"/>
              </w:rPr>
            </w:pPr>
            <w:r w:rsidRPr="005A7B83">
              <w:rPr>
                <w:sz w:val="20"/>
                <w:szCs w:val="20"/>
              </w:rPr>
              <w:t>56.98 (10.52)</w:t>
            </w:r>
          </w:p>
        </w:tc>
        <w:tc>
          <w:tcPr>
            <w:tcW w:w="511" w:type="pct"/>
          </w:tcPr>
          <w:p w14:paraId="7C70C2BC" w14:textId="77777777" w:rsidR="007217B8" w:rsidRPr="005A7B83" w:rsidRDefault="007217B8" w:rsidP="001A0763">
            <w:pPr>
              <w:jc w:val="center"/>
              <w:rPr>
                <w:sz w:val="20"/>
                <w:szCs w:val="20"/>
              </w:rPr>
            </w:pPr>
            <w:r w:rsidRPr="005A7B83">
              <w:rPr>
                <w:sz w:val="20"/>
                <w:szCs w:val="20"/>
              </w:rPr>
              <w:t>55.46 (12.61)</w:t>
            </w:r>
          </w:p>
        </w:tc>
        <w:tc>
          <w:tcPr>
            <w:tcW w:w="787" w:type="pct"/>
            <w:tcBorders>
              <w:bottom w:val="nil"/>
            </w:tcBorders>
          </w:tcPr>
          <w:p w14:paraId="0CEBAB86" w14:textId="77777777" w:rsidR="007217B8" w:rsidRPr="005A7B83" w:rsidRDefault="007217B8" w:rsidP="001A0763">
            <w:pPr>
              <w:jc w:val="center"/>
              <w:rPr>
                <w:sz w:val="20"/>
                <w:szCs w:val="20"/>
              </w:rPr>
            </w:pPr>
            <w:r w:rsidRPr="005A7B83">
              <w:rPr>
                <w:sz w:val="20"/>
                <w:szCs w:val="20"/>
              </w:rPr>
              <w:t>54.77 (7.32)</w:t>
            </w:r>
          </w:p>
        </w:tc>
        <w:tc>
          <w:tcPr>
            <w:tcW w:w="1768" w:type="pct"/>
            <w:tcBorders>
              <w:bottom w:val="nil"/>
            </w:tcBorders>
          </w:tcPr>
          <w:p w14:paraId="481FE5A8" w14:textId="77777777" w:rsidR="007217B8" w:rsidRPr="005A7B83" w:rsidRDefault="007217B8" w:rsidP="001A0763">
            <w:pPr>
              <w:jc w:val="center"/>
              <w:rPr>
                <w:sz w:val="20"/>
                <w:szCs w:val="20"/>
              </w:rPr>
            </w:pPr>
            <w:r w:rsidRPr="005A7B83">
              <w:rPr>
                <w:sz w:val="20"/>
                <w:szCs w:val="20"/>
              </w:rPr>
              <w:t xml:space="preserve">F (2, 157) = </w:t>
            </w:r>
            <w:r>
              <w:rPr>
                <w:sz w:val="20"/>
                <w:szCs w:val="20"/>
              </w:rPr>
              <w:t>0</w:t>
            </w:r>
            <w:r w:rsidRPr="005A7B83">
              <w:rPr>
                <w:sz w:val="20"/>
                <w:szCs w:val="20"/>
              </w:rPr>
              <w:t xml:space="preserve">.57, </w:t>
            </w:r>
            <w:r w:rsidRPr="005A7B83">
              <w:rPr>
                <w:rStyle w:val="Emphasis"/>
                <w:sz w:val="20"/>
                <w:szCs w:val="20"/>
              </w:rPr>
              <w:t>p</w:t>
            </w:r>
            <w:r w:rsidRPr="005A7B83">
              <w:rPr>
                <w:sz w:val="20"/>
                <w:szCs w:val="20"/>
                <w:shd w:val="clear" w:color="auto" w:fill="FFFFFF"/>
              </w:rPr>
              <w:t xml:space="preserve"> </w:t>
            </w:r>
            <w:r w:rsidRPr="005A7B83">
              <w:rPr>
                <w:sz w:val="20"/>
                <w:szCs w:val="20"/>
              </w:rPr>
              <w:t>= 0.564</w:t>
            </w:r>
          </w:p>
        </w:tc>
      </w:tr>
      <w:tr w:rsidR="007217B8" w:rsidRPr="0007710C" w14:paraId="3BA9F93A" w14:textId="77777777" w:rsidTr="001A0763">
        <w:tc>
          <w:tcPr>
            <w:tcW w:w="1014" w:type="pct"/>
            <w:tcBorders>
              <w:top w:val="nil"/>
              <w:bottom w:val="single" w:sz="4" w:space="0" w:color="auto"/>
            </w:tcBorders>
          </w:tcPr>
          <w:p w14:paraId="25E14D78" w14:textId="77777777" w:rsidR="007217B8" w:rsidRPr="0007710C" w:rsidRDefault="007217B8" w:rsidP="001A0763">
            <w:pPr>
              <w:jc w:val="center"/>
            </w:pPr>
          </w:p>
        </w:tc>
        <w:tc>
          <w:tcPr>
            <w:tcW w:w="920" w:type="pct"/>
            <w:tcBorders>
              <w:top w:val="nil"/>
              <w:bottom w:val="single" w:sz="4" w:space="0" w:color="auto"/>
            </w:tcBorders>
          </w:tcPr>
          <w:p w14:paraId="4F65BB53" w14:textId="77777777" w:rsidR="007217B8" w:rsidRPr="0007710C" w:rsidRDefault="007217B8" w:rsidP="001A0763">
            <w:pPr>
              <w:jc w:val="center"/>
            </w:pPr>
          </w:p>
        </w:tc>
        <w:tc>
          <w:tcPr>
            <w:tcW w:w="511" w:type="pct"/>
            <w:tcBorders>
              <w:top w:val="nil"/>
              <w:bottom w:val="single" w:sz="4" w:space="0" w:color="auto"/>
            </w:tcBorders>
          </w:tcPr>
          <w:p w14:paraId="0CD04AFA" w14:textId="77777777" w:rsidR="007217B8" w:rsidRPr="0007710C" w:rsidRDefault="007217B8" w:rsidP="001A0763">
            <w:pPr>
              <w:jc w:val="center"/>
            </w:pPr>
          </w:p>
        </w:tc>
        <w:tc>
          <w:tcPr>
            <w:tcW w:w="787" w:type="pct"/>
            <w:tcBorders>
              <w:top w:val="nil"/>
              <w:bottom w:val="single" w:sz="4" w:space="0" w:color="auto"/>
            </w:tcBorders>
          </w:tcPr>
          <w:p w14:paraId="2DD91AE9" w14:textId="77777777" w:rsidR="007217B8" w:rsidRPr="0007710C" w:rsidRDefault="007217B8" w:rsidP="001A0763">
            <w:pPr>
              <w:jc w:val="center"/>
            </w:pPr>
          </w:p>
        </w:tc>
        <w:tc>
          <w:tcPr>
            <w:tcW w:w="1768" w:type="pct"/>
            <w:tcBorders>
              <w:top w:val="nil"/>
              <w:bottom w:val="single" w:sz="4" w:space="0" w:color="auto"/>
            </w:tcBorders>
          </w:tcPr>
          <w:p w14:paraId="7CEA180F" w14:textId="77777777" w:rsidR="007217B8" w:rsidRPr="0007710C" w:rsidRDefault="007217B8" w:rsidP="001A0763">
            <w:pPr>
              <w:jc w:val="center"/>
            </w:pPr>
          </w:p>
        </w:tc>
      </w:tr>
    </w:tbl>
    <w:p w14:paraId="3C0376D3" w14:textId="6BF24D46" w:rsidR="007217B8" w:rsidRDefault="007217B8" w:rsidP="00035C08">
      <w:pPr>
        <w:rPr>
          <w:b/>
          <w:bCs/>
        </w:rPr>
      </w:pPr>
    </w:p>
    <w:p w14:paraId="498B615A" w14:textId="14361835" w:rsidR="007217B8" w:rsidRDefault="007217B8" w:rsidP="00035C08">
      <w:pPr>
        <w:rPr>
          <w:b/>
          <w:bCs/>
        </w:rPr>
      </w:pPr>
    </w:p>
    <w:p w14:paraId="7A4B789A" w14:textId="77777777" w:rsidR="007D4D8A" w:rsidRDefault="007D4D8A" w:rsidP="00035C08">
      <w:pPr>
        <w:rPr>
          <w:b/>
          <w:bCs/>
        </w:rPr>
      </w:pPr>
    </w:p>
    <w:p w14:paraId="61ADB2FD" w14:textId="5FB88D12" w:rsidR="007217B8" w:rsidRDefault="007217B8" w:rsidP="00035C08">
      <w:pPr>
        <w:rPr>
          <w:b/>
          <w:bCs/>
        </w:rPr>
      </w:pPr>
    </w:p>
    <w:p w14:paraId="399BC707" w14:textId="5F535E0C" w:rsidR="007D4D8A" w:rsidRPr="007E6DBE" w:rsidRDefault="007D4D8A" w:rsidP="007D4D8A">
      <w:pPr>
        <w:widowControl w:val="0"/>
        <w:autoSpaceDE w:val="0"/>
        <w:autoSpaceDN w:val="0"/>
        <w:adjustRightInd w:val="0"/>
        <w:rPr>
          <w:rFonts w:cstheme="minorHAnsi"/>
        </w:rPr>
      </w:pPr>
      <w:r w:rsidRPr="007E6DBE">
        <w:rPr>
          <w:rFonts w:cstheme="minorHAnsi"/>
          <w:b/>
        </w:rPr>
        <w:lastRenderedPageBreak/>
        <w:t>Supplementary Table (S3) Results of the Discriminant Function Analysis for Cluster Solution</w:t>
      </w:r>
    </w:p>
    <w:p w14:paraId="282F3A13" w14:textId="77777777" w:rsidR="007D4D8A" w:rsidRPr="007E6DBE" w:rsidRDefault="007D4D8A" w:rsidP="007D4D8A">
      <w:pPr>
        <w:widowControl w:val="0"/>
        <w:autoSpaceDE w:val="0"/>
        <w:autoSpaceDN w:val="0"/>
        <w:adjustRightInd w:val="0"/>
        <w:spacing w:line="400" w:lineRule="atLeast"/>
        <w:rPr>
          <w:rFonts w:cstheme="minorHAnsi"/>
        </w:rPr>
      </w:pPr>
    </w:p>
    <w:tbl>
      <w:tblPr>
        <w:tblW w:w="5000" w:type="pct"/>
        <w:tblBorders>
          <w:top w:val="single" w:sz="8" w:space="0" w:color="000000"/>
          <w:bottom w:val="single" w:sz="8" w:space="0" w:color="000000"/>
        </w:tblBorders>
        <w:tblLook w:val="04A0" w:firstRow="1" w:lastRow="0" w:firstColumn="1" w:lastColumn="0" w:noHBand="0" w:noVBand="1"/>
      </w:tblPr>
      <w:tblGrid>
        <w:gridCol w:w="1435"/>
        <w:gridCol w:w="7300"/>
        <w:gridCol w:w="2024"/>
        <w:gridCol w:w="547"/>
        <w:gridCol w:w="885"/>
        <w:gridCol w:w="885"/>
        <w:gridCol w:w="882"/>
      </w:tblGrid>
      <w:tr w:rsidR="007D4D8A" w:rsidRPr="007E6DBE" w14:paraId="7A42F5E0" w14:textId="77777777" w:rsidTr="001A0763">
        <w:trPr>
          <w:tblHeader/>
        </w:trPr>
        <w:tc>
          <w:tcPr>
            <w:tcW w:w="514" w:type="pct"/>
            <w:tcBorders>
              <w:top w:val="single" w:sz="8" w:space="0" w:color="000000"/>
              <w:left w:val="nil"/>
              <w:bottom w:val="single" w:sz="8" w:space="0" w:color="000000"/>
              <w:right w:val="nil"/>
            </w:tcBorders>
            <w:shd w:val="clear" w:color="auto" w:fill="auto"/>
          </w:tcPr>
          <w:p w14:paraId="36D3BF46" w14:textId="77777777" w:rsidR="007D4D8A" w:rsidRPr="007E6DBE" w:rsidRDefault="007D4D8A" w:rsidP="001A0763">
            <w:pPr>
              <w:rPr>
                <w:rFonts w:cstheme="minorHAnsi"/>
                <w:b/>
                <w:bCs/>
                <w:color w:val="000000"/>
                <w:sz w:val="20"/>
                <w:szCs w:val="20"/>
              </w:rPr>
            </w:pPr>
            <w:r w:rsidRPr="007E6DBE">
              <w:rPr>
                <w:rFonts w:cstheme="minorHAnsi"/>
                <w:b/>
                <w:bCs/>
                <w:color w:val="000000"/>
                <w:sz w:val="20"/>
                <w:szCs w:val="20"/>
              </w:rPr>
              <w:t>Group</w:t>
            </w:r>
          </w:p>
        </w:tc>
        <w:tc>
          <w:tcPr>
            <w:tcW w:w="2615" w:type="pct"/>
            <w:tcBorders>
              <w:top w:val="single" w:sz="8" w:space="0" w:color="000000"/>
              <w:left w:val="nil"/>
              <w:bottom w:val="single" w:sz="4" w:space="0" w:color="auto"/>
              <w:right w:val="nil"/>
            </w:tcBorders>
            <w:shd w:val="clear" w:color="auto" w:fill="auto"/>
          </w:tcPr>
          <w:p w14:paraId="745DA822" w14:textId="77777777" w:rsidR="007D4D8A" w:rsidRPr="007E6DBE" w:rsidRDefault="007D4D8A" w:rsidP="001A0763">
            <w:pPr>
              <w:rPr>
                <w:rFonts w:cstheme="minorHAnsi"/>
                <w:b/>
                <w:bCs/>
                <w:color w:val="000000"/>
                <w:sz w:val="20"/>
                <w:szCs w:val="20"/>
              </w:rPr>
            </w:pPr>
            <w:r w:rsidRPr="007E6DBE">
              <w:rPr>
                <w:rFonts w:cstheme="minorHAnsi"/>
                <w:b/>
                <w:bCs/>
                <w:color w:val="000000"/>
                <w:sz w:val="20"/>
                <w:szCs w:val="20"/>
              </w:rPr>
              <w:t>DFA results</w:t>
            </w:r>
          </w:p>
        </w:tc>
        <w:tc>
          <w:tcPr>
            <w:tcW w:w="725" w:type="pct"/>
            <w:tcBorders>
              <w:top w:val="single" w:sz="8" w:space="0" w:color="000000"/>
              <w:left w:val="nil"/>
              <w:bottom w:val="single" w:sz="8" w:space="0" w:color="000000"/>
              <w:right w:val="nil"/>
            </w:tcBorders>
            <w:shd w:val="clear" w:color="auto" w:fill="auto"/>
          </w:tcPr>
          <w:p w14:paraId="48081A09" w14:textId="77777777" w:rsidR="007D4D8A" w:rsidRPr="007E6DBE" w:rsidRDefault="007D4D8A" w:rsidP="001A0763">
            <w:pPr>
              <w:rPr>
                <w:rFonts w:cstheme="minorHAnsi"/>
                <w:b/>
                <w:bCs/>
                <w:color w:val="000000"/>
                <w:sz w:val="20"/>
                <w:szCs w:val="20"/>
              </w:rPr>
            </w:pPr>
            <w:r w:rsidRPr="007E6DBE">
              <w:rPr>
                <w:rFonts w:cstheme="minorHAnsi"/>
                <w:b/>
                <w:bCs/>
                <w:color w:val="000000"/>
                <w:sz w:val="20"/>
                <w:szCs w:val="20"/>
              </w:rPr>
              <w:t>Classification model type</w:t>
            </w:r>
          </w:p>
        </w:tc>
        <w:tc>
          <w:tcPr>
            <w:tcW w:w="1145" w:type="pct"/>
            <w:gridSpan w:val="4"/>
            <w:tcBorders>
              <w:top w:val="single" w:sz="8" w:space="0" w:color="000000"/>
              <w:left w:val="nil"/>
              <w:bottom w:val="single" w:sz="4" w:space="0" w:color="auto"/>
              <w:right w:val="nil"/>
            </w:tcBorders>
            <w:shd w:val="clear" w:color="auto" w:fill="auto"/>
          </w:tcPr>
          <w:p w14:paraId="79DBA482" w14:textId="77777777" w:rsidR="007D4D8A" w:rsidRPr="007E6DBE" w:rsidRDefault="007D4D8A" w:rsidP="001A0763">
            <w:pPr>
              <w:jc w:val="center"/>
              <w:rPr>
                <w:rFonts w:cstheme="minorHAnsi"/>
                <w:b/>
                <w:bCs/>
                <w:color w:val="000000"/>
                <w:sz w:val="20"/>
                <w:szCs w:val="20"/>
              </w:rPr>
            </w:pPr>
            <w:r w:rsidRPr="007E6DBE">
              <w:rPr>
                <w:rFonts w:cstheme="minorHAnsi"/>
                <w:b/>
                <w:bCs/>
                <w:color w:val="000000"/>
                <w:sz w:val="20"/>
                <w:szCs w:val="20"/>
              </w:rPr>
              <w:t>Cluster (%)</w:t>
            </w:r>
          </w:p>
        </w:tc>
      </w:tr>
      <w:tr w:rsidR="007F2345" w:rsidRPr="007E6DBE" w14:paraId="6E295997" w14:textId="77777777" w:rsidTr="001A0763">
        <w:tc>
          <w:tcPr>
            <w:tcW w:w="514" w:type="pct"/>
            <w:tcBorders>
              <w:top w:val="single" w:sz="4" w:space="0" w:color="auto"/>
              <w:left w:val="nil"/>
              <w:right w:val="nil"/>
            </w:tcBorders>
            <w:shd w:val="clear" w:color="auto" w:fill="auto"/>
          </w:tcPr>
          <w:p w14:paraId="75DF8CE1" w14:textId="77777777" w:rsidR="007D4D8A" w:rsidRPr="007E6DBE" w:rsidRDefault="007D4D8A" w:rsidP="001A0763">
            <w:pPr>
              <w:rPr>
                <w:rFonts w:cstheme="minorHAnsi"/>
                <w:b/>
                <w:bCs/>
                <w:color w:val="000000"/>
                <w:sz w:val="20"/>
                <w:szCs w:val="20"/>
              </w:rPr>
            </w:pPr>
            <w:r w:rsidRPr="007E6DBE">
              <w:rPr>
                <w:rFonts w:cstheme="minorHAnsi"/>
                <w:b/>
                <w:bCs/>
                <w:color w:val="000000"/>
                <w:sz w:val="20"/>
                <w:szCs w:val="20"/>
              </w:rPr>
              <w:t>Patient</w:t>
            </w:r>
          </w:p>
        </w:tc>
        <w:tc>
          <w:tcPr>
            <w:tcW w:w="2615" w:type="pct"/>
            <w:vMerge w:val="restart"/>
            <w:tcBorders>
              <w:top w:val="single" w:sz="4" w:space="0" w:color="auto"/>
              <w:left w:val="nil"/>
              <w:right w:val="nil"/>
            </w:tcBorders>
            <w:shd w:val="clear" w:color="auto" w:fill="auto"/>
          </w:tcPr>
          <w:p w14:paraId="1C2C9358" w14:textId="77777777" w:rsidR="007D4D8A" w:rsidRPr="007E6DBE" w:rsidRDefault="007D4D8A" w:rsidP="001A0763">
            <w:pPr>
              <w:rPr>
                <w:rFonts w:cstheme="minorHAnsi"/>
                <w:color w:val="000000"/>
                <w:sz w:val="20"/>
                <w:szCs w:val="20"/>
              </w:rPr>
            </w:pPr>
            <w:r w:rsidRPr="007E6DBE">
              <w:rPr>
                <w:rFonts w:cstheme="minorHAnsi"/>
                <w:color w:val="000000"/>
                <w:sz w:val="20"/>
                <w:szCs w:val="20"/>
              </w:rPr>
              <w:t xml:space="preserve">Function 1: </w:t>
            </w:r>
            <w:bookmarkStart w:id="0" w:name="_Hlk84775429"/>
            <w:r w:rsidRPr="007E6DBE">
              <w:rPr>
                <w:rFonts w:cstheme="minorHAnsi"/>
                <w:color w:val="000000"/>
                <w:sz w:val="20"/>
                <w:szCs w:val="20"/>
              </w:rPr>
              <w:t>(</w:t>
            </w:r>
            <w:r w:rsidRPr="007E6DBE">
              <w:rPr>
                <w:rFonts w:cstheme="minorHAnsi"/>
                <w:i/>
                <w:color w:val="000000"/>
                <w:sz w:val="20"/>
                <w:szCs w:val="20"/>
              </w:rPr>
              <w:t>χ</w:t>
            </w:r>
            <w:r w:rsidRPr="007E6DBE">
              <w:rPr>
                <w:rFonts w:eastAsia="Calibri" w:cstheme="minorHAnsi"/>
                <w:color w:val="000000"/>
                <w:sz w:val="20"/>
                <w:szCs w:val="20"/>
                <w:vertAlign w:val="superscript"/>
              </w:rPr>
              <w:t xml:space="preserve"> 2</w:t>
            </w:r>
            <w:r w:rsidRPr="007E6DBE">
              <w:rPr>
                <w:rFonts w:eastAsia="Calibri" w:cstheme="minorHAnsi"/>
                <w:color w:val="000000"/>
                <w:sz w:val="20"/>
                <w:szCs w:val="20"/>
              </w:rPr>
              <w:t xml:space="preserve"> </w:t>
            </w:r>
            <w:r w:rsidRPr="007E6DBE">
              <w:rPr>
                <w:rFonts w:cstheme="minorHAnsi"/>
                <w:color w:val="000000"/>
                <w:sz w:val="20"/>
                <w:szCs w:val="20"/>
              </w:rPr>
              <w:t xml:space="preserve"> (4) = 102.85, p &lt;.001, canonical correlation =.921):</w:t>
            </w:r>
            <w:bookmarkEnd w:id="0"/>
          </w:p>
          <w:p w14:paraId="751D5754" w14:textId="77777777" w:rsidR="007D4D8A" w:rsidRPr="007E6DBE" w:rsidRDefault="007D4D8A" w:rsidP="001A0763">
            <w:pPr>
              <w:widowControl w:val="0"/>
              <w:autoSpaceDE w:val="0"/>
              <w:autoSpaceDN w:val="0"/>
              <w:adjustRightInd w:val="0"/>
              <w:rPr>
                <w:rFonts w:cstheme="minorHAnsi"/>
                <w:bCs/>
                <w:color w:val="000000"/>
                <w:sz w:val="20"/>
                <w:szCs w:val="20"/>
              </w:rPr>
            </w:pPr>
            <w:r w:rsidRPr="007E6DBE">
              <w:rPr>
                <w:rFonts w:cstheme="minorHAnsi"/>
                <w:color w:val="000000"/>
                <w:sz w:val="20"/>
                <w:szCs w:val="20"/>
              </w:rPr>
              <w:t>Highest loading: Current IQ (r=.81)</w:t>
            </w:r>
          </w:p>
          <w:p w14:paraId="01AC32D9" w14:textId="77777777" w:rsidR="007D4D8A" w:rsidRPr="007E6DBE" w:rsidRDefault="007D4D8A" w:rsidP="001A0763">
            <w:pPr>
              <w:rPr>
                <w:rFonts w:cstheme="minorHAnsi"/>
                <w:color w:val="000000"/>
                <w:sz w:val="20"/>
                <w:szCs w:val="20"/>
              </w:rPr>
            </w:pPr>
          </w:p>
        </w:tc>
        <w:tc>
          <w:tcPr>
            <w:tcW w:w="725" w:type="pct"/>
            <w:tcBorders>
              <w:top w:val="single" w:sz="4" w:space="0" w:color="auto"/>
              <w:left w:val="nil"/>
              <w:bottom w:val="single" w:sz="4" w:space="0" w:color="auto"/>
              <w:right w:val="nil"/>
            </w:tcBorders>
            <w:shd w:val="clear" w:color="auto" w:fill="auto"/>
          </w:tcPr>
          <w:p w14:paraId="46274FBA" w14:textId="280974A4" w:rsidR="007D4D8A" w:rsidRPr="007E6DBE" w:rsidRDefault="0070307D" w:rsidP="0070307D">
            <w:pPr>
              <w:jc w:val="right"/>
              <w:rPr>
                <w:rFonts w:cstheme="minorHAnsi"/>
                <w:color w:val="000000"/>
                <w:sz w:val="20"/>
                <w:szCs w:val="20"/>
              </w:rPr>
            </w:pPr>
            <w:r>
              <w:rPr>
                <w:rFonts w:cstheme="minorHAnsi"/>
                <w:color w:val="000000"/>
                <w:sz w:val="20"/>
                <w:szCs w:val="20"/>
              </w:rPr>
              <w:t xml:space="preserve">  Group</w:t>
            </w:r>
          </w:p>
        </w:tc>
        <w:tc>
          <w:tcPr>
            <w:tcW w:w="196" w:type="pct"/>
            <w:tcBorders>
              <w:top w:val="single" w:sz="4" w:space="0" w:color="auto"/>
              <w:left w:val="nil"/>
              <w:bottom w:val="single" w:sz="4" w:space="0" w:color="auto"/>
              <w:right w:val="nil"/>
            </w:tcBorders>
            <w:shd w:val="clear" w:color="auto" w:fill="auto"/>
          </w:tcPr>
          <w:p w14:paraId="6D2A6272" w14:textId="77777777" w:rsidR="007D4D8A" w:rsidRPr="007E6DBE" w:rsidRDefault="007D4D8A" w:rsidP="001A0763">
            <w:pPr>
              <w:widowControl w:val="0"/>
              <w:autoSpaceDE w:val="0"/>
              <w:autoSpaceDN w:val="0"/>
              <w:adjustRightInd w:val="0"/>
              <w:rPr>
                <w:rFonts w:cstheme="minorHAnsi"/>
                <w:color w:val="000000"/>
                <w:sz w:val="20"/>
                <w:szCs w:val="20"/>
              </w:rPr>
            </w:pPr>
          </w:p>
        </w:tc>
        <w:tc>
          <w:tcPr>
            <w:tcW w:w="317" w:type="pct"/>
            <w:tcBorders>
              <w:top w:val="single" w:sz="4" w:space="0" w:color="auto"/>
              <w:left w:val="nil"/>
              <w:bottom w:val="single" w:sz="4" w:space="0" w:color="auto"/>
              <w:right w:val="nil"/>
            </w:tcBorders>
            <w:shd w:val="clear" w:color="auto" w:fill="auto"/>
          </w:tcPr>
          <w:p w14:paraId="0E0F9206" w14:textId="77777777" w:rsidR="007D4D8A" w:rsidRPr="007E6DBE" w:rsidRDefault="007D4D8A" w:rsidP="0070307D">
            <w:pPr>
              <w:widowControl w:val="0"/>
              <w:autoSpaceDE w:val="0"/>
              <w:autoSpaceDN w:val="0"/>
              <w:adjustRightInd w:val="0"/>
              <w:jc w:val="right"/>
              <w:rPr>
                <w:rFonts w:cstheme="minorHAnsi"/>
                <w:color w:val="000000"/>
                <w:sz w:val="20"/>
                <w:szCs w:val="20"/>
              </w:rPr>
            </w:pPr>
            <w:r w:rsidRPr="007E6DBE">
              <w:rPr>
                <w:rFonts w:cstheme="minorHAnsi"/>
                <w:color w:val="000000"/>
                <w:sz w:val="20"/>
                <w:szCs w:val="20"/>
              </w:rPr>
              <w:t>PIQ</w:t>
            </w:r>
          </w:p>
        </w:tc>
        <w:tc>
          <w:tcPr>
            <w:tcW w:w="317" w:type="pct"/>
            <w:tcBorders>
              <w:top w:val="single" w:sz="4" w:space="0" w:color="auto"/>
              <w:left w:val="nil"/>
              <w:bottom w:val="single" w:sz="4" w:space="0" w:color="auto"/>
              <w:right w:val="nil"/>
            </w:tcBorders>
            <w:shd w:val="clear" w:color="auto" w:fill="auto"/>
          </w:tcPr>
          <w:p w14:paraId="0661A528" w14:textId="77777777" w:rsidR="007D4D8A" w:rsidRPr="007E6DBE" w:rsidRDefault="007D4D8A" w:rsidP="001A0763">
            <w:pPr>
              <w:widowControl w:val="0"/>
              <w:autoSpaceDE w:val="0"/>
              <w:autoSpaceDN w:val="0"/>
              <w:adjustRightInd w:val="0"/>
              <w:jc w:val="right"/>
              <w:rPr>
                <w:rFonts w:cstheme="minorHAnsi"/>
                <w:color w:val="000000"/>
                <w:sz w:val="20"/>
                <w:szCs w:val="20"/>
              </w:rPr>
            </w:pPr>
            <w:r w:rsidRPr="007E6DBE">
              <w:rPr>
                <w:rFonts w:cstheme="minorHAnsi"/>
                <w:color w:val="000000"/>
                <w:sz w:val="20"/>
                <w:szCs w:val="20"/>
              </w:rPr>
              <w:t>CIQ</w:t>
            </w:r>
          </w:p>
        </w:tc>
        <w:tc>
          <w:tcPr>
            <w:tcW w:w="316" w:type="pct"/>
            <w:tcBorders>
              <w:top w:val="single" w:sz="4" w:space="0" w:color="auto"/>
              <w:left w:val="nil"/>
              <w:bottom w:val="single" w:sz="4" w:space="0" w:color="auto"/>
              <w:right w:val="nil"/>
            </w:tcBorders>
            <w:shd w:val="clear" w:color="auto" w:fill="auto"/>
          </w:tcPr>
          <w:p w14:paraId="6B09B31D" w14:textId="77777777" w:rsidR="007D4D8A" w:rsidRPr="007E6DBE" w:rsidRDefault="007D4D8A" w:rsidP="001A0763">
            <w:pPr>
              <w:widowControl w:val="0"/>
              <w:autoSpaceDE w:val="0"/>
              <w:autoSpaceDN w:val="0"/>
              <w:adjustRightInd w:val="0"/>
              <w:jc w:val="right"/>
              <w:rPr>
                <w:rFonts w:cstheme="minorHAnsi"/>
                <w:color w:val="000000"/>
                <w:sz w:val="20"/>
                <w:szCs w:val="20"/>
              </w:rPr>
            </w:pPr>
            <w:r w:rsidRPr="007E6DBE">
              <w:rPr>
                <w:rFonts w:cstheme="minorHAnsi"/>
                <w:color w:val="000000"/>
                <w:sz w:val="20"/>
                <w:szCs w:val="20"/>
              </w:rPr>
              <w:t>DIQ</w:t>
            </w:r>
          </w:p>
        </w:tc>
      </w:tr>
      <w:tr w:rsidR="007F2345" w:rsidRPr="007E6DBE" w14:paraId="463B9425" w14:textId="77777777" w:rsidTr="001A0763">
        <w:tc>
          <w:tcPr>
            <w:tcW w:w="514" w:type="pct"/>
            <w:shd w:val="clear" w:color="auto" w:fill="auto"/>
          </w:tcPr>
          <w:p w14:paraId="435EF203" w14:textId="77777777" w:rsidR="007D4D8A" w:rsidRPr="007E6DBE" w:rsidRDefault="007D4D8A" w:rsidP="001A0763">
            <w:pPr>
              <w:rPr>
                <w:rFonts w:cstheme="minorHAnsi"/>
                <w:b/>
                <w:bCs/>
                <w:color w:val="000000"/>
                <w:sz w:val="20"/>
                <w:szCs w:val="20"/>
              </w:rPr>
            </w:pPr>
          </w:p>
        </w:tc>
        <w:tc>
          <w:tcPr>
            <w:tcW w:w="2615" w:type="pct"/>
            <w:vMerge/>
            <w:shd w:val="clear" w:color="auto" w:fill="auto"/>
          </w:tcPr>
          <w:p w14:paraId="2C77362E" w14:textId="77777777" w:rsidR="007D4D8A" w:rsidRPr="007E6DBE" w:rsidRDefault="007D4D8A" w:rsidP="001A0763">
            <w:pPr>
              <w:rPr>
                <w:rFonts w:cstheme="minorHAnsi"/>
                <w:color w:val="000000"/>
                <w:sz w:val="20"/>
                <w:szCs w:val="20"/>
              </w:rPr>
            </w:pPr>
          </w:p>
        </w:tc>
        <w:tc>
          <w:tcPr>
            <w:tcW w:w="725" w:type="pct"/>
            <w:tcBorders>
              <w:top w:val="single" w:sz="4" w:space="0" w:color="auto"/>
            </w:tcBorders>
            <w:shd w:val="clear" w:color="auto" w:fill="auto"/>
          </w:tcPr>
          <w:p w14:paraId="74665B6C" w14:textId="77777777" w:rsidR="007D4D8A" w:rsidRPr="007E6DBE" w:rsidRDefault="007D4D8A" w:rsidP="001A0763">
            <w:pPr>
              <w:rPr>
                <w:rFonts w:cstheme="minorHAnsi"/>
                <w:color w:val="000000"/>
                <w:sz w:val="20"/>
                <w:szCs w:val="20"/>
              </w:rPr>
            </w:pPr>
            <w:r w:rsidRPr="007E6DBE">
              <w:rPr>
                <w:rFonts w:cstheme="minorHAnsi"/>
                <w:color w:val="000000"/>
                <w:sz w:val="20"/>
                <w:szCs w:val="20"/>
              </w:rPr>
              <w:t>Original</w:t>
            </w:r>
          </w:p>
        </w:tc>
        <w:tc>
          <w:tcPr>
            <w:tcW w:w="196" w:type="pct"/>
            <w:tcBorders>
              <w:top w:val="single" w:sz="4" w:space="0" w:color="auto"/>
              <w:bottom w:val="nil"/>
            </w:tcBorders>
            <w:shd w:val="clear" w:color="auto" w:fill="auto"/>
          </w:tcPr>
          <w:p w14:paraId="15CE40D6" w14:textId="77777777" w:rsidR="007D4D8A" w:rsidRPr="007E6DBE" w:rsidRDefault="007D4D8A" w:rsidP="001A0763">
            <w:pPr>
              <w:widowControl w:val="0"/>
              <w:autoSpaceDE w:val="0"/>
              <w:autoSpaceDN w:val="0"/>
              <w:adjustRightInd w:val="0"/>
              <w:rPr>
                <w:rFonts w:cstheme="minorHAnsi"/>
                <w:color w:val="000000"/>
                <w:sz w:val="20"/>
                <w:szCs w:val="20"/>
              </w:rPr>
            </w:pPr>
            <w:r w:rsidRPr="007E6DBE">
              <w:rPr>
                <w:rFonts w:cstheme="minorHAnsi"/>
                <w:color w:val="000000"/>
                <w:sz w:val="20"/>
                <w:szCs w:val="20"/>
              </w:rPr>
              <w:t>PIQ</w:t>
            </w:r>
          </w:p>
        </w:tc>
        <w:tc>
          <w:tcPr>
            <w:tcW w:w="317" w:type="pct"/>
            <w:tcBorders>
              <w:top w:val="single" w:sz="4" w:space="0" w:color="auto"/>
              <w:bottom w:val="nil"/>
            </w:tcBorders>
            <w:shd w:val="clear" w:color="auto" w:fill="auto"/>
            <w:vAlign w:val="center"/>
          </w:tcPr>
          <w:p w14:paraId="249A1C4C" w14:textId="77777777" w:rsidR="007D4D8A" w:rsidRPr="007E6DBE" w:rsidRDefault="007D4D8A" w:rsidP="001A0763">
            <w:pPr>
              <w:widowControl w:val="0"/>
              <w:autoSpaceDE w:val="0"/>
              <w:autoSpaceDN w:val="0"/>
              <w:adjustRightInd w:val="0"/>
              <w:jc w:val="right"/>
              <w:rPr>
                <w:rFonts w:cstheme="minorHAnsi"/>
                <w:color w:val="000000"/>
                <w:sz w:val="20"/>
                <w:szCs w:val="20"/>
              </w:rPr>
            </w:pPr>
            <w:r w:rsidRPr="007E6DBE">
              <w:rPr>
                <w:rFonts w:cstheme="minorHAnsi"/>
                <w:color w:val="000000"/>
                <w:sz w:val="20"/>
                <w:szCs w:val="20"/>
              </w:rPr>
              <w:t>100</w:t>
            </w:r>
          </w:p>
        </w:tc>
        <w:tc>
          <w:tcPr>
            <w:tcW w:w="317" w:type="pct"/>
            <w:tcBorders>
              <w:top w:val="single" w:sz="4" w:space="0" w:color="auto"/>
              <w:bottom w:val="nil"/>
            </w:tcBorders>
            <w:shd w:val="clear" w:color="auto" w:fill="auto"/>
            <w:vAlign w:val="center"/>
          </w:tcPr>
          <w:p w14:paraId="473C5F2F" w14:textId="77777777" w:rsidR="007D4D8A" w:rsidRPr="007E6DBE" w:rsidRDefault="007D4D8A" w:rsidP="001A0763">
            <w:pPr>
              <w:widowControl w:val="0"/>
              <w:autoSpaceDE w:val="0"/>
              <w:autoSpaceDN w:val="0"/>
              <w:adjustRightInd w:val="0"/>
              <w:jc w:val="right"/>
              <w:rPr>
                <w:rFonts w:cstheme="minorHAnsi"/>
                <w:color w:val="000000"/>
                <w:sz w:val="20"/>
                <w:szCs w:val="20"/>
              </w:rPr>
            </w:pPr>
            <w:r w:rsidRPr="007E6DBE">
              <w:rPr>
                <w:rFonts w:cstheme="minorHAnsi"/>
                <w:color w:val="000000"/>
                <w:sz w:val="20"/>
                <w:szCs w:val="20"/>
              </w:rPr>
              <w:t>0</w:t>
            </w:r>
          </w:p>
        </w:tc>
        <w:tc>
          <w:tcPr>
            <w:tcW w:w="316" w:type="pct"/>
            <w:tcBorders>
              <w:top w:val="single" w:sz="4" w:space="0" w:color="auto"/>
              <w:bottom w:val="nil"/>
            </w:tcBorders>
            <w:shd w:val="clear" w:color="auto" w:fill="auto"/>
            <w:vAlign w:val="center"/>
          </w:tcPr>
          <w:p w14:paraId="721C642A" w14:textId="77777777" w:rsidR="007D4D8A" w:rsidRPr="007E6DBE" w:rsidRDefault="007D4D8A" w:rsidP="001A0763">
            <w:pPr>
              <w:widowControl w:val="0"/>
              <w:autoSpaceDE w:val="0"/>
              <w:autoSpaceDN w:val="0"/>
              <w:adjustRightInd w:val="0"/>
              <w:jc w:val="right"/>
              <w:rPr>
                <w:rFonts w:cstheme="minorHAnsi"/>
                <w:color w:val="000000"/>
                <w:sz w:val="20"/>
                <w:szCs w:val="20"/>
              </w:rPr>
            </w:pPr>
            <w:r w:rsidRPr="007E6DBE">
              <w:rPr>
                <w:rFonts w:cstheme="minorHAnsi"/>
                <w:color w:val="000000"/>
                <w:sz w:val="20"/>
                <w:szCs w:val="20"/>
              </w:rPr>
              <w:t>0</w:t>
            </w:r>
          </w:p>
        </w:tc>
      </w:tr>
      <w:tr w:rsidR="007F2345" w:rsidRPr="007E6DBE" w14:paraId="541C97FA" w14:textId="77777777" w:rsidTr="0070307D">
        <w:tc>
          <w:tcPr>
            <w:tcW w:w="514" w:type="pct"/>
            <w:tcBorders>
              <w:left w:val="nil"/>
              <w:right w:val="nil"/>
            </w:tcBorders>
            <w:shd w:val="clear" w:color="auto" w:fill="auto"/>
          </w:tcPr>
          <w:p w14:paraId="76AF3710" w14:textId="77777777" w:rsidR="007D4D8A" w:rsidRPr="007E6DBE" w:rsidRDefault="007D4D8A" w:rsidP="001A0763">
            <w:pPr>
              <w:rPr>
                <w:rFonts w:cstheme="minorHAnsi"/>
                <w:b/>
                <w:bCs/>
                <w:color w:val="000000"/>
                <w:sz w:val="20"/>
                <w:szCs w:val="20"/>
              </w:rPr>
            </w:pPr>
          </w:p>
        </w:tc>
        <w:tc>
          <w:tcPr>
            <w:tcW w:w="2615" w:type="pct"/>
            <w:vMerge/>
            <w:tcBorders>
              <w:left w:val="nil"/>
              <w:right w:val="nil"/>
            </w:tcBorders>
            <w:shd w:val="clear" w:color="auto" w:fill="auto"/>
          </w:tcPr>
          <w:p w14:paraId="3AE06908" w14:textId="77777777" w:rsidR="007D4D8A" w:rsidRPr="007E6DBE" w:rsidRDefault="007D4D8A" w:rsidP="001A0763">
            <w:pPr>
              <w:rPr>
                <w:rFonts w:cstheme="minorHAnsi"/>
                <w:color w:val="000000"/>
                <w:sz w:val="20"/>
                <w:szCs w:val="20"/>
              </w:rPr>
            </w:pPr>
          </w:p>
        </w:tc>
        <w:tc>
          <w:tcPr>
            <w:tcW w:w="725" w:type="pct"/>
            <w:tcBorders>
              <w:left w:val="nil"/>
              <w:right w:val="nil"/>
            </w:tcBorders>
            <w:shd w:val="clear" w:color="auto" w:fill="auto"/>
          </w:tcPr>
          <w:p w14:paraId="4E2A3A70" w14:textId="77777777" w:rsidR="007D4D8A" w:rsidRPr="007E6DBE" w:rsidRDefault="007D4D8A" w:rsidP="001A0763">
            <w:pPr>
              <w:rPr>
                <w:rFonts w:cstheme="minorHAnsi"/>
                <w:color w:val="000000"/>
                <w:sz w:val="20"/>
                <w:szCs w:val="20"/>
              </w:rPr>
            </w:pPr>
          </w:p>
        </w:tc>
        <w:tc>
          <w:tcPr>
            <w:tcW w:w="196" w:type="pct"/>
            <w:tcBorders>
              <w:top w:val="nil"/>
              <w:left w:val="nil"/>
              <w:right w:val="nil"/>
            </w:tcBorders>
            <w:shd w:val="clear" w:color="auto" w:fill="E7E6E6" w:themeFill="background2"/>
          </w:tcPr>
          <w:p w14:paraId="4510AF0F" w14:textId="77777777" w:rsidR="007D4D8A" w:rsidRPr="007E6DBE" w:rsidRDefault="007D4D8A" w:rsidP="001A0763">
            <w:pPr>
              <w:widowControl w:val="0"/>
              <w:autoSpaceDE w:val="0"/>
              <w:autoSpaceDN w:val="0"/>
              <w:adjustRightInd w:val="0"/>
              <w:rPr>
                <w:rFonts w:cstheme="minorHAnsi"/>
                <w:color w:val="000000"/>
                <w:sz w:val="20"/>
                <w:szCs w:val="20"/>
              </w:rPr>
            </w:pPr>
            <w:r w:rsidRPr="007E6DBE">
              <w:rPr>
                <w:rFonts w:cstheme="minorHAnsi"/>
                <w:color w:val="000000"/>
                <w:sz w:val="20"/>
                <w:szCs w:val="20"/>
              </w:rPr>
              <w:t>CIQ</w:t>
            </w:r>
          </w:p>
        </w:tc>
        <w:tc>
          <w:tcPr>
            <w:tcW w:w="317" w:type="pct"/>
            <w:tcBorders>
              <w:top w:val="nil"/>
              <w:left w:val="nil"/>
              <w:right w:val="nil"/>
            </w:tcBorders>
            <w:shd w:val="clear" w:color="auto" w:fill="E7E6E6" w:themeFill="background2"/>
            <w:vAlign w:val="center"/>
          </w:tcPr>
          <w:p w14:paraId="2C189A28" w14:textId="77777777" w:rsidR="007D4D8A" w:rsidRPr="007E6DBE" w:rsidRDefault="007D4D8A" w:rsidP="001A0763">
            <w:pPr>
              <w:widowControl w:val="0"/>
              <w:autoSpaceDE w:val="0"/>
              <w:autoSpaceDN w:val="0"/>
              <w:adjustRightInd w:val="0"/>
              <w:jc w:val="right"/>
              <w:rPr>
                <w:rFonts w:cstheme="minorHAnsi"/>
                <w:color w:val="000000"/>
                <w:sz w:val="20"/>
                <w:szCs w:val="20"/>
              </w:rPr>
            </w:pPr>
            <w:r w:rsidRPr="007E6DBE">
              <w:rPr>
                <w:rFonts w:cstheme="minorHAnsi"/>
                <w:color w:val="000000"/>
                <w:sz w:val="20"/>
                <w:szCs w:val="20"/>
              </w:rPr>
              <w:t>0</w:t>
            </w:r>
          </w:p>
        </w:tc>
        <w:tc>
          <w:tcPr>
            <w:tcW w:w="317" w:type="pct"/>
            <w:tcBorders>
              <w:top w:val="nil"/>
              <w:left w:val="nil"/>
              <w:right w:val="nil"/>
            </w:tcBorders>
            <w:shd w:val="clear" w:color="auto" w:fill="E7E6E6" w:themeFill="background2"/>
            <w:vAlign w:val="center"/>
          </w:tcPr>
          <w:p w14:paraId="46DEC3DA" w14:textId="77777777" w:rsidR="007D4D8A" w:rsidRPr="007E6DBE" w:rsidRDefault="007D4D8A" w:rsidP="001A0763">
            <w:pPr>
              <w:widowControl w:val="0"/>
              <w:autoSpaceDE w:val="0"/>
              <w:autoSpaceDN w:val="0"/>
              <w:adjustRightInd w:val="0"/>
              <w:jc w:val="right"/>
              <w:rPr>
                <w:rFonts w:cstheme="minorHAnsi"/>
                <w:color w:val="000000"/>
                <w:sz w:val="20"/>
                <w:szCs w:val="20"/>
              </w:rPr>
            </w:pPr>
            <w:r w:rsidRPr="007E6DBE">
              <w:rPr>
                <w:rFonts w:cstheme="minorHAnsi"/>
                <w:color w:val="000000"/>
                <w:sz w:val="20"/>
                <w:szCs w:val="20"/>
              </w:rPr>
              <w:t>87.5</w:t>
            </w:r>
          </w:p>
        </w:tc>
        <w:tc>
          <w:tcPr>
            <w:tcW w:w="316" w:type="pct"/>
            <w:tcBorders>
              <w:top w:val="nil"/>
              <w:left w:val="nil"/>
              <w:right w:val="nil"/>
            </w:tcBorders>
            <w:shd w:val="clear" w:color="auto" w:fill="E7E6E6" w:themeFill="background2"/>
            <w:vAlign w:val="center"/>
          </w:tcPr>
          <w:p w14:paraId="6B0C5B6F" w14:textId="77777777" w:rsidR="007D4D8A" w:rsidRPr="007E6DBE" w:rsidRDefault="007D4D8A" w:rsidP="001A0763">
            <w:pPr>
              <w:widowControl w:val="0"/>
              <w:autoSpaceDE w:val="0"/>
              <w:autoSpaceDN w:val="0"/>
              <w:adjustRightInd w:val="0"/>
              <w:jc w:val="right"/>
              <w:rPr>
                <w:rFonts w:cstheme="minorHAnsi"/>
                <w:color w:val="000000"/>
                <w:sz w:val="20"/>
                <w:szCs w:val="20"/>
              </w:rPr>
            </w:pPr>
            <w:r w:rsidRPr="007E6DBE">
              <w:rPr>
                <w:rFonts w:cstheme="minorHAnsi"/>
                <w:color w:val="000000"/>
                <w:sz w:val="20"/>
                <w:szCs w:val="20"/>
              </w:rPr>
              <w:t>14.3</w:t>
            </w:r>
          </w:p>
        </w:tc>
      </w:tr>
      <w:tr w:rsidR="007F2345" w:rsidRPr="007E6DBE" w14:paraId="3D30931D" w14:textId="77777777" w:rsidTr="001A0763">
        <w:tc>
          <w:tcPr>
            <w:tcW w:w="514" w:type="pct"/>
            <w:shd w:val="clear" w:color="auto" w:fill="auto"/>
          </w:tcPr>
          <w:p w14:paraId="67FF25F6" w14:textId="77777777" w:rsidR="007D4D8A" w:rsidRPr="007E6DBE" w:rsidRDefault="007D4D8A" w:rsidP="001A0763">
            <w:pPr>
              <w:rPr>
                <w:rFonts w:cstheme="minorHAnsi"/>
                <w:b/>
                <w:bCs/>
                <w:color w:val="000000"/>
                <w:sz w:val="20"/>
                <w:szCs w:val="20"/>
              </w:rPr>
            </w:pPr>
          </w:p>
        </w:tc>
        <w:tc>
          <w:tcPr>
            <w:tcW w:w="2615" w:type="pct"/>
            <w:vMerge/>
            <w:shd w:val="clear" w:color="auto" w:fill="auto"/>
          </w:tcPr>
          <w:p w14:paraId="42604DE5" w14:textId="77777777" w:rsidR="007D4D8A" w:rsidRPr="007E6DBE" w:rsidRDefault="007D4D8A" w:rsidP="001A0763">
            <w:pPr>
              <w:rPr>
                <w:rFonts w:cstheme="minorHAnsi"/>
                <w:color w:val="000000"/>
                <w:sz w:val="20"/>
                <w:szCs w:val="20"/>
              </w:rPr>
            </w:pPr>
          </w:p>
        </w:tc>
        <w:tc>
          <w:tcPr>
            <w:tcW w:w="725" w:type="pct"/>
            <w:tcBorders>
              <w:bottom w:val="single" w:sz="4" w:space="0" w:color="auto"/>
            </w:tcBorders>
            <w:shd w:val="clear" w:color="auto" w:fill="auto"/>
          </w:tcPr>
          <w:p w14:paraId="039929E1" w14:textId="77777777" w:rsidR="007D4D8A" w:rsidRPr="007E6DBE" w:rsidRDefault="007D4D8A" w:rsidP="001A0763">
            <w:pPr>
              <w:rPr>
                <w:rFonts w:cstheme="minorHAnsi"/>
                <w:color w:val="000000"/>
                <w:sz w:val="20"/>
                <w:szCs w:val="20"/>
              </w:rPr>
            </w:pPr>
          </w:p>
        </w:tc>
        <w:tc>
          <w:tcPr>
            <w:tcW w:w="196" w:type="pct"/>
            <w:tcBorders>
              <w:bottom w:val="single" w:sz="4" w:space="0" w:color="auto"/>
            </w:tcBorders>
            <w:shd w:val="clear" w:color="auto" w:fill="auto"/>
          </w:tcPr>
          <w:p w14:paraId="25E84E7E" w14:textId="77777777" w:rsidR="007D4D8A" w:rsidRPr="007E6DBE" w:rsidRDefault="007D4D8A" w:rsidP="001A0763">
            <w:pPr>
              <w:widowControl w:val="0"/>
              <w:autoSpaceDE w:val="0"/>
              <w:autoSpaceDN w:val="0"/>
              <w:adjustRightInd w:val="0"/>
              <w:rPr>
                <w:rFonts w:cstheme="minorHAnsi"/>
                <w:color w:val="000000"/>
                <w:sz w:val="20"/>
                <w:szCs w:val="20"/>
              </w:rPr>
            </w:pPr>
            <w:r w:rsidRPr="007E6DBE">
              <w:rPr>
                <w:rFonts w:cstheme="minorHAnsi"/>
                <w:color w:val="000000"/>
                <w:sz w:val="20"/>
                <w:szCs w:val="20"/>
              </w:rPr>
              <w:t>DIQ</w:t>
            </w:r>
          </w:p>
        </w:tc>
        <w:tc>
          <w:tcPr>
            <w:tcW w:w="317" w:type="pct"/>
            <w:tcBorders>
              <w:bottom w:val="single" w:sz="4" w:space="0" w:color="auto"/>
            </w:tcBorders>
            <w:shd w:val="clear" w:color="auto" w:fill="auto"/>
            <w:vAlign w:val="center"/>
          </w:tcPr>
          <w:p w14:paraId="5C1802A0" w14:textId="77777777" w:rsidR="007D4D8A" w:rsidRPr="007E6DBE" w:rsidRDefault="007D4D8A" w:rsidP="001A0763">
            <w:pPr>
              <w:widowControl w:val="0"/>
              <w:autoSpaceDE w:val="0"/>
              <w:autoSpaceDN w:val="0"/>
              <w:adjustRightInd w:val="0"/>
              <w:jc w:val="right"/>
              <w:rPr>
                <w:rFonts w:cstheme="minorHAnsi"/>
                <w:color w:val="000000"/>
                <w:sz w:val="20"/>
                <w:szCs w:val="20"/>
              </w:rPr>
            </w:pPr>
            <w:r w:rsidRPr="007E6DBE">
              <w:rPr>
                <w:rFonts w:cstheme="minorHAnsi"/>
                <w:color w:val="000000"/>
                <w:sz w:val="20"/>
                <w:szCs w:val="20"/>
              </w:rPr>
              <w:t>0</w:t>
            </w:r>
          </w:p>
        </w:tc>
        <w:tc>
          <w:tcPr>
            <w:tcW w:w="317" w:type="pct"/>
            <w:tcBorders>
              <w:bottom w:val="single" w:sz="4" w:space="0" w:color="auto"/>
            </w:tcBorders>
            <w:shd w:val="clear" w:color="auto" w:fill="auto"/>
            <w:vAlign w:val="center"/>
          </w:tcPr>
          <w:p w14:paraId="20299F93" w14:textId="77777777" w:rsidR="007D4D8A" w:rsidRPr="007E6DBE" w:rsidRDefault="007D4D8A" w:rsidP="001A0763">
            <w:pPr>
              <w:widowControl w:val="0"/>
              <w:autoSpaceDE w:val="0"/>
              <w:autoSpaceDN w:val="0"/>
              <w:adjustRightInd w:val="0"/>
              <w:jc w:val="right"/>
              <w:rPr>
                <w:rFonts w:cstheme="minorHAnsi"/>
                <w:color w:val="000000"/>
                <w:sz w:val="20"/>
                <w:szCs w:val="20"/>
              </w:rPr>
            </w:pPr>
            <w:r w:rsidRPr="007E6DBE">
              <w:rPr>
                <w:rFonts w:cstheme="minorHAnsi"/>
                <w:color w:val="000000"/>
                <w:sz w:val="20"/>
                <w:szCs w:val="20"/>
              </w:rPr>
              <w:t>0</w:t>
            </w:r>
          </w:p>
        </w:tc>
        <w:tc>
          <w:tcPr>
            <w:tcW w:w="316" w:type="pct"/>
            <w:tcBorders>
              <w:bottom w:val="single" w:sz="4" w:space="0" w:color="auto"/>
            </w:tcBorders>
            <w:shd w:val="clear" w:color="auto" w:fill="auto"/>
            <w:vAlign w:val="center"/>
          </w:tcPr>
          <w:p w14:paraId="77DB9002" w14:textId="77777777" w:rsidR="007D4D8A" w:rsidRPr="007E6DBE" w:rsidRDefault="007D4D8A" w:rsidP="001A0763">
            <w:pPr>
              <w:widowControl w:val="0"/>
              <w:autoSpaceDE w:val="0"/>
              <w:autoSpaceDN w:val="0"/>
              <w:adjustRightInd w:val="0"/>
              <w:jc w:val="right"/>
              <w:rPr>
                <w:rFonts w:cstheme="minorHAnsi"/>
                <w:color w:val="000000"/>
                <w:sz w:val="20"/>
                <w:szCs w:val="20"/>
              </w:rPr>
            </w:pPr>
            <w:r w:rsidRPr="007E6DBE">
              <w:rPr>
                <w:rFonts w:cstheme="minorHAnsi"/>
                <w:color w:val="000000"/>
                <w:sz w:val="20"/>
                <w:szCs w:val="20"/>
              </w:rPr>
              <w:t>100</w:t>
            </w:r>
          </w:p>
        </w:tc>
      </w:tr>
      <w:tr w:rsidR="007F2345" w:rsidRPr="007E6DBE" w14:paraId="573AAE96" w14:textId="77777777" w:rsidTr="001A0763">
        <w:tc>
          <w:tcPr>
            <w:tcW w:w="514" w:type="pct"/>
            <w:tcBorders>
              <w:left w:val="nil"/>
              <w:right w:val="nil"/>
            </w:tcBorders>
            <w:shd w:val="clear" w:color="auto" w:fill="auto"/>
          </w:tcPr>
          <w:p w14:paraId="0B889914" w14:textId="77777777" w:rsidR="007D4D8A" w:rsidRPr="007E6DBE" w:rsidRDefault="007D4D8A" w:rsidP="001A0763">
            <w:pPr>
              <w:rPr>
                <w:rFonts w:cstheme="minorHAnsi"/>
                <w:b/>
                <w:bCs/>
                <w:color w:val="000000"/>
                <w:sz w:val="20"/>
                <w:szCs w:val="20"/>
              </w:rPr>
            </w:pPr>
          </w:p>
        </w:tc>
        <w:tc>
          <w:tcPr>
            <w:tcW w:w="2615" w:type="pct"/>
            <w:vMerge/>
            <w:tcBorders>
              <w:left w:val="nil"/>
              <w:right w:val="nil"/>
            </w:tcBorders>
            <w:shd w:val="clear" w:color="auto" w:fill="auto"/>
          </w:tcPr>
          <w:p w14:paraId="12654A11" w14:textId="77777777" w:rsidR="007D4D8A" w:rsidRPr="007E6DBE" w:rsidRDefault="007D4D8A" w:rsidP="001A0763">
            <w:pPr>
              <w:rPr>
                <w:rFonts w:cstheme="minorHAnsi"/>
                <w:color w:val="000000"/>
                <w:sz w:val="20"/>
                <w:szCs w:val="20"/>
              </w:rPr>
            </w:pPr>
          </w:p>
        </w:tc>
        <w:tc>
          <w:tcPr>
            <w:tcW w:w="725" w:type="pct"/>
            <w:tcBorders>
              <w:top w:val="single" w:sz="4" w:space="0" w:color="auto"/>
              <w:left w:val="nil"/>
              <w:bottom w:val="single" w:sz="4" w:space="0" w:color="auto"/>
              <w:right w:val="nil"/>
            </w:tcBorders>
            <w:shd w:val="clear" w:color="auto" w:fill="auto"/>
          </w:tcPr>
          <w:p w14:paraId="52D731AF" w14:textId="77777777" w:rsidR="007D4D8A" w:rsidRPr="007E6DBE" w:rsidRDefault="007D4D8A" w:rsidP="001A0763">
            <w:pPr>
              <w:rPr>
                <w:rFonts w:cstheme="minorHAnsi"/>
                <w:color w:val="000000"/>
                <w:sz w:val="20"/>
                <w:szCs w:val="20"/>
              </w:rPr>
            </w:pPr>
          </w:p>
        </w:tc>
        <w:tc>
          <w:tcPr>
            <w:tcW w:w="196" w:type="pct"/>
            <w:tcBorders>
              <w:top w:val="single" w:sz="4" w:space="0" w:color="auto"/>
              <w:left w:val="nil"/>
              <w:bottom w:val="single" w:sz="4" w:space="0" w:color="auto"/>
              <w:right w:val="nil"/>
            </w:tcBorders>
            <w:shd w:val="clear" w:color="auto" w:fill="auto"/>
          </w:tcPr>
          <w:p w14:paraId="2499F9AB" w14:textId="77777777" w:rsidR="007D4D8A" w:rsidRPr="007E6DBE" w:rsidRDefault="007D4D8A" w:rsidP="001A0763">
            <w:pPr>
              <w:widowControl w:val="0"/>
              <w:autoSpaceDE w:val="0"/>
              <w:autoSpaceDN w:val="0"/>
              <w:adjustRightInd w:val="0"/>
              <w:rPr>
                <w:rFonts w:cstheme="minorHAnsi"/>
                <w:color w:val="000000"/>
                <w:sz w:val="20"/>
                <w:szCs w:val="20"/>
              </w:rPr>
            </w:pPr>
          </w:p>
        </w:tc>
        <w:tc>
          <w:tcPr>
            <w:tcW w:w="317" w:type="pct"/>
            <w:tcBorders>
              <w:top w:val="single" w:sz="4" w:space="0" w:color="auto"/>
              <w:left w:val="nil"/>
              <w:bottom w:val="single" w:sz="4" w:space="0" w:color="auto"/>
              <w:right w:val="nil"/>
            </w:tcBorders>
            <w:shd w:val="clear" w:color="auto" w:fill="auto"/>
          </w:tcPr>
          <w:p w14:paraId="420BC899" w14:textId="0722CA9D" w:rsidR="007D4D8A" w:rsidRPr="007E6DBE" w:rsidRDefault="007D4D8A" w:rsidP="001A0763">
            <w:pPr>
              <w:widowControl w:val="0"/>
              <w:autoSpaceDE w:val="0"/>
              <w:autoSpaceDN w:val="0"/>
              <w:adjustRightInd w:val="0"/>
              <w:rPr>
                <w:rFonts w:cstheme="minorHAnsi"/>
                <w:color w:val="000000"/>
                <w:sz w:val="20"/>
                <w:szCs w:val="20"/>
              </w:rPr>
            </w:pPr>
          </w:p>
        </w:tc>
        <w:tc>
          <w:tcPr>
            <w:tcW w:w="317" w:type="pct"/>
            <w:tcBorders>
              <w:top w:val="single" w:sz="4" w:space="0" w:color="auto"/>
              <w:left w:val="nil"/>
              <w:bottom w:val="single" w:sz="4" w:space="0" w:color="auto"/>
              <w:right w:val="nil"/>
            </w:tcBorders>
            <w:shd w:val="clear" w:color="auto" w:fill="auto"/>
          </w:tcPr>
          <w:p w14:paraId="591B6741" w14:textId="2B020266" w:rsidR="007D4D8A" w:rsidRPr="007E6DBE" w:rsidRDefault="007D4D8A" w:rsidP="001A0763">
            <w:pPr>
              <w:widowControl w:val="0"/>
              <w:autoSpaceDE w:val="0"/>
              <w:autoSpaceDN w:val="0"/>
              <w:adjustRightInd w:val="0"/>
              <w:jc w:val="right"/>
              <w:rPr>
                <w:rFonts w:cstheme="minorHAnsi"/>
                <w:color w:val="000000"/>
                <w:sz w:val="20"/>
                <w:szCs w:val="20"/>
              </w:rPr>
            </w:pPr>
          </w:p>
        </w:tc>
        <w:tc>
          <w:tcPr>
            <w:tcW w:w="316" w:type="pct"/>
            <w:tcBorders>
              <w:top w:val="single" w:sz="4" w:space="0" w:color="auto"/>
              <w:left w:val="nil"/>
              <w:bottom w:val="single" w:sz="4" w:space="0" w:color="auto"/>
              <w:right w:val="nil"/>
            </w:tcBorders>
            <w:shd w:val="clear" w:color="auto" w:fill="auto"/>
          </w:tcPr>
          <w:p w14:paraId="0B550202" w14:textId="613435D4" w:rsidR="007D4D8A" w:rsidRPr="007E6DBE" w:rsidRDefault="007D4D8A" w:rsidP="001A0763">
            <w:pPr>
              <w:widowControl w:val="0"/>
              <w:autoSpaceDE w:val="0"/>
              <w:autoSpaceDN w:val="0"/>
              <w:adjustRightInd w:val="0"/>
              <w:jc w:val="right"/>
              <w:rPr>
                <w:rFonts w:cstheme="minorHAnsi"/>
                <w:color w:val="000000"/>
                <w:sz w:val="20"/>
                <w:szCs w:val="20"/>
              </w:rPr>
            </w:pPr>
          </w:p>
        </w:tc>
      </w:tr>
      <w:tr w:rsidR="007F2345" w:rsidRPr="007E6DBE" w14:paraId="150B5413" w14:textId="77777777" w:rsidTr="001A0763">
        <w:tc>
          <w:tcPr>
            <w:tcW w:w="514" w:type="pct"/>
            <w:shd w:val="clear" w:color="auto" w:fill="auto"/>
          </w:tcPr>
          <w:p w14:paraId="0148A29D" w14:textId="77777777" w:rsidR="007D4D8A" w:rsidRPr="007E6DBE" w:rsidRDefault="007D4D8A" w:rsidP="001A0763">
            <w:pPr>
              <w:rPr>
                <w:rFonts w:cstheme="minorHAnsi"/>
                <w:b/>
                <w:bCs/>
                <w:color w:val="000000"/>
                <w:sz w:val="20"/>
                <w:szCs w:val="20"/>
              </w:rPr>
            </w:pPr>
          </w:p>
        </w:tc>
        <w:tc>
          <w:tcPr>
            <w:tcW w:w="2615" w:type="pct"/>
            <w:vMerge/>
            <w:shd w:val="clear" w:color="auto" w:fill="auto"/>
          </w:tcPr>
          <w:p w14:paraId="5A9306A6" w14:textId="77777777" w:rsidR="007D4D8A" w:rsidRPr="007E6DBE" w:rsidRDefault="007D4D8A" w:rsidP="001A0763">
            <w:pPr>
              <w:rPr>
                <w:rFonts w:cstheme="minorHAnsi"/>
                <w:color w:val="000000"/>
                <w:sz w:val="20"/>
                <w:szCs w:val="20"/>
              </w:rPr>
            </w:pPr>
          </w:p>
        </w:tc>
        <w:tc>
          <w:tcPr>
            <w:tcW w:w="725" w:type="pct"/>
            <w:tcBorders>
              <w:top w:val="single" w:sz="4" w:space="0" w:color="auto"/>
            </w:tcBorders>
            <w:shd w:val="clear" w:color="auto" w:fill="auto"/>
          </w:tcPr>
          <w:p w14:paraId="5572EF30" w14:textId="77777777" w:rsidR="007D4D8A" w:rsidRPr="007E6DBE" w:rsidRDefault="007D4D8A" w:rsidP="001A0763">
            <w:pPr>
              <w:rPr>
                <w:rFonts w:cstheme="minorHAnsi"/>
                <w:color w:val="000000"/>
                <w:sz w:val="20"/>
                <w:szCs w:val="20"/>
              </w:rPr>
            </w:pPr>
            <w:r w:rsidRPr="007E6DBE">
              <w:rPr>
                <w:rFonts w:cstheme="minorHAnsi"/>
                <w:color w:val="000000"/>
                <w:sz w:val="20"/>
                <w:szCs w:val="20"/>
              </w:rPr>
              <w:t>Cross-validated</w:t>
            </w:r>
          </w:p>
        </w:tc>
        <w:tc>
          <w:tcPr>
            <w:tcW w:w="196" w:type="pct"/>
            <w:tcBorders>
              <w:top w:val="single" w:sz="4" w:space="0" w:color="auto"/>
            </w:tcBorders>
            <w:shd w:val="clear" w:color="auto" w:fill="auto"/>
          </w:tcPr>
          <w:p w14:paraId="354EE46C" w14:textId="77777777" w:rsidR="007D4D8A" w:rsidRPr="007E6DBE" w:rsidRDefault="007D4D8A" w:rsidP="001A0763">
            <w:pPr>
              <w:widowControl w:val="0"/>
              <w:autoSpaceDE w:val="0"/>
              <w:autoSpaceDN w:val="0"/>
              <w:adjustRightInd w:val="0"/>
              <w:rPr>
                <w:rFonts w:cstheme="minorHAnsi"/>
                <w:color w:val="000000"/>
                <w:sz w:val="20"/>
                <w:szCs w:val="20"/>
              </w:rPr>
            </w:pPr>
            <w:r w:rsidRPr="007E6DBE">
              <w:rPr>
                <w:rFonts w:cstheme="minorHAnsi"/>
                <w:color w:val="000000"/>
                <w:sz w:val="20"/>
                <w:szCs w:val="20"/>
              </w:rPr>
              <w:t>PIQ</w:t>
            </w:r>
          </w:p>
        </w:tc>
        <w:tc>
          <w:tcPr>
            <w:tcW w:w="317" w:type="pct"/>
            <w:tcBorders>
              <w:top w:val="single" w:sz="4" w:space="0" w:color="auto"/>
            </w:tcBorders>
            <w:shd w:val="clear" w:color="auto" w:fill="auto"/>
            <w:vAlign w:val="center"/>
          </w:tcPr>
          <w:p w14:paraId="2E9DD0DD" w14:textId="77777777" w:rsidR="007D4D8A" w:rsidRPr="007E6DBE" w:rsidRDefault="007D4D8A" w:rsidP="001A0763">
            <w:pPr>
              <w:widowControl w:val="0"/>
              <w:autoSpaceDE w:val="0"/>
              <w:autoSpaceDN w:val="0"/>
              <w:adjustRightInd w:val="0"/>
              <w:jc w:val="right"/>
              <w:rPr>
                <w:rFonts w:cstheme="minorHAnsi"/>
                <w:color w:val="000000"/>
                <w:sz w:val="20"/>
                <w:szCs w:val="20"/>
              </w:rPr>
            </w:pPr>
            <w:r w:rsidRPr="007E6DBE">
              <w:rPr>
                <w:rFonts w:cstheme="minorHAnsi"/>
                <w:color w:val="000000"/>
                <w:sz w:val="20"/>
                <w:szCs w:val="20"/>
              </w:rPr>
              <w:t>100</w:t>
            </w:r>
          </w:p>
        </w:tc>
        <w:tc>
          <w:tcPr>
            <w:tcW w:w="317" w:type="pct"/>
            <w:tcBorders>
              <w:top w:val="single" w:sz="4" w:space="0" w:color="auto"/>
            </w:tcBorders>
            <w:shd w:val="clear" w:color="auto" w:fill="auto"/>
            <w:vAlign w:val="center"/>
          </w:tcPr>
          <w:p w14:paraId="776268A7" w14:textId="77777777" w:rsidR="007D4D8A" w:rsidRPr="007E6DBE" w:rsidRDefault="007D4D8A" w:rsidP="001A0763">
            <w:pPr>
              <w:widowControl w:val="0"/>
              <w:autoSpaceDE w:val="0"/>
              <w:autoSpaceDN w:val="0"/>
              <w:adjustRightInd w:val="0"/>
              <w:jc w:val="right"/>
              <w:rPr>
                <w:rFonts w:cstheme="minorHAnsi"/>
                <w:color w:val="000000"/>
                <w:sz w:val="20"/>
                <w:szCs w:val="20"/>
              </w:rPr>
            </w:pPr>
            <w:r w:rsidRPr="007E6DBE">
              <w:rPr>
                <w:rFonts w:cstheme="minorHAnsi"/>
                <w:color w:val="000000"/>
                <w:sz w:val="20"/>
                <w:szCs w:val="20"/>
              </w:rPr>
              <w:t>0</w:t>
            </w:r>
          </w:p>
        </w:tc>
        <w:tc>
          <w:tcPr>
            <w:tcW w:w="316" w:type="pct"/>
            <w:tcBorders>
              <w:top w:val="single" w:sz="4" w:space="0" w:color="auto"/>
            </w:tcBorders>
            <w:shd w:val="clear" w:color="auto" w:fill="auto"/>
            <w:vAlign w:val="center"/>
          </w:tcPr>
          <w:p w14:paraId="1555BB9E" w14:textId="77777777" w:rsidR="007D4D8A" w:rsidRPr="007E6DBE" w:rsidRDefault="007D4D8A" w:rsidP="001A0763">
            <w:pPr>
              <w:widowControl w:val="0"/>
              <w:autoSpaceDE w:val="0"/>
              <w:autoSpaceDN w:val="0"/>
              <w:adjustRightInd w:val="0"/>
              <w:jc w:val="right"/>
              <w:rPr>
                <w:rFonts w:cstheme="minorHAnsi"/>
                <w:color w:val="000000"/>
                <w:sz w:val="20"/>
                <w:szCs w:val="20"/>
              </w:rPr>
            </w:pPr>
            <w:r w:rsidRPr="007E6DBE">
              <w:rPr>
                <w:rFonts w:cstheme="minorHAnsi"/>
                <w:color w:val="000000"/>
                <w:sz w:val="20"/>
                <w:szCs w:val="20"/>
              </w:rPr>
              <w:t>0</w:t>
            </w:r>
          </w:p>
        </w:tc>
      </w:tr>
      <w:tr w:rsidR="007F2345" w:rsidRPr="007E6DBE" w14:paraId="372587E3" w14:textId="77777777" w:rsidTr="0070307D">
        <w:tc>
          <w:tcPr>
            <w:tcW w:w="514" w:type="pct"/>
            <w:tcBorders>
              <w:left w:val="nil"/>
              <w:right w:val="nil"/>
            </w:tcBorders>
            <w:shd w:val="clear" w:color="auto" w:fill="auto"/>
          </w:tcPr>
          <w:p w14:paraId="6EA50ECD" w14:textId="77777777" w:rsidR="007D4D8A" w:rsidRPr="007E6DBE" w:rsidRDefault="007D4D8A" w:rsidP="001A0763">
            <w:pPr>
              <w:rPr>
                <w:rFonts w:cstheme="minorHAnsi"/>
                <w:b/>
                <w:bCs/>
                <w:color w:val="000000"/>
                <w:sz w:val="20"/>
                <w:szCs w:val="20"/>
              </w:rPr>
            </w:pPr>
          </w:p>
        </w:tc>
        <w:tc>
          <w:tcPr>
            <w:tcW w:w="2615" w:type="pct"/>
            <w:vMerge/>
            <w:tcBorders>
              <w:left w:val="nil"/>
              <w:right w:val="nil"/>
            </w:tcBorders>
            <w:shd w:val="clear" w:color="auto" w:fill="auto"/>
          </w:tcPr>
          <w:p w14:paraId="4D35CDA0" w14:textId="77777777" w:rsidR="007D4D8A" w:rsidRPr="007E6DBE" w:rsidRDefault="007D4D8A" w:rsidP="001A0763">
            <w:pPr>
              <w:rPr>
                <w:rFonts w:cstheme="minorHAnsi"/>
                <w:color w:val="000000"/>
                <w:sz w:val="20"/>
                <w:szCs w:val="20"/>
              </w:rPr>
            </w:pPr>
          </w:p>
        </w:tc>
        <w:tc>
          <w:tcPr>
            <w:tcW w:w="725" w:type="pct"/>
            <w:tcBorders>
              <w:left w:val="nil"/>
              <w:right w:val="nil"/>
            </w:tcBorders>
            <w:shd w:val="clear" w:color="auto" w:fill="auto"/>
          </w:tcPr>
          <w:p w14:paraId="241E5668" w14:textId="77777777" w:rsidR="007D4D8A" w:rsidRPr="007E6DBE" w:rsidRDefault="007D4D8A" w:rsidP="001A0763">
            <w:pPr>
              <w:rPr>
                <w:rFonts w:cstheme="minorHAnsi"/>
                <w:color w:val="000000"/>
                <w:sz w:val="20"/>
                <w:szCs w:val="20"/>
              </w:rPr>
            </w:pPr>
          </w:p>
        </w:tc>
        <w:tc>
          <w:tcPr>
            <w:tcW w:w="196" w:type="pct"/>
            <w:tcBorders>
              <w:left w:val="nil"/>
              <w:right w:val="nil"/>
            </w:tcBorders>
            <w:shd w:val="clear" w:color="auto" w:fill="E7E6E6" w:themeFill="background2"/>
          </w:tcPr>
          <w:p w14:paraId="3AE5A11C" w14:textId="77777777" w:rsidR="007D4D8A" w:rsidRPr="007E6DBE" w:rsidRDefault="007D4D8A" w:rsidP="001A0763">
            <w:pPr>
              <w:widowControl w:val="0"/>
              <w:autoSpaceDE w:val="0"/>
              <w:autoSpaceDN w:val="0"/>
              <w:adjustRightInd w:val="0"/>
              <w:rPr>
                <w:rFonts w:cstheme="minorHAnsi"/>
                <w:color w:val="000000"/>
                <w:sz w:val="20"/>
                <w:szCs w:val="20"/>
              </w:rPr>
            </w:pPr>
            <w:r w:rsidRPr="007E6DBE">
              <w:rPr>
                <w:rFonts w:cstheme="minorHAnsi"/>
                <w:color w:val="000000"/>
                <w:sz w:val="20"/>
                <w:szCs w:val="20"/>
              </w:rPr>
              <w:t>CIQ</w:t>
            </w:r>
          </w:p>
        </w:tc>
        <w:tc>
          <w:tcPr>
            <w:tcW w:w="317" w:type="pct"/>
            <w:tcBorders>
              <w:left w:val="nil"/>
              <w:right w:val="nil"/>
            </w:tcBorders>
            <w:shd w:val="clear" w:color="auto" w:fill="E7E6E6" w:themeFill="background2"/>
            <w:vAlign w:val="center"/>
          </w:tcPr>
          <w:p w14:paraId="16627409" w14:textId="77777777" w:rsidR="007D4D8A" w:rsidRPr="007E6DBE" w:rsidRDefault="007D4D8A" w:rsidP="001A0763">
            <w:pPr>
              <w:widowControl w:val="0"/>
              <w:autoSpaceDE w:val="0"/>
              <w:autoSpaceDN w:val="0"/>
              <w:adjustRightInd w:val="0"/>
              <w:jc w:val="right"/>
              <w:rPr>
                <w:rFonts w:cstheme="minorHAnsi"/>
                <w:color w:val="000000"/>
                <w:sz w:val="20"/>
                <w:szCs w:val="20"/>
              </w:rPr>
            </w:pPr>
            <w:r w:rsidRPr="007E6DBE">
              <w:rPr>
                <w:rFonts w:cstheme="minorHAnsi"/>
                <w:color w:val="000000"/>
                <w:sz w:val="20"/>
                <w:szCs w:val="20"/>
              </w:rPr>
              <w:t>0</w:t>
            </w:r>
          </w:p>
        </w:tc>
        <w:tc>
          <w:tcPr>
            <w:tcW w:w="317" w:type="pct"/>
            <w:tcBorders>
              <w:left w:val="nil"/>
              <w:right w:val="nil"/>
            </w:tcBorders>
            <w:shd w:val="clear" w:color="auto" w:fill="E7E6E6" w:themeFill="background2"/>
            <w:vAlign w:val="center"/>
          </w:tcPr>
          <w:p w14:paraId="5A0A2DF9" w14:textId="77777777" w:rsidR="007D4D8A" w:rsidRPr="007E6DBE" w:rsidRDefault="007D4D8A" w:rsidP="001A0763">
            <w:pPr>
              <w:widowControl w:val="0"/>
              <w:autoSpaceDE w:val="0"/>
              <w:autoSpaceDN w:val="0"/>
              <w:adjustRightInd w:val="0"/>
              <w:jc w:val="right"/>
              <w:rPr>
                <w:rFonts w:cstheme="minorHAnsi"/>
                <w:color w:val="000000"/>
                <w:sz w:val="20"/>
                <w:szCs w:val="20"/>
              </w:rPr>
            </w:pPr>
            <w:r w:rsidRPr="007E6DBE">
              <w:rPr>
                <w:rFonts w:cstheme="minorHAnsi"/>
                <w:color w:val="000000"/>
                <w:sz w:val="20"/>
                <w:szCs w:val="20"/>
              </w:rPr>
              <w:t>85.7</w:t>
            </w:r>
          </w:p>
        </w:tc>
        <w:tc>
          <w:tcPr>
            <w:tcW w:w="316" w:type="pct"/>
            <w:tcBorders>
              <w:left w:val="nil"/>
              <w:right w:val="nil"/>
            </w:tcBorders>
            <w:shd w:val="clear" w:color="auto" w:fill="E7E6E6" w:themeFill="background2"/>
            <w:vAlign w:val="center"/>
          </w:tcPr>
          <w:p w14:paraId="539285D8" w14:textId="77777777" w:rsidR="007D4D8A" w:rsidRPr="007E6DBE" w:rsidRDefault="007D4D8A" w:rsidP="001A0763">
            <w:pPr>
              <w:widowControl w:val="0"/>
              <w:autoSpaceDE w:val="0"/>
              <w:autoSpaceDN w:val="0"/>
              <w:adjustRightInd w:val="0"/>
              <w:jc w:val="right"/>
              <w:rPr>
                <w:rFonts w:cstheme="minorHAnsi"/>
                <w:color w:val="000000"/>
                <w:sz w:val="20"/>
                <w:szCs w:val="20"/>
              </w:rPr>
            </w:pPr>
            <w:r w:rsidRPr="007E6DBE">
              <w:rPr>
                <w:rFonts w:cstheme="minorHAnsi"/>
                <w:color w:val="000000"/>
                <w:sz w:val="20"/>
                <w:szCs w:val="20"/>
              </w:rPr>
              <w:t>14.3</w:t>
            </w:r>
          </w:p>
        </w:tc>
      </w:tr>
      <w:tr w:rsidR="007F2345" w:rsidRPr="007E6DBE" w14:paraId="355C02B6" w14:textId="77777777" w:rsidTr="001A0763">
        <w:tc>
          <w:tcPr>
            <w:tcW w:w="514" w:type="pct"/>
            <w:shd w:val="clear" w:color="auto" w:fill="auto"/>
          </w:tcPr>
          <w:p w14:paraId="35DACFD4" w14:textId="77777777" w:rsidR="007D4D8A" w:rsidRPr="007E6DBE" w:rsidRDefault="007D4D8A" w:rsidP="001A0763">
            <w:pPr>
              <w:rPr>
                <w:rFonts w:cstheme="minorHAnsi"/>
                <w:b/>
                <w:bCs/>
                <w:color w:val="000000"/>
                <w:sz w:val="20"/>
                <w:szCs w:val="20"/>
              </w:rPr>
            </w:pPr>
          </w:p>
        </w:tc>
        <w:tc>
          <w:tcPr>
            <w:tcW w:w="2615" w:type="pct"/>
            <w:vMerge/>
            <w:shd w:val="clear" w:color="auto" w:fill="auto"/>
          </w:tcPr>
          <w:p w14:paraId="2663D2FB" w14:textId="77777777" w:rsidR="007D4D8A" w:rsidRPr="007E6DBE" w:rsidRDefault="007D4D8A" w:rsidP="001A0763">
            <w:pPr>
              <w:rPr>
                <w:rFonts w:cstheme="minorHAnsi"/>
                <w:color w:val="000000"/>
                <w:sz w:val="20"/>
                <w:szCs w:val="20"/>
              </w:rPr>
            </w:pPr>
          </w:p>
        </w:tc>
        <w:tc>
          <w:tcPr>
            <w:tcW w:w="725" w:type="pct"/>
            <w:tcBorders>
              <w:bottom w:val="single" w:sz="4" w:space="0" w:color="auto"/>
            </w:tcBorders>
            <w:shd w:val="clear" w:color="auto" w:fill="auto"/>
          </w:tcPr>
          <w:p w14:paraId="5EA1AE4A" w14:textId="77777777" w:rsidR="007D4D8A" w:rsidRPr="007E6DBE" w:rsidRDefault="007D4D8A" w:rsidP="001A0763">
            <w:pPr>
              <w:rPr>
                <w:rFonts w:cstheme="minorHAnsi"/>
                <w:color w:val="000000"/>
                <w:sz w:val="20"/>
                <w:szCs w:val="20"/>
              </w:rPr>
            </w:pPr>
          </w:p>
        </w:tc>
        <w:tc>
          <w:tcPr>
            <w:tcW w:w="196" w:type="pct"/>
            <w:tcBorders>
              <w:bottom w:val="single" w:sz="4" w:space="0" w:color="auto"/>
            </w:tcBorders>
            <w:shd w:val="clear" w:color="auto" w:fill="auto"/>
          </w:tcPr>
          <w:p w14:paraId="7BA8352E" w14:textId="77777777" w:rsidR="007D4D8A" w:rsidRPr="007E6DBE" w:rsidRDefault="007D4D8A" w:rsidP="001A0763">
            <w:pPr>
              <w:widowControl w:val="0"/>
              <w:autoSpaceDE w:val="0"/>
              <w:autoSpaceDN w:val="0"/>
              <w:adjustRightInd w:val="0"/>
              <w:rPr>
                <w:rFonts w:cstheme="minorHAnsi"/>
                <w:color w:val="000000"/>
                <w:sz w:val="20"/>
                <w:szCs w:val="20"/>
              </w:rPr>
            </w:pPr>
            <w:r w:rsidRPr="007E6DBE">
              <w:rPr>
                <w:rFonts w:cstheme="minorHAnsi"/>
                <w:color w:val="000000"/>
                <w:sz w:val="20"/>
                <w:szCs w:val="20"/>
              </w:rPr>
              <w:t>DIQ</w:t>
            </w:r>
          </w:p>
        </w:tc>
        <w:tc>
          <w:tcPr>
            <w:tcW w:w="317" w:type="pct"/>
            <w:tcBorders>
              <w:bottom w:val="single" w:sz="4" w:space="0" w:color="auto"/>
            </w:tcBorders>
            <w:shd w:val="clear" w:color="auto" w:fill="auto"/>
            <w:vAlign w:val="center"/>
          </w:tcPr>
          <w:p w14:paraId="7F0D1FEA" w14:textId="77777777" w:rsidR="007D4D8A" w:rsidRPr="007E6DBE" w:rsidRDefault="007D4D8A" w:rsidP="001A0763">
            <w:pPr>
              <w:widowControl w:val="0"/>
              <w:autoSpaceDE w:val="0"/>
              <w:autoSpaceDN w:val="0"/>
              <w:adjustRightInd w:val="0"/>
              <w:jc w:val="right"/>
              <w:rPr>
                <w:rFonts w:cstheme="minorHAnsi"/>
                <w:color w:val="000000"/>
                <w:sz w:val="20"/>
                <w:szCs w:val="20"/>
              </w:rPr>
            </w:pPr>
            <w:r w:rsidRPr="007E6DBE">
              <w:rPr>
                <w:rFonts w:cstheme="minorHAnsi"/>
                <w:color w:val="000000"/>
                <w:sz w:val="20"/>
                <w:szCs w:val="20"/>
              </w:rPr>
              <w:t>0</w:t>
            </w:r>
          </w:p>
        </w:tc>
        <w:tc>
          <w:tcPr>
            <w:tcW w:w="317" w:type="pct"/>
            <w:tcBorders>
              <w:bottom w:val="single" w:sz="4" w:space="0" w:color="auto"/>
            </w:tcBorders>
            <w:shd w:val="clear" w:color="auto" w:fill="auto"/>
            <w:vAlign w:val="center"/>
          </w:tcPr>
          <w:p w14:paraId="358E5E1A" w14:textId="77777777" w:rsidR="007D4D8A" w:rsidRPr="007E6DBE" w:rsidRDefault="007D4D8A" w:rsidP="001A0763">
            <w:pPr>
              <w:widowControl w:val="0"/>
              <w:autoSpaceDE w:val="0"/>
              <w:autoSpaceDN w:val="0"/>
              <w:adjustRightInd w:val="0"/>
              <w:jc w:val="right"/>
              <w:rPr>
                <w:rFonts w:cstheme="minorHAnsi"/>
                <w:color w:val="000000"/>
                <w:sz w:val="20"/>
                <w:szCs w:val="20"/>
              </w:rPr>
            </w:pPr>
            <w:r w:rsidRPr="007E6DBE">
              <w:rPr>
                <w:rFonts w:cstheme="minorHAnsi"/>
                <w:color w:val="000000"/>
                <w:sz w:val="20"/>
                <w:szCs w:val="20"/>
              </w:rPr>
              <w:t>0</w:t>
            </w:r>
          </w:p>
        </w:tc>
        <w:tc>
          <w:tcPr>
            <w:tcW w:w="316" w:type="pct"/>
            <w:tcBorders>
              <w:bottom w:val="single" w:sz="4" w:space="0" w:color="auto"/>
            </w:tcBorders>
            <w:shd w:val="clear" w:color="auto" w:fill="auto"/>
            <w:vAlign w:val="center"/>
          </w:tcPr>
          <w:p w14:paraId="31BCDC4B" w14:textId="77777777" w:rsidR="007D4D8A" w:rsidRPr="007E6DBE" w:rsidRDefault="007D4D8A" w:rsidP="001A0763">
            <w:pPr>
              <w:widowControl w:val="0"/>
              <w:autoSpaceDE w:val="0"/>
              <w:autoSpaceDN w:val="0"/>
              <w:adjustRightInd w:val="0"/>
              <w:jc w:val="right"/>
              <w:rPr>
                <w:rFonts w:cstheme="minorHAnsi"/>
                <w:color w:val="000000"/>
                <w:sz w:val="20"/>
                <w:szCs w:val="20"/>
              </w:rPr>
            </w:pPr>
            <w:r w:rsidRPr="007E6DBE">
              <w:rPr>
                <w:rFonts w:cstheme="minorHAnsi"/>
                <w:color w:val="000000"/>
                <w:sz w:val="20"/>
                <w:szCs w:val="20"/>
              </w:rPr>
              <w:t>100</w:t>
            </w:r>
          </w:p>
        </w:tc>
      </w:tr>
      <w:tr w:rsidR="007D4D8A" w:rsidRPr="007E6DBE" w14:paraId="1AC3A9D8" w14:textId="77777777" w:rsidTr="001A0763">
        <w:tc>
          <w:tcPr>
            <w:tcW w:w="514" w:type="pct"/>
            <w:tcBorders>
              <w:left w:val="nil"/>
              <w:right w:val="nil"/>
            </w:tcBorders>
            <w:shd w:val="clear" w:color="auto" w:fill="auto"/>
          </w:tcPr>
          <w:p w14:paraId="25E0D550" w14:textId="77777777" w:rsidR="007D4D8A" w:rsidRPr="007E6DBE" w:rsidRDefault="007D4D8A" w:rsidP="001A0763">
            <w:pPr>
              <w:rPr>
                <w:rFonts w:cstheme="minorHAnsi"/>
                <w:b/>
                <w:bCs/>
                <w:color w:val="000000"/>
                <w:sz w:val="20"/>
                <w:szCs w:val="20"/>
              </w:rPr>
            </w:pPr>
          </w:p>
        </w:tc>
        <w:tc>
          <w:tcPr>
            <w:tcW w:w="2615" w:type="pct"/>
            <w:tcBorders>
              <w:left w:val="nil"/>
              <w:right w:val="nil"/>
            </w:tcBorders>
            <w:shd w:val="clear" w:color="auto" w:fill="auto"/>
          </w:tcPr>
          <w:p w14:paraId="3D6425B2" w14:textId="77777777" w:rsidR="007D4D8A" w:rsidRPr="007E6DBE" w:rsidRDefault="007D4D8A" w:rsidP="001A0763">
            <w:pPr>
              <w:rPr>
                <w:rFonts w:cstheme="minorHAnsi"/>
                <w:color w:val="000000"/>
                <w:sz w:val="20"/>
                <w:szCs w:val="20"/>
              </w:rPr>
            </w:pPr>
          </w:p>
        </w:tc>
        <w:tc>
          <w:tcPr>
            <w:tcW w:w="1870" w:type="pct"/>
            <w:gridSpan w:val="5"/>
            <w:tcBorders>
              <w:top w:val="single" w:sz="4" w:space="0" w:color="auto"/>
              <w:left w:val="nil"/>
              <w:bottom w:val="single" w:sz="8" w:space="0" w:color="000000"/>
              <w:right w:val="nil"/>
            </w:tcBorders>
            <w:shd w:val="clear" w:color="auto" w:fill="auto"/>
          </w:tcPr>
          <w:p w14:paraId="4606EA04" w14:textId="77777777" w:rsidR="007D4D8A" w:rsidRPr="007E6DBE" w:rsidRDefault="007D4D8A" w:rsidP="001A0763">
            <w:pPr>
              <w:widowControl w:val="0"/>
              <w:autoSpaceDE w:val="0"/>
              <w:autoSpaceDN w:val="0"/>
              <w:adjustRightInd w:val="0"/>
              <w:rPr>
                <w:rFonts w:cstheme="minorHAnsi"/>
                <w:color w:val="000000"/>
                <w:sz w:val="20"/>
                <w:szCs w:val="20"/>
              </w:rPr>
            </w:pPr>
            <w:r w:rsidRPr="007E6DBE">
              <w:rPr>
                <w:rFonts w:cstheme="minorHAnsi"/>
                <w:color w:val="000000"/>
                <w:sz w:val="20"/>
                <w:szCs w:val="20"/>
              </w:rPr>
              <w:t xml:space="preserve">96.4% of original grouped cases </w:t>
            </w:r>
          </w:p>
          <w:p w14:paraId="124C78D1" w14:textId="77777777" w:rsidR="007D4D8A" w:rsidRPr="007E6DBE" w:rsidRDefault="007D4D8A" w:rsidP="001A0763">
            <w:pPr>
              <w:widowControl w:val="0"/>
              <w:autoSpaceDE w:val="0"/>
              <w:autoSpaceDN w:val="0"/>
              <w:adjustRightInd w:val="0"/>
              <w:rPr>
                <w:rFonts w:cstheme="minorHAnsi"/>
                <w:color w:val="000000"/>
                <w:sz w:val="20"/>
                <w:szCs w:val="20"/>
              </w:rPr>
            </w:pPr>
            <w:r w:rsidRPr="007E6DBE">
              <w:rPr>
                <w:rFonts w:cstheme="minorHAnsi"/>
                <w:color w:val="000000"/>
                <w:sz w:val="20"/>
                <w:szCs w:val="20"/>
              </w:rPr>
              <w:t>94.5% of cross-validated grouped cases correctly classified</w:t>
            </w:r>
          </w:p>
        </w:tc>
      </w:tr>
    </w:tbl>
    <w:p w14:paraId="5F57749F" w14:textId="77777777" w:rsidR="007D4D8A" w:rsidRPr="00D16056" w:rsidRDefault="007D4D8A" w:rsidP="007D4D8A">
      <w:pPr>
        <w:widowControl w:val="0"/>
        <w:autoSpaceDE w:val="0"/>
        <w:autoSpaceDN w:val="0"/>
        <w:adjustRightInd w:val="0"/>
        <w:spacing w:line="400" w:lineRule="atLeast"/>
        <w:rPr>
          <w:rFonts w:ascii="Times New Roman" w:hAnsi="Times New Roman"/>
        </w:rPr>
      </w:pPr>
    </w:p>
    <w:p w14:paraId="4608D15E" w14:textId="5D47EA45" w:rsidR="007217B8" w:rsidRDefault="007217B8" w:rsidP="00035C08">
      <w:pPr>
        <w:rPr>
          <w:b/>
          <w:bCs/>
        </w:rPr>
      </w:pPr>
    </w:p>
    <w:p w14:paraId="2AF33049" w14:textId="77777777" w:rsidR="007F2345" w:rsidRDefault="007F2345" w:rsidP="00035C08">
      <w:pPr>
        <w:rPr>
          <w:b/>
          <w:bCs/>
        </w:rPr>
      </w:pPr>
    </w:p>
    <w:p w14:paraId="4EC5492F" w14:textId="01957DD9" w:rsidR="007D4D8A" w:rsidRDefault="007D4D8A" w:rsidP="00035C08">
      <w:pPr>
        <w:rPr>
          <w:b/>
          <w:bCs/>
        </w:rPr>
      </w:pPr>
    </w:p>
    <w:p w14:paraId="5F09A547" w14:textId="10167E85" w:rsidR="007D4D8A" w:rsidRDefault="007D4D8A" w:rsidP="00035C08">
      <w:pPr>
        <w:rPr>
          <w:b/>
          <w:bCs/>
        </w:rPr>
      </w:pPr>
    </w:p>
    <w:p w14:paraId="4A007E92" w14:textId="1004811B" w:rsidR="007D4D8A" w:rsidRDefault="007D4D8A" w:rsidP="00035C08">
      <w:pPr>
        <w:rPr>
          <w:b/>
          <w:bCs/>
        </w:rPr>
      </w:pPr>
    </w:p>
    <w:p w14:paraId="17D9A906" w14:textId="77777777" w:rsidR="007D4D8A" w:rsidRDefault="007D4D8A" w:rsidP="00035C08">
      <w:pPr>
        <w:rPr>
          <w:b/>
          <w:bCs/>
        </w:rPr>
      </w:pPr>
    </w:p>
    <w:p w14:paraId="52916848" w14:textId="48391818" w:rsidR="007C2E12" w:rsidRPr="00D84DA2" w:rsidRDefault="007C2E12" w:rsidP="007C2E12">
      <w:pPr>
        <w:spacing w:line="360" w:lineRule="auto"/>
        <w:rPr>
          <w:rFonts w:cstheme="minorHAnsi"/>
          <w:b/>
          <w:bCs/>
          <w:shd w:val="clear" w:color="auto" w:fill="FFFFFF"/>
        </w:rPr>
      </w:pPr>
      <w:r w:rsidRPr="00D84DA2">
        <w:rPr>
          <w:rFonts w:cstheme="minorHAnsi"/>
          <w:b/>
          <w:bCs/>
          <w:shd w:val="clear" w:color="auto" w:fill="FFFFFF"/>
        </w:rPr>
        <w:t xml:space="preserve">Supplementary Table </w:t>
      </w:r>
      <w:r w:rsidR="007D4D8A">
        <w:rPr>
          <w:rFonts w:cstheme="minorHAnsi"/>
          <w:b/>
          <w:bCs/>
          <w:shd w:val="clear" w:color="auto" w:fill="FFFFFF"/>
        </w:rPr>
        <w:t>4</w:t>
      </w:r>
      <w:r w:rsidRPr="00D84DA2">
        <w:rPr>
          <w:rFonts w:cstheme="minorHAnsi"/>
          <w:b/>
          <w:bCs/>
          <w:shd w:val="clear" w:color="auto" w:fill="FFFFFF"/>
        </w:rPr>
        <w:t xml:space="preserve"> (S</w:t>
      </w:r>
      <w:r w:rsidR="007D4D8A">
        <w:rPr>
          <w:rFonts w:cstheme="minorHAnsi"/>
          <w:b/>
          <w:bCs/>
          <w:shd w:val="clear" w:color="auto" w:fill="FFFFFF"/>
        </w:rPr>
        <w:t>4</w:t>
      </w:r>
      <w:r w:rsidRPr="00D84DA2">
        <w:rPr>
          <w:rFonts w:cstheme="minorHAnsi"/>
          <w:b/>
          <w:bCs/>
          <w:shd w:val="clear" w:color="auto" w:fill="FFFFFF"/>
        </w:rPr>
        <w:t>): Between group comparison of BMI</w:t>
      </w:r>
    </w:p>
    <w:tbl>
      <w:tblPr>
        <w:tblStyle w:val="TableGrid"/>
        <w:tblW w:w="11623" w:type="dxa"/>
        <w:tblLook w:val="04A0" w:firstRow="1" w:lastRow="0" w:firstColumn="1" w:lastColumn="0" w:noHBand="0" w:noVBand="1"/>
      </w:tblPr>
      <w:tblGrid>
        <w:gridCol w:w="2324"/>
        <w:gridCol w:w="2324"/>
        <w:gridCol w:w="2325"/>
        <w:gridCol w:w="2325"/>
        <w:gridCol w:w="2325"/>
      </w:tblGrid>
      <w:tr w:rsidR="007C2E12" w:rsidRPr="00D84DA2" w14:paraId="195F72FE" w14:textId="77777777" w:rsidTr="001A0763">
        <w:tc>
          <w:tcPr>
            <w:tcW w:w="2324" w:type="dxa"/>
            <w:shd w:val="clear" w:color="auto" w:fill="auto"/>
          </w:tcPr>
          <w:p w14:paraId="2F5A67CD" w14:textId="77777777" w:rsidR="007C2E12" w:rsidRPr="00D84DA2" w:rsidRDefault="007C2E12" w:rsidP="001A0763">
            <w:pPr>
              <w:spacing w:line="360" w:lineRule="auto"/>
              <w:rPr>
                <w:rFonts w:cstheme="minorHAnsi"/>
                <w:shd w:val="clear" w:color="auto" w:fill="FFFFFF"/>
              </w:rPr>
            </w:pPr>
          </w:p>
        </w:tc>
        <w:tc>
          <w:tcPr>
            <w:tcW w:w="2324" w:type="dxa"/>
            <w:shd w:val="clear" w:color="auto" w:fill="auto"/>
          </w:tcPr>
          <w:p w14:paraId="3A4CEE8D" w14:textId="77777777" w:rsidR="007C2E12" w:rsidRPr="00D84DA2" w:rsidRDefault="007C2E12" w:rsidP="001A0763">
            <w:pPr>
              <w:jc w:val="center"/>
              <w:rPr>
                <w:b/>
                <w:sz w:val="20"/>
                <w:szCs w:val="20"/>
              </w:rPr>
            </w:pPr>
            <w:r w:rsidRPr="00D84DA2">
              <w:rPr>
                <w:b/>
                <w:sz w:val="20"/>
                <w:szCs w:val="20"/>
              </w:rPr>
              <w:t>PIQ (n=57)</w:t>
            </w:r>
          </w:p>
          <w:p w14:paraId="34687136" w14:textId="77777777" w:rsidR="007C2E12" w:rsidRPr="00D84DA2" w:rsidRDefault="007C2E12" w:rsidP="001A0763">
            <w:pPr>
              <w:spacing w:line="360" w:lineRule="auto"/>
              <w:jc w:val="center"/>
              <w:rPr>
                <w:rFonts w:cstheme="minorHAnsi"/>
                <w:shd w:val="clear" w:color="auto" w:fill="FFFFFF"/>
              </w:rPr>
            </w:pPr>
            <w:r w:rsidRPr="00D84DA2">
              <w:rPr>
                <w:sz w:val="18"/>
                <w:szCs w:val="18"/>
              </w:rPr>
              <w:t>Mean (SD)</w:t>
            </w:r>
          </w:p>
        </w:tc>
        <w:tc>
          <w:tcPr>
            <w:tcW w:w="2325" w:type="dxa"/>
            <w:shd w:val="clear" w:color="auto" w:fill="auto"/>
          </w:tcPr>
          <w:p w14:paraId="25CC043A" w14:textId="77777777" w:rsidR="007C2E12" w:rsidRPr="00D84DA2" w:rsidRDefault="007C2E12" w:rsidP="001A0763">
            <w:pPr>
              <w:jc w:val="center"/>
              <w:rPr>
                <w:b/>
                <w:sz w:val="20"/>
                <w:szCs w:val="20"/>
              </w:rPr>
            </w:pPr>
            <w:r w:rsidRPr="00D84DA2">
              <w:rPr>
                <w:b/>
                <w:sz w:val="20"/>
                <w:szCs w:val="20"/>
              </w:rPr>
              <w:t>DIQ (n=61)</w:t>
            </w:r>
          </w:p>
          <w:p w14:paraId="1ECAF638" w14:textId="77777777" w:rsidR="007C2E12" w:rsidRPr="00D84DA2" w:rsidRDefault="007C2E12" w:rsidP="001A0763">
            <w:pPr>
              <w:spacing w:line="360" w:lineRule="auto"/>
              <w:jc w:val="center"/>
              <w:rPr>
                <w:rFonts w:cstheme="minorHAnsi"/>
                <w:shd w:val="clear" w:color="auto" w:fill="FFFFFF"/>
              </w:rPr>
            </w:pPr>
            <w:r w:rsidRPr="00D84DA2">
              <w:rPr>
                <w:sz w:val="18"/>
                <w:szCs w:val="18"/>
              </w:rPr>
              <w:t>Mean (SD)</w:t>
            </w:r>
          </w:p>
        </w:tc>
        <w:tc>
          <w:tcPr>
            <w:tcW w:w="2325" w:type="dxa"/>
            <w:shd w:val="clear" w:color="auto" w:fill="auto"/>
          </w:tcPr>
          <w:p w14:paraId="6B549151" w14:textId="77777777" w:rsidR="007C2E12" w:rsidRPr="00D84DA2" w:rsidRDefault="007C2E12" w:rsidP="001A0763">
            <w:pPr>
              <w:jc w:val="center"/>
              <w:rPr>
                <w:b/>
                <w:sz w:val="20"/>
                <w:szCs w:val="20"/>
              </w:rPr>
            </w:pPr>
            <w:r w:rsidRPr="00D84DA2">
              <w:rPr>
                <w:b/>
                <w:sz w:val="20"/>
                <w:szCs w:val="20"/>
              </w:rPr>
              <w:t>CIQ (n=43)</w:t>
            </w:r>
          </w:p>
          <w:p w14:paraId="2657BB80" w14:textId="77777777" w:rsidR="007C2E12" w:rsidRPr="00D84DA2" w:rsidRDefault="007C2E12" w:rsidP="001A0763">
            <w:pPr>
              <w:spacing w:line="360" w:lineRule="auto"/>
              <w:jc w:val="center"/>
              <w:rPr>
                <w:rFonts w:cstheme="minorHAnsi"/>
                <w:shd w:val="clear" w:color="auto" w:fill="FFFFFF"/>
              </w:rPr>
            </w:pPr>
            <w:r w:rsidRPr="00D84DA2">
              <w:rPr>
                <w:sz w:val="18"/>
                <w:szCs w:val="18"/>
              </w:rPr>
              <w:t>Mean (SD)</w:t>
            </w:r>
          </w:p>
        </w:tc>
        <w:tc>
          <w:tcPr>
            <w:tcW w:w="2325" w:type="dxa"/>
            <w:shd w:val="clear" w:color="auto" w:fill="auto"/>
          </w:tcPr>
          <w:p w14:paraId="0EC0E6B5" w14:textId="77777777" w:rsidR="007C2E12" w:rsidRPr="00D84DA2" w:rsidRDefault="007C2E12" w:rsidP="001A0763">
            <w:pPr>
              <w:spacing w:line="360" w:lineRule="auto"/>
              <w:jc w:val="center"/>
              <w:rPr>
                <w:rFonts w:cstheme="minorHAnsi"/>
                <w:shd w:val="clear" w:color="auto" w:fill="FFFFFF"/>
              </w:rPr>
            </w:pPr>
            <w:r w:rsidRPr="00D84DA2">
              <w:rPr>
                <w:b/>
              </w:rPr>
              <w:t>Main Effect</w:t>
            </w:r>
          </w:p>
        </w:tc>
      </w:tr>
      <w:tr w:rsidR="007C2E12" w14:paraId="13DF65EA" w14:textId="77777777" w:rsidTr="001A0763">
        <w:tc>
          <w:tcPr>
            <w:tcW w:w="2324" w:type="dxa"/>
            <w:shd w:val="clear" w:color="auto" w:fill="auto"/>
          </w:tcPr>
          <w:p w14:paraId="7DCB2774" w14:textId="77777777" w:rsidR="007C2E12" w:rsidRPr="00D84DA2" w:rsidRDefault="007C2E12" w:rsidP="001A0763">
            <w:pPr>
              <w:spacing w:line="360" w:lineRule="auto"/>
              <w:rPr>
                <w:rFonts w:cstheme="minorHAnsi"/>
                <w:shd w:val="clear" w:color="auto" w:fill="FFFFFF"/>
              </w:rPr>
            </w:pPr>
            <w:r w:rsidRPr="00D84DA2">
              <w:rPr>
                <w:sz w:val="20"/>
                <w:szCs w:val="20"/>
              </w:rPr>
              <w:t>Body Mass Index (BMI)</w:t>
            </w:r>
          </w:p>
        </w:tc>
        <w:tc>
          <w:tcPr>
            <w:tcW w:w="2324" w:type="dxa"/>
            <w:shd w:val="clear" w:color="auto" w:fill="auto"/>
          </w:tcPr>
          <w:p w14:paraId="75B57B48" w14:textId="77777777" w:rsidR="007C2E12" w:rsidRPr="00D84DA2" w:rsidRDefault="007C2E12" w:rsidP="001A0763">
            <w:pPr>
              <w:spacing w:line="360" w:lineRule="auto"/>
              <w:rPr>
                <w:rFonts w:cstheme="minorHAnsi"/>
                <w:shd w:val="clear" w:color="auto" w:fill="FFFFFF"/>
              </w:rPr>
            </w:pPr>
            <w:r w:rsidRPr="00D84DA2">
              <w:rPr>
                <w:sz w:val="20"/>
                <w:szCs w:val="20"/>
              </w:rPr>
              <w:t>26.29</w:t>
            </w:r>
          </w:p>
        </w:tc>
        <w:tc>
          <w:tcPr>
            <w:tcW w:w="2325" w:type="dxa"/>
            <w:shd w:val="clear" w:color="auto" w:fill="auto"/>
          </w:tcPr>
          <w:p w14:paraId="4E4779F5" w14:textId="77777777" w:rsidR="007C2E12" w:rsidRPr="00D84DA2" w:rsidRDefault="007C2E12" w:rsidP="001A0763">
            <w:pPr>
              <w:spacing w:line="360" w:lineRule="auto"/>
              <w:rPr>
                <w:rFonts w:cstheme="minorHAnsi"/>
                <w:shd w:val="clear" w:color="auto" w:fill="FFFFFF"/>
              </w:rPr>
            </w:pPr>
            <w:r w:rsidRPr="00D84DA2">
              <w:rPr>
                <w:sz w:val="20"/>
                <w:szCs w:val="20"/>
              </w:rPr>
              <w:t>27.88</w:t>
            </w:r>
          </w:p>
        </w:tc>
        <w:tc>
          <w:tcPr>
            <w:tcW w:w="2325" w:type="dxa"/>
            <w:shd w:val="clear" w:color="auto" w:fill="auto"/>
          </w:tcPr>
          <w:p w14:paraId="271E8F23" w14:textId="77777777" w:rsidR="007C2E12" w:rsidRPr="00D84DA2" w:rsidRDefault="007C2E12" w:rsidP="001A0763">
            <w:pPr>
              <w:spacing w:line="360" w:lineRule="auto"/>
              <w:rPr>
                <w:rFonts w:cstheme="minorHAnsi"/>
                <w:shd w:val="clear" w:color="auto" w:fill="FFFFFF"/>
              </w:rPr>
            </w:pPr>
            <w:r w:rsidRPr="00D84DA2">
              <w:rPr>
                <w:sz w:val="20"/>
                <w:szCs w:val="20"/>
              </w:rPr>
              <w:t>28.88</w:t>
            </w:r>
          </w:p>
        </w:tc>
        <w:tc>
          <w:tcPr>
            <w:tcW w:w="2325" w:type="dxa"/>
            <w:shd w:val="clear" w:color="auto" w:fill="auto"/>
          </w:tcPr>
          <w:p w14:paraId="5A65F11A" w14:textId="77777777" w:rsidR="007C2E12" w:rsidRDefault="007C2E12" w:rsidP="001A0763">
            <w:pPr>
              <w:spacing w:line="360" w:lineRule="auto"/>
              <w:rPr>
                <w:rFonts w:cstheme="minorHAnsi"/>
                <w:shd w:val="clear" w:color="auto" w:fill="FFFFFF"/>
              </w:rPr>
            </w:pPr>
            <w:r w:rsidRPr="00D84DA2">
              <w:rPr>
                <w:sz w:val="20"/>
                <w:szCs w:val="20"/>
              </w:rPr>
              <w:t>F (2,152) = .23, P = .787</w:t>
            </w:r>
          </w:p>
        </w:tc>
      </w:tr>
    </w:tbl>
    <w:p w14:paraId="7C5571F5" w14:textId="77777777" w:rsidR="007C2E12" w:rsidRDefault="007C2E12" w:rsidP="007C2E12">
      <w:pPr>
        <w:spacing w:line="360" w:lineRule="auto"/>
        <w:rPr>
          <w:rFonts w:cstheme="minorHAnsi"/>
          <w:shd w:val="clear" w:color="auto" w:fill="FFFFFF"/>
        </w:rPr>
      </w:pPr>
      <w:r w:rsidRPr="00DB17FE">
        <w:t>PIQ, Preserved IQ: DIQ, Deteriorated IQ: CIQ, Compromised IQ</w:t>
      </w:r>
    </w:p>
    <w:p w14:paraId="7501CDCB" w14:textId="77777777" w:rsidR="007C2E12" w:rsidRDefault="007C2E12" w:rsidP="007C2E12">
      <w:pPr>
        <w:spacing w:line="360" w:lineRule="auto"/>
        <w:rPr>
          <w:rFonts w:cstheme="minorHAnsi"/>
          <w:shd w:val="clear" w:color="auto" w:fill="FFFFFF"/>
        </w:rPr>
      </w:pPr>
    </w:p>
    <w:p w14:paraId="2CD3C09F" w14:textId="30F24675" w:rsidR="007C2E12" w:rsidRDefault="007C2E12"/>
    <w:p w14:paraId="5985B658" w14:textId="79B13584" w:rsidR="002810D3" w:rsidRDefault="002810D3"/>
    <w:p w14:paraId="1E5F0A35" w14:textId="3F175378" w:rsidR="002810D3" w:rsidRDefault="002810D3"/>
    <w:p w14:paraId="7CE9EF9E" w14:textId="359A761D" w:rsidR="002810D3" w:rsidRDefault="002810D3"/>
    <w:p w14:paraId="01B1F7CD" w14:textId="237C2EF8" w:rsidR="002810D3" w:rsidRDefault="002810D3"/>
    <w:p w14:paraId="6E229C1C" w14:textId="40CBE1F9" w:rsidR="002810D3" w:rsidRDefault="002810D3"/>
    <w:p w14:paraId="68A8D469" w14:textId="2FE9C0DF" w:rsidR="002810D3" w:rsidRDefault="002810D3"/>
    <w:p w14:paraId="35990719" w14:textId="4AB22CFD" w:rsidR="002810D3" w:rsidRDefault="002810D3"/>
    <w:p w14:paraId="3074B6C2" w14:textId="089409F2" w:rsidR="002810D3" w:rsidRDefault="002810D3"/>
    <w:p w14:paraId="324E37BF" w14:textId="7DBD6204" w:rsidR="002810D3" w:rsidRDefault="002810D3"/>
    <w:p w14:paraId="6566262B" w14:textId="1AD31D0F" w:rsidR="002810D3" w:rsidRDefault="002810D3"/>
    <w:p w14:paraId="300E8F55" w14:textId="399D8346" w:rsidR="002810D3" w:rsidRDefault="002810D3"/>
    <w:sectPr w:rsidR="002810D3" w:rsidSect="00E704B7">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656A5B"/>
    <w:multiLevelType w:val="multilevel"/>
    <w:tmpl w:val="F800D61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5D4C71"/>
    <w:multiLevelType w:val="multilevel"/>
    <w:tmpl w:val="B81CA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20"/>
    <w:rsid w:val="00035C08"/>
    <w:rsid w:val="00057B77"/>
    <w:rsid w:val="0006474E"/>
    <w:rsid w:val="000C6E0F"/>
    <w:rsid w:val="000E2D00"/>
    <w:rsid w:val="0021295A"/>
    <w:rsid w:val="002810D3"/>
    <w:rsid w:val="002B5D20"/>
    <w:rsid w:val="00497EDF"/>
    <w:rsid w:val="004B6C85"/>
    <w:rsid w:val="00553F9F"/>
    <w:rsid w:val="00625D00"/>
    <w:rsid w:val="00672CFB"/>
    <w:rsid w:val="0070307D"/>
    <w:rsid w:val="007217B8"/>
    <w:rsid w:val="00736332"/>
    <w:rsid w:val="007B335E"/>
    <w:rsid w:val="007C2E12"/>
    <w:rsid w:val="007D4D8A"/>
    <w:rsid w:val="007E6DBE"/>
    <w:rsid w:val="007F2345"/>
    <w:rsid w:val="00916AF7"/>
    <w:rsid w:val="00996BEC"/>
    <w:rsid w:val="009E4594"/>
    <w:rsid w:val="009E6DDC"/>
    <w:rsid w:val="00B167ED"/>
    <w:rsid w:val="00BC6190"/>
    <w:rsid w:val="00C1336C"/>
    <w:rsid w:val="00DC7ED8"/>
    <w:rsid w:val="00E34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59396"/>
  <w15:chartTrackingRefBased/>
  <w15:docId w15:val="{566C3329-A70C-431D-961E-C9174992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C0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5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5C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35C08"/>
    <w:rPr>
      <w:i/>
      <w:iCs/>
    </w:rPr>
  </w:style>
  <w:style w:type="character" w:styleId="CommentReference">
    <w:name w:val="annotation reference"/>
    <w:basedOn w:val="DefaultParagraphFont"/>
    <w:uiPriority w:val="99"/>
    <w:semiHidden/>
    <w:unhideWhenUsed/>
    <w:rsid w:val="00996BEC"/>
    <w:rPr>
      <w:sz w:val="16"/>
      <w:szCs w:val="16"/>
    </w:rPr>
  </w:style>
  <w:style w:type="paragraph" w:styleId="CommentText">
    <w:name w:val="annotation text"/>
    <w:basedOn w:val="Normal"/>
    <w:link w:val="CommentTextChar"/>
    <w:uiPriority w:val="99"/>
    <w:semiHidden/>
    <w:unhideWhenUsed/>
    <w:rsid w:val="00996BEC"/>
    <w:pPr>
      <w:spacing w:line="240" w:lineRule="auto"/>
    </w:pPr>
    <w:rPr>
      <w:sz w:val="20"/>
      <w:szCs w:val="20"/>
    </w:rPr>
  </w:style>
  <w:style w:type="character" w:customStyle="1" w:styleId="CommentTextChar">
    <w:name w:val="Comment Text Char"/>
    <w:basedOn w:val="DefaultParagraphFont"/>
    <w:link w:val="CommentText"/>
    <w:uiPriority w:val="99"/>
    <w:semiHidden/>
    <w:rsid w:val="00996BEC"/>
    <w:rPr>
      <w:sz w:val="20"/>
      <w:szCs w:val="20"/>
    </w:rPr>
  </w:style>
  <w:style w:type="paragraph" w:styleId="CommentSubject">
    <w:name w:val="annotation subject"/>
    <w:basedOn w:val="CommentText"/>
    <w:next w:val="CommentText"/>
    <w:link w:val="CommentSubjectChar"/>
    <w:uiPriority w:val="99"/>
    <w:semiHidden/>
    <w:unhideWhenUsed/>
    <w:rsid w:val="00996BEC"/>
    <w:rPr>
      <w:b/>
      <w:bCs/>
    </w:rPr>
  </w:style>
  <w:style w:type="character" w:customStyle="1" w:styleId="CommentSubjectChar">
    <w:name w:val="Comment Subject Char"/>
    <w:basedOn w:val="CommentTextChar"/>
    <w:link w:val="CommentSubject"/>
    <w:uiPriority w:val="99"/>
    <w:semiHidden/>
    <w:rsid w:val="00996BEC"/>
    <w:rPr>
      <w:b/>
      <w:bCs/>
      <w:sz w:val="20"/>
      <w:szCs w:val="20"/>
    </w:rPr>
  </w:style>
  <w:style w:type="character" w:customStyle="1" w:styleId="apple-converted-space">
    <w:name w:val="apple-converted-space"/>
    <w:basedOn w:val="DefaultParagraphFont"/>
    <w:rsid w:val="00553F9F"/>
  </w:style>
  <w:style w:type="paragraph" w:styleId="BalloonText">
    <w:name w:val="Balloon Text"/>
    <w:basedOn w:val="Normal"/>
    <w:link w:val="BalloonTextChar"/>
    <w:uiPriority w:val="99"/>
    <w:semiHidden/>
    <w:unhideWhenUsed/>
    <w:rsid w:val="009E4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594"/>
    <w:rPr>
      <w:rFonts w:ascii="Segoe UI" w:hAnsi="Segoe UI" w:cs="Segoe UI"/>
      <w:sz w:val="18"/>
      <w:szCs w:val="18"/>
    </w:rPr>
  </w:style>
  <w:style w:type="paragraph" w:styleId="Bibliography">
    <w:name w:val="Bibliography"/>
    <w:basedOn w:val="Normal"/>
    <w:next w:val="Normal"/>
    <w:uiPriority w:val="37"/>
    <w:unhideWhenUsed/>
    <w:rsid w:val="009E4594"/>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130322">
      <w:bodyDiv w:val="1"/>
      <w:marLeft w:val="0"/>
      <w:marRight w:val="0"/>
      <w:marTop w:val="0"/>
      <w:marBottom w:val="0"/>
      <w:divBdr>
        <w:top w:val="none" w:sz="0" w:space="0" w:color="auto"/>
        <w:left w:val="none" w:sz="0" w:space="0" w:color="auto"/>
        <w:bottom w:val="none" w:sz="0" w:space="0" w:color="auto"/>
        <w:right w:val="none" w:sz="0" w:space="0" w:color="auto"/>
      </w:divBdr>
    </w:div>
    <w:div w:id="787704462">
      <w:bodyDiv w:val="1"/>
      <w:marLeft w:val="0"/>
      <w:marRight w:val="0"/>
      <w:marTop w:val="0"/>
      <w:marBottom w:val="0"/>
      <w:divBdr>
        <w:top w:val="none" w:sz="0" w:space="0" w:color="auto"/>
        <w:left w:val="none" w:sz="0" w:space="0" w:color="auto"/>
        <w:bottom w:val="none" w:sz="0" w:space="0" w:color="auto"/>
        <w:right w:val="none" w:sz="0" w:space="0" w:color="auto"/>
      </w:divBdr>
      <w:divsChild>
        <w:div w:id="1767533310">
          <w:marLeft w:val="0"/>
          <w:marRight w:val="0"/>
          <w:marTop w:val="0"/>
          <w:marBottom w:val="0"/>
          <w:divBdr>
            <w:top w:val="none" w:sz="0" w:space="0" w:color="auto"/>
            <w:left w:val="none" w:sz="0" w:space="0" w:color="auto"/>
            <w:bottom w:val="none" w:sz="0" w:space="0" w:color="auto"/>
            <w:right w:val="none" w:sz="0" w:space="0" w:color="auto"/>
          </w:divBdr>
          <w:divsChild>
            <w:div w:id="1489057645">
              <w:marLeft w:val="0"/>
              <w:marRight w:val="0"/>
              <w:marTop w:val="0"/>
              <w:marBottom w:val="0"/>
              <w:divBdr>
                <w:top w:val="none" w:sz="0" w:space="0" w:color="auto"/>
                <w:left w:val="none" w:sz="0" w:space="0" w:color="auto"/>
                <w:bottom w:val="none" w:sz="0" w:space="0" w:color="auto"/>
                <w:right w:val="none" w:sz="0" w:space="0" w:color="auto"/>
              </w:divBdr>
              <w:divsChild>
                <w:div w:id="14689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2882">
      <w:bodyDiv w:val="1"/>
      <w:marLeft w:val="0"/>
      <w:marRight w:val="0"/>
      <w:marTop w:val="0"/>
      <w:marBottom w:val="0"/>
      <w:divBdr>
        <w:top w:val="none" w:sz="0" w:space="0" w:color="auto"/>
        <w:left w:val="none" w:sz="0" w:space="0" w:color="auto"/>
        <w:bottom w:val="none" w:sz="0" w:space="0" w:color="auto"/>
        <w:right w:val="none" w:sz="0" w:space="0" w:color="auto"/>
      </w:divBdr>
      <w:divsChild>
        <w:div w:id="1221290576">
          <w:marLeft w:val="0"/>
          <w:marRight w:val="0"/>
          <w:marTop w:val="0"/>
          <w:marBottom w:val="0"/>
          <w:divBdr>
            <w:top w:val="none" w:sz="0" w:space="0" w:color="auto"/>
            <w:left w:val="none" w:sz="0" w:space="0" w:color="auto"/>
            <w:bottom w:val="none" w:sz="0" w:space="0" w:color="auto"/>
            <w:right w:val="none" w:sz="0" w:space="0" w:color="auto"/>
          </w:divBdr>
          <w:divsChild>
            <w:div w:id="1504078737">
              <w:marLeft w:val="0"/>
              <w:marRight w:val="0"/>
              <w:marTop w:val="0"/>
              <w:marBottom w:val="0"/>
              <w:divBdr>
                <w:top w:val="none" w:sz="0" w:space="0" w:color="auto"/>
                <w:left w:val="none" w:sz="0" w:space="0" w:color="auto"/>
                <w:bottom w:val="none" w:sz="0" w:space="0" w:color="auto"/>
                <w:right w:val="none" w:sz="0" w:space="0" w:color="auto"/>
              </w:divBdr>
              <w:divsChild>
                <w:div w:id="20457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66685">
      <w:bodyDiv w:val="1"/>
      <w:marLeft w:val="0"/>
      <w:marRight w:val="0"/>
      <w:marTop w:val="0"/>
      <w:marBottom w:val="0"/>
      <w:divBdr>
        <w:top w:val="none" w:sz="0" w:space="0" w:color="auto"/>
        <w:left w:val="none" w:sz="0" w:space="0" w:color="auto"/>
        <w:bottom w:val="none" w:sz="0" w:space="0" w:color="auto"/>
        <w:right w:val="none" w:sz="0" w:space="0" w:color="auto"/>
      </w:divBdr>
    </w:div>
    <w:div w:id="1475416122">
      <w:bodyDiv w:val="1"/>
      <w:marLeft w:val="0"/>
      <w:marRight w:val="0"/>
      <w:marTop w:val="0"/>
      <w:marBottom w:val="0"/>
      <w:divBdr>
        <w:top w:val="none" w:sz="0" w:space="0" w:color="auto"/>
        <w:left w:val="none" w:sz="0" w:space="0" w:color="auto"/>
        <w:bottom w:val="none" w:sz="0" w:space="0" w:color="auto"/>
        <w:right w:val="none" w:sz="0" w:space="0" w:color="auto"/>
      </w:divBdr>
      <w:divsChild>
        <w:div w:id="1868058588">
          <w:marLeft w:val="0"/>
          <w:marRight w:val="0"/>
          <w:marTop w:val="0"/>
          <w:marBottom w:val="0"/>
          <w:divBdr>
            <w:top w:val="none" w:sz="0" w:space="0" w:color="auto"/>
            <w:left w:val="none" w:sz="0" w:space="0" w:color="auto"/>
            <w:bottom w:val="none" w:sz="0" w:space="0" w:color="auto"/>
            <w:right w:val="none" w:sz="0" w:space="0" w:color="auto"/>
          </w:divBdr>
          <w:divsChild>
            <w:div w:id="387648125">
              <w:marLeft w:val="0"/>
              <w:marRight w:val="0"/>
              <w:marTop w:val="0"/>
              <w:marBottom w:val="0"/>
              <w:divBdr>
                <w:top w:val="none" w:sz="0" w:space="0" w:color="auto"/>
                <w:left w:val="none" w:sz="0" w:space="0" w:color="auto"/>
                <w:bottom w:val="none" w:sz="0" w:space="0" w:color="auto"/>
                <w:right w:val="none" w:sz="0" w:space="0" w:color="auto"/>
              </w:divBdr>
              <w:divsChild>
                <w:div w:id="10076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366913">
      <w:bodyDiv w:val="1"/>
      <w:marLeft w:val="0"/>
      <w:marRight w:val="0"/>
      <w:marTop w:val="0"/>
      <w:marBottom w:val="0"/>
      <w:divBdr>
        <w:top w:val="none" w:sz="0" w:space="0" w:color="auto"/>
        <w:left w:val="none" w:sz="0" w:space="0" w:color="auto"/>
        <w:bottom w:val="none" w:sz="0" w:space="0" w:color="auto"/>
        <w:right w:val="none" w:sz="0" w:space="0" w:color="auto"/>
      </w:divBdr>
      <w:divsChild>
        <w:div w:id="979460900">
          <w:marLeft w:val="0"/>
          <w:marRight w:val="0"/>
          <w:marTop w:val="0"/>
          <w:marBottom w:val="0"/>
          <w:divBdr>
            <w:top w:val="none" w:sz="0" w:space="0" w:color="auto"/>
            <w:left w:val="none" w:sz="0" w:space="0" w:color="auto"/>
            <w:bottom w:val="none" w:sz="0" w:space="0" w:color="auto"/>
            <w:right w:val="none" w:sz="0" w:space="0" w:color="auto"/>
          </w:divBdr>
          <w:divsChild>
            <w:div w:id="1228229438">
              <w:marLeft w:val="0"/>
              <w:marRight w:val="0"/>
              <w:marTop w:val="0"/>
              <w:marBottom w:val="0"/>
              <w:divBdr>
                <w:top w:val="none" w:sz="0" w:space="0" w:color="auto"/>
                <w:left w:val="none" w:sz="0" w:space="0" w:color="auto"/>
                <w:bottom w:val="none" w:sz="0" w:space="0" w:color="auto"/>
                <w:right w:val="none" w:sz="0" w:space="0" w:color="auto"/>
              </w:divBdr>
              <w:divsChild>
                <w:div w:id="4780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Andrew</dc:creator>
  <cp:keywords/>
  <dc:description/>
  <cp:lastModifiedBy>Andy</cp:lastModifiedBy>
  <cp:revision>17</cp:revision>
  <dcterms:created xsi:type="dcterms:W3CDTF">2020-12-23T15:58:00Z</dcterms:created>
  <dcterms:modified xsi:type="dcterms:W3CDTF">2021-11-02T20:05:00Z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id="EnMFI3LQ"/&gt;&lt;style id="http://www.zotero.org/styles/apa-6th-edition" locale="en-GB" hasBibliography="1" bibliographyStyleHasBeenSet="1"/&gt;&lt;prefs&gt;&lt;pref name="fieldType" value="Field"/&gt;&lt;/prefs&gt;&lt;/da</vt:lpwstr>
  </property>
  <property fmtid="{D5CDD505-2E9C-101B-9397-08002B2CF9AE}" pid="3" name="ZOTERO_PREF_2">
    <vt:lpwstr>ta&gt;</vt:lpwstr>
  </property>
</Properties>
</file>