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E7F4F" w14:textId="77777777" w:rsidR="00FB2979" w:rsidRDefault="00FB2979" w:rsidP="00FB2979">
      <w:pPr>
        <w:jc w:val="center"/>
        <w:rPr>
          <w:rFonts w:ascii="Calibri Light" w:hAnsi="Calibri Light" w:cs="Calibri Light"/>
          <w:lang w:val="en-US"/>
        </w:rPr>
      </w:pPr>
      <w:r w:rsidRPr="00FA0FA8">
        <w:rPr>
          <w:rFonts w:ascii="Calibri Light" w:hAnsi="Calibri Light" w:cs="Calibri Light"/>
          <w:lang w:val="en-US"/>
        </w:rPr>
        <w:t xml:space="preserve">APPENDIX </w:t>
      </w:r>
    </w:p>
    <w:p w14:paraId="68F6C23A" w14:textId="6FF8EDBD" w:rsidR="00FB2979" w:rsidRDefault="00DD13FA" w:rsidP="00FB2979">
      <w:pPr>
        <w:jc w:val="center"/>
        <w:rPr>
          <w:rFonts w:ascii="Calibri Light" w:hAnsi="Calibri Light" w:cs="Calibri Light"/>
          <w:lang w:val="en-US"/>
        </w:rPr>
      </w:pPr>
      <w:r>
        <w:rPr>
          <w:rFonts w:ascii="Calibri Light" w:hAnsi="Calibri Light" w:cs="Calibri Light"/>
          <w:lang w:val="en-US"/>
        </w:rPr>
        <w:t xml:space="preserve">Table 1 - </w:t>
      </w:r>
      <w:r w:rsidR="00FB2979">
        <w:rPr>
          <w:rFonts w:ascii="Calibri Light" w:hAnsi="Calibri Light" w:cs="Calibri Light"/>
          <w:lang w:val="en-US"/>
        </w:rPr>
        <w:t>Definition of phenotypes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4389"/>
      </w:tblGrid>
      <w:tr w:rsidR="00033C0F" w:rsidRPr="002146B6" w14:paraId="376DF7CE" w14:textId="77777777" w:rsidTr="00727016">
        <w:tc>
          <w:tcPr>
            <w:tcW w:w="2122" w:type="dxa"/>
            <w:shd w:val="clear" w:color="auto" w:fill="auto"/>
          </w:tcPr>
          <w:p w14:paraId="0366AC4E" w14:textId="77777777" w:rsidR="00033C0F" w:rsidRPr="002146B6" w:rsidRDefault="00033C0F" w:rsidP="00727016">
            <w:pPr>
              <w:spacing w:after="0" w:line="240" w:lineRule="auto"/>
              <w:rPr>
                <w:rFonts w:ascii="Calibri Light" w:hAnsi="Calibri Light" w:cs="Calibri Light"/>
                <w:lang w:val="en-US"/>
              </w:rPr>
            </w:pPr>
          </w:p>
        </w:tc>
        <w:tc>
          <w:tcPr>
            <w:tcW w:w="2551" w:type="dxa"/>
            <w:shd w:val="clear" w:color="auto" w:fill="auto"/>
          </w:tcPr>
          <w:p w14:paraId="14ECD46D" w14:textId="77777777" w:rsidR="00033C0F" w:rsidRPr="002146B6" w:rsidRDefault="00033C0F" w:rsidP="00727016">
            <w:pPr>
              <w:spacing w:after="0" w:line="240" w:lineRule="auto"/>
              <w:rPr>
                <w:rFonts w:ascii="Calibri Light" w:hAnsi="Calibri Light" w:cs="Calibri Light"/>
                <w:lang w:val="en-US"/>
              </w:rPr>
            </w:pPr>
            <w:r w:rsidRPr="002146B6">
              <w:rPr>
                <w:rFonts w:ascii="Calibri Light" w:hAnsi="Calibri Light" w:cs="Calibri Light"/>
                <w:lang w:val="en-US"/>
              </w:rPr>
              <w:t>Registers Used</w:t>
            </w:r>
          </w:p>
        </w:tc>
        <w:tc>
          <w:tcPr>
            <w:tcW w:w="4389" w:type="dxa"/>
            <w:shd w:val="clear" w:color="auto" w:fill="auto"/>
          </w:tcPr>
          <w:p w14:paraId="5C9E13E4" w14:textId="77777777" w:rsidR="00033C0F" w:rsidRPr="002146B6" w:rsidRDefault="00033C0F" w:rsidP="00727016">
            <w:pPr>
              <w:spacing w:after="0" w:line="240" w:lineRule="auto"/>
              <w:rPr>
                <w:rFonts w:ascii="Calibri Light" w:hAnsi="Calibri Light" w:cs="Calibri Light"/>
                <w:lang w:val="en-US"/>
              </w:rPr>
            </w:pPr>
            <w:r w:rsidRPr="002146B6">
              <w:rPr>
                <w:rFonts w:ascii="Calibri Light" w:hAnsi="Calibri Light" w:cs="Calibri Light"/>
                <w:lang w:val="en-US"/>
              </w:rPr>
              <w:t xml:space="preserve">Definition </w:t>
            </w:r>
          </w:p>
        </w:tc>
      </w:tr>
      <w:tr w:rsidR="00033C0F" w:rsidRPr="005A0B83" w14:paraId="1F8BCC3C" w14:textId="77777777" w:rsidTr="00727016">
        <w:tc>
          <w:tcPr>
            <w:tcW w:w="2122" w:type="dxa"/>
            <w:shd w:val="clear" w:color="auto" w:fill="auto"/>
          </w:tcPr>
          <w:p w14:paraId="10C87BD8" w14:textId="77777777" w:rsidR="00033C0F" w:rsidRPr="002146B6" w:rsidRDefault="00033C0F" w:rsidP="00727016">
            <w:pPr>
              <w:spacing w:after="0" w:line="240" w:lineRule="auto"/>
              <w:rPr>
                <w:rFonts w:ascii="Calibri Light" w:hAnsi="Calibri Light" w:cs="Calibri Light"/>
                <w:lang w:val="en-US"/>
              </w:rPr>
            </w:pPr>
            <w:r w:rsidRPr="002146B6">
              <w:rPr>
                <w:rFonts w:ascii="Calibri Light" w:hAnsi="Calibri Light" w:cs="Calibri Light"/>
                <w:sz w:val="18"/>
                <w:szCs w:val="18"/>
                <w:lang w:val="en-US"/>
              </w:rPr>
              <w:t>Alcohol Use Disorder (AUD)</w:t>
            </w:r>
          </w:p>
        </w:tc>
        <w:tc>
          <w:tcPr>
            <w:tcW w:w="2551" w:type="dxa"/>
            <w:shd w:val="clear" w:color="auto" w:fill="auto"/>
          </w:tcPr>
          <w:p w14:paraId="7643D76C" w14:textId="77777777" w:rsidR="00033C0F" w:rsidRPr="002146B6" w:rsidRDefault="00033C0F" w:rsidP="00727016">
            <w:pPr>
              <w:spacing w:after="0" w:line="240" w:lineRule="auto"/>
              <w:rPr>
                <w:rFonts w:ascii="Calibri Light" w:hAnsi="Calibri Light" w:cs="Calibri Light"/>
                <w:lang w:val="en-US"/>
              </w:rPr>
            </w:pPr>
            <w:r w:rsidRPr="002146B6">
              <w:rPr>
                <w:rFonts w:ascii="Calibri Light" w:hAnsi="Calibri Light" w:cs="Calibri Light"/>
                <w:sz w:val="18"/>
                <w:szCs w:val="18"/>
                <w:lang w:val="en-US"/>
              </w:rPr>
              <w:t xml:space="preserve">The Swedish Hospital Discharge Register (coverage 1973-2017); Outpatient Care Register (national coverage 2001-2017); Primary Care Registry (Partly coverage from 1999-2017); the Swedish Drug Register (2005-2017); the Swedish Mortality Register, and the Swedish Criminal Register (1973-2017) and the Swedish Suspicion Register (1998-2017) </w:t>
            </w:r>
          </w:p>
        </w:tc>
        <w:tc>
          <w:tcPr>
            <w:tcW w:w="4389" w:type="dxa"/>
            <w:shd w:val="clear" w:color="auto" w:fill="auto"/>
          </w:tcPr>
          <w:p w14:paraId="23AC2ECA" w14:textId="77777777" w:rsidR="00033C0F" w:rsidRPr="002146B6" w:rsidRDefault="00033C0F" w:rsidP="00727016">
            <w:pPr>
              <w:spacing w:after="0" w:line="240" w:lineRule="auto"/>
              <w:rPr>
                <w:rFonts w:ascii="Calibri Light" w:hAnsi="Calibri Light" w:cs="Calibri Light"/>
                <w:lang w:val="en-US"/>
              </w:rPr>
            </w:pPr>
            <w:r w:rsidRPr="002146B6">
              <w:rPr>
                <w:rFonts w:ascii="Calibri Light" w:hAnsi="Calibri Light" w:cs="Calibri Light"/>
                <w:sz w:val="18"/>
                <w:szCs w:val="18"/>
                <w:lang w:val="en-US"/>
              </w:rPr>
              <w:t>Alcohol Use Disorder (AUD) was identified in the Swedish medical and mortality registries by ICD codes: ICD</w:t>
            </w:r>
            <w:r>
              <w:rPr>
                <w:rFonts w:ascii="Calibri Light" w:hAnsi="Calibri Light" w:cs="Calibri Light"/>
                <w:sz w:val="18"/>
                <w:szCs w:val="18"/>
                <w:lang w:val="en-US"/>
              </w:rPr>
              <w:t>8/</w:t>
            </w:r>
            <w:r w:rsidRPr="002146B6">
              <w:rPr>
                <w:rFonts w:ascii="Calibri Light" w:hAnsi="Calibri Light" w:cs="Calibri Light"/>
                <w:sz w:val="18"/>
                <w:szCs w:val="18"/>
                <w:lang w:val="en-US"/>
              </w:rPr>
              <w:t>9: V79B, 305A, 357F, 571A-D, 425F, 535D, 291, 303, 980; ICD 10: E244, G312, G621, G721, I426, K292, K70, K852, K860, O354, T51, F10); in the Crime Register by codes 3005, 3201, which reflect crimes related to alcohol abuse; in the Suspicion Register by codes 0004, 0005 (Only those individuals with at least two alcohol-related crimes or suspicion of crimes from both Crime Register and Suspicion Register were included); in the Prescribed Drug Register by the drugs disulfiram (Anatomical Therapeutic Chemical (ATC) Classification System N07BB01), acamprosate (N07BB03), and naltrexone (N07BB04).</w:t>
            </w:r>
          </w:p>
        </w:tc>
      </w:tr>
      <w:tr w:rsidR="00033C0F" w:rsidRPr="005A0B83" w14:paraId="24825CF5" w14:textId="77777777" w:rsidTr="00727016">
        <w:tc>
          <w:tcPr>
            <w:tcW w:w="2122" w:type="dxa"/>
            <w:shd w:val="clear" w:color="auto" w:fill="auto"/>
          </w:tcPr>
          <w:p w14:paraId="5126CCE6" w14:textId="77777777" w:rsidR="00033C0F" w:rsidRPr="002146B6" w:rsidRDefault="00033C0F" w:rsidP="00727016">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 xml:space="preserve">Drug </w:t>
            </w:r>
            <w:r>
              <w:rPr>
                <w:rFonts w:ascii="Calibri Light" w:hAnsi="Calibri Light" w:cs="Calibri Light"/>
                <w:sz w:val="18"/>
                <w:szCs w:val="18"/>
                <w:lang w:val="en-US"/>
              </w:rPr>
              <w:t>Use Disorder (DUD)</w:t>
            </w:r>
          </w:p>
        </w:tc>
        <w:tc>
          <w:tcPr>
            <w:tcW w:w="2551" w:type="dxa"/>
            <w:shd w:val="clear" w:color="auto" w:fill="auto"/>
          </w:tcPr>
          <w:p w14:paraId="588F68BF" w14:textId="77777777" w:rsidR="00033C0F" w:rsidRPr="002146B6" w:rsidRDefault="00033C0F" w:rsidP="00727016">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 the Swedish Drug Register (2005-2017); the Swedish Mortality Register, and the Swedish Criminal Register (1973-2017) and the Swedish Suspicion Register (1998-2017)</w:t>
            </w:r>
          </w:p>
        </w:tc>
        <w:tc>
          <w:tcPr>
            <w:tcW w:w="4389" w:type="dxa"/>
            <w:shd w:val="clear" w:color="auto" w:fill="auto"/>
          </w:tcPr>
          <w:p w14:paraId="10B25562" w14:textId="77777777" w:rsidR="00033C0F" w:rsidRPr="002146B6" w:rsidRDefault="00033C0F" w:rsidP="00727016">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Drug abuse (DA) was identified in the Swedish medical and mortality registries by ICD codes (ICD8: Drug dependence (304); ICD9: Drug psychoses (292) and Drug dependence (304); ICD10: Mental and behavioral disorders due to psychoactive substance use (F10-F19), except those due to alcohol (F10) or tobacco (F17)); in the Suspicion Register by codes 3070, 5010, 5011, and 5012, that reflect crimes related to DA; and in the Crime Register by references to laws covering narcotics (law 1968:64, paragraph 1, point 6) and drug-related driving offences (law 1951:649, paragraph 4, subsection 2 and paragraph 4A, subsection 2). DA was identified in individuals (excluding those suffering from cancer) in the Prescribed Drug Register who had retrieved (in average) more than four defined daily doses a day for 12 months from either of Hypnotics and Sedatives (Anatomical Therapeutic Chemical (ATC) Classification System N05C and N05BA) or Opioids (ATC: N02A).</w:t>
            </w:r>
          </w:p>
        </w:tc>
      </w:tr>
      <w:tr w:rsidR="00033C0F" w:rsidRPr="00245593" w14:paraId="3EE1CC97" w14:textId="77777777" w:rsidTr="00727016">
        <w:tc>
          <w:tcPr>
            <w:tcW w:w="2122" w:type="dxa"/>
            <w:shd w:val="clear" w:color="auto" w:fill="auto"/>
          </w:tcPr>
          <w:p w14:paraId="0129217C" w14:textId="77777777" w:rsidR="00033C0F" w:rsidRPr="002146B6" w:rsidRDefault="00033C0F" w:rsidP="00727016">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Educational attainment (EA)</w:t>
            </w:r>
          </w:p>
        </w:tc>
        <w:tc>
          <w:tcPr>
            <w:tcW w:w="2551" w:type="dxa"/>
            <w:shd w:val="clear" w:color="auto" w:fill="auto"/>
          </w:tcPr>
          <w:p w14:paraId="21F63185" w14:textId="77777777" w:rsidR="00033C0F" w:rsidRPr="00FD26F3" w:rsidRDefault="00033C0F" w:rsidP="00727016">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T</w:t>
            </w:r>
            <w:r w:rsidRPr="00FD26F3">
              <w:rPr>
                <w:rFonts w:ascii="Calibri Light" w:hAnsi="Calibri Light" w:cs="Calibri Light"/>
                <w:sz w:val="18"/>
                <w:szCs w:val="18"/>
                <w:lang w:val="en-US"/>
              </w:rPr>
              <w:t xml:space="preserve">he longitudinal integration database for health insurance </w:t>
            </w:r>
            <w:r>
              <w:rPr>
                <w:rFonts w:ascii="Calibri Light" w:hAnsi="Calibri Light" w:cs="Calibri Light"/>
                <w:sz w:val="18"/>
                <w:szCs w:val="18"/>
                <w:lang w:val="en-US"/>
              </w:rPr>
              <w:t>and labor market studies (LISA) from 1990-2017 and The Swedish Census from 1970.</w:t>
            </w:r>
          </w:p>
        </w:tc>
        <w:tc>
          <w:tcPr>
            <w:tcW w:w="4389" w:type="dxa"/>
            <w:shd w:val="clear" w:color="auto" w:fill="auto"/>
          </w:tcPr>
          <w:p w14:paraId="7CD679E1" w14:textId="77777777" w:rsidR="00033C0F" w:rsidRDefault="00033C0F" w:rsidP="00727016">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 xml:space="preserve">Highest achieved education measured in 1-7 levels that in turn were translated into number of years of education and then standardized with mean 0 and SD 1 by gender and year of birth. </w:t>
            </w:r>
          </w:p>
          <w:p w14:paraId="4B0EABC7" w14:textId="77777777" w:rsidR="00033C0F" w:rsidRDefault="00033C0F" w:rsidP="00727016">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In the registers the variable are as follows:</w:t>
            </w:r>
          </w:p>
          <w:p w14:paraId="0CE0DD45" w14:textId="77777777" w:rsidR="00033C0F" w:rsidRPr="00FD26F3" w:rsidRDefault="00033C0F" w:rsidP="00727016">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1-Pre-high school (7 years)</w:t>
            </w:r>
          </w:p>
          <w:p w14:paraId="299549BA" w14:textId="77777777" w:rsidR="00033C0F" w:rsidRPr="00FD26F3" w:rsidRDefault="00033C0F" w:rsidP="00727016">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2-</w:t>
            </w:r>
            <w:r w:rsidRPr="00FD26F3">
              <w:rPr>
                <w:rFonts w:ascii="Calibri Light" w:hAnsi="Calibri Light" w:cs="Calibri Light"/>
                <w:sz w:val="18"/>
                <w:szCs w:val="18"/>
                <w:lang w:val="en-US"/>
              </w:rPr>
              <w:t xml:space="preserve">High School </w:t>
            </w:r>
            <w:r>
              <w:rPr>
                <w:rFonts w:ascii="Calibri Light" w:hAnsi="Calibri Light" w:cs="Calibri Light"/>
                <w:sz w:val="18"/>
                <w:szCs w:val="18"/>
                <w:lang w:val="en-US"/>
              </w:rPr>
              <w:t>(</w:t>
            </w:r>
            <w:r w:rsidRPr="00FD26F3">
              <w:rPr>
                <w:rFonts w:ascii="Calibri Light" w:hAnsi="Calibri Light" w:cs="Calibri Light"/>
                <w:sz w:val="18"/>
                <w:szCs w:val="18"/>
                <w:lang w:val="en-US"/>
              </w:rPr>
              <w:t>9 years</w:t>
            </w:r>
            <w:r>
              <w:rPr>
                <w:rFonts w:ascii="Calibri Light" w:hAnsi="Calibri Light" w:cs="Calibri Light"/>
                <w:sz w:val="18"/>
                <w:szCs w:val="18"/>
                <w:lang w:val="en-US"/>
              </w:rPr>
              <w:t>)</w:t>
            </w:r>
          </w:p>
          <w:p w14:paraId="5F3A3E1C" w14:textId="77777777" w:rsidR="00033C0F" w:rsidRPr="00FD26F3" w:rsidRDefault="00033C0F" w:rsidP="00727016">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3-</w:t>
            </w:r>
            <w:r w:rsidRPr="00FD26F3">
              <w:rPr>
                <w:rFonts w:ascii="Calibri Light" w:hAnsi="Calibri Light" w:cs="Calibri Light"/>
                <w:sz w:val="18"/>
                <w:szCs w:val="18"/>
                <w:lang w:val="en-US"/>
              </w:rPr>
              <w:t xml:space="preserve">Upper Secondary School </w:t>
            </w:r>
            <w:r>
              <w:rPr>
                <w:rFonts w:ascii="Calibri Light" w:hAnsi="Calibri Light" w:cs="Calibri Light"/>
                <w:sz w:val="18"/>
                <w:szCs w:val="18"/>
                <w:lang w:val="en-US"/>
              </w:rPr>
              <w:t>(11 years)</w:t>
            </w:r>
          </w:p>
          <w:p w14:paraId="586D9455" w14:textId="77777777" w:rsidR="00033C0F" w:rsidRPr="00FD26F3" w:rsidRDefault="00033C0F" w:rsidP="00727016">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4-</w:t>
            </w:r>
            <w:r w:rsidRPr="00FD26F3">
              <w:rPr>
                <w:rFonts w:ascii="Calibri Light" w:hAnsi="Calibri Light" w:cs="Calibri Light"/>
                <w:sz w:val="18"/>
                <w:szCs w:val="18"/>
                <w:lang w:val="en-US"/>
              </w:rPr>
              <w:t xml:space="preserve">Upper Secondary School </w:t>
            </w:r>
            <w:r>
              <w:rPr>
                <w:rFonts w:ascii="Calibri Light" w:hAnsi="Calibri Light" w:cs="Calibri Light"/>
                <w:sz w:val="18"/>
                <w:szCs w:val="18"/>
                <w:lang w:val="en-US"/>
              </w:rPr>
              <w:t>(12 years)</w:t>
            </w:r>
          </w:p>
          <w:p w14:paraId="7EE06AC0" w14:textId="77777777" w:rsidR="00033C0F" w:rsidRPr="00FD26F3" w:rsidRDefault="00033C0F" w:rsidP="00727016">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5-</w:t>
            </w:r>
            <w:r w:rsidRPr="00FD26F3">
              <w:rPr>
                <w:rFonts w:ascii="Calibri Light" w:hAnsi="Calibri Light" w:cs="Calibri Light"/>
                <w:sz w:val="18"/>
                <w:szCs w:val="18"/>
                <w:lang w:val="en-US"/>
              </w:rPr>
              <w:t xml:space="preserve">Post-secondary education </w:t>
            </w:r>
            <w:r>
              <w:rPr>
                <w:rFonts w:ascii="Calibri Light" w:hAnsi="Calibri Light" w:cs="Calibri Light"/>
                <w:sz w:val="18"/>
                <w:szCs w:val="18"/>
                <w:lang w:val="en-US"/>
              </w:rPr>
              <w:t>(14 years)</w:t>
            </w:r>
          </w:p>
          <w:p w14:paraId="026C3AD8" w14:textId="77777777" w:rsidR="00033C0F" w:rsidRPr="00FD26F3" w:rsidRDefault="00033C0F" w:rsidP="00727016">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6-</w:t>
            </w:r>
            <w:r w:rsidRPr="00FD26F3">
              <w:rPr>
                <w:rFonts w:ascii="Calibri Light" w:hAnsi="Calibri Light" w:cs="Calibri Light"/>
                <w:sz w:val="18"/>
                <w:szCs w:val="18"/>
                <w:lang w:val="en-US"/>
              </w:rPr>
              <w:t>Post</w:t>
            </w:r>
            <w:r>
              <w:rPr>
                <w:rFonts w:ascii="Calibri Light" w:hAnsi="Calibri Light" w:cs="Calibri Light"/>
                <w:sz w:val="18"/>
                <w:szCs w:val="18"/>
                <w:lang w:val="en-US"/>
              </w:rPr>
              <w:t>-secondary education (17 years)</w:t>
            </w:r>
          </w:p>
          <w:p w14:paraId="0D1A23F3" w14:textId="77777777" w:rsidR="00033C0F" w:rsidRPr="002146B6" w:rsidRDefault="00033C0F" w:rsidP="00727016">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 xml:space="preserve">7- </w:t>
            </w:r>
            <w:r w:rsidRPr="00FD26F3">
              <w:rPr>
                <w:rFonts w:ascii="Calibri Light" w:hAnsi="Calibri Light" w:cs="Calibri Light"/>
                <w:sz w:val="18"/>
                <w:szCs w:val="18"/>
                <w:lang w:val="en-US"/>
              </w:rPr>
              <w:t>PhD education</w:t>
            </w:r>
            <w:r>
              <w:rPr>
                <w:rFonts w:ascii="Calibri Light" w:hAnsi="Calibri Light" w:cs="Calibri Light"/>
                <w:sz w:val="18"/>
                <w:szCs w:val="18"/>
                <w:lang w:val="en-US"/>
              </w:rPr>
              <w:t xml:space="preserve"> (21 years)</w:t>
            </w:r>
          </w:p>
        </w:tc>
      </w:tr>
    </w:tbl>
    <w:p w14:paraId="5C5BA968" w14:textId="437EE3FB" w:rsidR="00033C0F" w:rsidRDefault="00033C0F" w:rsidP="00FB2979">
      <w:pPr>
        <w:jc w:val="center"/>
        <w:rPr>
          <w:rFonts w:ascii="Calibri Light" w:hAnsi="Calibri Light" w:cs="Calibri Light"/>
          <w:lang w:val="en-US"/>
        </w:rPr>
      </w:pPr>
    </w:p>
    <w:p w14:paraId="75FCEEEB" w14:textId="3BC54D38" w:rsidR="00DD13FA" w:rsidRDefault="00DD13FA">
      <w:pPr>
        <w:rPr>
          <w:rFonts w:ascii="Calibri Light" w:hAnsi="Calibri Light" w:cs="Calibri Light"/>
          <w:lang w:val="en-US"/>
        </w:rPr>
      </w:pPr>
      <w:r>
        <w:rPr>
          <w:rFonts w:ascii="Calibri Light" w:hAnsi="Calibri Light" w:cs="Calibri Light"/>
          <w:lang w:val="en-US"/>
        </w:rPr>
        <w:br w:type="page"/>
      </w:r>
    </w:p>
    <w:p w14:paraId="5BF18E3C" w14:textId="28D4402C" w:rsidR="00290299" w:rsidRPr="00694D1A" w:rsidRDefault="00164D50" w:rsidP="00290299">
      <w:pPr>
        <w:spacing w:before="100" w:beforeAutospacing="1" w:after="100" w:afterAutospacing="1"/>
        <w:rPr>
          <w:b/>
          <w:u w:val="single"/>
          <w:lang w:val="en-US"/>
        </w:rPr>
      </w:pPr>
      <w:r>
        <w:rPr>
          <w:b/>
          <w:u w:val="single"/>
          <w:lang w:val="en-US"/>
        </w:rPr>
        <w:lastRenderedPageBreak/>
        <w:t xml:space="preserve">Table 2 Steps for the Calculation of </w:t>
      </w:r>
      <w:r w:rsidR="00290299" w:rsidRPr="00694D1A">
        <w:rPr>
          <w:b/>
          <w:u w:val="single"/>
          <w:lang w:val="en-US"/>
        </w:rPr>
        <w:t>Familial genetic risk score (FGRS):</w:t>
      </w:r>
    </w:p>
    <w:p w14:paraId="0E2219FA" w14:textId="7D9BC56B" w:rsidR="00290299" w:rsidRPr="00290299" w:rsidRDefault="00290299" w:rsidP="00290299">
      <w:pPr>
        <w:spacing w:before="100" w:beforeAutospacing="1" w:after="100" w:afterAutospacing="1"/>
        <w:rPr>
          <w:lang w:val="en-US"/>
        </w:rPr>
      </w:pPr>
      <w:r w:rsidRPr="00290299">
        <w:rPr>
          <w:lang w:val="en-US"/>
        </w:rPr>
        <w:t xml:space="preserve">The dataset for the </w:t>
      </w:r>
      <w:r w:rsidRPr="0023688A">
        <w:rPr>
          <w:lang w:val="en-US"/>
        </w:rPr>
        <w:t>calculations</w:t>
      </w:r>
      <w:r w:rsidRPr="00290299">
        <w:rPr>
          <w:lang w:val="en-US"/>
        </w:rPr>
        <w:t xml:space="preserve"> includes:</w:t>
      </w:r>
    </w:p>
    <w:p w14:paraId="4D4B32DC" w14:textId="77777777" w:rsidR="00290299" w:rsidRPr="00290299" w:rsidRDefault="00290299" w:rsidP="00290299">
      <w:pPr>
        <w:spacing w:before="100" w:beforeAutospacing="1" w:after="100" w:afterAutospacing="1"/>
        <w:rPr>
          <w:lang w:val="en-US"/>
        </w:rPr>
      </w:pPr>
      <w:r w:rsidRPr="00290299">
        <w:rPr>
          <w:lang w:val="en-US"/>
        </w:rPr>
        <w:t>Column</w:t>
      </w:r>
      <w:r w:rsidRPr="0023688A">
        <w:rPr>
          <w:lang w:val="en-US"/>
        </w:rPr>
        <w:t>1</w:t>
      </w:r>
      <w:r w:rsidRPr="00290299">
        <w:rPr>
          <w:lang w:val="en-US"/>
        </w:rPr>
        <w:t xml:space="preserve"> = </w:t>
      </w:r>
      <w:r>
        <w:rPr>
          <w:lang w:val="en-US"/>
        </w:rPr>
        <w:t>Identification number of the p</w:t>
      </w:r>
      <w:r w:rsidRPr="00290299">
        <w:rPr>
          <w:lang w:val="en-US"/>
        </w:rPr>
        <w:t>roband (Born 1932-1995)</w:t>
      </w:r>
    </w:p>
    <w:p w14:paraId="58EAEDC0" w14:textId="77777777" w:rsidR="00290299" w:rsidRPr="00290299" w:rsidRDefault="00290299" w:rsidP="00290299">
      <w:pPr>
        <w:spacing w:before="100" w:beforeAutospacing="1" w:after="100" w:afterAutospacing="1"/>
        <w:rPr>
          <w:lang w:val="en-US"/>
        </w:rPr>
      </w:pPr>
      <w:r w:rsidRPr="00290299">
        <w:rPr>
          <w:lang w:val="en-US"/>
        </w:rPr>
        <w:t xml:space="preserve">Column2 = </w:t>
      </w:r>
      <w:r>
        <w:rPr>
          <w:lang w:val="en-US"/>
        </w:rPr>
        <w:t>Identification number of the r</w:t>
      </w:r>
      <w:r w:rsidRPr="00290299">
        <w:rPr>
          <w:lang w:val="en-US"/>
        </w:rPr>
        <w:t>elative (1st to 5th degree relatives)</w:t>
      </w:r>
      <w:r>
        <w:rPr>
          <w:lang w:val="en-US"/>
        </w:rPr>
        <w:t xml:space="preserve"> </w:t>
      </w:r>
    </w:p>
    <w:p w14:paraId="47AFB1B2" w14:textId="23C387B4" w:rsidR="00290299" w:rsidRPr="0023688A" w:rsidRDefault="00290299" w:rsidP="00290299">
      <w:pPr>
        <w:spacing w:before="100" w:beforeAutospacing="1" w:after="100" w:afterAutospacing="1"/>
        <w:rPr>
          <w:lang w:val="en-US"/>
        </w:rPr>
      </w:pPr>
      <w:r w:rsidRPr="00290299">
        <w:rPr>
          <w:lang w:val="en-US"/>
        </w:rPr>
        <w:t xml:space="preserve">Column3 = </w:t>
      </w:r>
      <w:r>
        <w:rPr>
          <w:lang w:val="en-US"/>
        </w:rPr>
        <w:t>Proportion of shared genetic (0.0</w:t>
      </w:r>
      <w:r w:rsidR="00694D1A">
        <w:rPr>
          <w:lang w:val="en-US"/>
        </w:rPr>
        <w:t>3125</w:t>
      </w:r>
      <w:r>
        <w:rPr>
          <w:lang w:val="en-US"/>
        </w:rPr>
        <w:t xml:space="preserve"> to 1) with the proband</w:t>
      </w:r>
    </w:p>
    <w:p w14:paraId="3A40D66D" w14:textId="77777777" w:rsidR="00290299" w:rsidRPr="00290299" w:rsidRDefault="00290299" w:rsidP="00290299">
      <w:pPr>
        <w:spacing w:before="100" w:beforeAutospacing="1" w:after="100" w:afterAutospacing="1"/>
        <w:rPr>
          <w:lang w:val="en-US"/>
        </w:rPr>
      </w:pPr>
      <w:r w:rsidRPr="00290299">
        <w:rPr>
          <w:lang w:val="en-US"/>
        </w:rPr>
        <w:t>Column4 = Year of Birth of relative</w:t>
      </w:r>
    </w:p>
    <w:p w14:paraId="646EE87D" w14:textId="77777777" w:rsidR="00290299" w:rsidRPr="00290299" w:rsidRDefault="00290299" w:rsidP="00290299">
      <w:pPr>
        <w:spacing w:before="100" w:beforeAutospacing="1" w:after="100" w:afterAutospacing="1"/>
        <w:rPr>
          <w:lang w:val="en-US"/>
        </w:rPr>
      </w:pPr>
      <w:r w:rsidRPr="00290299">
        <w:rPr>
          <w:lang w:val="en-US"/>
        </w:rPr>
        <w:t>Column5 = Sex of relative</w:t>
      </w:r>
    </w:p>
    <w:p w14:paraId="0DD9FBE6" w14:textId="77777777" w:rsidR="00290299" w:rsidRPr="00290299" w:rsidRDefault="00290299" w:rsidP="00290299">
      <w:pPr>
        <w:spacing w:before="100" w:beforeAutospacing="1" w:after="100" w:afterAutospacing="1"/>
        <w:rPr>
          <w:lang w:val="en-US"/>
        </w:rPr>
      </w:pPr>
      <w:r w:rsidRPr="00290299">
        <w:rPr>
          <w:lang w:val="en-US"/>
        </w:rPr>
        <w:t>Column6 = Age at registration for trait</w:t>
      </w:r>
    </w:p>
    <w:p w14:paraId="7EA15D06" w14:textId="77777777" w:rsidR="00290299" w:rsidRPr="00290299" w:rsidRDefault="00290299" w:rsidP="00290299">
      <w:pPr>
        <w:spacing w:before="100" w:beforeAutospacing="1" w:after="100" w:afterAutospacing="1"/>
        <w:rPr>
          <w:lang w:val="en-US"/>
        </w:rPr>
      </w:pPr>
      <w:r w:rsidRPr="00290299">
        <w:rPr>
          <w:lang w:val="en-US"/>
        </w:rPr>
        <w:t>Column7 = Age at end of follow-up (2017-12-31 or age at death, o</w:t>
      </w:r>
      <w:r>
        <w:rPr>
          <w:lang w:val="en-US"/>
        </w:rPr>
        <w:t>r</w:t>
      </w:r>
      <w:r w:rsidRPr="00290299">
        <w:rPr>
          <w:lang w:val="en-US"/>
        </w:rPr>
        <w:t xml:space="preserve"> age at emigration whichever came first)</w:t>
      </w:r>
    </w:p>
    <w:p w14:paraId="0F7AB169" w14:textId="77777777" w:rsidR="00290299" w:rsidRPr="0005603F" w:rsidRDefault="00290299" w:rsidP="00290299">
      <w:pPr>
        <w:spacing w:before="100" w:beforeAutospacing="1" w:after="100" w:afterAutospacing="1"/>
        <w:rPr>
          <w:lang w:val="en-US"/>
        </w:rPr>
      </w:pPr>
      <w:r w:rsidRPr="00290299">
        <w:rPr>
          <w:b/>
          <w:lang w:val="en-US"/>
        </w:rPr>
        <w:t>Step 1:</w:t>
      </w:r>
      <w:r w:rsidRPr="00290299">
        <w:rPr>
          <w:lang w:val="en-US"/>
        </w:rPr>
        <w:t xml:space="preserve"> </w:t>
      </w:r>
      <w:r>
        <w:rPr>
          <w:lang w:val="en-US"/>
        </w:rPr>
        <w:t xml:space="preserve">Using all unique relatives with a registration for the trait we non-parametrically estimated the </w:t>
      </w:r>
      <w:r w:rsidRPr="00290299">
        <w:rPr>
          <w:lang w:val="en-US"/>
        </w:rPr>
        <w:t xml:space="preserve">distribution of </w:t>
      </w:r>
      <w:r w:rsidRPr="00290299">
        <w:rPr>
          <w:i/>
          <w:lang w:val="en-US"/>
        </w:rPr>
        <w:t>Age at first registration</w:t>
      </w:r>
      <w:r>
        <w:rPr>
          <w:lang w:val="en-US"/>
        </w:rPr>
        <w:t xml:space="preserve">. The empirical distribution is used </w:t>
      </w:r>
      <w:r w:rsidRPr="00290299">
        <w:rPr>
          <w:lang w:val="en-US"/>
        </w:rPr>
        <w:t xml:space="preserve">to </w:t>
      </w:r>
      <w:r>
        <w:rPr>
          <w:lang w:val="en-US"/>
        </w:rPr>
        <w:t>obtain</w:t>
      </w:r>
      <w:r w:rsidRPr="00290299">
        <w:rPr>
          <w:lang w:val="en-US"/>
        </w:rPr>
        <w:t xml:space="preserve"> weights for relatives </w:t>
      </w:r>
      <w:r>
        <w:rPr>
          <w:lang w:val="en-US"/>
        </w:rPr>
        <w:t xml:space="preserve">without a registration for the trait, in order to account for </w:t>
      </w:r>
      <w:r w:rsidRPr="00290299">
        <w:rPr>
          <w:lang w:val="en-US"/>
        </w:rPr>
        <w:t xml:space="preserve">the proportion of </w:t>
      </w:r>
      <w:r>
        <w:rPr>
          <w:lang w:val="en-US"/>
        </w:rPr>
        <w:t>time-at-</w:t>
      </w:r>
      <w:r w:rsidRPr="00290299">
        <w:rPr>
          <w:lang w:val="en-US"/>
        </w:rPr>
        <w:t>risk period they had completed at the end of follow-up.</w:t>
      </w:r>
      <w:r w:rsidRPr="00863FED">
        <w:rPr>
          <w:lang w:val="en-US"/>
        </w:rPr>
        <w:t xml:space="preserve"> </w:t>
      </w:r>
      <w:r>
        <w:rPr>
          <w:lang w:val="en-US"/>
        </w:rPr>
        <w:t xml:space="preserve"> For example, for relatives at age x at end of follow-up the weight corresponds to the proportion of relatives registered for the trait that had been registration at age x. For relatives born prior to 1958 we subtracted age at end of follow-up with the following formula: </w:t>
      </w:r>
      <w:r w:rsidRPr="0005603F">
        <w:rPr>
          <w:lang w:val="en-US"/>
        </w:rPr>
        <w:t>1958 - Year of birth of relative</w:t>
      </w:r>
      <w:r>
        <w:rPr>
          <w:lang w:val="en-US"/>
        </w:rPr>
        <w:t xml:space="preserve">. </w:t>
      </w:r>
      <w:r w:rsidRPr="00290299">
        <w:rPr>
          <w:lang w:val="en-US"/>
        </w:rPr>
        <w:t xml:space="preserve">This </w:t>
      </w:r>
      <w:r>
        <w:rPr>
          <w:lang w:val="en-US"/>
        </w:rPr>
        <w:t xml:space="preserve">modification </w:t>
      </w:r>
      <w:r w:rsidRPr="00290299">
        <w:rPr>
          <w:lang w:val="en-US"/>
        </w:rPr>
        <w:t>was done in order to control for registration effects (</w:t>
      </w:r>
      <w:proofErr w:type="spellStart"/>
      <w:r w:rsidRPr="00290299">
        <w:rPr>
          <w:lang w:val="en-US"/>
        </w:rPr>
        <w:t>i.e</w:t>
      </w:r>
      <w:proofErr w:type="spellEnd"/>
      <w:r w:rsidRPr="00290299">
        <w:rPr>
          <w:lang w:val="en-US"/>
        </w:rPr>
        <w:t xml:space="preserve">, most registers start in 1973 suggesting that relatives </w:t>
      </w:r>
      <w:r>
        <w:rPr>
          <w:lang w:val="en-US"/>
        </w:rPr>
        <w:t>from early birth cohorts</w:t>
      </w:r>
      <w:r w:rsidRPr="00290299">
        <w:rPr>
          <w:lang w:val="en-US"/>
        </w:rPr>
        <w:t xml:space="preserve"> </w:t>
      </w:r>
      <w:r>
        <w:rPr>
          <w:lang w:val="en-US"/>
        </w:rPr>
        <w:t xml:space="preserve">do </w:t>
      </w:r>
      <w:r w:rsidRPr="00290299">
        <w:rPr>
          <w:lang w:val="en-US"/>
        </w:rPr>
        <w:t>not have the possibility to be registered at younger ages</w:t>
      </w:r>
      <w:r w:rsidRPr="0005603F">
        <w:rPr>
          <w:lang w:val="en-US"/>
        </w:rPr>
        <w:t>).</w:t>
      </w:r>
      <w:r>
        <w:rPr>
          <w:lang w:val="en-US"/>
        </w:rPr>
        <w:t xml:space="preserve"> Note that all relatives with the trait is weighted one.</w:t>
      </w:r>
    </w:p>
    <w:p w14:paraId="70F4B0EE" w14:textId="77777777" w:rsidR="00290299" w:rsidRPr="0005603F" w:rsidRDefault="00290299" w:rsidP="00290299">
      <w:pPr>
        <w:spacing w:before="100" w:beforeAutospacing="1" w:after="100" w:afterAutospacing="1"/>
        <w:rPr>
          <w:lang w:val="en-US"/>
        </w:rPr>
      </w:pPr>
      <w:r w:rsidRPr="00290299">
        <w:rPr>
          <w:b/>
          <w:lang w:val="en-US"/>
        </w:rPr>
        <w:t>Step 2:</w:t>
      </w:r>
      <w:r w:rsidRPr="00290299">
        <w:rPr>
          <w:lang w:val="en-US"/>
        </w:rPr>
        <w:t xml:space="preserve"> Transform the binary variable (trait yes/no) into a z-score based on the threshold for each trait.</w:t>
      </w:r>
      <w:r w:rsidRPr="0005603F">
        <w:rPr>
          <w:lang w:val="en-US"/>
        </w:rPr>
        <w:t xml:space="preserve"> The</w:t>
      </w:r>
      <w:r>
        <w:rPr>
          <w:lang w:val="en-US"/>
        </w:rPr>
        <w:t xml:space="preserve"> underlying liability of the individual is not assessable. Instead we estimated the mean of the underlying liability to obtain sex and birth decade specific </w:t>
      </w:r>
      <w:r w:rsidRPr="00290299">
        <w:rPr>
          <w:lang w:val="en-US"/>
        </w:rPr>
        <w:t>Z-score</w:t>
      </w:r>
      <w:r>
        <w:rPr>
          <w:lang w:val="en-US"/>
        </w:rPr>
        <w:t>s for relatives with the trait registration and relatives without the trait. We generate n random numbers from a N(0, 1) distribution and estimate the mean for relatives registered with the trait  (i.e., mean of the observations above the threshold) and for relatives without a registrations (i.e., mean of all observation below the threshold). The thresholds are calculated for each decade of birth and sex.</w:t>
      </w:r>
    </w:p>
    <w:p w14:paraId="7634859B" w14:textId="77777777" w:rsidR="00290299" w:rsidRPr="00290299" w:rsidRDefault="00290299" w:rsidP="00290299">
      <w:pPr>
        <w:spacing w:before="100" w:beforeAutospacing="1" w:after="100" w:afterAutospacing="1"/>
        <w:rPr>
          <w:lang w:val="en-US"/>
        </w:rPr>
      </w:pPr>
      <w:r w:rsidRPr="00290299">
        <w:rPr>
          <w:b/>
          <w:lang w:val="en-US"/>
        </w:rPr>
        <w:t>Step 3</w:t>
      </w:r>
      <w:r w:rsidRPr="00290299">
        <w:rPr>
          <w:lang w:val="en-US"/>
        </w:rPr>
        <w:t xml:space="preserve">: Correct for cohabitation effects. To estimate the cohabitation effect, we created a database with all individuals in  the Swedish population born in Sweden 1955-1990. We also included the number of years, during ages 0-15, that individuals resided in the same household as their biological father. We thereby were able to define two kinds of families  i) “not-lived-with” father families (offspring never resided a maximum of 1 year in the same household as their biological father);  ii) “lived-with” father (offspring resided a minimum of 13 year in the same household as their biological father. We performed a logistic regression model with the </w:t>
      </w:r>
      <w:r w:rsidRPr="0005603F">
        <w:rPr>
          <w:lang w:val="en-US"/>
        </w:rPr>
        <w:t>binary trait</w:t>
      </w:r>
      <w:r w:rsidRPr="00290299">
        <w:rPr>
          <w:lang w:val="en-US"/>
        </w:rPr>
        <w:t xml:space="preserve"> in offspring as outcome and </w:t>
      </w:r>
      <w:r w:rsidRPr="0005603F">
        <w:rPr>
          <w:lang w:val="en-US"/>
        </w:rPr>
        <w:t>the binary trait</w:t>
      </w:r>
      <w:r w:rsidRPr="00290299">
        <w:rPr>
          <w:lang w:val="en-US"/>
        </w:rPr>
        <w:t xml:space="preserve"> in father, type of father, and their interaction as predictors. We used the interaction term as the difference of effect between genes only and genes + environment. The same approach </w:t>
      </w:r>
      <w:r w:rsidRPr="00290299">
        <w:rPr>
          <w:lang w:val="en-US"/>
        </w:rPr>
        <w:lastRenderedPageBreak/>
        <w:t xml:space="preserve">was performed for half-siblings. </w:t>
      </w:r>
      <w:r w:rsidRPr="00682C16">
        <w:rPr>
          <w:lang w:val="en-US"/>
        </w:rPr>
        <w:t xml:space="preserve">The following </w:t>
      </w:r>
      <w:r w:rsidRPr="00290299">
        <w:rPr>
          <w:lang w:val="en-US"/>
        </w:rPr>
        <w:t>interaction terms are used in the calculations:</w:t>
      </w:r>
      <w:r w:rsidRPr="00290299">
        <w:rPr>
          <w:lang w:val="en-US"/>
        </w:rPr>
        <w:tab/>
      </w:r>
    </w:p>
    <w:p w14:paraId="57F681EB" w14:textId="77777777" w:rsidR="00290299" w:rsidRPr="00290299" w:rsidRDefault="00290299" w:rsidP="00290299">
      <w:pPr>
        <w:spacing w:before="100" w:beforeAutospacing="1" w:after="100" w:afterAutospacing="1"/>
        <w:rPr>
          <w:lang w:val="en-US"/>
        </w:rPr>
      </w:pPr>
      <w:r w:rsidRPr="00290299">
        <w:rPr>
          <w:lang w:val="en-US"/>
        </w:rPr>
        <w:t xml:space="preserve">    </w:t>
      </w:r>
    </w:p>
    <w:tbl>
      <w:tblPr>
        <w:tblStyle w:val="TableGrid"/>
        <w:tblW w:w="0" w:type="auto"/>
        <w:tblLook w:val="04A0" w:firstRow="1" w:lastRow="0" w:firstColumn="1" w:lastColumn="0" w:noHBand="0" w:noVBand="1"/>
      </w:tblPr>
      <w:tblGrid>
        <w:gridCol w:w="1271"/>
        <w:gridCol w:w="2126"/>
        <w:gridCol w:w="1985"/>
      </w:tblGrid>
      <w:tr w:rsidR="00290299" w14:paraId="4F7E8AB1" w14:textId="77777777" w:rsidTr="00C90711">
        <w:tc>
          <w:tcPr>
            <w:tcW w:w="1271" w:type="dxa"/>
          </w:tcPr>
          <w:p w14:paraId="26E302E4" w14:textId="77777777" w:rsidR="00290299" w:rsidRPr="00290299" w:rsidRDefault="00290299" w:rsidP="00C90711">
            <w:pPr>
              <w:spacing w:before="100" w:beforeAutospacing="1" w:after="100" w:afterAutospacing="1"/>
              <w:rPr>
                <w:lang w:val="en-US"/>
              </w:rPr>
            </w:pPr>
          </w:p>
        </w:tc>
        <w:tc>
          <w:tcPr>
            <w:tcW w:w="2126" w:type="dxa"/>
          </w:tcPr>
          <w:p w14:paraId="6DF2BB98" w14:textId="77777777" w:rsidR="00290299" w:rsidRDefault="00290299" w:rsidP="00C90711">
            <w:pPr>
              <w:spacing w:before="100" w:beforeAutospacing="1" w:after="100" w:afterAutospacing="1"/>
            </w:pPr>
            <w:r>
              <w:t xml:space="preserve">Parent/Children      </w:t>
            </w:r>
          </w:p>
        </w:tc>
        <w:tc>
          <w:tcPr>
            <w:tcW w:w="1985" w:type="dxa"/>
          </w:tcPr>
          <w:p w14:paraId="14139D19" w14:textId="77777777" w:rsidR="00290299" w:rsidRPr="00682C16" w:rsidRDefault="00290299" w:rsidP="00C90711">
            <w:pPr>
              <w:spacing w:before="100" w:beforeAutospacing="1" w:after="100" w:afterAutospacing="1"/>
            </w:pPr>
            <w:r>
              <w:t>Siblings</w:t>
            </w:r>
          </w:p>
        </w:tc>
      </w:tr>
      <w:tr w:rsidR="00290299" w14:paraId="0C17396C" w14:textId="77777777" w:rsidTr="00C90711">
        <w:tc>
          <w:tcPr>
            <w:tcW w:w="1271" w:type="dxa"/>
          </w:tcPr>
          <w:p w14:paraId="5916D803" w14:textId="77777777" w:rsidR="00290299" w:rsidRPr="00682C16" w:rsidRDefault="00290299" w:rsidP="00C90711">
            <w:pPr>
              <w:spacing w:before="100" w:beforeAutospacing="1" w:after="100" w:afterAutospacing="1"/>
            </w:pPr>
            <w:r>
              <w:t>AUD</w:t>
            </w:r>
          </w:p>
        </w:tc>
        <w:tc>
          <w:tcPr>
            <w:tcW w:w="2126" w:type="dxa"/>
          </w:tcPr>
          <w:p w14:paraId="5C69D052" w14:textId="77777777" w:rsidR="00290299" w:rsidRPr="00682C16" w:rsidRDefault="00290299" w:rsidP="00C90711">
            <w:pPr>
              <w:spacing w:before="100" w:beforeAutospacing="1" w:after="100" w:afterAutospacing="1"/>
            </w:pPr>
            <w:r>
              <w:t>0.99</w:t>
            </w:r>
          </w:p>
        </w:tc>
        <w:tc>
          <w:tcPr>
            <w:tcW w:w="1985" w:type="dxa"/>
          </w:tcPr>
          <w:p w14:paraId="6269B37A" w14:textId="77777777" w:rsidR="00290299" w:rsidRPr="00682C16" w:rsidRDefault="00290299" w:rsidP="00C90711">
            <w:pPr>
              <w:spacing w:before="100" w:beforeAutospacing="1" w:after="100" w:afterAutospacing="1"/>
            </w:pPr>
            <w:r>
              <w:t>0.69</w:t>
            </w:r>
          </w:p>
        </w:tc>
      </w:tr>
      <w:tr w:rsidR="00290299" w14:paraId="00C8B6FD" w14:textId="77777777" w:rsidTr="00C90711">
        <w:tc>
          <w:tcPr>
            <w:tcW w:w="1271" w:type="dxa"/>
          </w:tcPr>
          <w:p w14:paraId="72029F80" w14:textId="77777777" w:rsidR="00290299" w:rsidRPr="00682C16" w:rsidRDefault="00290299" w:rsidP="00C90711">
            <w:pPr>
              <w:spacing w:before="100" w:beforeAutospacing="1" w:after="100" w:afterAutospacing="1"/>
            </w:pPr>
            <w:r>
              <w:t>DUD</w:t>
            </w:r>
          </w:p>
        </w:tc>
        <w:tc>
          <w:tcPr>
            <w:tcW w:w="2126" w:type="dxa"/>
          </w:tcPr>
          <w:p w14:paraId="69ADE556" w14:textId="77777777" w:rsidR="00290299" w:rsidRPr="00682C16" w:rsidRDefault="00290299" w:rsidP="00C90711">
            <w:pPr>
              <w:spacing w:before="100" w:beforeAutospacing="1" w:after="100" w:afterAutospacing="1"/>
            </w:pPr>
            <w:r>
              <w:t>0.92</w:t>
            </w:r>
          </w:p>
        </w:tc>
        <w:tc>
          <w:tcPr>
            <w:tcW w:w="1985" w:type="dxa"/>
          </w:tcPr>
          <w:p w14:paraId="4F440D8D" w14:textId="77777777" w:rsidR="00290299" w:rsidRPr="00682C16" w:rsidRDefault="00290299" w:rsidP="00C90711">
            <w:pPr>
              <w:spacing w:before="100" w:beforeAutospacing="1" w:after="100" w:afterAutospacing="1"/>
            </w:pPr>
            <w:r>
              <w:t>0.52</w:t>
            </w:r>
          </w:p>
        </w:tc>
      </w:tr>
      <w:tr w:rsidR="00290299" w14:paraId="12DBCB4D" w14:textId="77777777" w:rsidTr="00C90711">
        <w:tc>
          <w:tcPr>
            <w:tcW w:w="1271" w:type="dxa"/>
          </w:tcPr>
          <w:p w14:paraId="2F20B671" w14:textId="1A2BB9CF" w:rsidR="00290299" w:rsidRPr="00682C16" w:rsidRDefault="00694D1A" w:rsidP="00C90711">
            <w:pPr>
              <w:spacing w:before="100" w:beforeAutospacing="1" w:after="100" w:afterAutospacing="1"/>
            </w:pPr>
            <w:r>
              <w:t>Education</w:t>
            </w:r>
          </w:p>
        </w:tc>
        <w:tc>
          <w:tcPr>
            <w:tcW w:w="2126" w:type="dxa"/>
          </w:tcPr>
          <w:p w14:paraId="1503DF2D" w14:textId="5231764D" w:rsidR="00290299" w:rsidRPr="00682C16" w:rsidRDefault="00694D1A" w:rsidP="00C90711">
            <w:pPr>
              <w:spacing w:before="100" w:beforeAutospacing="1" w:after="100" w:afterAutospacing="1"/>
            </w:pPr>
            <w:r>
              <w:t>0.82</w:t>
            </w:r>
          </w:p>
        </w:tc>
        <w:tc>
          <w:tcPr>
            <w:tcW w:w="1985" w:type="dxa"/>
          </w:tcPr>
          <w:p w14:paraId="50958352" w14:textId="5AD1FE8F" w:rsidR="00290299" w:rsidRPr="00682C16" w:rsidRDefault="00694D1A" w:rsidP="00C90711">
            <w:pPr>
              <w:spacing w:before="100" w:beforeAutospacing="1" w:after="100" w:afterAutospacing="1"/>
            </w:pPr>
            <w:r>
              <w:t>0.73</w:t>
            </w:r>
          </w:p>
        </w:tc>
      </w:tr>
    </w:tbl>
    <w:p w14:paraId="53D4B30E" w14:textId="77777777" w:rsidR="00290299" w:rsidRPr="00290299" w:rsidRDefault="00290299" w:rsidP="00290299">
      <w:pPr>
        <w:spacing w:before="100" w:beforeAutospacing="1" w:after="100" w:afterAutospacing="1"/>
        <w:rPr>
          <w:lang w:val="en-US"/>
        </w:rPr>
      </w:pPr>
      <w:r w:rsidRPr="00290299">
        <w:rPr>
          <w:b/>
          <w:lang w:val="en-US"/>
        </w:rPr>
        <w:t>Step 4:</w:t>
      </w:r>
      <w:r w:rsidRPr="00290299">
        <w:rPr>
          <w:lang w:val="en-US"/>
        </w:rPr>
        <w:t xml:space="preserve"> Calculate the product for each relative using the four components:</w:t>
      </w:r>
    </w:p>
    <w:p w14:paraId="21E5F2E2" w14:textId="77777777" w:rsidR="00290299" w:rsidRPr="00290299" w:rsidRDefault="00290299" w:rsidP="00290299">
      <w:pPr>
        <w:pStyle w:val="ListParagraph"/>
        <w:numPr>
          <w:ilvl w:val="0"/>
          <w:numId w:val="2"/>
        </w:numPr>
        <w:spacing w:before="100" w:beforeAutospacing="1" w:after="100" w:afterAutospacing="1"/>
        <w:rPr>
          <w:lang w:val="en-US"/>
        </w:rPr>
      </w:pPr>
      <w:r w:rsidRPr="00290299">
        <w:rPr>
          <w:lang w:val="en-US"/>
        </w:rPr>
        <w:t>Z-score</w:t>
      </w:r>
      <w:r w:rsidRPr="005F17F7">
        <w:rPr>
          <w:lang w:val="en-US"/>
        </w:rPr>
        <w:t xml:space="preserve"> (reflecting </w:t>
      </w:r>
      <w:r w:rsidRPr="00290299">
        <w:rPr>
          <w:lang w:val="en-US"/>
        </w:rPr>
        <w:t xml:space="preserve"> </w:t>
      </w:r>
      <w:r w:rsidRPr="005F17F7">
        <w:rPr>
          <w:lang w:val="en-US"/>
        </w:rPr>
        <w:t>sex and year of birth adjusted rates)</w:t>
      </w:r>
      <w:r w:rsidRPr="00290299">
        <w:rPr>
          <w:lang w:val="en-US"/>
        </w:rPr>
        <w:t xml:space="preserve"> </w:t>
      </w:r>
    </w:p>
    <w:p w14:paraId="0DA396EE" w14:textId="77777777" w:rsidR="00290299" w:rsidRPr="00290299" w:rsidRDefault="00290299" w:rsidP="00290299">
      <w:pPr>
        <w:pStyle w:val="ListParagraph"/>
        <w:numPr>
          <w:ilvl w:val="0"/>
          <w:numId w:val="2"/>
        </w:numPr>
        <w:spacing w:before="100" w:beforeAutospacing="1" w:after="100" w:afterAutospacing="1"/>
        <w:rPr>
          <w:lang w:val="en-US"/>
        </w:rPr>
      </w:pPr>
      <w:r w:rsidRPr="00290299">
        <w:rPr>
          <w:lang w:val="en-US"/>
        </w:rPr>
        <w:t xml:space="preserve">Weight (reflecting the proportion of risk period they had completed) </w:t>
      </w:r>
    </w:p>
    <w:p w14:paraId="57E1DF3B" w14:textId="77777777" w:rsidR="00290299" w:rsidRDefault="00290299" w:rsidP="00290299">
      <w:pPr>
        <w:pStyle w:val="ListParagraph"/>
        <w:numPr>
          <w:ilvl w:val="0"/>
          <w:numId w:val="2"/>
        </w:numPr>
        <w:spacing w:before="100" w:beforeAutospacing="1" w:after="100" w:afterAutospacing="1"/>
      </w:pPr>
      <w:r>
        <w:t>Cohabitation effects</w:t>
      </w:r>
    </w:p>
    <w:p w14:paraId="0F3DD22C" w14:textId="5B526A84" w:rsidR="00290299" w:rsidRPr="005F17F7" w:rsidRDefault="00290299" w:rsidP="00290299">
      <w:pPr>
        <w:pStyle w:val="ListParagraph"/>
        <w:numPr>
          <w:ilvl w:val="0"/>
          <w:numId w:val="2"/>
        </w:numPr>
        <w:spacing w:before="100" w:beforeAutospacing="1" w:after="100" w:afterAutospacing="1"/>
        <w:rPr>
          <w:lang w:val="en-US"/>
        </w:rPr>
      </w:pPr>
      <w:r w:rsidRPr="005F17F7">
        <w:rPr>
          <w:lang w:val="en-US"/>
        </w:rPr>
        <w:t>Propo</w:t>
      </w:r>
      <w:r w:rsidR="00694D1A">
        <w:rPr>
          <w:lang w:val="en-US"/>
        </w:rPr>
        <w:t>rtion of shared genetic (0.03125 to</w:t>
      </w:r>
      <w:r w:rsidRPr="005F17F7">
        <w:rPr>
          <w:lang w:val="en-US"/>
        </w:rPr>
        <w:t xml:space="preserve"> 1) with the proband</w:t>
      </w:r>
    </w:p>
    <w:p w14:paraId="51B49F80" w14:textId="77777777" w:rsidR="00290299" w:rsidRPr="00290299" w:rsidRDefault="00290299" w:rsidP="00290299">
      <w:pPr>
        <w:spacing w:before="100" w:beforeAutospacing="1" w:after="100" w:afterAutospacing="1"/>
        <w:rPr>
          <w:lang w:val="en-US"/>
        </w:rPr>
      </w:pPr>
      <w:r w:rsidRPr="00290299">
        <w:rPr>
          <w:b/>
          <w:lang w:val="en-US"/>
        </w:rPr>
        <w:t>Step 5:</w:t>
      </w:r>
      <w:r w:rsidRPr="00290299">
        <w:rPr>
          <w:lang w:val="en-US"/>
        </w:rPr>
        <w:t xml:space="preserve"> Average the product calculated in step 4 across all relatives to a proband</w:t>
      </w:r>
    </w:p>
    <w:p w14:paraId="1957D036" w14:textId="77777777" w:rsidR="00290299" w:rsidRPr="00682C16" w:rsidRDefault="00290299" w:rsidP="00290299">
      <w:pPr>
        <w:spacing w:before="100" w:beforeAutospacing="1" w:after="100" w:afterAutospacing="1"/>
        <w:rPr>
          <w:lang w:val="en-US"/>
        </w:rPr>
      </w:pPr>
      <w:r w:rsidRPr="00290299">
        <w:rPr>
          <w:b/>
          <w:lang w:val="en-US"/>
        </w:rPr>
        <w:t>Step 6</w:t>
      </w:r>
      <w:r w:rsidRPr="00290299">
        <w:rPr>
          <w:lang w:val="en-US"/>
        </w:rPr>
        <w:t>: Correct for the number of relatives.</w:t>
      </w:r>
      <w:r w:rsidRPr="00682C16">
        <w:rPr>
          <w:lang w:val="en-US"/>
        </w:rPr>
        <w:t xml:space="preserve"> W</w:t>
      </w:r>
      <w:r>
        <w:rPr>
          <w:lang w:val="en-US"/>
        </w:rPr>
        <w:t xml:space="preserve">e multiplied the results from step 5 with a shrinkage factor. </w:t>
      </w:r>
      <w:r w:rsidRPr="00290299">
        <w:rPr>
          <w:lang w:val="en-US"/>
        </w:rPr>
        <w:t>Shrinkage factor (SF):  B/(B+A/C)</w:t>
      </w:r>
      <w:r w:rsidRPr="00682C16">
        <w:rPr>
          <w:lang w:val="en-US"/>
        </w:rPr>
        <w:t xml:space="preserve">. </w:t>
      </w:r>
      <w:r w:rsidRPr="00290299">
        <w:rPr>
          <w:lang w:val="en-US"/>
        </w:rPr>
        <w:t xml:space="preserve"> It produces more shrinkage if B and C are small and A is large.</w:t>
      </w:r>
    </w:p>
    <w:p w14:paraId="58DB71DF" w14:textId="77777777" w:rsidR="00290299" w:rsidRPr="00290299" w:rsidRDefault="00290299" w:rsidP="00290299">
      <w:pPr>
        <w:pStyle w:val="ListParagraph"/>
        <w:numPr>
          <w:ilvl w:val="0"/>
          <w:numId w:val="3"/>
        </w:numPr>
        <w:spacing w:before="100" w:beforeAutospacing="1" w:after="100" w:afterAutospacing="1"/>
        <w:rPr>
          <w:lang w:val="en-US"/>
        </w:rPr>
      </w:pPr>
      <w:r w:rsidRPr="00290299">
        <w:rPr>
          <w:lang w:val="en-US"/>
        </w:rPr>
        <w:t xml:space="preserve">the variance of the z-score of the trait across all relatives, </w:t>
      </w:r>
    </w:p>
    <w:p w14:paraId="75AC5213" w14:textId="77777777" w:rsidR="00290299" w:rsidRPr="00290299" w:rsidRDefault="00290299" w:rsidP="00290299">
      <w:pPr>
        <w:pStyle w:val="ListParagraph"/>
        <w:numPr>
          <w:ilvl w:val="0"/>
          <w:numId w:val="3"/>
        </w:numPr>
        <w:spacing w:before="100" w:beforeAutospacing="1" w:after="100" w:afterAutospacing="1"/>
        <w:rPr>
          <w:lang w:val="en-US"/>
        </w:rPr>
      </w:pPr>
      <w:r w:rsidRPr="00290299">
        <w:rPr>
          <w:lang w:val="en-US"/>
        </w:rPr>
        <w:t>the variance in the mean z-score across all probands,</w:t>
      </w:r>
    </w:p>
    <w:p w14:paraId="6ED5897A" w14:textId="4C4E0795" w:rsidR="00290299" w:rsidRPr="00290299" w:rsidRDefault="00694D1A" w:rsidP="00290299">
      <w:pPr>
        <w:pStyle w:val="ListParagraph"/>
        <w:numPr>
          <w:ilvl w:val="0"/>
          <w:numId w:val="3"/>
        </w:numPr>
        <w:spacing w:before="100" w:beforeAutospacing="1" w:after="100" w:afterAutospacing="1"/>
        <w:rPr>
          <w:lang w:val="en-US"/>
        </w:rPr>
      </w:pPr>
      <w:r w:rsidRPr="00290299">
        <w:rPr>
          <w:lang w:val="en-US"/>
        </w:rPr>
        <w:t>the weighted</w:t>
      </w:r>
      <w:r w:rsidR="00290299" w:rsidRPr="00290299">
        <w:rPr>
          <w:lang w:val="en-US"/>
        </w:rPr>
        <w:t xml:space="preserve"> number of relatives for each proband (sum of </w:t>
      </w:r>
      <w:r w:rsidRPr="00290299">
        <w:rPr>
          <w:lang w:val="en-US"/>
        </w:rPr>
        <w:t>Column</w:t>
      </w:r>
      <w:r w:rsidR="00290299" w:rsidRPr="00290299">
        <w:rPr>
          <w:lang w:val="en-US"/>
        </w:rPr>
        <w:t xml:space="preserve"> 3 across each proband). </w:t>
      </w:r>
    </w:p>
    <w:p w14:paraId="110800CA" w14:textId="2F3F3DF9" w:rsidR="00290299" w:rsidRDefault="00290299" w:rsidP="00290299">
      <w:pPr>
        <w:rPr>
          <w:lang w:val="en-US"/>
        </w:rPr>
      </w:pPr>
      <w:r w:rsidRPr="00682C16">
        <w:rPr>
          <w:b/>
          <w:lang w:val="en-US"/>
        </w:rPr>
        <w:t>Step 7:</w:t>
      </w:r>
      <w:r w:rsidRPr="00682C16">
        <w:rPr>
          <w:lang w:val="en-US"/>
        </w:rPr>
        <w:t xml:space="preserve"> </w:t>
      </w:r>
      <w:r>
        <w:rPr>
          <w:lang w:val="en-US"/>
        </w:rPr>
        <w:t>Correct for difference by year of birth and county differences. There are 21 counties in Sweden. For each proband we used the county they had resided in during the maximum number of years (measured from 1969 and onwards) W</w:t>
      </w:r>
      <w:r w:rsidRPr="00747533">
        <w:rPr>
          <w:lang w:val="en-US"/>
        </w:rPr>
        <w:t xml:space="preserve">e standardized the </w:t>
      </w:r>
      <w:r>
        <w:rPr>
          <w:lang w:val="en-US"/>
        </w:rPr>
        <w:t>risk score</w:t>
      </w:r>
      <w:r w:rsidRPr="00747533">
        <w:rPr>
          <w:lang w:val="en-US"/>
        </w:rPr>
        <w:t xml:space="preserve"> </w:t>
      </w:r>
      <w:r>
        <w:rPr>
          <w:lang w:val="en-US"/>
        </w:rPr>
        <w:t xml:space="preserve">by year of birth and county of the proband </w:t>
      </w:r>
      <w:r w:rsidRPr="00747533">
        <w:rPr>
          <w:lang w:val="en-US"/>
        </w:rPr>
        <w:t>into a z-score with mean 0 and SD 1.</w:t>
      </w:r>
      <w:r>
        <w:rPr>
          <w:lang w:val="en-US"/>
        </w:rPr>
        <w:t xml:space="preserve"> This was then used as the FGRS in the analyses.</w:t>
      </w:r>
    </w:p>
    <w:p w14:paraId="28394729" w14:textId="6448EA43" w:rsidR="008C2B68" w:rsidRPr="00747533" w:rsidRDefault="008C2B68" w:rsidP="00290299">
      <w:pPr>
        <w:rPr>
          <w:lang w:val="en-US"/>
        </w:rPr>
      </w:pPr>
      <w:r>
        <w:rPr>
          <w:lang w:val="en-US"/>
        </w:rPr>
        <w:t xml:space="preserve">The code from the calculation of the FGRS is available from the authors on request. </w:t>
      </w:r>
    </w:p>
    <w:p w14:paraId="7B12F569" w14:textId="77777777" w:rsidR="00290299" w:rsidRPr="00290299" w:rsidRDefault="00290299" w:rsidP="00290299">
      <w:pPr>
        <w:spacing w:before="100" w:beforeAutospacing="1" w:after="100" w:afterAutospacing="1"/>
        <w:rPr>
          <w:lang w:val="en-US"/>
        </w:rPr>
      </w:pPr>
      <w:r w:rsidRPr="00290299">
        <w:rPr>
          <w:lang w:val="en-US"/>
        </w:rPr>
        <w:t xml:space="preserve"> </w:t>
      </w:r>
    </w:p>
    <w:p w14:paraId="17637245" w14:textId="531E2453" w:rsidR="00296C44" w:rsidRDefault="00296C44" w:rsidP="00CE60D6">
      <w:pPr>
        <w:rPr>
          <w:lang w:val="en-US"/>
        </w:rPr>
        <w:sectPr w:rsidR="00296C44">
          <w:footerReference w:type="default" r:id="rId7"/>
          <w:pgSz w:w="11906" w:h="16838"/>
          <w:pgMar w:top="1417" w:right="1417" w:bottom="1417" w:left="1417" w:header="708" w:footer="708" w:gutter="0"/>
          <w:cols w:space="708"/>
          <w:docGrid w:linePitch="360"/>
        </w:sectPr>
      </w:pPr>
    </w:p>
    <w:p w14:paraId="5DD78C58" w14:textId="312FE13D" w:rsidR="00F308BE" w:rsidRDefault="00F308BE" w:rsidP="00033C0F">
      <w:pPr>
        <w:rPr>
          <w:lang w:val="en-US"/>
        </w:rPr>
      </w:pPr>
    </w:p>
    <w:p w14:paraId="568CCB14" w14:textId="0C494D71" w:rsidR="00F308BE" w:rsidRDefault="00164D50" w:rsidP="005A0B83">
      <w:pPr>
        <w:jc w:val="center"/>
        <w:rPr>
          <w:lang w:val="en-US"/>
        </w:rPr>
      </w:pPr>
      <w:r>
        <w:rPr>
          <w:lang w:val="en-US"/>
        </w:rPr>
        <w:t xml:space="preserve">Figure 1 </w:t>
      </w:r>
      <w:r w:rsidR="00F308BE">
        <w:rPr>
          <w:lang w:val="en-US"/>
        </w:rPr>
        <w:t>Mean FGRS</w:t>
      </w:r>
      <w:r w:rsidR="00F602EB">
        <w:rPr>
          <w:lang w:val="en-US"/>
        </w:rPr>
        <w:t>/GAEA</w:t>
      </w:r>
      <w:r w:rsidR="00F308BE">
        <w:rPr>
          <w:lang w:val="en-US"/>
        </w:rPr>
        <w:t xml:space="preserve"> for individuals with AUD</w:t>
      </w:r>
      <w:r w:rsidR="00F602EB">
        <w:rPr>
          <w:lang w:val="en-US"/>
        </w:rPr>
        <w:t xml:space="preserve"> and DUD</w:t>
      </w:r>
      <w:r w:rsidR="00F308BE">
        <w:rPr>
          <w:lang w:val="en-US"/>
        </w:rPr>
        <w:t xml:space="preserve"> </w:t>
      </w:r>
      <w:r w:rsidR="00F602EB">
        <w:rPr>
          <w:lang w:val="en-US"/>
        </w:rPr>
        <w:t>across Northern and Southern part of Sweden</w:t>
      </w:r>
    </w:p>
    <w:p w14:paraId="309A795A" w14:textId="23A6E423" w:rsidR="00F602EB" w:rsidRDefault="005A0B83" w:rsidP="00033C0F">
      <w:pPr>
        <w:rPr>
          <w:lang w:val="en-US"/>
        </w:rPr>
      </w:pPr>
      <w:r>
        <w:rPr>
          <w:noProof/>
          <w:lang w:eastAsia="sv-SE"/>
        </w:rPr>
        <w:drawing>
          <wp:anchor distT="0" distB="0" distL="114300" distR="114300" simplePos="0" relativeHeight="251708416" behindDoc="0" locked="0" layoutInCell="1" allowOverlap="1" wp14:anchorId="26AD2ED5" wp14:editId="64305F2D">
            <wp:simplePos x="0" y="0"/>
            <wp:positionH relativeFrom="column">
              <wp:posOffset>1134910</wp:posOffset>
            </wp:positionH>
            <wp:positionV relativeFrom="paragraph">
              <wp:posOffset>78546</wp:posOffset>
            </wp:positionV>
            <wp:extent cx="6169526" cy="3713695"/>
            <wp:effectExtent l="0" t="0" r="3175" b="127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526" cy="3713695"/>
                    </a:xfrm>
                    <a:prstGeom prst="rect">
                      <a:avLst/>
                    </a:prstGeom>
                    <a:noFill/>
                  </pic:spPr>
                </pic:pic>
              </a:graphicData>
            </a:graphic>
            <wp14:sizeRelH relativeFrom="margin">
              <wp14:pctWidth>0</wp14:pctWidth>
            </wp14:sizeRelH>
            <wp14:sizeRelV relativeFrom="margin">
              <wp14:pctHeight>0</wp14:pctHeight>
            </wp14:sizeRelV>
          </wp:anchor>
        </w:drawing>
      </w:r>
    </w:p>
    <w:p w14:paraId="3B6FC85B" w14:textId="2B5E3E6A" w:rsidR="00F602EB" w:rsidRDefault="00F602EB" w:rsidP="00033C0F">
      <w:pPr>
        <w:rPr>
          <w:lang w:val="en-US"/>
        </w:rPr>
      </w:pPr>
    </w:p>
    <w:p w14:paraId="619DA6DD" w14:textId="5918B364" w:rsidR="005A0B83" w:rsidRDefault="005A0B83" w:rsidP="00033C0F">
      <w:pPr>
        <w:rPr>
          <w:lang w:val="en-US"/>
        </w:rPr>
      </w:pPr>
    </w:p>
    <w:p w14:paraId="1F40C6BE" w14:textId="2E8371DA" w:rsidR="00522E21" w:rsidRPr="00522E21" w:rsidRDefault="00522E21" w:rsidP="00522E21">
      <w:pPr>
        <w:rPr>
          <w:lang w:val="en-US"/>
        </w:rPr>
      </w:pPr>
    </w:p>
    <w:p w14:paraId="2C8F47B3" w14:textId="7CA0A400" w:rsidR="00522E21" w:rsidRPr="00522E21" w:rsidRDefault="00522E21" w:rsidP="00522E21">
      <w:pPr>
        <w:rPr>
          <w:lang w:val="en-US"/>
        </w:rPr>
      </w:pPr>
    </w:p>
    <w:p w14:paraId="14F02087" w14:textId="62916947" w:rsidR="00522E21" w:rsidRPr="00522E21" w:rsidRDefault="00522E21" w:rsidP="00522E21">
      <w:pPr>
        <w:rPr>
          <w:lang w:val="en-US"/>
        </w:rPr>
      </w:pPr>
    </w:p>
    <w:p w14:paraId="72B6A8EC" w14:textId="65328200" w:rsidR="00522E21" w:rsidRPr="00522E21" w:rsidRDefault="00522E21" w:rsidP="00522E21">
      <w:pPr>
        <w:rPr>
          <w:lang w:val="en-US"/>
        </w:rPr>
      </w:pPr>
    </w:p>
    <w:p w14:paraId="6DCE90D3" w14:textId="6971E3F9" w:rsidR="00522E21" w:rsidRPr="00522E21" w:rsidRDefault="00522E21" w:rsidP="00522E21">
      <w:pPr>
        <w:rPr>
          <w:lang w:val="en-US"/>
        </w:rPr>
      </w:pPr>
    </w:p>
    <w:p w14:paraId="3FC0CB9E" w14:textId="5DBF6A11" w:rsidR="00522E21" w:rsidRPr="00522E21" w:rsidRDefault="00522E21" w:rsidP="00522E21">
      <w:pPr>
        <w:rPr>
          <w:lang w:val="en-US"/>
        </w:rPr>
      </w:pPr>
    </w:p>
    <w:p w14:paraId="39C0A512" w14:textId="77777777" w:rsidR="00522E21" w:rsidRPr="00522E21" w:rsidRDefault="00522E21" w:rsidP="00522E21">
      <w:pPr>
        <w:rPr>
          <w:lang w:val="en-US"/>
        </w:rPr>
      </w:pPr>
    </w:p>
    <w:p w14:paraId="6948BEAE" w14:textId="77777777" w:rsidR="00522E21" w:rsidRPr="00522E21" w:rsidRDefault="00522E21" w:rsidP="00522E21">
      <w:pPr>
        <w:rPr>
          <w:lang w:val="en-US"/>
        </w:rPr>
      </w:pPr>
    </w:p>
    <w:p w14:paraId="610E9C85" w14:textId="77777777" w:rsidR="00522E21" w:rsidRPr="00522E21" w:rsidRDefault="00522E21" w:rsidP="00522E21">
      <w:pPr>
        <w:rPr>
          <w:lang w:val="en-US"/>
        </w:rPr>
      </w:pPr>
    </w:p>
    <w:p w14:paraId="38F62A2C" w14:textId="77777777" w:rsidR="00522E21" w:rsidRPr="00522E21" w:rsidRDefault="00522E21" w:rsidP="00522E21">
      <w:pPr>
        <w:rPr>
          <w:lang w:val="en-US"/>
        </w:rPr>
      </w:pPr>
    </w:p>
    <w:p w14:paraId="20BB9248" w14:textId="77777777" w:rsidR="00522E21" w:rsidRPr="00522E21" w:rsidRDefault="00522E21" w:rsidP="00522E21">
      <w:pPr>
        <w:rPr>
          <w:lang w:val="en-US"/>
        </w:rPr>
      </w:pPr>
    </w:p>
    <w:p w14:paraId="7D8D8D85" w14:textId="56E7A647" w:rsidR="00522E21" w:rsidRDefault="00522E21" w:rsidP="00522E21">
      <w:pPr>
        <w:rPr>
          <w:lang w:val="en-US"/>
        </w:rPr>
      </w:pPr>
    </w:p>
    <w:p w14:paraId="0FE2CEA2" w14:textId="0B1DD25B" w:rsidR="00522E21" w:rsidRDefault="00522E21" w:rsidP="00522E21">
      <w:pPr>
        <w:rPr>
          <w:lang w:val="en-US"/>
        </w:rPr>
      </w:pPr>
    </w:p>
    <w:p w14:paraId="0B7FC707" w14:textId="77777777" w:rsidR="005A0B83" w:rsidRDefault="005A0B83" w:rsidP="00522E21">
      <w:pPr>
        <w:tabs>
          <w:tab w:val="left" w:pos="8458"/>
        </w:tabs>
        <w:rPr>
          <w:lang w:val="en-US"/>
        </w:rPr>
      </w:pPr>
    </w:p>
    <w:p w14:paraId="4E2CA31C" w14:textId="77777777" w:rsidR="005A0B83" w:rsidRDefault="005A0B83" w:rsidP="00522E21">
      <w:pPr>
        <w:tabs>
          <w:tab w:val="left" w:pos="8458"/>
        </w:tabs>
        <w:rPr>
          <w:lang w:val="en-US"/>
        </w:rPr>
      </w:pPr>
    </w:p>
    <w:p w14:paraId="6D0A3D7F" w14:textId="77777777" w:rsidR="005A0B83" w:rsidRDefault="005A0B83" w:rsidP="00522E21">
      <w:pPr>
        <w:tabs>
          <w:tab w:val="left" w:pos="8458"/>
        </w:tabs>
        <w:rPr>
          <w:lang w:val="en-US"/>
        </w:rPr>
      </w:pPr>
    </w:p>
    <w:p w14:paraId="121B94B3" w14:textId="217A548C" w:rsidR="00F602EB" w:rsidRDefault="00522E21" w:rsidP="00522E21">
      <w:pPr>
        <w:tabs>
          <w:tab w:val="left" w:pos="8458"/>
        </w:tabs>
        <w:rPr>
          <w:lang w:val="en-US"/>
        </w:rPr>
      </w:pPr>
      <w:r>
        <w:rPr>
          <w:lang w:val="en-US"/>
        </w:rPr>
        <w:tab/>
      </w:r>
    </w:p>
    <w:p w14:paraId="0EAE5A9F" w14:textId="5F84242B" w:rsidR="005A0B83" w:rsidRDefault="00164D50" w:rsidP="005A0B83">
      <w:pPr>
        <w:jc w:val="center"/>
        <w:rPr>
          <w:lang w:val="en-US"/>
        </w:rPr>
      </w:pPr>
      <w:r>
        <w:rPr>
          <w:b/>
          <w:lang w:val="en-US"/>
        </w:rPr>
        <w:t xml:space="preserve">Table 3 </w:t>
      </w:r>
      <w:r w:rsidR="005A0B83" w:rsidRPr="008263D6">
        <w:rPr>
          <w:b/>
          <w:lang w:val="en-US"/>
        </w:rPr>
        <w:t xml:space="preserve">Correlation with the </w:t>
      </w:r>
      <w:r w:rsidR="005A0B83">
        <w:rPr>
          <w:b/>
          <w:lang w:val="en-US"/>
        </w:rPr>
        <w:t>F</w:t>
      </w:r>
      <w:r w:rsidR="005A0B83" w:rsidRPr="008263D6">
        <w:rPr>
          <w:b/>
          <w:lang w:val="en-US"/>
        </w:rPr>
        <w:t xml:space="preserve">GRS used in </w:t>
      </w:r>
      <w:r w:rsidR="005A0B83">
        <w:rPr>
          <w:b/>
          <w:lang w:val="en-US"/>
        </w:rPr>
        <w:t>the manuscript</w:t>
      </w:r>
    </w:p>
    <w:p w14:paraId="79F3E63C" w14:textId="1CD4913F" w:rsidR="00522E21" w:rsidRDefault="00522E21" w:rsidP="005A0B83">
      <w:pPr>
        <w:tabs>
          <w:tab w:val="left" w:pos="8458"/>
        </w:tabs>
        <w:rPr>
          <w:lang w:val="en-US"/>
        </w:rPr>
      </w:pPr>
    </w:p>
    <w:tbl>
      <w:tblPr>
        <w:tblStyle w:val="TableGrid"/>
        <w:tblpPr w:leftFromText="141" w:rightFromText="141" w:vertAnchor="page" w:horzAnchor="margin" w:tblpXSpec="center" w:tblpY="3206"/>
        <w:tblW w:w="8439" w:type="dxa"/>
        <w:tblLook w:val="04A0" w:firstRow="1" w:lastRow="0" w:firstColumn="1" w:lastColumn="0" w:noHBand="0" w:noVBand="1"/>
      </w:tblPr>
      <w:tblGrid>
        <w:gridCol w:w="5168"/>
        <w:gridCol w:w="1709"/>
        <w:gridCol w:w="1562"/>
      </w:tblGrid>
      <w:tr w:rsidR="005A0B83" w:rsidRPr="00FA714F" w14:paraId="04832AA7" w14:textId="77777777" w:rsidTr="005A0B83">
        <w:tc>
          <w:tcPr>
            <w:tcW w:w="5168" w:type="dxa"/>
          </w:tcPr>
          <w:p w14:paraId="4C5135C5" w14:textId="77777777" w:rsidR="005A0B83" w:rsidRPr="00FA714F" w:rsidRDefault="005A0B83" w:rsidP="005A0B83">
            <w:pPr>
              <w:pStyle w:val="NoSpacing"/>
              <w:rPr>
                <w:lang w:val="en-US"/>
              </w:rPr>
            </w:pPr>
          </w:p>
        </w:tc>
        <w:tc>
          <w:tcPr>
            <w:tcW w:w="1709" w:type="dxa"/>
          </w:tcPr>
          <w:p w14:paraId="6288929E" w14:textId="77777777" w:rsidR="005A0B83" w:rsidRPr="00FA714F" w:rsidRDefault="005A0B83" w:rsidP="005A0B83">
            <w:pPr>
              <w:pStyle w:val="NoSpacing"/>
            </w:pPr>
            <w:r>
              <w:t>DUD</w:t>
            </w:r>
            <w:r w:rsidRPr="00FA714F">
              <w:t xml:space="preserve"> GRS</w:t>
            </w:r>
          </w:p>
        </w:tc>
        <w:tc>
          <w:tcPr>
            <w:tcW w:w="1562" w:type="dxa"/>
          </w:tcPr>
          <w:p w14:paraId="2C6D9F40" w14:textId="77777777" w:rsidR="005A0B83" w:rsidRDefault="005A0B83" w:rsidP="005A0B83">
            <w:pPr>
              <w:pStyle w:val="NoSpacing"/>
            </w:pPr>
            <w:r>
              <w:t>AUD GRS</w:t>
            </w:r>
          </w:p>
        </w:tc>
      </w:tr>
      <w:tr w:rsidR="005A0B83" w:rsidRPr="00FA714F" w14:paraId="0C9D15FC" w14:textId="77777777" w:rsidTr="005A0B83">
        <w:tc>
          <w:tcPr>
            <w:tcW w:w="5168" w:type="dxa"/>
          </w:tcPr>
          <w:p w14:paraId="3707F853" w14:textId="77777777" w:rsidR="005A0B83" w:rsidRPr="00FA714F" w:rsidRDefault="005A0B83" w:rsidP="005A0B83">
            <w:pPr>
              <w:pStyle w:val="NoSpacing"/>
              <w:rPr>
                <w:lang w:val="en-US"/>
              </w:rPr>
            </w:pPr>
            <w:r w:rsidRPr="00FA714F">
              <w:rPr>
                <w:lang w:val="en-US"/>
              </w:rPr>
              <w:t>GRS</w:t>
            </w:r>
            <w:r>
              <w:rPr>
                <w:lang w:val="en-US"/>
              </w:rPr>
              <w:t>(a) -</w:t>
            </w:r>
            <w:r w:rsidRPr="00FA714F">
              <w:rPr>
                <w:lang w:val="en-US"/>
              </w:rPr>
              <w:t xml:space="preserve"> 1</w:t>
            </w:r>
            <w:r w:rsidRPr="00FA714F">
              <w:rPr>
                <w:vertAlign w:val="superscript"/>
                <w:lang w:val="en-US"/>
              </w:rPr>
              <w:t>st</w:t>
            </w:r>
            <w:r w:rsidRPr="00FA714F">
              <w:rPr>
                <w:lang w:val="en-US"/>
              </w:rPr>
              <w:t xml:space="preserve"> degree relatives</w:t>
            </w:r>
          </w:p>
        </w:tc>
        <w:tc>
          <w:tcPr>
            <w:tcW w:w="1709" w:type="dxa"/>
          </w:tcPr>
          <w:p w14:paraId="47CE4FB5" w14:textId="77777777" w:rsidR="005A0B83" w:rsidRPr="00FA714F" w:rsidRDefault="005A0B83" w:rsidP="005A0B83">
            <w:pPr>
              <w:pStyle w:val="NoSpacing"/>
              <w:rPr>
                <w:lang w:val="en-US"/>
              </w:rPr>
            </w:pPr>
            <w:r>
              <w:rPr>
                <w:lang w:val="en-US"/>
              </w:rPr>
              <w:t>0.763</w:t>
            </w:r>
          </w:p>
        </w:tc>
        <w:tc>
          <w:tcPr>
            <w:tcW w:w="1562" w:type="dxa"/>
          </w:tcPr>
          <w:p w14:paraId="50D4BE80" w14:textId="77777777" w:rsidR="005A0B83" w:rsidRDefault="005A0B83" w:rsidP="005A0B83">
            <w:pPr>
              <w:pStyle w:val="NoSpacing"/>
              <w:rPr>
                <w:lang w:val="en-US"/>
              </w:rPr>
            </w:pPr>
            <w:r>
              <w:rPr>
                <w:lang w:val="en-US"/>
              </w:rPr>
              <w:t>0.812</w:t>
            </w:r>
          </w:p>
        </w:tc>
      </w:tr>
      <w:tr w:rsidR="005A0B83" w:rsidRPr="00FA714F" w14:paraId="5FC7DFDD" w14:textId="77777777" w:rsidTr="005A0B83">
        <w:tc>
          <w:tcPr>
            <w:tcW w:w="5168" w:type="dxa"/>
          </w:tcPr>
          <w:p w14:paraId="01612417" w14:textId="77777777" w:rsidR="005A0B83" w:rsidRPr="00FA714F" w:rsidRDefault="005A0B83" w:rsidP="005A0B83">
            <w:pPr>
              <w:pStyle w:val="NoSpacing"/>
              <w:rPr>
                <w:lang w:val="en-US"/>
              </w:rPr>
            </w:pPr>
            <w:r w:rsidRPr="00FA714F">
              <w:rPr>
                <w:lang w:val="en-US"/>
              </w:rPr>
              <w:t>GRS</w:t>
            </w:r>
            <w:r>
              <w:rPr>
                <w:lang w:val="en-US"/>
              </w:rPr>
              <w:t>(b) -</w:t>
            </w:r>
            <w:r w:rsidRPr="00FA714F">
              <w:rPr>
                <w:lang w:val="en-US"/>
              </w:rPr>
              <w:t xml:space="preserve"> no age correction</w:t>
            </w:r>
          </w:p>
        </w:tc>
        <w:tc>
          <w:tcPr>
            <w:tcW w:w="1709" w:type="dxa"/>
          </w:tcPr>
          <w:p w14:paraId="06B23B09" w14:textId="77777777" w:rsidR="005A0B83" w:rsidRPr="00FA714F" w:rsidRDefault="005A0B83" w:rsidP="005A0B83">
            <w:pPr>
              <w:pStyle w:val="NoSpacing"/>
              <w:rPr>
                <w:lang w:val="en-US"/>
              </w:rPr>
            </w:pPr>
            <w:r>
              <w:rPr>
                <w:lang w:val="en-US"/>
              </w:rPr>
              <w:t>0.995</w:t>
            </w:r>
          </w:p>
        </w:tc>
        <w:tc>
          <w:tcPr>
            <w:tcW w:w="1562" w:type="dxa"/>
          </w:tcPr>
          <w:p w14:paraId="7E8F6FFB" w14:textId="77777777" w:rsidR="005A0B83" w:rsidRDefault="005A0B83" w:rsidP="005A0B83">
            <w:pPr>
              <w:pStyle w:val="NoSpacing"/>
              <w:rPr>
                <w:lang w:val="en-US"/>
              </w:rPr>
            </w:pPr>
            <w:r>
              <w:rPr>
                <w:lang w:val="en-US"/>
              </w:rPr>
              <w:t>0.806</w:t>
            </w:r>
          </w:p>
        </w:tc>
      </w:tr>
      <w:tr w:rsidR="005A0B83" w:rsidRPr="00182B11" w14:paraId="59905C09" w14:textId="77777777" w:rsidTr="005A0B83">
        <w:tc>
          <w:tcPr>
            <w:tcW w:w="5168" w:type="dxa"/>
          </w:tcPr>
          <w:p w14:paraId="11E40445" w14:textId="77777777" w:rsidR="005A0B83" w:rsidRPr="00FA714F" w:rsidRDefault="005A0B83" w:rsidP="005A0B83">
            <w:pPr>
              <w:pStyle w:val="NoSpacing"/>
              <w:rPr>
                <w:lang w:val="en-US"/>
              </w:rPr>
            </w:pPr>
            <w:r w:rsidRPr="00FA714F">
              <w:rPr>
                <w:lang w:val="en-US"/>
              </w:rPr>
              <w:t>GRS</w:t>
            </w:r>
            <w:r>
              <w:rPr>
                <w:lang w:val="en-US"/>
              </w:rPr>
              <w:t>(c) -</w:t>
            </w:r>
            <w:r w:rsidRPr="00FA714F">
              <w:rPr>
                <w:lang w:val="en-US"/>
              </w:rPr>
              <w:t xml:space="preserve"> </w:t>
            </w:r>
            <w:r w:rsidRPr="007C61E8">
              <w:rPr>
                <w:lang w:val="en-US"/>
              </w:rPr>
              <w:t>no cohabitation correction</w:t>
            </w:r>
          </w:p>
        </w:tc>
        <w:tc>
          <w:tcPr>
            <w:tcW w:w="1709" w:type="dxa"/>
          </w:tcPr>
          <w:p w14:paraId="73847C84" w14:textId="77777777" w:rsidR="005A0B83" w:rsidRPr="00FA714F" w:rsidRDefault="005A0B83" w:rsidP="005A0B83">
            <w:pPr>
              <w:pStyle w:val="NoSpacing"/>
              <w:rPr>
                <w:lang w:val="en-US"/>
              </w:rPr>
            </w:pPr>
            <w:r>
              <w:rPr>
                <w:lang w:val="en-US"/>
              </w:rPr>
              <w:t>0.980</w:t>
            </w:r>
          </w:p>
        </w:tc>
        <w:tc>
          <w:tcPr>
            <w:tcW w:w="1562" w:type="dxa"/>
          </w:tcPr>
          <w:p w14:paraId="3CA9CFA9" w14:textId="77777777" w:rsidR="005A0B83" w:rsidRDefault="005A0B83" w:rsidP="005A0B83">
            <w:pPr>
              <w:pStyle w:val="NoSpacing"/>
              <w:rPr>
                <w:lang w:val="en-US"/>
              </w:rPr>
            </w:pPr>
            <w:r>
              <w:rPr>
                <w:lang w:val="en-US"/>
              </w:rPr>
              <w:t>0.992</w:t>
            </w:r>
          </w:p>
        </w:tc>
      </w:tr>
      <w:tr w:rsidR="005A0B83" w:rsidRPr="00FA714F" w14:paraId="283BE705" w14:textId="77777777" w:rsidTr="005A0B83">
        <w:tc>
          <w:tcPr>
            <w:tcW w:w="5168" w:type="dxa"/>
          </w:tcPr>
          <w:p w14:paraId="1227B6B7" w14:textId="77777777" w:rsidR="005A0B83" w:rsidRPr="00FA714F" w:rsidRDefault="005A0B83" w:rsidP="005A0B83">
            <w:pPr>
              <w:pStyle w:val="NoSpacing"/>
              <w:rPr>
                <w:lang w:val="en-US"/>
              </w:rPr>
            </w:pPr>
            <w:r w:rsidRPr="00FA714F">
              <w:rPr>
                <w:lang w:val="en-US"/>
              </w:rPr>
              <w:t>GRS</w:t>
            </w:r>
            <w:r>
              <w:rPr>
                <w:lang w:val="en-US"/>
              </w:rPr>
              <w:t>(d) -</w:t>
            </w:r>
            <w:r w:rsidRPr="00FA714F">
              <w:rPr>
                <w:lang w:val="en-US"/>
              </w:rPr>
              <w:t xml:space="preserve"> no weighting for # relatives</w:t>
            </w:r>
          </w:p>
        </w:tc>
        <w:tc>
          <w:tcPr>
            <w:tcW w:w="1709" w:type="dxa"/>
          </w:tcPr>
          <w:p w14:paraId="18993E1C" w14:textId="77777777" w:rsidR="005A0B83" w:rsidRPr="00FA714F" w:rsidRDefault="005A0B83" w:rsidP="005A0B83">
            <w:pPr>
              <w:pStyle w:val="NoSpacing"/>
              <w:rPr>
                <w:lang w:val="en-US"/>
              </w:rPr>
            </w:pPr>
            <w:r>
              <w:rPr>
                <w:lang w:val="en-US"/>
              </w:rPr>
              <w:t>0.971</w:t>
            </w:r>
          </w:p>
        </w:tc>
        <w:tc>
          <w:tcPr>
            <w:tcW w:w="1562" w:type="dxa"/>
          </w:tcPr>
          <w:p w14:paraId="49F0716B" w14:textId="77777777" w:rsidR="005A0B83" w:rsidRDefault="005A0B83" w:rsidP="005A0B83">
            <w:pPr>
              <w:pStyle w:val="NoSpacing"/>
              <w:rPr>
                <w:lang w:val="en-US"/>
              </w:rPr>
            </w:pPr>
            <w:r>
              <w:rPr>
                <w:lang w:val="en-US"/>
              </w:rPr>
              <w:t>0.952</w:t>
            </w:r>
          </w:p>
        </w:tc>
      </w:tr>
      <w:tr w:rsidR="005A0B83" w:rsidRPr="00FA714F" w14:paraId="7793A57A" w14:textId="77777777" w:rsidTr="005A0B83">
        <w:tc>
          <w:tcPr>
            <w:tcW w:w="5168" w:type="dxa"/>
          </w:tcPr>
          <w:p w14:paraId="1D1A79CB" w14:textId="77777777" w:rsidR="005A0B83" w:rsidRPr="00FA714F" w:rsidRDefault="005A0B83" w:rsidP="005A0B83">
            <w:pPr>
              <w:pStyle w:val="NoSpacing"/>
              <w:rPr>
                <w:lang w:val="en-US"/>
              </w:rPr>
            </w:pPr>
            <w:r w:rsidRPr="00FA714F">
              <w:rPr>
                <w:lang w:val="en-US"/>
              </w:rPr>
              <w:t>GRS</w:t>
            </w:r>
            <w:r>
              <w:rPr>
                <w:lang w:val="en-US"/>
              </w:rPr>
              <w:t>(e) -std by YoB only</w:t>
            </w:r>
          </w:p>
        </w:tc>
        <w:tc>
          <w:tcPr>
            <w:tcW w:w="1709" w:type="dxa"/>
          </w:tcPr>
          <w:p w14:paraId="1BBF2575" w14:textId="77777777" w:rsidR="005A0B83" w:rsidRPr="00FA714F" w:rsidRDefault="005A0B83" w:rsidP="005A0B83">
            <w:pPr>
              <w:pStyle w:val="NoSpacing"/>
              <w:rPr>
                <w:lang w:val="en-US"/>
              </w:rPr>
            </w:pPr>
            <w:r>
              <w:rPr>
                <w:lang w:val="en-US"/>
              </w:rPr>
              <w:t>0.990</w:t>
            </w:r>
          </w:p>
        </w:tc>
        <w:tc>
          <w:tcPr>
            <w:tcW w:w="1562" w:type="dxa"/>
          </w:tcPr>
          <w:p w14:paraId="0F0CC2A3" w14:textId="77777777" w:rsidR="005A0B83" w:rsidRDefault="005A0B83" w:rsidP="005A0B83">
            <w:pPr>
              <w:pStyle w:val="NoSpacing"/>
              <w:rPr>
                <w:lang w:val="en-US"/>
              </w:rPr>
            </w:pPr>
            <w:r>
              <w:rPr>
                <w:lang w:val="en-US"/>
              </w:rPr>
              <w:t>0.992</w:t>
            </w:r>
          </w:p>
        </w:tc>
      </w:tr>
      <w:tr w:rsidR="005A0B83" w:rsidRPr="00FA714F" w14:paraId="00BBA8FE" w14:textId="77777777" w:rsidTr="005A0B83">
        <w:tc>
          <w:tcPr>
            <w:tcW w:w="5168" w:type="dxa"/>
          </w:tcPr>
          <w:p w14:paraId="76403759" w14:textId="77777777" w:rsidR="005A0B83" w:rsidRPr="00FA714F" w:rsidRDefault="005A0B83" w:rsidP="005A0B83">
            <w:pPr>
              <w:pStyle w:val="NoSpacing"/>
              <w:rPr>
                <w:lang w:val="en-US"/>
              </w:rPr>
            </w:pPr>
            <w:r>
              <w:rPr>
                <w:lang w:val="en-US"/>
              </w:rPr>
              <w:t>GRS(f) - std by geography only</w:t>
            </w:r>
          </w:p>
        </w:tc>
        <w:tc>
          <w:tcPr>
            <w:tcW w:w="1709" w:type="dxa"/>
          </w:tcPr>
          <w:p w14:paraId="18983F41" w14:textId="77777777" w:rsidR="005A0B83" w:rsidRPr="00FA714F" w:rsidRDefault="005A0B83" w:rsidP="005A0B83">
            <w:pPr>
              <w:pStyle w:val="NoSpacing"/>
              <w:rPr>
                <w:lang w:val="en-US"/>
              </w:rPr>
            </w:pPr>
            <w:r>
              <w:rPr>
                <w:lang w:val="en-US"/>
              </w:rPr>
              <w:t>0.951</w:t>
            </w:r>
          </w:p>
        </w:tc>
        <w:tc>
          <w:tcPr>
            <w:tcW w:w="1562" w:type="dxa"/>
          </w:tcPr>
          <w:p w14:paraId="23BF6613" w14:textId="77777777" w:rsidR="005A0B83" w:rsidRDefault="005A0B83" w:rsidP="005A0B83">
            <w:pPr>
              <w:pStyle w:val="NoSpacing"/>
              <w:rPr>
                <w:lang w:val="en-US"/>
              </w:rPr>
            </w:pPr>
            <w:r>
              <w:rPr>
                <w:lang w:val="en-US"/>
              </w:rPr>
              <w:t>0.969</w:t>
            </w:r>
          </w:p>
        </w:tc>
      </w:tr>
      <w:tr w:rsidR="005A0B83" w:rsidRPr="00E6160C" w14:paraId="5776380E" w14:textId="77777777" w:rsidTr="005A0B83">
        <w:tc>
          <w:tcPr>
            <w:tcW w:w="5168" w:type="dxa"/>
          </w:tcPr>
          <w:p w14:paraId="3A4ED3B1" w14:textId="77777777" w:rsidR="005A0B83" w:rsidRDefault="005A0B83" w:rsidP="005A0B83">
            <w:pPr>
              <w:pStyle w:val="NoSpacing"/>
              <w:rPr>
                <w:lang w:val="en-US"/>
              </w:rPr>
            </w:pPr>
            <w:r>
              <w:rPr>
                <w:lang w:val="en-US"/>
              </w:rPr>
              <w:t>GRS(g) - std only by entire sample</w:t>
            </w:r>
          </w:p>
        </w:tc>
        <w:tc>
          <w:tcPr>
            <w:tcW w:w="1709" w:type="dxa"/>
          </w:tcPr>
          <w:p w14:paraId="7D1C08B6" w14:textId="77777777" w:rsidR="005A0B83" w:rsidRPr="00FA714F" w:rsidRDefault="005A0B83" w:rsidP="005A0B83">
            <w:pPr>
              <w:pStyle w:val="NoSpacing"/>
              <w:rPr>
                <w:lang w:val="en-US"/>
              </w:rPr>
            </w:pPr>
            <w:r>
              <w:rPr>
                <w:lang w:val="en-US"/>
              </w:rPr>
              <w:t>0.946</w:t>
            </w:r>
          </w:p>
        </w:tc>
        <w:tc>
          <w:tcPr>
            <w:tcW w:w="1562" w:type="dxa"/>
          </w:tcPr>
          <w:p w14:paraId="37872A80" w14:textId="77777777" w:rsidR="005A0B83" w:rsidRDefault="005A0B83" w:rsidP="005A0B83">
            <w:pPr>
              <w:pStyle w:val="NoSpacing"/>
              <w:rPr>
                <w:lang w:val="en-US"/>
              </w:rPr>
            </w:pPr>
            <w:r>
              <w:rPr>
                <w:lang w:val="en-US"/>
              </w:rPr>
              <w:t>0.962</w:t>
            </w:r>
          </w:p>
        </w:tc>
      </w:tr>
      <w:tr w:rsidR="005A0B83" w:rsidRPr="00E6160C" w14:paraId="6CE59A8F" w14:textId="77777777" w:rsidTr="005A0B83">
        <w:tc>
          <w:tcPr>
            <w:tcW w:w="5168" w:type="dxa"/>
          </w:tcPr>
          <w:p w14:paraId="6D515CD5" w14:textId="77777777" w:rsidR="005A0B83" w:rsidRPr="00FA714F" w:rsidRDefault="005A0B83" w:rsidP="005A0B83">
            <w:pPr>
              <w:pStyle w:val="NoSpacing"/>
              <w:rPr>
                <w:lang w:val="en-US"/>
              </w:rPr>
            </w:pPr>
          </w:p>
        </w:tc>
        <w:tc>
          <w:tcPr>
            <w:tcW w:w="1709" w:type="dxa"/>
          </w:tcPr>
          <w:p w14:paraId="656338DC" w14:textId="77777777" w:rsidR="005A0B83" w:rsidRPr="00FA714F" w:rsidRDefault="005A0B83" w:rsidP="005A0B83">
            <w:pPr>
              <w:pStyle w:val="NoSpacing"/>
              <w:rPr>
                <w:lang w:val="en-US"/>
              </w:rPr>
            </w:pPr>
          </w:p>
        </w:tc>
        <w:tc>
          <w:tcPr>
            <w:tcW w:w="1562" w:type="dxa"/>
          </w:tcPr>
          <w:p w14:paraId="2A8935E7" w14:textId="77777777" w:rsidR="005A0B83" w:rsidRPr="00FA714F" w:rsidRDefault="005A0B83" w:rsidP="005A0B83">
            <w:pPr>
              <w:pStyle w:val="NoSpacing"/>
              <w:rPr>
                <w:lang w:val="en-US"/>
              </w:rPr>
            </w:pPr>
          </w:p>
        </w:tc>
      </w:tr>
    </w:tbl>
    <w:p w14:paraId="21D4E4B2" w14:textId="7F564D16" w:rsidR="00522E21" w:rsidRDefault="00522E21" w:rsidP="00522E21">
      <w:pPr>
        <w:tabs>
          <w:tab w:val="left" w:pos="8458"/>
        </w:tabs>
        <w:rPr>
          <w:lang w:val="en-US"/>
        </w:rPr>
      </w:pPr>
    </w:p>
    <w:p w14:paraId="2CD84FB0" w14:textId="0175CECF" w:rsidR="00522E21" w:rsidRDefault="00522E21" w:rsidP="00522E21">
      <w:pPr>
        <w:tabs>
          <w:tab w:val="left" w:pos="8458"/>
        </w:tabs>
        <w:rPr>
          <w:lang w:val="en-US"/>
        </w:rPr>
      </w:pPr>
    </w:p>
    <w:p w14:paraId="1F8B93B3" w14:textId="48ADEBDB" w:rsidR="00522E21" w:rsidRDefault="00522E21" w:rsidP="00522E21">
      <w:pPr>
        <w:tabs>
          <w:tab w:val="left" w:pos="8458"/>
        </w:tabs>
        <w:rPr>
          <w:lang w:val="en-US"/>
        </w:rPr>
      </w:pPr>
    </w:p>
    <w:p w14:paraId="533E0DE2" w14:textId="0EA766AE" w:rsidR="00522E21" w:rsidRDefault="00522E21" w:rsidP="00522E21">
      <w:pPr>
        <w:tabs>
          <w:tab w:val="left" w:pos="8458"/>
        </w:tabs>
        <w:rPr>
          <w:lang w:val="en-US"/>
        </w:rPr>
      </w:pPr>
    </w:p>
    <w:p w14:paraId="0D78436E" w14:textId="77777777" w:rsidR="005A0B83" w:rsidRDefault="005A0B83" w:rsidP="00815E76">
      <w:pPr>
        <w:spacing w:line="240" w:lineRule="auto"/>
        <w:ind w:firstLine="720"/>
        <w:contextualSpacing/>
        <w:rPr>
          <w:lang w:val="en-US"/>
        </w:rPr>
      </w:pPr>
    </w:p>
    <w:p w14:paraId="21B25E17" w14:textId="77777777" w:rsidR="005A0B83" w:rsidRDefault="005A0B83" w:rsidP="00815E76">
      <w:pPr>
        <w:spacing w:line="240" w:lineRule="auto"/>
        <w:ind w:firstLine="720"/>
        <w:contextualSpacing/>
        <w:rPr>
          <w:lang w:val="en-US"/>
        </w:rPr>
      </w:pPr>
    </w:p>
    <w:p w14:paraId="1C2DB9BA" w14:textId="77777777" w:rsidR="005A0B83" w:rsidRDefault="005A0B83" w:rsidP="00815E76">
      <w:pPr>
        <w:spacing w:line="240" w:lineRule="auto"/>
        <w:ind w:firstLine="720"/>
        <w:contextualSpacing/>
        <w:rPr>
          <w:lang w:val="en-US"/>
        </w:rPr>
      </w:pPr>
    </w:p>
    <w:p w14:paraId="6769C268" w14:textId="144187F8" w:rsidR="005D1D0D" w:rsidRDefault="005D1D0D">
      <w:pPr>
        <w:rPr>
          <w:lang w:val="en-US"/>
        </w:rPr>
      </w:pPr>
      <w:r>
        <w:rPr>
          <w:lang w:val="en-US"/>
        </w:rPr>
        <w:br w:type="page"/>
      </w:r>
    </w:p>
    <w:p w14:paraId="27691361" w14:textId="12E69BC1" w:rsidR="005D1D0D" w:rsidRDefault="005D1D0D" w:rsidP="005D1D0D">
      <w:pPr>
        <w:pStyle w:val="PlainText"/>
        <w:jc w:val="center"/>
        <w:rPr>
          <w:rFonts w:asciiTheme="majorHAnsi" w:hAnsiTheme="majorHAnsi"/>
        </w:rPr>
      </w:pPr>
      <w:r>
        <w:rPr>
          <w:rFonts w:asciiTheme="majorHAnsi" w:hAnsiTheme="majorHAnsi"/>
        </w:rPr>
        <w:lastRenderedPageBreak/>
        <w:t xml:space="preserve">Table </w:t>
      </w:r>
      <w:r>
        <w:rPr>
          <w:rFonts w:asciiTheme="majorHAnsi" w:hAnsiTheme="majorHAnsi"/>
        </w:rPr>
        <w:t>4</w:t>
      </w:r>
      <w:r>
        <w:rPr>
          <w:rFonts w:asciiTheme="majorHAnsi" w:hAnsiTheme="majorHAnsi"/>
        </w:rPr>
        <w:t xml:space="preserve"> </w:t>
      </w:r>
    </w:p>
    <w:p w14:paraId="0519333A" w14:textId="77777777" w:rsidR="005D1D0D" w:rsidRPr="004E4DBA" w:rsidRDefault="005D1D0D" w:rsidP="005D1D0D">
      <w:pPr>
        <w:pStyle w:val="PlainText"/>
        <w:jc w:val="center"/>
        <w:rPr>
          <w:rFonts w:asciiTheme="majorHAnsi" w:hAnsiTheme="majorHAnsi"/>
        </w:rPr>
      </w:pPr>
      <w:r w:rsidRPr="004E4DBA">
        <w:rPr>
          <w:rFonts w:asciiTheme="majorHAnsi" w:hAnsiTheme="majorHAnsi"/>
        </w:rPr>
        <w:t>Correlation with the FGRS reported in ms</w:t>
      </w:r>
    </w:p>
    <w:p w14:paraId="32CEFA62" w14:textId="77777777" w:rsidR="005D1D0D" w:rsidRPr="004E4DBA" w:rsidRDefault="005D1D0D" w:rsidP="005D1D0D">
      <w:pPr>
        <w:pStyle w:val="PlainText"/>
        <w:rPr>
          <w:rFonts w:asciiTheme="majorHAnsi" w:hAnsiTheme="majorHAnsi"/>
        </w:rPr>
      </w:pPr>
    </w:p>
    <w:tbl>
      <w:tblPr>
        <w:tblStyle w:val="TableGrid"/>
        <w:tblpPr w:leftFromText="180" w:rightFromText="180" w:horzAnchor="margin" w:tblpXSpec="center" w:tblpY="1140"/>
        <w:tblW w:w="0" w:type="auto"/>
        <w:tblLook w:val="04A0" w:firstRow="1" w:lastRow="0" w:firstColumn="1" w:lastColumn="0" w:noHBand="0" w:noVBand="1"/>
      </w:tblPr>
      <w:tblGrid>
        <w:gridCol w:w="1335"/>
        <w:gridCol w:w="1637"/>
        <w:gridCol w:w="1701"/>
        <w:gridCol w:w="1701"/>
        <w:gridCol w:w="1559"/>
      </w:tblGrid>
      <w:tr w:rsidR="005D1D0D" w:rsidRPr="004E4DBA" w14:paraId="63326780" w14:textId="77777777" w:rsidTr="005D1D0D">
        <w:tc>
          <w:tcPr>
            <w:tcW w:w="1335" w:type="dxa"/>
          </w:tcPr>
          <w:p w14:paraId="496851ED" w14:textId="77777777" w:rsidR="005D1D0D" w:rsidRPr="004E4DBA" w:rsidRDefault="005D1D0D" w:rsidP="005D1D0D">
            <w:pPr>
              <w:pStyle w:val="PlainText"/>
              <w:rPr>
                <w:rFonts w:asciiTheme="majorHAnsi" w:hAnsiTheme="majorHAnsi"/>
              </w:rPr>
            </w:pPr>
          </w:p>
        </w:tc>
        <w:tc>
          <w:tcPr>
            <w:tcW w:w="1637" w:type="dxa"/>
          </w:tcPr>
          <w:p w14:paraId="421BC026"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FGRS based on 1st-4th  degree relatives</w:t>
            </w:r>
          </w:p>
        </w:tc>
        <w:tc>
          <w:tcPr>
            <w:tcW w:w="1701" w:type="dxa"/>
          </w:tcPr>
          <w:p w14:paraId="3DA73D7C"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FGRS based on 1st-3rd degree relatives</w:t>
            </w:r>
          </w:p>
        </w:tc>
        <w:tc>
          <w:tcPr>
            <w:tcW w:w="1701" w:type="dxa"/>
          </w:tcPr>
          <w:p w14:paraId="53EE830E"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FGRS based on 1st-2nd degree relatives</w:t>
            </w:r>
          </w:p>
        </w:tc>
        <w:tc>
          <w:tcPr>
            <w:tcW w:w="1559" w:type="dxa"/>
          </w:tcPr>
          <w:p w14:paraId="00269518"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FGRS based on 1st degree relatives</w:t>
            </w:r>
          </w:p>
        </w:tc>
      </w:tr>
      <w:tr w:rsidR="005D1D0D" w:rsidRPr="004E4DBA" w14:paraId="55EACD3C" w14:textId="77777777" w:rsidTr="005D1D0D">
        <w:tc>
          <w:tcPr>
            <w:tcW w:w="1335" w:type="dxa"/>
          </w:tcPr>
          <w:p w14:paraId="1FB972AB"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AUD</w:t>
            </w:r>
          </w:p>
        </w:tc>
        <w:tc>
          <w:tcPr>
            <w:tcW w:w="1637" w:type="dxa"/>
          </w:tcPr>
          <w:p w14:paraId="2870D1D4"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0.997</w:t>
            </w:r>
          </w:p>
        </w:tc>
        <w:tc>
          <w:tcPr>
            <w:tcW w:w="1701" w:type="dxa"/>
          </w:tcPr>
          <w:p w14:paraId="0B2E8557"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0.98</w:t>
            </w:r>
          </w:p>
        </w:tc>
        <w:tc>
          <w:tcPr>
            <w:tcW w:w="1701" w:type="dxa"/>
          </w:tcPr>
          <w:p w14:paraId="12BE0D7C"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0.93</w:t>
            </w:r>
          </w:p>
        </w:tc>
        <w:tc>
          <w:tcPr>
            <w:tcW w:w="1559" w:type="dxa"/>
          </w:tcPr>
          <w:p w14:paraId="20180E56"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0.79</w:t>
            </w:r>
          </w:p>
        </w:tc>
      </w:tr>
      <w:tr w:rsidR="005D1D0D" w:rsidRPr="004E4DBA" w14:paraId="1D68DCE7" w14:textId="77777777" w:rsidTr="005D1D0D">
        <w:tc>
          <w:tcPr>
            <w:tcW w:w="1335" w:type="dxa"/>
          </w:tcPr>
          <w:p w14:paraId="2BD06864"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DUD</w:t>
            </w:r>
          </w:p>
        </w:tc>
        <w:tc>
          <w:tcPr>
            <w:tcW w:w="1637" w:type="dxa"/>
          </w:tcPr>
          <w:p w14:paraId="754185E3"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0.997</w:t>
            </w:r>
          </w:p>
        </w:tc>
        <w:tc>
          <w:tcPr>
            <w:tcW w:w="1701" w:type="dxa"/>
          </w:tcPr>
          <w:p w14:paraId="6DBA5331"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0.97</w:t>
            </w:r>
          </w:p>
        </w:tc>
        <w:tc>
          <w:tcPr>
            <w:tcW w:w="1701" w:type="dxa"/>
          </w:tcPr>
          <w:p w14:paraId="20167736"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0.90</w:t>
            </w:r>
          </w:p>
        </w:tc>
        <w:tc>
          <w:tcPr>
            <w:tcW w:w="1559" w:type="dxa"/>
          </w:tcPr>
          <w:p w14:paraId="18E82890"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0.74</w:t>
            </w:r>
          </w:p>
        </w:tc>
      </w:tr>
      <w:tr w:rsidR="005D1D0D" w:rsidRPr="004E4DBA" w14:paraId="4304CE01" w14:textId="77777777" w:rsidTr="005D1D0D">
        <w:tc>
          <w:tcPr>
            <w:tcW w:w="1335" w:type="dxa"/>
          </w:tcPr>
          <w:p w14:paraId="5AEF536C"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EDU</w:t>
            </w:r>
          </w:p>
        </w:tc>
        <w:tc>
          <w:tcPr>
            <w:tcW w:w="1637" w:type="dxa"/>
          </w:tcPr>
          <w:p w14:paraId="2A603758"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0.999</w:t>
            </w:r>
          </w:p>
        </w:tc>
        <w:tc>
          <w:tcPr>
            <w:tcW w:w="1701" w:type="dxa"/>
          </w:tcPr>
          <w:p w14:paraId="4837EE08"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0.99</w:t>
            </w:r>
          </w:p>
        </w:tc>
        <w:tc>
          <w:tcPr>
            <w:tcW w:w="1701" w:type="dxa"/>
          </w:tcPr>
          <w:p w14:paraId="24B37230"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0.95</w:t>
            </w:r>
          </w:p>
        </w:tc>
        <w:tc>
          <w:tcPr>
            <w:tcW w:w="1559" w:type="dxa"/>
          </w:tcPr>
          <w:p w14:paraId="133067A5"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0.86</w:t>
            </w:r>
          </w:p>
        </w:tc>
      </w:tr>
    </w:tbl>
    <w:p w14:paraId="3109F994" w14:textId="77777777" w:rsidR="005A0B83" w:rsidRDefault="005A0B83" w:rsidP="005D1D0D">
      <w:pPr>
        <w:spacing w:line="240" w:lineRule="auto"/>
        <w:ind w:firstLine="720"/>
        <w:contextualSpacing/>
        <w:jc w:val="center"/>
        <w:rPr>
          <w:lang w:val="en-US"/>
        </w:rPr>
      </w:pPr>
    </w:p>
    <w:p w14:paraId="36D94983" w14:textId="77777777" w:rsidR="005A0B83" w:rsidRDefault="005A0B83" w:rsidP="00815E76">
      <w:pPr>
        <w:spacing w:line="240" w:lineRule="auto"/>
        <w:ind w:firstLine="720"/>
        <w:contextualSpacing/>
        <w:rPr>
          <w:lang w:val="en-US"/>
        </w:rPr>
      </w:pPr>
    </w:p>
    <w:p w14:paraId="3B07497F" w14:textId="77777777" w:rsidR="005A0B83" w:rsidRDefault="005A0B83" w:rsidP="00815E76">
      <w:pPr>
        <w:spacing w:line="240" w:lineRule="auto"/>
        <w:ind w:firstLine="720"/>
        <w:contextualSpacing/>
        <w:rPr>
          <w:lang w:val="en-US"/>
        </w:rPr>
      </w:pPr>
    </w:p>
    <w:p w14:paraId="5F35343C" w14:textId="77777777" w:rsidR="005A0B83" w:rsidRDefault="005A0B83" w:rsidP="00815E76">
      <w:pPr>
        <w:spacing w:line="240" w:lineRule="auto"/>
        <w:ind w:firstLine="720"/>
        <w:contextualSpacing/>
        <w:rPr>
          <w:lang w:val="en-US"/>
        </w:rPr>
      </w:pPr>
    </w:p>
    <w:p w14:paraId="08277FDA" w14:textId="77777777" w:rsidR="005A0B83" w:rsidRDefault="005A0B83" w:rsidP="00815E76">
      <w:pPr>
        <w:spacing w:line="240" w:lineRule="auto"/>
        <w:ind w:firstLine="720"/>
        <w:contextualSpacing/>
        <w:rPr>
          <w:lang w:val="en-US"/>
        </w:rPr>
      </w:pPr>
    </w:p>
    <w:p w14:paraId="05E5C5F9" w14:textId="77777777" w:rsidR="005A0B83" w:rsidRDefault="005A0B83" w:rsidP="00815E76">
      <w:pPr>
        <w:spacing w:line="240" w:lineRule="auto"/>
        <w:ind w:firstLine="720"/>
        <w:contextualSpacing/>
        <w:rPr>
          <w:lang w:val="en-US"/>
        </w:rPr>
      </w:pPr>
    </w:p>
    <w:p w14:paraId="2761699A" w14:textId="77777777" w:rsidR="005A0B83" w:rsidRDefault="005A0B83" w:rsidP="00815E76">
      <w:pPr>
        <w:spacing w:line="240" w:lineRule="auto"/>
        <w:ind w:firstLine="720"/>
        <w:contextualSpacing/>
        <w:rPr>
          <w:lang w:val="en-US"/>
        </w:rPr>
      </w:pPr>
    </w:p>
    <w:p w14:paraId="76E85766" w14:textId="3ED8B1E7" w:rsidR="005A0B83" w:rsidRDefault="005A0B83" w:rsidP="00815E76">
      <w:pPr>
        <w:spacing w:line="240" w:lineRule="auto"/>
        <w:ind w:firstLine="720"/>
        <w:contextualSpacing/>
        <w:rPr>
          <w:lang w:val="en-US"/>
        </w:rPr>
      </w:pPr>
    </w:p>
    <w:p w14:paraId="1A2DB88C" w14:textId="01E10C16" w:rsidR="005D1D0D" w:rsidRDefault="005D1D0D">
      <w:pPr>
        <w:rPr>
          <w:lang w:val="en-US"/>
        </w:rPr>
      </w:pPr>
      <w:r>
        <w:rPr>
          <w:lang w:val="en-US"/>
        </w:rPr>
        <w:br w:type="page"/>
      </w:r>
    </w:p>
    <w:p w14:paraId="24319602" w14:textId="33B8AFB4" w:rsidR="005D1D0D" w:rsidRDefault="005D1D0D" w:rsidP="005D1D0D">
      <w:pPr>
        <w:pStyle w:val="PlainText"/>
        <w:jc w:val="center"/>
        <w:rPr>
          <w:rFonts w:asciiTheme="majorHAnsi" w:hAnsiTheme="majorHAnsi"/>
        </w:rPr>
      </w:pPr>
      <w:r>
        <w:rPr>
          <w:rFonts w:asciiTheme="majorHAnsi" w:hAnsiTheme="majorHAnsi"/>
        </w:rPr>
        <w:lastRenderedPageBreak/>
        <w:t xml:space="preserve">Table </w:t>
      </w:r>
      <w:r>
        <w:rPr>
          <w:rFonts w:asciiTheme="majorHAnsi" w:hAnsiTheme="majorHAnsi"/>
        </w:rPr>
        <w:t>5</w:t>
      </w:r>
    </w:p>
    <w:p w14:paraId="1D547DFB" w14:textId="77777777" w:rsidR="005D1D0D" w:rsidRPr="004E4DBA" w:rsidRDefault="005D1D0D" w:rsidP="005D1D0D">
      <w:pPr>
        <w:pStyle w:val="PlainText"/>
        <w:jc w:val="center"/>
        <w:rPr>
          <w:rFonts w:asciiTheme="majorHAnsi" w:hAnsiTheme="majorHAnsi"/>
        </w:rPr>
      </w:pPr>
      <w:bookmarkStart w:id="0" w:name="_Hlk88463953"/>
      <w:r w:rsidRPr="004E4DBA">
        <w:rPr>
          <w:rFonts w:asciiTheme="majorHAnsi" w:hAnsiTheme="majorHAnsi"/>
        </w:rPr>
        <w:t>Polychoric Correlation between AUD/DUD and FGRS</w:t>
      </w:r>
      <w:r w:rsidRPr="004E4DBA">
        <w:rPr>
          <w:rFonts w:asciiTheme="majorHAnsi" w:hAnsiTheme="majorHAnsi"/>
          <w:vertAlign w:val="subscript"/>
        </w:rPr>
        <w:t>AUD</w:t>
      </w:r>
      <w:r w:rsidRPr="004E4DBA">
        <w:rPr>
          <w:rFonts w:asciiTheme="majorHAnsi" w:hAnsiTheme="majorHAnsi"/>
        </w:rPr>
        <w:t>, FGRS</w:t>
      </w:r>
      <w:r w:rsidRPr="004E4DBA">
        <w:rPr>
          <w:rFonts w:asciiTheme="majorHAnsi" w:hAnsiTheme="majorHAnsi"/>
          <w:vertAlign w:val="subscript"/>
        </w:rPr>
        <w:t>DUD</w:t>
      </w:r>
      <w:r w:rsidRPr="004E4DBA">
        <w:rPr>
          <w:rFonts w:asciiTheme="majorHAnsi" w:hAnsiTheme="majorHAnsi"/>
        </w:rPr>
        <w:t xml:space="preserve"> and FGRS</w:t>
      </w:r>
      <w:r w:rsidRPr="004E4DBA">
        <w:rPr>
          <w:rFonts w:asciiTheme="majorHAnsi" w:hAnsiTheme="majorHAnsi"/>
          <w:vertAlign w:val="subscript"/>
        </w:rPr>
        <w:t>EDU</w:t>
      </w:r>
    </w:p>
    <w:bookmarkEnd w:id="0"/>
    <w:p w14:paraId="4D71C2F3" w14:textId="77777777" w:rsidR="005D1D0D" w:rsidRPr="004E4DBA" w:rsidRDefault="005D1D0D" w:rsidP="005D1D0D">
      <w:pPr>
        <w:pStyle w:val="PlainText"/>
        <w:rPr>
          <w:rFonts w:asciiTheme="majorHAnsi" w:hAnsiTheme="majorHAnsi"/>
        </w:rPr>
      </w:pPr>
    </w:p>
    <w:tbl>
      <w:tblPr>
        <w:tblStyle w:val="TableGrid"/>
        <w:tblpPr w:leftFromText="180" w:rightFromText="180" w:vertAnchor="text" w:horzAnchor="margin" w:tblpXSpec="center" w:tblpY="-30"/>
        <w:tblW w:w="0" w:type="auto"/>
        <w:tblLook w:val="04A0" w:firstRow="1" w:lastRow="0" w:firstColumn="1" w:lastColumn="0" w:noHBand="0" w:noVBand="1"/>
      </w:tblPr>
      <w:tblGrid>
        <w:gridCol w:w="1089"/>
        <w:gridCol w:w="1212"/>
        <w:gridCol w:w="1451"/>
        <w:gridCol w:w="1472"/>
        <w:gridCol w:w="1375"/>
        <w:gridCol w:w="1394"/>
        <w:gridCol w:w="1357"/>
      </w:tblGrid>
      <w:tr w:rsidR="005D1D0D" w:rsidRPr="004E4DBA" w14:paraId="0E5B040E" w14:textId="77777777" w:rsidTr="005D1D0D">
        <w:tc>
          <w:tcPr>
            <w:tcW w:w="1089" w:type="dxa"/>
          </w:tcPr>
          <w:p w14:paraId="083AADA8"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FGRS</w:t>
            </w:r>
          </w:p>
        </w:tc>
        <w:tc>
          <w:tcPr>
            <w:tcW w:w="1212" w:type="dxa"/>
          </w:tcPr>
          <w:p w14:paraId="4E24BB74"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Outcome</w:t>
            </w:r>
          </w:p>
        </w:tc>
        <w:tc>
          <w:tcPr>
            <w:tcW w:w="1451" w:type="dxa"/>
          </w:tcPr>
          <w:p w14:paraId="72383E88"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FGRS based on 1st-5th  degree relatives</w:t>
            </w:r>
          </w:p>
        </w:tc>
        <w:tc>
          <w:tcPr>
            <w:tcW w:w="1472" w:type="dxa"/>
          </w:tcPr>
          <w:p w14:paraId="72C3EF19"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FGRS based on 1st-4th  degree relatives</w:t>
            </w:r>
          </w:p>
        </w:tc>
        <w:tc>
          <w:tcPr>
            <w:tcW w:w="1375" w:type="dxa"/>
          </w:tcPr>
          <w:p w14:paraId="61B8907C"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FGRS based on 1st-3rd degree relatives</w:t>
            </w:r>
          </w:p>
        </w:tc>
        <w:tc>
          <w:tcPr>
            <w:tcW w:w="1394" w:type="dxa"/>
          </w:tcPr>
          <w:p w14:paraId="008BCF60"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FGRS based on 1st-2nd degree relatives</w:t>
            </w:r>
          </w:p>
        </w:tc>
        <w:tc>
          <w:tcPr>
            <w:tcW w:w="1357" w:type="dxa"/>
          </w:tcPr>
          <w:p w14:paraId="0E9F3FB0" w14:textId="77777777" w:rsidR="005D1D0D" w:rsidRPr="004E4DBA" w:rsidRDefault="005D1D0D" w:rsidP="005D1D0D">
            <w:pPr>
              <w:pStyle w:val="PlainText"/>
              <w:jc w:val="center"/>
              <w:rPr>
                <w:rFonts w:asciiTheme="majorHAnsi" w:hAnsiTheme="majorHAnsi" w:cstheme="majorHAnsi"/>
                <w:sz w:val="18"/>
                <w:szCs w:val="18"/>
              </w:rPr>
            </w:pPr>
            <w:r w:rsidRPr="004E4DBA">
              <w:rPr>
                <w:rFonts w:asciiTheme="majorHAnsi" w:hAnsiTheme="majorHAnsi" w:cstheme="majorHAnsi"/>
                <w:sz w:val="18"/>
                <w:szCs w:val="18"/>
              </w:rPr>
              <w:t>FGRS based on 1st degree relatives</w:t>
            </w:r>
          </w:p>
        </w:tc>
      </w:tr>
      <w:tr w:rsidR="005D1D0D" w:rsidRPr="004E4DBA" w14:paraId="6E27DD71" w14:textId="77777777" w:rsidTr="005D1D0D">
        <w:tc>
          <w:tcPr>
            <w:tcW w:w="1089" w:type="dxa"/>
          </w:tcPr>
          <w:p w14:paraId="54B74625"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AUD</w:t>
            </w:r>
          </w:p>
        </w:tc>
        <w:tc>
          <w:tcPr>
            <w:tcW w:w="1212" w:type="dxa"/>
          </w:tcPr>
          <w:p w14:paraId="160ACC5A"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AUD</w:t>
            </w:r>
          </w:p>
        </w:tc>
        <w:tc>
          <w:tcPr>
            <w:tcW w:w="1451" w:type="dxa"/>
          </w:tcPr>
          <w:p w14:paraId="374E5ED4"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0.26 (0.00)</w:t>
            </w:r>
          </w:p>
        </w:tc>
        <w:tc>
          <w:tcPr>
            <w:tcW w:w="1472" w:type="dxa"/>
          </w:tcPr>
          <w:p w14:paraId="5498C574"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0.26 (0.00)</w:t>
            </w:r>
          </w:p>
        </w:tc>
        <w:tc>
          <w:tcPr>
            <w:tcW w:w="1375" w:type="dxa"/>
          </w:tcPr>
          <w:p w14:paraId="03DBD633"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0.26 (0.00)</w:t>
            </w:r>
          </w:p>
        </w:tc>
        <w:tc>
          <w:tcPr>
            <w:tcW w:w="1394" w:type="dxa"/>
          </w:tcPr>
          <w:p w14:paraId="23B51AF3"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0.25 (0.00)</w:t>
            </w:r>
          </w:p>
        </w:tc>
        <w:tc>
          <w:tcPr>
            <w:tcW w:w="1357" w:type="dxa"/>
          </w:tcPr>
          <w:p w14:paraId="75D7AD7F"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0.19 (0.00)</w:t>
            </w:r>
          </w:p>
        </w:tc>
      </w:tr>
      <w:tr w:rsidR="005D1D0D" w:rsidRPr="004E4DBA" w14:paraId="0EC5A3BC" w14:textId="77777777" w:rsidTr="005D1D0D">
        <w:tc>
          <w:tcPr>
            <w:tcW w:w="1089" w:type="dxa"/>
          </w:tcPr>
          <w:p w14:paraId="0A671F15"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EDU</w:t>
            </w:r>
          </w:p>
        </w:tc>
        <w:tc>
          <w:tcPr>
            <w:tcW w:w="1212" w:type="dxa"/>
          </w:tcPr>
          <w:p w14:paraId="312012D1"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AUD</w:t>
            </w:r>
          </w:p>
        </w:tc>
        <w:tc>
          <w:tcPr>
            <w:tcW w:w="1451" w:type="dxa"/>
          </w:tcPr>
          <w:p w14:paraId="367E9985"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0.18 (0.00)</w:t>
            </w:r>
          </w:p>
        </w:tc>
        <w:tc>
          <w:tcPr>
            <w:tcW w:w="1472" w:type="dxa"/>
          </w:tcPr>
          <w:p w14:paraId="31D442A2"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0.18 (0.00)</w:t>
            </w:r>
          </w:p>
        </w:tc>
        <w:tc>
          <w:tcPr>
            <w:tcW w:w="1375" w:type="dxa"/>
          </w:tcPr>
          <w:p w14:paraId="370D06FC"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0.19 (0.00)</w:t>
            </w:r>
          </w:p>
        </w:tc>
        <w:tc>
          <w:tcPr>
            <w:tcW w:w="1394" w:type="dxa"/>
          </w:tcPr>
          <w:p w14:paraId="09D1CBFD"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0.19 (0.00)</w:t>
            </w:r>
          </w:p>
        </w:tc>
        <w:tc>
          <w:tcPr>
            <w:tcW w:w="1357" w:type="dxa"/>
          </w:tcPr>
          <w:p w14:paraId="508B659A"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0.19 (0.00)</w:t>
            </w:r>
          </w:p>
        </w:tc>
      </w:tr>
      <w:tr w:rsidR="005D1D0D" w:rsidRPr="004E4DBA" w14:paraId="4921777E" w14:textId="77777777" w:rsidTr="005D1D0D">
        <w:tc>
          <w:tcPr>
            <w:tcW w:w="1089" w:type="dxa"/>
          </w:tcPr>
          <w:p w14:paraId="4F270E28" w14:textId="77777777" w:rsidR="005D1D0D" w:rsidRPr="004E4DBA" w:rsidRDefault="005D1D0D" w:rsidP="005D1D0D">
            <w:pPr>
              <w:pStyle w:val="PlainText"/>
              <w:rPr>
                <w:rFonts w:asciiTheme="majorHAnsi" w:hAnsiTheme="majorHAnsi" w:cstheme="majorHAnsi"/>
                <w:sz w:val="18"/>
                <w:szCs w:val="18"/>
              </w:rPr>
            </w:pPr>
          </w:p>
        </w:tc>
        <w:tc>
          <w:tcPr>
            <w:tcW w:w="1212" w:type="dxa"/>
          </w:tcPr>
          <w:p w14:paraId="2856EA7A" w14:textId="77777777" w:rsidR="005D1D0D" w:rsidRPr="004E4DBA" w:rsidRDefault="005D1D0D" w:rsidP="005D1D0D">
            <w:pPr>
              <w:pStyle w:val="PlainText"/>
              <w:rPr>
                <w:rFonts w:asciiTheme="majorHAnsi" w:hAnsiTheme="majorHAnsi" w:cstheme="majorHAnsi"/>
                <w:sz w:val="18"/>
                <w:szCs w:val="18"/>
              </w:rPr>
            </w:pPr>
          </w:p>
        </w:tc>
        <w:tc>
          <w:tcPr>
            <w:tcW w:w="1451" w:type="dxa"/>
          </w:tcPr>
          <w:p w14:paraId="296E0AE9" w14:textId="77777777" w:rsidR="005D1D0D" w:rsidRPr="004E4DBA" w:rsidRDefault="005D1D0D" w:rsidP="005D1D0D">
            <w:pPr>
              <w:pStyle w:val="PlainText"/>
              <w:rPr>
                <w:rFonts w:asciiTheme="majorHAnsi" w:hAnsiTheme="majorHAnsi" w:cstheme="majorHAnsi"/>
                <w:sz w:val="18"/>
                <w:szCs w:val="18"/>
              </w:rPr>
            </w:pPr>
          </w:p>
        </w:tc>
        <w:tc>
          <w:tcPr>
            <w:tcW w:w="1472" w:type="dxa"/>
          </w:tcPr>
          <w:p w14:paraId="7DA55625" w14:textId="77777777" w:rsidR="005D1D0D" w:rsidRPr="004E4DBA" w:rsidRDefault="005D1D0D" w:rsidP="005D1D0D">
            <w:pPr>
              <w:pStyle w:val="PlainText"/>
              <w:rPr>
                <w:rFonts w:asciiTheme="majorHAnsi" w:hAnsiTheme="majorHAnsi" w:cstheme="majorHAnsi"/>
                <w:sz w:val="18"/>
                <w:szCs w:val="18"/>
              </w:rPr>
            </w:pPr>
          </w:p>
        </w:tc>
        <w:tc>
          <w:tcPr>
            <w:tcW w:w="1375" w:type="dxa"/>
          </w:tcPr>
          <w:p w14:paraId="4AE6D0E9" w14:textId="77777777" w:rsidR="005D1D0D" w:rsidRPr="004E4DBA" w:rsidRDefault="005D1D0D" w:rsidP="005D1D0D">
            <w:pPr>
              <w:pStyle w:val="PlainText"/>
              <w:rPr>
                <w:rFonts w:asciiTheme="majorHAnsi" w:hAnsiTheme="majorHAnsi" w:cstheme="majorHAnsi"/>
                <w:sz w:val="18"/>
                <w:szCs w:val="18"/>
              </w:rPr>
            </w:pPr>
          </w:p>
        </w:tc>
        <w:tc>
          <w:tcPr>
            <w:tcW w:w="1394" w:type="dxa"/>
          </w:tcPr>
          <w:p w14:paraId="13E96412" w14:textId="77777777" w:rsidR="005D1D0D" w:rsidRPr="004E4DBA" w:rsidRDefault="005D1D0D" w:rsidP="005D1D0D">
            <w:pPr>
              <w:pStyle w:val="PlainText"/>
              <w:rPr>
                <w:rFonts w:asciiTheme="majorHAnsi" w:hAnsiTheme="majorHAnsi" w:cstheme="majorHAnsi"/>
                <w:sz w:val="18"/>
                <w:szCs w:val="18"/>
              </w:rPr>
            </w:pPr>
          </w:p>
        </w:tc>
        <w:tc>
          <w:tcPr>
            <w:tcW w:w="1357" w:type="dxa"/>
          </w:tcPr>
          <w:p w14:paraId="7BB0CFD1" w14:textId="77777777" w:rsidR="005D1D0D" w:rsidRPr="004E4DBA" w:rsidRDefault="005D1D0D" w:rsidP="005D1D0D">
            <w:pPr>
              <w:pStyle w:val="PlainText"/>
              <w:rPr>
                <w:rFonts w:asciiTheme="majorHAnsi" w:hAnsiTheme="majorHAnsi" w:cstheme="majorHAnsi"/>
                <w:sz w:val="18"/>
                <w:szCs w:val="18"/>
              </w:rPr>
            </w:pPr>
          </w:p>
        </w:tc>
      </w:tr>
      <w:tr w:rsidR="005D1D0D" w:rsidRPr="004E4DBA" w14:paraId="63370DC9" w14:textId="77777777" w:rsidTr="005D1D0D">
        <w:tc>
          <w:tcPr>
            <w:tcW w:w="1089" w:type="dxa"/>
          </w:tcPr>
          <w:p w14:paraId="23F1EC46"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DUD</w:t>
            </w:r>
          </w:p>
        </w:tc>
        <w:tc>
          <w:tcPr>
            <w:tcW w:w="1212" w:type="dxa"/>
          </w:tcPr>
          <w:p w14:paraId="1302088F"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DUD</w:t>
            </w:r>
          </w:p>
        </w:tc>
        <w:tc>
          <w:tcPr>
            <w:tcW w:w="1451" w:type="dxa"/>
          </w:tcPr>
          <w:p w14:paraId="500F023B"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0.26 (0.00)</w:t>
            </w:r>
          </w:p>
        </w:tc>
        <w:tc>
          <w:tcPr>
            <w:tcW w:w="1472" w:type="dxa"/>
          </w:tcPr>
          <w:p w14:paraId="6AD578AF"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0.26 (0.00)</w:t>
            </w:r>
          </w:p>
        </w:tc>
        <w:tc>
          <w:tcPr>
            <w:tcW w:w="1375" w:type="dxa"/>
          </w:tcPr>
          <w:p w14:paraId="1A83B6F4"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0.26 (0.00)</w:t>
            </w:r>
          </w:p>
        </w:tc>
        <w:tc>
          <w:tcPr>
            <w:tcW w:w="1394" w:type="dxa"/>
          </w:tcPr>
          <w:p w14:paraId="4A0E7F57"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0.24 (0.00)</w:t>
            </w:r>
          </w:p>
        </w:tc>
        <w:tc>
          <w:tcPr>
            <w:tcW w:w="1357" w:type="dxa"/>
          </w:tcPr>
          <w:p w14:paraId="2937F823"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0.21 (0.00)</w:t>
            </w:r>
          </w:p>
        </w:tc>
      </w:tr>
      <w:tr w:rsidR="005D1D0D" w:rsidRPr="004E4DBA" w14:paraId="2C426F78" w14:textId="77777777" w:rsidTr="005D1D0D">
        <w:tc>
          <w:tcPr>
            <w:tcW w:w="1089" w:type="dxa"/>
          </w:tcPr>
          <w:p w14:paraId="5218C544"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EDU</w:t>
            </w:r>
          </w:p>
        </w:tc>
        <w:tc>
          <w:tcPr>
            <w:tcW w:w="1212" w:type="dxa"/>
          </w:tcPr>
          <w:p w14:paraId="1B54951A"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DUD</w:t>
            </w:r>
          </w:p>
        </w:tc>
        <w:tc>
          <w:tcPr>
            <w:tcW w:w="1451" w:type="dxa"/>
          </w:tcPr>
          <w:p w14:paraId="16E8C04B"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0.20 (0.00)</w:t>
            </w:r>
          </w:p>
        </w:tc>
        <w:tc>
          <w:tcPr>
            <w:tcW w:w="1472" w:type="dxa"/>
          </w:tcPr>
          <w:p w14:paraId="7A25B969"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0.20 (0.00)</w:t>
            </w:r>
          </w:p>
        </w:tc>
        <w:tc>
          <w:tcPr>
            <w:tcW w:w="1375" w:type="dxa"/>
          </w:tcPr>
          <w:p w14:paraId="1446EBE1"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0.20 (0.00)</w:t>
            </w:r>
          </w:p>
        </w:tc>
        <w:tc>
          <w:tcPr>
            <w:tcW w:w="1394" w:type="dxa"/>
          </w:tcPr>
          <w:p w14:paraId="7FD3DE97"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0.20 (0.00)</w:t>
            </w:r>
          </w:p>
        </w:tc>
        <w:tc>
          <w:tcPr>
            <w:tcW w:w="1357" w:type="dxa"/>
          </w:tcPr>
          <w:p w14:paraId="7E0F4E79"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0.21 (0.00)</w:t>
            </w:r>
          </w:p>
        </w:tc>
      </w:tr>
    </w:tbl>
    <w:p w14:paraId="31995D6B" w14:textId="5DD9BACC" w:rsidR="005D1D0D" w:rsidRDefault="005D1D0D" w:rsidP="005D1D0D">
      <w:pPr>
        <w:jc w:val="center"/>
        <w:rPr>
          <w:lang w:val="en-US"/>
        </w:rPr>
      </w:pPr>
      <w:r>
        <w:rPr>
          <w:lang w:val="en-US"/>
        </w:rPr>
        <w:br w:type="page"/>
      </w:r>
    </w:p>
    <w:p w14:paraId="742B7DE0" w14:textId="53F3906C" w:rsidR="005D1D0D" w:rsidRDefault="005D1D0D" w:rsidP="005D1D0D">
      <w:pPr>
        <w:pStyle w:val="PlainText"/>
        <w:jc w:val="center"/>
        <w:rPr>
          <w:rFonts w:asciiTheme="majorHAnsi" w:hAnsiTheme="majorHAnsi"/>
        </w:rPr>
      </w:pPr>
      <w:r>
        <w:rPr>
          <w:rFonts w:asciiTheme="majorHAnsi" w:hAnsiTheme="majorHAnsi"/>
        </w:rPr>
        <w:lastRenderedPageBreak/>
        <w:t xml:space="preserve">Table </w:t>
      </w:r>
      <w:r>
        <w:rPr>
          <w:rFonts w:asciiTheme="majorHAnsi" w:hAnsiTheme="majorHAnsi"/>
        </w:rPr>
        <w:t>6</w:t>
      </w:r>
    </w:p>
    <w:p w14:paraId="4388E6A6" w14:textId="77777777" w:rsidR="005D1D0D" w:rsidRPr="004E4DBA" w:rsidRDefault="005D1D0D" w:rsidP="005D1D0D">
      <w:pPr>
        <w:pStyle w:val="PlainText"/>
        <w:jc w:val="center"/>
        <w:rPr>
          <w:rFonts w:asciiTheme="majorHAnsi" w:hAnsiTheme="majorHAnsi"/>
        </w:rPr>
      </w:pPr>
      <w:r w:rsidRPr="004E4DBA">
        <w:rPr>
          <w:rFonts w:asciiTheme="majorHAnsi" w:hAnsiTheme="majorHAnsi"/>
        </w:rPr>
        <w:t>Main results using the FGRSs calculated with relatives with different degree of relatedness</w:t>
      </w:r>
    </w:p>
    <w:p w14:paraId="760533E9" w14:textId="77777777" w:rsidR="005D1D0D" w:rsidRPr="004E4DBA" w:rsidRDefault="005D1D0D" w:rsidP="005D1D0D">
      <w:pPr>
        <w:pStyle w:val="PlainText"/>
        <w:rPr>
          <w:rFonts w:asciiTheme="majorHAnsi" w:hAnsiTheme="majorHAnsi"/>
        </w:rPr>
      </w:pPr>
    </w:p>
    <w:tbl>
      <w:tblPr>
        <w:tblStyle w:val="TableGrid"/>
        <w:tblpPr w:leftFromText="180" w:rightFromText="180" w:horzAnchor="page" w:tblpX="3001" w:tblpY="1320"/>
        <w:tblW w:w="9918" w:type="dxa"/>
        <w:tblLook w:val="04A0" w:firstRow="1" w:lastRow="0" w:firstColumn="1" w:lastColumn="0" w:noHBand="0" w:noVBand="1"/>
      </w:tblPr>
      <w:tblGrid>
        <w:gridCol w:w="1558"/>
        <w:gridCol w:w="1558"/>
        <w:gridCol w:w="1699"/>
        <w:gridCol w:w="1701"/>
        <w:gridCol w:w="1701"/>
        <w:gridCol w:w="1701"/>
      </w:tblGrid>
      <w:tr w:rsidR="005D1D0D" w:rsidRPr="004E4DBA" w14:paraId="6CE08C17" w14:textId="77777777" w:rsidTr="005D1D0D">
        <w:tc>
          <w:tcPr>
            <w:tcW w:w="1558" w:type="dxa"/>
          </w:tcPr>
          <w:p w14:paraId="40A56808" w14:textId="77777777" w:rsidR="005D1D0D" w:rsidRPr="004E4DBA" w:rsidRDefault="005D1D0D" w:rsidP="005D1D0D">
            <w:pPr>
              <w:pStyle w:val="PlainText"/>
              <w:rPr>
                <w:rFonts w:asciiTheme="majorHAnsi" w:hAnsiTheme="majorHAnsi" w:cstheme="majorHAnsi"/>
                <w:b/>
                <w:sz w:val="18"/>
                <w:szCs w:val="18"/>
              </w:rPr>
            </w:pPr>
            <w:r w:rsidRPr="004E4DBA">
              <w:rPr>
                <w:rFonts w:asciiTheme="majorHAnsi" w:hAnsiTheme="majorHAnsi" w:cstheme="majorHAnsi"/>
                <w:b/>
                <w:sz w:val="18"/>
                <w:szCs w:val="18"/>
              </w:rPr>
              <w:t>AUD</w:t>
            </w:r>
          </w:p>
        </w:tc>
        <w:tc>
          <w:tcPr>
            <w:tcW w:w="1558" w:type="dxa"/>
          </w:tcPr>
          <w:p w14:paraId="2494D473"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Reported in MS</w:t>
            </w:r>
          </w:p>
        </w:tc>
        <w:tc>
          <w:tcPr>
            <w:tcW w:w="1699" w:type="dxa"/>
          </w:tcPr>
          <w:p w14:paraId="7CA6F593"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FGRS based on 1st-4th degree relatives</w:t>
            </w:r>
          </w:p>
        </w:tc>
        <w:tc>
          <w:tcPr>
            <w:tcW w:w="1701" w:type="dxa"/>
          </w:tcPr>
          <w:p w14:paraId="2C27F247"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FGRS based on 1st-3rd degree relatives</w:t>
            </w:r>
          </w:p>
        </w:tc>
        <w:tc>
          <w:tcPr>
            <w:tcW w:w="1701" w:type="dxa"/>
          </w:tcPr>
          <w:p w14:paraId="13865A99"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FGRS based on 1st-2nd degree relatives</w:t>
            </w:r>
          </w:p>
        </w:tc>
        <w:tc>
          <w:tcPr>
            <w:tcW w:w="1701" w:type="dxa"/>
          </w:tcPr>
          <w:p w14:paraId="244E5A07"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FGRS based on 1st degree relatives</w:t>
            </w:r>
          </w:p>
        </w:tc>
      </w:tr>
      <w:tr w:rsidR="005D1D0D" w:rsidRPr="004E4DBA" w14:paraId="7D830D30" w14:textId="77777777" w:rsidTr="005D1D0D">
        <w:tc>
          <w:tcPr>
            <w:tcW w:w="1558" w:type="dxa"/>
          </w:tcPr>
          <w:p w14:paraId="7D6B4E7B"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FGRS</w:t>
            </w:r>
          </w:p>
        </w:tc>
        <w:tc>
          <w:tcPr>
            <w:tcW w:w="1558" w:type="dxa"/>
          </w:tcPr>
          <w:p w14:paraId="18AEB5E7"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6.32 (6.21; 6.43)</w:t>
            </w:r>
          </w:p>
        </w:tc>
        <w:tc>
          <w:tcPr>
            <w:tcW w:w="1699" w:type="dxa"/>
          </w:tcPr>
          <w:p w14:paraId="01852415"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6.39 (6.28; 6.50)</w:t>
            </w:r>
          </w:p>
        </w:tc>
        <w:tc>
          <w:tcPr>
            <w:tcW w:w="1701" w:type="dxa"/>
          </w:tcPr>
          <w:p w14:paraId="6BC5DFD7"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6.52 (6.41; 6.63)</w:t>
            </w:r>
          </w:p>
        </w:tc>
        <w:tc>
          <w:tcPr>
            <w:tcW w:w="1701" w:type="dxa"/>
          </w:tcPr>
          <w:p w14:paraId="21292D60"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6.62 (6.51; 6.73)</w:t>
            </w:r>
          </w:p>
        </w:tc>
        <w:tc>
          <w:tcPr>
            <w:tcW w:w="1701" w:type="dxa"/>
          </w:tcPr>
          <w:p w14:paraId="43BE7B0A"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6.42 (6.31; 6.53)</w:t>
            </w:r>
          </w:p>
        </w:tc>
      </w:tr>
      <w:tr w:rsidR="005D1D0D" w:rsidRPr="004E4DBA" w14:paraId="740F0764" w14:textId="77777777" w:rsidTr="005D1D0D">
        <w:tc>
          <w:tcPr>
            <w:tcW w:w="1558" w:type="dxa"/>
          </w:tcPr>
          <w:p w14:paraId="279DF37C"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GAEA</w:t>
            </w:r>
          </w:p>
        </w:tc>
        <w:tc>
          <w:tcPr>
            <w:tcW w:w="1558" w:type="dxa"/>
          </w:tcPr>
          <w:p w14:paraId="71929810"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-2.90 (2.83; 2.97)</w:t>
            </w:r>
          </w:p>
        </w:tc>
        <w:tc>
          <w:tcPr>
            <w:tcW w:w="1699" w:type="dxa"/>
          </w:tcPr>
          <w:p w14:paraId="1FE08A9C"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-2.94 (-3.01; -2.87)</w:t>
            </w:r>
          </w:p>
        </w:tc>
        <w:tc>
          <w:tcPr>
            <w:tcW w:w="1701" w:type="dxa"/>
          </w:tcPr>
          <w:p w14:paraId="043252A0"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-3.03 (-2.96; -3.10)</w:t>
            </w:r>
          </w:p>
        </w:tc>
        <w:tc>
          <w:tcPr>
            <w:tcW w:w="1701" w:type="dxa"/>
          </w:tcPr>
          <w:p w14:paraId="19987056"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-3.16 (-3.23; -3.09)</w:t>
            </w:r>
          </w:p>
        </w:tc>
        <w:tc>
          <w:tcPr>
            <w:tcW w:w="1701" w:type="dxa"/>
          </w:tcPr>
          <w:p w14:paraId="081A4D2A"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-3.41 (-3.49; -3.33)</w:t>
            </w:r>
          </w:p>
        </w:tc>
      </w:tr>
      <w:tr w:rsidR="005D1D0D" w:rsidRPr="004E4DBA" w14:paraId="6AFD9EF6" w14:textId="77777777" w:rsidTr="005D1D0D">
        <w:tc>
          <w:tcPr>
            <w:tcW w:w="1558" w:type="dxa"/>
          </w:tcPr>
          <w:p w14:paraId="7F9B7DF0"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 xml:space="preserve">FGRS* GAEA </w:t>
            </w:r>
          </w:p>
        </w:tc>
        <w:tc>
          <w:tcPr>
            <w:tcW w:w="1558" w:type="dxa"/>
          </w:tcPr>
          <w:p w14:paraId="0B3B4EB6"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-1.93 (2.03; -1.83)</w:t>
            </w:r>
          </w:p>
        </w:tc>
        <w:tc>
          <w:tcPr>
            <w:tcW w:w="1699" w:type="dxa"/>
          </w:tcPr>
          <w:p w14:paraId="7D474C98"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-2.03 (-2.13; -1.93)</w:t>
            </w:r>
          </w:p>
        </w:tc>
        <w:tc>
          <w:tcPr>
            <w:tcW w:w="1701" w:type="dxa"/>
          </w:tcPr>
          <w:p w14:paraId="33525111"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-2.42 (-2.53; -2.31)</w:t>
            </w:r>
          </w:p>
        </w:tc>
        <w:tc>
          <w:tcPr>
            <w:tcW w:w="1701" w:type="dxa"/>
          </w:tcPr>
          <w:p w14:paraId="77FCB7BD"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-2.75 (-2.87; -2.63)</w:t>
            </w:r>
          </w:p>
        </w:tc>
        <w:tc>
          <w:tcPr>
            <w:tcW w:w="1701" w:type="dxa"/>
          </w:tcPr>
          <w:p w14:paraId="3521C133"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-2.60 (-2.73; -2.47)</w:t>
            </w:r>
          </w:p>
        </w:tc>
      </w:tr>
      <w:tr w:rsidR="005D1D0D" w:rsidRPr="004E4DBA" w14:paraId="63A55E7E" w14:textId="77777777" w:rsidTr="005D1D0D">
        <w:tc>
          <w:tcPr>
            <w:tcW w:w="1558" w:type="dxa"/>
          </w:tcPr>
          <w:p w14:paraId="1EC8309D" w14:textId="77777777" w:rsidR="005D1D0D" w:rsidRPr="004E4DBA" w:rsidRDefault="005D1D0D" w:rsidP="005D1D0D">
            <w:pPr>
              <w:pStyle w:val="PlainText"/>
              <w:rPr>
                <w:rFonts w:asciiTheme="majorHAnsi" w:hAnsiTheme="majorHAnsi" w:cstheme="majorHAnsi"/>
                <w:sz w:val="18"/>
                <w:szCs w:val="18"/>
              </w:rPr>
            </w:pPr>
          </w:p>
        </w:tc>
        <w:tc>
          <w:tcPr>
            <w:tcW w:w="1558" w:type="dxa"/>
          </w:tcPr>
          <w:p w14:paraId="00FDCA96" w14:textId="77777777" w:rsidR="005D1D0D" w:rsidRPr="004E4DBA" w:rsidRDefault="005D1D0D" w:rsidP="005D1D0D">
            <w:pPr>
              <w:pStyle w:val="PlainText"/>
              <w:rPr>
                <w:rFonts w:asciiTheme="majorHAnsi" w:hAnsiTheme="majorHAnsi" w:cstheme="majorHAnsi"/>
                <w:sz w:val="18"/>
                <w:szCs w:val="18"/>
              </w:rPr>
            </w:pPr>
          </w:p>
        </w:tc>
        <w:tc>
          <w:tcPr>
            <w:tcW w:w="1699" w:type="dxa"/>
          </w:tcPr>
          <w:p w14:paraId="23517DEA" w14:textId="77777777" w:rsidR="005D1D0D" w:rsidRPr="004E4DBA" w:rsidRDefault="005D1D0D" w:rsidP="005D1D0D">
            <w:pPr>
              <w:pStyle w:val="PlainText"/>
              <w:rPr>
                <w:rFonts w:asciiTheme="majorHAnsi" w:hAnsiTheme="majorHAnsi" w:cstheme="majorHAnsi"/>
                <w:sz w:val="18"/>
                <w:szCs w:val="18"/>
              </w:rPr>
            </w:pPr>
          </w:p>
        </w:tc>
        <w:tc>
          <w:tcPr>
            <w:tcW w:w="1701" w:type="dxa"/>
          </w:tcPr>
          <w:p w14:paraId="08582DF0" w14:textId="77777777" w:rsidR="005D1D0D" w:rsidRPr="004E4DBA" w:rsidRDefault="005D1D0D" w:rsidP="005D1D0D">
            <w:pPr>
              <w:pStyle w:val="PlainText"/>
              <w:rPr>
                <w:rFonts w:asciiTheme="majorHAnsi" w:hAnsiTheme="majorHAnsi" w:cstheme="majorHAnsi"/>
                <w:sz w:val="18"/>
                <w:szCs w:val="18"/>
              </w:rPr>
            </w:pPr>
          </w:p>
        </w:tc>
        <w:tc>
          <w:tcPr>
            <w:tcW w:w="1701" w:type="dxa"/>
          </w:tcPr>
          <w:p w14:paraId="39E70A72" w14:textId="77777777" w:rsidR="005D1D0D" w:rsidRPr="004E4DBA" w:rsidRDefault="005D1D0D" w:rsidP="005D1D0D">
            <w:pPr>
              <w:pStyle w:val="PlainText"/>
              <w:rPr>
                <w:rFonts w:asciiTheme="majorHAnsi" w:hAnsiTheme="majorHAnsi" w:cstheme="majorHAnsi"/>
                <w:sz w:val="18"/>
                <w:szCs w:val="18"/>
              </w:rPr>
            </w:pPr>
          </w:p>
        </w:tc>
        <w:tc>
          <w:tcPr>
            <w:tcW w:w="1701" w:type="dxa"/>
          </w:tcPr>
          <w:p w14:paraId="6F8886B9" w14:textId="77777777" w:rsidR="005D1D0D" w:rsidRPr="004E4DBA" w:rsidRDefault="005D1D0D" w:rsidP="005D1D0D">
            <w:pPr>
              <w:pStyle w:val="PlainText"/>
              <w:rPr>
                <w:rFonts w:asciiTheme="majorHAnsi" w:hAnsiTheme="majorHAnsi" w:cstheme="majorHAnsi"/>
                <w:sz w:val="18"/>
                <w:szCs w:val="18"/>
              </w:rPr>
            </w:pPr>
          </w:p>
        </w:tc>
      </w:tr>
      <w:tr w:rsidR="005D1D0D" w:rsidRPr="004E4DBA" w14:paraId="32A48E0B" w14:textId="77777777" w:rsidTr="005D1D0D">
        <w:tc>
          <w:tcPr>
            <w:tcW w:w="1558" w:type="dxa"/>
          </w:tcPr>
          <w:p w14:paraId="5A26E834" w14:textId="77777777" w:rsidR="005D1D0D" w:rsidRPr="004E4DBA" w:rsidRDefault="005D1D0D" w:rsidP="005D1D0D">
            <w:pPr>
              <w:pStyle w:val="PlainText"/>
              <w:rPr>
                <w:rFonts w:asciiTheme="majorHAnsi" w:hAnsiTheme="majorHAnsi" w:cstheme="majorHAnsi"/>
                <w:b/>
                <w:sz w:val="18"/>
                <w:szCs w:val="18"/>
              </w:rPr>
            </w:pPr>
            <w:r w:rsidRPr="004E4DBA">
              <w:rPr>
                <w:rFonts w:asciiTheme="majorHAnsi" w:hAnsiTheme="majorHAnsi" w:cstheme="majorHAnsi"/>
                <w:b/>
                <w:sz w:val="18"/>
                <w:szCs w:val="18"/>
              </w:rPr>
              <w:t>DUD</w:t>
            </w:r>
          </w:p>
        </w:tc>
        <w:tc>
          <w:tcPr>
            <w:tcW w:w="1558" w:type="dxa"/>
          </w:tcPr>
          <w:p w14:paraId="21A70A54" w14:textId="77777777" w:rsidR="005D1D0D" w:rsidRPr="004E4DBA" w:rsidRDefault="005D1D0D" w:rsidP="005D1D0D">
            <w:pPr>
              <w:pStyle w:val="PlainText"/>
              <w:rPr>
                <w:rFonts w:asciiTheme="majorHAnsi" w:hAnsiTheme="majorHAnsi" w:cstheme="majorHAnsi"/>
                <w:sz w:val="18"/>
                <w:szCs w:val="18"/>
              </w:rPr>
            </w:pPr>
          </w:p>
        </w:tc>
        <w:tc>
          <w:tcPr>
            <w:tcW w:w="1699" w:type="dxa"/>
          </w:tcPr>
          <w:p w14:paraId="20440086" w14:textId="77777777" w:rsidR="005D1D0D" w:rsidRPr="004E4DBA" w:rsidRDefault="005D1D0D" w:rsidP="005D1D0D">
            <w:pPr>
              <w:pStyle w:val="PlainText"/>
              <w:rPr>
                <w:rFonts w:asciiTheme="majorHAnsi" w:hAnsiTheme="majorHAnsi" w:cstheme="majorHAnsi"/>
                <w:sz w:val="18"/>
                <w:szCs w:val="18"/>
              </w:rPr>
            </w:pPr>
          </w:p>
        </w:tc>
        <w:tc>
          <w:tcPr>
            <w:tcW w:w="1701" w:type="dxa"/>
          </w:tcPr>
          <w:p w14:paraId="6BD4DD82" w14:textId="77777777" w:rsidR="005D1D0D" w:rsidRPr="004E4DBA" w:rsidRDefault="005D1D0D" w:rsidP="005D1D0D">
            <w:pPr>
              <w:pStyle w:val="PlainText"/>
              <w:rPr>
                <w:rFonts w:asciiTheme="majorHAnsi" w:hAnsiTheme="majorHAnsi" w:cstheme="majorHAnsi"/>
                <w:sz w:val="18"/>
                <w:szCs w:val="18"/>
              </w:rPr>
            </w:pPr>
          </w:p>
        </w:tc>
        <w:tc>
          <w:tcPr>
            <w:tcW w:w="1701" w:type="dxa"/>
          </w:tcPr>
          <w:p w14:paraId="6042B358" w14:textId="77777777" w:rsidR="005D1D0D" w:rsidRPr="004E4DBA" w:rsidRDefault="005D1D0D" w:rsidP="005D1D0D">
            <w:pPr>
              <w:pStyle w:val="PlainText"/>
              <w:rPr>
                <w:rFonts w:asciiTheme="majorHAnsi" w:hAnsiTheme="majorHAnsi" w:cstheme="majorHAnsi"/>
                <w:sz w:val="18"/>
                <w:szCs w:val="18"/>
              </w:rPr>
            </w:pPr>
          </w:p>
        </w:tc>
        <w:tc>
          <w:tcPr>
            <w:tcW w:w="1701" w:type="dxa"/>
          </w:tcPr>
          <w:p w14:paraId="79E71F31" w14:textId="77777777" w:rsidR="005D1D0D" w:rsidRPr="004E4DBA" w:rsidRDefault="005D1D0D" w:rsidP="005D1D0D">
            <w:pPr>
              <w:pStyle w:val="PlainText"/>
              <w:rPr>
                <w:rFonts w:asciiTheme="majorHAnsi" w:hAnsiTheme="majorHAnsi" w:cstheme="majorHAnsi"/>
                <w:sz w:val="18"/>
                <w:szCs w:val="18"/>
              </w:rPr>
            </w:pPr>
          </w:p>
        </w:tc>
      </w:tr>
      <w:tr w:rsidR="005D1D0D" w:rsidRPr="004E4DBA" w14:paraId="409986D7" w14:textId="77777777" w:rsidTr="005D1D0D">
        <w:tc>
          <w:tcPr>
            <w:tcW w:w="1558" w:type="dxa"/>
          </w:tcPr>
          <w:p w14:paraId="6DE9FD8E"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FGRS</w:t>
            </w:r>
          </w:p>
        </w:tc>
        <w:tc>
          <w:tcPr>
            <w:tcW w:w="1558" w:type="dxa"/>
          </w:tcPr>
          <w:p w14:paraId="44B12E51"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4.65 (4.56, 4.74)</w:t>
            </w:r>
          </w:p>
        </w:tc>
        <w:tc>
          <w:tcPr>
            <w:tcW w:w="1699" w:type="dxa"/>
          </w:tcPr>
          <w:p w14:paraId="5C4AAB79"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4.69 (4.60; 4.78)</w:t>
            </w:r>
          </w:p>
        </w:tc>
        <w:tc>
          <w:tcPr>
            <w:tcW w:w="1701" w:type="dxa"/>
          </w:tcPr>
          <w:p w14:paraId="37A116D3"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4.77 (4.67; 4.87)</w:t>
            </w:r>
          </w:p>
        </w:tc>
        <w:tc>
          <w:tcPr>
            <w:tcW w:w="1701" w:type="dxa"/>
          </w:tcPr>
          <w:p w14:paraId="39F57CA3"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4.72 (4.62; 4.82)</w:t>
            </w:r>
          </w:p>
        </w:tc>
        <w:tc>
          <w:tcPr>
            <w:tcW w:w="1701" w:type="dxa"/>
          </w:tcPr>
          <w:p w14:paraId="19BB46D8"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4.53 (4.42; 4.64)</w:t>
            </w:r>
          </w:p>
        </w:tc>
      </w:tr>
      <w:tr w:rsidR="005D1D0D" w:rsidRPr="004E4DBA" w14:paraId="3B5EBB5F" w14:textId="77777777" w:rsidTr="005D1D0D">
        <w:tc>
          <w:tcPr>
            <w:tcW w:w="1558" w:type="dxa"/>
          </w:tcPr>
          <w:p w14:paraId="5CD6ACB0"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GAEA</w:t>
            </w:r>
          </w:p>
        </w:tc>
        <w:tc>
          <w:tcPr>
            <w:tcW w:w="1558" w:type="dxa"/>
          </w:tcPr>
          <w:p w14:paraId="32ABB9D3"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-2.08 (2.13; 2.03)</w:t>
            </w:r>
          </w:p>
        </w:tc>
        <w:tc>
          <w:tcPr>
            <w:tcW w:w="1699" w:type="dxa"/>
          </w:tcPr>
          <w:p w14:paraId="01049DFC"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-2.11 (-2.16; -2.06)</w:t>
            </w:r>
          </w:p>
        </w:tc>
        <w:tc>
          <w:tcPr>
            <w:tcW w:w="1701" w:type="dxa"/>
          </w:tcPr>
          <w:p w14:paraId="292D8738"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-2.20 (-2.26; -2.14)</w:t>
            </w:r>
          </w:p>
        </w:tc>
        <w:tc>
          <w:tcPr>
            <w:tcW w:w="1701" w:type="dxa"/>
          </w:tcPr>
          <w:p w14:paraId="52A92B70"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-2.30 (-2.36; -2.24)</w:t>
            </w:r>
          </w:p>
        </w:tc>
        <w:tc>
          <w:tcPr>
            <w:tcW w:w="1701" w:type="dxa"/>
          </w:tcPr>
          <w:p w14:paraId="3EF44097"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-2.46 (-2.52; -2.40)</w:t>
            </w:r>
          </w:p>
        </w:tc>
      </w:tr>
      <w:tr w:rsidR="005D1D0D" w:rsidRPr="002063B8" w14:paraId="72DF8050" w14:textId="77777777" w:rsidTr="005D1D0D">
        <w:tc>
          <w:tcPr>
            <w:tcW w:w="1558" w:type="dxa"/>
          </w:tcPr>
          <w:p w14:paraId="3C46EF2C"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 xml:space="preserve">FGRS* GAEA </w:t>
            </w:r>
          </w:p>
        </w:tc>
        <w:tc>
          <w:tcPr>
            <w:tcW w:w="1558" w:type="dxa"/>
          </w:tcPr>
          <w:p w14:paraId="085245A7"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-1.58 (1.50; 1.66)</w:t>
            </w:r>
          </w:p>
        </w:tc>
        <w:tc>
          <w:tcPr>
            <w:tcW w:w="1699" w:type="dxa"/>
          </w:tcPr>
          <w:p w14:paraId="5746C2E7"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-1.67 (-1.76; -1.76)</w:t>
            </w:r>
          </w:p>
        </w:tc>
        <w:tc>
          <w:tcPr>
            <w:tcW w:w="1701" w:type="dxa"/>
          </w:tcPr>
          <w:p w14:paraId="50AFEA57"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-2.08 (-2.18; -1.98)</w:t>
            </w:r>
          </w:p>
        </w:tc>
        <w:tc>
          <w:tcPr>
            <w:tcW w:w="1701" w:type="dxa"/>
          </w:tcPr>
          <w:p w14:paraId="07BDDDF5" w14:textId="77777777" w:rsidR="005D1D0D" w:rsidRPr="004E4DBA"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-2.41 (-2.52; -2.30)</w:t>
            </w:r>
          </w:p>
        </w:tc>
        <w:tc>
          <w:tcPr>
            <w:tcW w:w="1701" w:type="dxa"/>
          </w:tcPr>
          <w:p w14:paraId="19F8A505" w14:textId="77777777" w:rsidR="005D1D0D" w:rsidRPr="002063B8" w:rsidRDefault="005D1D0D" w:rsidP="005D1D0D">
            <w:pPr>
              <w:pStyle w:val="PlainText"/>
              <w:rPr>
                <w:rFonts w:asciiTheme="majorHAnsi" w:hAnsiTheme="majorHAnsi" w:cstheme="majorHAnsi"/>
                <w:sz w:val="18"/>
                <w:szCs w:val="18"/>
              </w:rPr>
            </w:pPr>
            <w:r w:rsidRPr="004E4DBA">
              <w:rPr>
                <w:rFonts w:asciiTheme="majorHAnsi" w:hAnsiTheme="majorHAnsi" w:cstheme="majorHAnsi"/>
                <w:sz w:val="18"/>
                <w:szCs w:val="18"/>
              </w:rPr>
              <w:t>-2.35 (-2.47; -2.23)</w:t>
            </w:r>
          </w:p>
        </w:tc>
      </w:tr>
      <w:tr w:rsidR="005D1D0D" w:rsidRPr="002063B8" w14:paraId="7C215C0B" w14:textId="77777777" w:rsidTr="005D1D0D">
        <w:tc>
          <w:tcPr>
            <w:tcW w:w="1558" w:type="dxa"/>
          </w:tcPr>
          <w:p w14:paraId="034A728E" w14:textId="77777777" w:rsidR="005D1D0D" w:rsidRPr="002063B8" w:rsidRDefault="005D1D0D" w:rsidP="005D1D0D">
            <w:pPr>
              <w:pStyle w:val="PlainText"/>
              <w:rPr>
                <w:rFonts w:asciiTheme="majorHAnsi" w:hAnsiTheme="majorHAnsi"/>
              </w:rPr>
            </w:pPr>
          </w:p>
        </w:tc>
        <w:tc>
          <w:tcPr>
            <w:tcW w:w="1558" w:type="dxa"/>
          </w:tcPr>
          <w:p w14:paraId="5A195DDE" w14:textId="77777777" w:rsidR="005D1D0D" w:rsidRPr="002063B8" w:rsidRDefault="005D1D0D" w:rsidP="005D1D0D">
            <w:pPr>
              <w:pStyle w:val="PlainText"/>
              <w:rPr>
                <w:rFonts w:asciiTheme="majorHAnsi" w:hAnsiTheme="majorHAnsi"/>
              </w:rPr>
            </w:pPr>
          </w:p>
        </w:tc>
        <w:tc>
          <w:tcPr>
            <w:tcW w:w="1699" w:type="dxa"/>
          </w:tcPr>
          <w:p w14:paraId="1A32F4E8" w14:textId="77777777" w:rsidR="005D1D0D" w:rsidRPr="002063B8" w:rsidRDefault="005D1D0D" w:rsidP="005D1D0D">
            <w:pPr>
              <w:pStyle w:val="PlainText"/>
              <w:rPr>
                <w:rFonts w:asciiTheme="majorHAnsi" w:hAnsiTheme="majorHAnsi"/>
              </w:rPr>
            </w:pPr>
          </w:p>
        </w:tc>
        <w:tc>
          <w:tcPr>
            <w:tcW w:w="1701" w:type="dxa"/>
          </w:tcPr>
          <w:p w14:paraId="2FEA17F0" w14:textId="77777777" w:rsidR="005D1D0D" w:rsidRPr="002063B8" w:rsidRDefault="005D1D0D" w:rsidP="005D1D0D">
            <w:pPr>
              <w:pStyle w:val="PlainText"/>
              <w:rPr>
                <w:rFonts w:asciiTheme="majorHAnsi" w:hAnsiTheme="majorHAnsi"/>
              </w:rPr>
            </w:pPr>
          </w:p>
        </w:tc>
        <w:tc>
          <w:tcPr>
            <w:tcW w:w="1701" w:type="dxa"/>
          </w:tcPr>
          <w:p w14:paraId="42A519BF" w14:textId="77777777" w:rsidR="005D1D0D" w:rsidRPr="002063B8" w:rsidRDefault="005D1D0D" w:rsidP="005D1D0D">
            <w:pPr>
              <w:pStyle w:val="PlainText"/>
              <w:rPr>
                <w:rFonts w:asciiTheme="majorHAnsi" w:hAnsiTheme="majorHAnsi"/>
              </w:rPr>
            </w:pPr>
          </w:p>
        </w:tc>
        <w:tc>
          <w:tcPr>
            <w:tcW w:w="1701" w:type="dxa"/>
          </w:tcPr>
          <w:p w14:paraId="52D979C5" w14:textId="77777777" w:rsidR="005D1D0D" w:rsidRPr="002063B8" w:rsidRDefault="005D1D0D" w:rsidP="005D1D0D">
            <w:pPr>
              <w:pStyle w:val="PlainText"/>
              <w:rPr>
                <w:rFonts w:asciiTheme="majorHAnsi" w:hAnsiTheme="majorHAnsi"/>
              </w:rPr>
            </w:pPr>
          </w:p>
        </w:tc>
      </w:tr>
    </w:tbl>
    <w:p w14:paraId="26D51E44" w14:textId="77777777" w:rsidR="005D1D0D" w:rsidRPr="002063B8" w:rsidRDefault="005D1D0D" w:rsidP="005D1D0D">
      <w:pPr>
        <w:pStyle w:val="PlainText"/>
        <w:rPr>
          <w:rFonts w:asciiTheme="majorHAnsi" w:hAnsiTheme="majorHAnsi"/>
        </w:rPr>
      </w:pPr>
    </w:p>
    <w:p w14:paraId="58F6CB60" w14:textId="77777777" w:rsidR="005D1D0D" w:rsidRPr="002063B8" w:rsidRDefault="005D1D0D" w:rsidP="005D1D0D">
      <w:pPr>
        <w:pStyle w:val="PlainText"/>
        <w:rPr>
          <w:rFonts w:asciiTheme="majorHAnsi" w:hAnsiTheme="majorHAnsi"/>
        </w:rPr>
      </w:pPr>
    </w:p>
    <w:p w14:paraId="04E01927" w14:textId="0BBB1DA6" w:rsidR="005D1D0D" w:rsidRDefault="005D1D0D" w:rsidP="005D1D0D">
      <w:pPr>
        <w:jc w:val="center"/>
        <w:rPr>
          <w:lang w:val="en-US"/>
        </w:rPr>
      </w:pPr>
      <w:r>
        <w:rPr>
          <w:lang w:val="en-US"/>
        </w:rPr>
        <w:br w:type="page"/>
      </w:r>
    </w:p>
    <w:p w14:paraId="62672ACA" w14:textId="72B9DA53" w:rsidR="00815E76" w:rsidRDefault="00164D50" w:rsidP="00164D50">
      <w:pPr>
        <w:spacing w:line="240" w:lineRule="auto"/>
        <w:ind w:firstLine="720"/>
        <w:contextualSpacing/>
        <w:jc w:val="center"/>
        <w:rPr>
          <w:lang w:val="en-US"/>
        </w:rPr>
      </w:pPr>
      <w:r>
        <w:rPr>
          <w:lang w:val="en-US"/>
        </w:rPr>
        <w:lastRenderedPageBreak/>
        <w:t xml:space="preserve">Table </w:t>
      </w:r>
      <w:r w:rsidR="005D1D0D">
        <w:rPr>
          <w:lang w:val="en-US"/>
        </w:rPr>
        <w:t>7</w:t>
      </w:r>
      <w:r>
        <w:rPr>
          <w:lang w:val="en-US"/>
        </w:rPr>
        <w:t xml:space="preserve"> - </w:t>
      </w:r>
      <w:r w:rsidR="00815E76">
        <w:rPr>
          <w:lang w:val="en-US"/>
        </w:rPr>
        <w:t>Sensitivity analysis:</w:t>
      </w:r>
    </w:p>
    <w:p w14:paraId="3D7B9F92" w14:textId="5668EB36" w:rsidR="00815E76" w:rsidRPr="00815E76" w:rsidRDefault="00815E76" w:rsidP="00815E76">
      <w:pPr>
        <w:pStyle w:val="ListParagraph"/>
        <w:numPr>
          <w:ilvl w:val="0"/>
          <w:numId w:val="1"/>
        </w:numPr>
        <w:spacing w:line="240" w:lineRule="auto"/>
        <w:rPr>
          <w:rFonts w:asciiTheme="majorHAnsi" w:hAnsiTheme="majorHAnsi" w:cstheme="majorHAnsi"/>
          <w:lang w:val="en-US"/>
        </w:rPr>
      </w:pPr>
      <w:r w:rsidRPr="00815E76">
        <w:rPr>
          <w:rFonts w:asciiTheme="majorHAnsi" w:hAnsiTheme="majorHAnsi" w:cstheme="majorHAnsi"/>
          <w:lang w:val="en-US"/>
        </w:rPr>
        <w:t>Outcome variable: Time to first AUD registration. Main exposure variables: FGRS AUD and GAEA. Restriction: Individuals with DUD are excluded</w:t>
      </w:r>
      <w:r w:rsidR="00920540">
        <w:rPr>
          <w:rFonts w:asciiTheme="majorHAnsi" w:hAnsiTheme="majorHAnsi" w:cstheme="majorHAnsi"/>
          <w:lang w:val="en-US"/>
        </w:rPr>
        <w:t>. 69% of original AUD cases</w:t>
      </w:r>
    </w:p>
    <w:p w14:paraId="61C5CEA8" w14:textId="536DB8BB" w:rsidR="00815E76" w:rsidRPr="00815E76" w:rsidRDefault="00815E76" w:rsidP="00815E76">
      <w:pPr>
        <w:pStyle w:val="ListParagraph"/>
        <w:numPr>
          <w:ilvl w:val="0"/>
          <w:numId w:val="1"/>
        </w:numPr>
        <w:spacing w:line="240" w:lineRule="auto"/>
        <w:rPr>
          <w:rFonts w:asciiTheme="majorHAnsi" w:hAnsiTheme="majorHAnsi" w:cstheme="majorHAnsi"/>
          <w:lang w:val="en-US"/>
        </w:rPr>
      </w:pPr>
      <w:r w:rsidRPr="00815E76">
        <w:rPr>
          <w:rFonts w:asciiTheme="majorHAnsi" w:hAnsiTheme="majorHAnsi" w:cstheme="majorHAnsi"/>
          <w:lang w:val="en-US"/>
        </w:rPr>
        <w:t xml:space="preserve"> Outcome variable: Time to first DUD registration. Main exposure variables: FGRS DUD and GAEA. Restriction: Individuals with AUD are excluded</w:t>
      </w:r>
      <w:r w:rsidR="00920540">
        <w:rPr>
          <w:rFonts w:asciiTheme="majorHAnsi" w:hAnsiTheme="majorHAnsi" w:cstheme="majorHAnsi"/>
          <w:lang w:val="en-US"/>
        </w:rPr>
        <w:t>. 51% of original DUD cases</w:t>
      </w:r>
    </w:p>
    <w:p w14:paraId="702B516C" w14:textId="577951CD" w:rsidR="00815E76" w:rsidRPr="00815E76" w:rsidRDefault="00815E76" w:rsidP="00815E76">
      <w:pPr>
        <w:pStyle w:val="ListParagraph"/>
        <w:numPr>
          <w:ilvl w:val="0"/>
          <w:numId w:val="1"/>
        </w:numPr>
        <w:spacing w:line="240" w:lineRule="auto"/>
        <w:rPr>
          <w:rFonts w:asciiTheme="majorHAnsi" w:hAnsiTheme="majorHAnsi" w:cstheme="majorHAnsi"/>
          <w:lang w:val="en-US"/>
        </w:rPr>
      </w:pPr>
      <w:r w:rsidRPr="00815E76">
        <w:rPr>
          <w:rFonts w:asciiTheme="majorHAnsi" w:hAnsiTheme="majorHAnsi" w:cstheme="majorHAnsi"/>
          <w:lang w:val="en-US"/>
        </w:rPr>
        <w:t>Outcome variable: Time to first AUD/DUD registration. Main exposure variables: FGRS AUD and GAEA. Restriction: Individuals with only AUD and only DUD are excluded</w:t>
      </w:r>
      <w:r w:rsidR="00920540">
        <w:rPr>
          <w:rFonts w:asciiTheme="majorHAnsi" w:hAnsiTheme="majorHAnsi" w:cstheme="majorHAnsi"/>
          <w:lang w:val="en-US"/>
        </w:rPr>
        <w:t xml:space="preserve">. </w:t>
      </w:r>
    </w:p>
    <w:p w14:paraId="311CACCE" w14:textId="77777777" w:rsidR="00815E76" w:rsidRPr="00815E76" w:rsidRDefault="00815E76" w:rsidP="00815E76">
      <w:pPr>
        <w:pStyle w:val="ListParagraph"/>
        <w:numPr>
          <w:ilvl w:val="0"/>
          <w:numId w:val="1"/>
        </w:numPr>
        <w:spacing w:line="240" w:lineRule="auto"/>
        <w:rPr>
          <w:rFonts w:asciiTheme="majorHAnsi" w:hAnsiTheme="majorHAnsi" w:cstheme="majorHAnsi"/>
          <w:lang w:val="en-US"/>
        </w:rPr>
      </w:pPr>
      <w:r w:rsidRPr="00815E76">
        <w:rPr>
          <w:rFonts w:asciiTheme="majorHAnsi" w:hAnsiTheme="majorHAnsi" w:cstheme="majorHAnsi"/>
          <w:lang w:val="en-US"/>
        </w:rPr>
        <w:t>Outcome variable: Time to first AUD/DUD registration. Main exposure variables: FGRS DUD and GAEA. Restriction: Individuals with only AUD and only DUD are excluded</w:t>
      </w:r>
    </w:p>
    <w:p w14:paraId="73A58CEF" w14:textId="77777777" w:rsidR="00815E76" w:rsidRPr="00815E76" w:rsidRDefault="00815E76" w:rsidP="00815E76">
      <w:pPr>
        <w:pStyle w:val="ListParagraph"/>
        <w:spacing w:line="240" w:lineRule="auto"/>
        <w:ind w:left="1440"/>
        <w:rPr>
          <w:rFonts w:asciiTheme="majorHAnsi" w:hAnsiTheme="majorHAnsi" w:cstheme="majorHAnsi"/>
          <w:lang w:val="en-US"/>
        </w:rPr>
      </w:pPr>
    </w:p>
    <w:tbl>
      <w:tblPr>
        <w:tblStyle w:val="TableGrid"/>
        <w:tblpPr w:leftFromText="180" w:rightFromText="180" w:vertAnchor="page" w:horzAnchor="margin" w:tblpXSpec="center" w:tblpY="4821"/>
        <w:tblW w:w="13320" w:type="dxa"/>
        <w:tblLook w:val="04A0" w:firstRow="1" w:lastRow="0" w:firstColumn="1" w:lastColumn="0" w:noHBand="0" w:noVBand="1"/>
      </w:tblPr>
      <w:tblGrid>
        <w:gridCol w:w="5098"/>
        <w:gridCol w:w="1985"/>
        <w:gridCol w:w="1984"/>
        <w:gridCol w:w="2127"/>
        <w:gridCol w:w="2126"/>
      </w:tblGrid>
      <w:tr w:rsidR="005A0B83" w14:paraId="22F7060D" w14:textId="77777777" w:rsidTr="005A0B83">
        <w:tc>
          <w:tcPr>
            <w:tcW w:w="5098" w:type="dxa"/>
          </w:tcPr>
          <w:p w14:paraId="18D0C242" w14:textId="77777777" w:rsidR="005A0B83" w:rsidRPr="007E74EC" w:rsidRDefault="005A0B83" w:rsidP="005A0B83">
            <w:pPr>
              <w:jc w:val="center"/>
              <w:rPr>
                <w:b/>
                <w:u w:val="single"/>
                <w:lang w:val="en-US"/>
              </w:rPr>
            </w:pPr>
          </w:p>
        </w:tc>
        <w:tc>
          <w:tcPr>
            <w:tcW w:w="1985" w:type="dxa"/>
          </w:tcPr>
          <w:p w14:paraId="1BB91A85" w14:textId="77777777" w:rsidR="005A0B83" w:rsidRPr="004E0D38" w:rsidRDefault="005A0B83" w:rsidP="005A0B83">
            <w:pPr>
              <w:jc w:val="center"/>
              <w:rPr>
                <w:lang w:val="en-US"/>
              </w:rPr>
            </w:pPr>
            <w:r>
              <w:rPr>
                <w:lang w:val="en-US"/>
              </w:rPr>
              <w:t>Model i</w:t>
            </w:r>
          </w:p>
        </w:tc>
        <w:tc>
          <w:tcPr>
            <w:tcW w:w="1984" w:type="dxa"/>
          </w:tcPr>
          <w:p w14:paraId="273B312A" w14:textId="77777777" w:rsidR="005A0B83" w:rsidRPr="004E0D38" w:rsidRDefault="005A0B83" w:rsidP="005A0B83">
            <w:pPr>
              <w:jc w:val="center"/>
              <w:rPr>
                <w:lang w:val="en-US"/>
              </w:rPr>
            </w:pPr>
            <w:r>
              <w:rPr>
                <w:lang w:val="en-US"/>
              </w:rPr>
              <w:t>Model ii</w:t>
            </w:r>
          </w:p>
        </w:tc>
        <w:tc>
          <w:tcPr>
            <w:tcW w:w="2127" w:type="dxa"/>
          </w:tcPr>
          <w:p w14:paraId="24D9F1B9" w14:textId="77777777" w:rsidR="005A0B83" w:rsidRPr="004E0D38" w:rsidRDefault="005A0B83" w:rsidP="005A0B83">
            <w:pPr>
              <w:jc w:val="center"/>
              <w:rPr>
                <w:lang w:val="en-US"/>
              </w:rPr>
            </w:pPr>
            <w:r>
              <w:rPr>
                <w:lang w:val="en-US"/>
              </w:rPr>
              <w:t>Model iii</w:t>
            </w:r>
          </w:p>
        </w:tc>
        <w:tc>
          <w:tcPr>
            <w:tcW w:w="2126" w:type="dxa"/>
          </w:tcPr>
          <w:p w14:paraId="581B1B66" w14:textId="77777777" w:rsidR="005A0B83" w:rsidRPr="004E0D38" w:rsidRDefault="005A0B83" w:rsidP="005A0B83">
            <w:pPr>
              <w:jc w:val="center"/>
              <w:rPr>
                <w:lang w:val="en-US"/>
              </w:rPr>
            </w:pPr>
            <w:r>
              <w:rPr>
                <w:lang w:val="en-US"/>
              </w:rPr>
              <w:t>Model iv</w:t>
            </w:r>
          </w:p>
        </w:tc>
      </w:tr>
      <w:tr w:rsidR="005A0B83" w:rsidRPr="00522E21" w14:paraId="2C20AB75" w14:textId="77777777" w:rsidTr="005A0B83">
        <w:tc>
          <w:tcPr>
            <w:tcW w:w="5098" w:type="dxa"/>
          </w:tcPr>
          <w:p w14:paraId="79AFED12" w14:textId="77777777" w:rsidR="005A0B83" w:rsidRDefault="005A0B83" w:rsidP="005A0B83">
            <w:pPr>
              <w:rPr>
                <w:lang w:val="en-US"/>
              </w:rPr>
            </w:pPr>
            <w:r>
              <w:rPr>
                <w:lang w:val="en-US"/>
              </w:rPr>
              <w:t>Familial Genetic Risk Score (FGRS)</w:t>
            </w:r>
          </w:p>
        </w:tc>
        <w:tc>
          <w:tcPr>
            <w:tcW w:w="1985" w:type="dxa"/>
          </w:tcPr>
          <w:p w14:paraId="6D26CF43" w14:textId="77777777" w:rsidR="005A0B83" w:rsidRDefault="005A0B83" w:rsidP="005A0B83">
            <w:pPr>
              <w:rPr>
                <w:lang w:val="en-US"/>
              </w:rPr>
            </w:pPr>
            <w:r>
              <w:rPr>
                <w:lang w:val="en-US"/>
              </w:rPr>
              <w:t>3.86 (3.77; 3.95)</w:t>
            </w:r>
          </w:p>
        </w:tc>
        <w:tc>
          <w:tcPr>
            <w:tcW w:w="1984" w:type="dxa"/>
          </w:tcPr>
          <w:p w14:paraId="04EA23C5" w14:textId="77777777" w:rsidR="005A0B83" w:rsidRDefault="005A0B83" w:rsidP="005A0B83">
            <w:pPr>
              <w:rPr>
                <w:lang w:val="en-US"/>
              </w:rPr>
            </w:pPr>
            <w:r>
              <w:rPr>
                <w:lang w:val="en-US"/>
              </w:rPr>
              <w:t>1.49 (1.42; 1.56)</w:t>
            </w:r>
          </w:p>
        </w:tc>
        <w:tc>
          <w:tcPr>
            <w:tcW w:w="2127" w:type="dxa"/>
          </w:tcPr>
          <w:p w14:paraId="256AFBBC" w14:textId="77777777" w:rsidR="005A0B83" w:rsidRDefault="005A0B83" w:rsidP="005A0B83">
            <w:pPr>
              <w:rPr>
                <w:lang w:val="en-US"/>
              </w:rPr>
            </w:pPr>
            <w:r>
              <w:rPr>
                <w:lang w:val="en-US"/>
              </w:rPr>
              <w:t>1.57 (1.50; 1.64)</w:t>
            </w:r>
          </w:p>
        </w:tc>
        <w:tc>
          <w:tcPr>
            <w:tcW w:w="2126" w:type="dxa"/>
          </w:tcPr>
          <w:p w14:paraId="1448137F" w14:textId="77777777" w:rsidR="005A0B83" w:rsidRDefault="005A0B83" w:rsidP="005A0B83">
            <w:pPr>
              <w:rPr>
                <w:lang w:val="en-US"/>
              </w:rPr>
            </w:pPr>
            <w:r>
              <w:rPr>
                <w:lang w:val="en-US"/>
              </w:rPr>
              <w:t>1.49 (1.42; 1.42)</w:t>
            </w:r>
          </w:p>
        </w:tc>
      </w:tr>
      <w:tr w:rsidR="005A0B83" w:rsidRPr="00522E21" w14:paraId="55905C01" w14:textId="77777777" w:rsidTr="005A0B83">
        <w:tc>
          <w:tcPr>
            <w:tcW w:w="5098" w:type="dxa"/>
          </w:tcPr>
          <w:p w14:paraId="7C5E6371" w14:textId="77777777" w:rsidR="005A0B83" w:rsidRDefault="005A0B83" w:rsidP="005A0B83">
            <w:pPr>
              <w:rPr>
                <w:lang w:val="en-US"/>
              </w:rPr>
            </w:pPr>
            <w:r>
              <w:rPr>
                <w:lang w:val="en-US"/>
              </w:rPr>
              <w:t>Genetic Aptitude for Educational Attainment (GAEA)</w:t>
            </w:r>
          </w:p>
        </w:tc>
        <w:tc>
          <w:tcPr>
            <w:tcW w:w="1985" w:type="dxa"/>
          </w:tcPr>
          <w:p w14:paraId="4C19F23E" w14:textId="77777777" w:rsidR="005A0B83" w:rsidRDefault="005A0B83" w:rsidP="005A0B83">
            <w:pPr>
              <w:rPr>
                <w:lang w:val="en-US"/>
              </w:rPr>
            </w:pPr>
            <w:r>
              <w:rPr>
                <w:lang w:val="en-US"/>
              </w:rPr>
              <w:t>-1.79 (-1.85; -1.73)</w:t>
            </w:r>
          </w:p>
        </w:tc>
        <w:tc>
          <w:tcPr>
            <w:tcW w:w="1984" w:type="dxa"/>
          </w:tcPr>
          <w:p w14:paraId="1A6F08AC" w14:textId="77777777" w:rsidR="005A0B83" w:rsidRDefault="005A0B83" w:rsidP="005A0B83">
            <w:pPr>
              <w:rPr>
                <w:lang w:val="en-US"/>
              </w:rPr>
            </w:pPr>
            <w:r>
              <w:rPr>
                <w:lang w:val="en-US"/>
              </w:rPr>
              <w:t>-0.63 (-0.67; -0.59)</w:t>
            </w:r>
          </w:p>
        </w:tc>
        <w:tc>
          <w:tcPr>
            <w:tcW w:w="2127" w:type="dxa"/>
          </w:tcPr>
          <w:p w14:paraId="30AC6149" w14:textId="77777777" w:rsidR="005A0B83" w:rsidRDefault="005A0B83" w:rsidP="005A0B83">
            <w:pPr>
              <w:rPr>
                <w:lang w:val="en-US"/>
              </w:rPr>
            </w:pPr>
            <w:r>
              <w:rPr>
                <w:lang w:val="en-US"/>
              </w:rPr>
              <w:t>-0.60 (-0.64; -0.56)</w:t>
            </w:r>
          </w:p>
        </w:tc>
        <w:tc>
          <w:tcPr>
            <w:tcW w:w="2126" w:type="dxa"/>
          </w:tcPr>
          <w:p w14:paraId="601D0D34" w14:textId="77777777" w:rsidR="005A0B83" w:rsidRDefault="005A0B83" w:rsidP="005A0B83">
            <w:pPr>
              <w:rPr>
                <w:lang w:val="en-US"/>
              </w:rPr>
            </w:pPr>
            <w:r>
              <w:rPr>
                <w:lang w:val="en-US"/>
              </w:rPr>
              <w:t>-0.63 (-0.67; -0.59)</w:t>
            </w:r>
          </w:p>
        </w:tc>
      </w:tr>
      <w:tr w:rsidR="005A0B83" w14:paraId="7A5DDBF4" w14:textId="77777777" w:rsidTr="005A0B83">
        <w:tc>
          <w:tcPr>
            <w:tcW w:w="5098" w:type="dxa"/>
          </w:tcPr>
          <w:p w14:paraId="1E268395" w14:textId="77777777" w:rsidR="005A0B83" w:rsidRDefault="005A0B83" w:rsidP="005A0B83">
            <w:pPr>
              <w:rPr>
                <w:lang w:val="en-US"/>
              </w:rPr>
            </w:pPr>
            <w:r>
              <w:rPr>
                <w:lang w:val="en-US"/>
              </w:rPr>
              <w:t>Year of Birth</w:t>
            </w:r>
          </w:p>
        </w:tc>
        <w:tc>
          <w:tcPr>
            <w:tcW w:w="1985" w:type="dxa"/>
          </w:tcPr>
          <w:p w14:paraId="4692B036" w14:textId="77777777" w:rsidR="005A0B83" w:rsidRDefault="005A0B83" w:rsidP="005A0B83">
            <w:pPr>
              <w:rPr>
                <w:lang w:val="en-US"/>
              </w:rPr>
            </w:pPr>
            <w:r>
              <w:rPr>
                <w:lang w:val="en-US"/>
              </w:rPr>
              <w:t>0.08 (0.07; 0.09)</w:t>
            </w:r>
          </w:p>
        </w:tc>
        <w:tc>
          <w:tcPr>
            <w:tcW w:w="1984" w:type="dxa"/>
          </w:tcPr>
          <w:p w14:paraId="047EF398" w14:textId="77777777" w:rsidR="005A0B83" w:rsidRDefault="005A0B83" w:rsidP="005A0B83">
            <w:pPr>
              <w:rPr>
                <w:lang w:val="en-US"/>
              </w:rPr>
            </w:pPr>
            <w:r>
              <w:rPr>
                <w:lang w:val="en-US"/>
              </w:rPr>
              <w:t>0.35 (0.34; 0.36)</w:t>
            </w:r>
          </w:p>
        </w:tc>
        <w:tc>
          <w:tcPr>
            <w:tcW w:w="2127" w:type="dxa"/>
          </w:tcPr>
          <w:p w14:paraId="1553B7E2" w14:textId="77777777" w:rsidR="005A0B83" w:rsidRDefault="005A0B83" w:rsidP="005A0B83">
            <w:pPr>
              <w:rPr>
                <w:lang w:val="en-US"/>
              </w:rPr>
            </w:pPr>
            <w:r>
              <w:rPr>
                <w:lang w:val="en-US"/>
              </w:rPr>
              <w:t>-0.08 (-0.08; -0.07)</w:t>
            </w:r>
          </w:p>
        </w:tc>
        <w:tc>
          <w:tcPr>
            <w:tcW w:w="2126" w:type="dxa"/>
          </w:tcPr>
          <w:p w14:paraId="47C20C47" w14:textId="77777777" w:rsidR="005A0B83" w:rsidRDefault="005A0B83" w:rsidP="005A0B83">
            <w:pPr>
              <w:rPr>
                <w:lang w:val="en-US"/>
              </w:rPr>
            </w:pPr>
            <w:r>
              <w:rPr>
                <w:lang w:val="en-US"/>
              </w:rPr>
              <w:t>-0.08 (-0.08; -0.07)</w:t>
            </w:r>
          </w:p>
        </w:tc>
      </w:tr>
      <w:tr w:rsidR="005A0B83" w14:paraId="7A6B556C" w14:textId="77777777" w:rsidTr="005A0B83">
        <w:tc>
          <w:tcPr>
            <w:tcW w:w="5098" w:type="dxa"/>
          </w:tcPr>
          <w:p w14:paraId="7DCC0983" w14:textId="77777777" w:rsidR="005A0B83" w:rsidRDefault="005A0B83" w:rsidP="005A0B83">
            <w:pPr>
              <w:rPr>
                <w:lang w:val="en-US"/>
              </w:rPr>
            </w:pPr>
            <w:r>
              <w:rPr>
                <w:lang w:val="en-US"/>
              </w:rPr>
              <w:t>Male vs Female</w:t>
            </w:r>
          </w:p>
        </w:tc>
        <w:tc>
          <w:tcPr>
            <w:tcW w:w="1985" w:type="dxa"/>
          </w:tcPr>
          <w:p w14:paraId="1795D9C2" w14:textId="77777777" w:rsidR="005A0B83" w:rsidRDefault="005A0B83" w:rsidP="005A0B83">
            <w:pPr>
              <w:rPr>
                <w:lang w:val="en-US"/>
              </w:rPr>
            </w:pPr>
            <w:r>
              <w:rPr>
                <w:lang w:val="en-US"/>
              </w:rPr>
              <w:t>7.16 (7.04; 7.28)</w:t>
            </w:r>
          </w:p>
        </w:tc>
        <w:tc>
          <w:tcPr>
            <w:tcW w:w="1984" w:type="dxa"/>
          </w:tcPr>
          <w:p w14:paraId="6ACFA1FE" w14:textId="77777777" w:rsidR="005A0B83" w:rsidRDefault="005A0B83" w:rsidP="005A0B83">
            <w:pPr>
              <w:rPr>
                <w:lang w:val="en-US"/>
              </w:rPr>
            </w:pPr>
            <w:r>
              <w:rPr>
                <w:lang w:val="en-US"/>
              </w:rPr>
              <w:t>1.10 (1.01; 1.19)</w:t>
            </w:r>
          </w:p>
        </w:tc>
        <w:tc>
          <w:tcPr>
            <w:tcW w:w="2127" w:type="dxa"/>
          </w:tcPr>
          <w:p w14:paraId="3A868828" w14:textId="77777777" w:rsidR="005A0B83" w:rsidRDefault="005A0B83" w:rsidP="005A0B83">
            <w:pPr>
              <w:rPr>
                <w:lang w:val="en-US"/>
              </w:rPr>
            </w:pPr>
            <w:r>
              <w:rPr>
                <w:lang w:val="en-US"/>
              </w:rPr>
              <w:t>1.03 (0.95; 1.11)</w:t>
            </w:r>
          </w:p>
        </w:tc>
        <w:tc>
          <w:tcPr>
            <w:tcW w:w="2126" w:type="dxa"/>
          </w:tcPr>
          <w:p w14:paraId="56223C2C" w14:textId="77777777" w:rsidR="005A0B83" w:rsidRDefault="005A0B83" w:rsidP="005A0B83">
            <w:pPr>
              <w:rPr>
                <w:lang w:val="en-US"/>
              </w:rPr>
            </w:pPr>
            <w:r>
              <w:rPr>
                <w:lang w:val="en-US"/>
              </w:rPr>
              <w:t>1.03 (0.95; 1.11)</w:t>
            </w:r>
          </w:p>
        </w:tc>
      </w:tr>
      <w:tr w:rsidR="005A0B83" w14:paraId="3CC0C64F" w14:textId="77777777" w:rsidTr="005A0B83">
        <w:tc>
          <w:tcPr>
            <w:tcW w:w="5098" w:type="dxa"/>
          </w:tcPr>
          <w:p w14:paraId="02B91097" w14:textId="77777777" w:rsidR="005A0B83" w:rsidRDefault="005A0B83" w:rsidP="005A0B83">
            <w:pPr>
              <w:rPr>
                <w:lang w:val="en-US"/>
              </w:rPr>
            </w:pPr>
            <w:r>
              <w:rPr>
                <w:lang w:val="en-US"/>
              </w:rPr>
              <w:t xml:space="preserve">FGRS* GAEA </w:t>
            </w:r>
          </w:p>
        </w:tc>
        <w:tc>
          <w:tcPr>
            <w:tcW w:w="1985" w:type="dxa"/>
          </w:tcPr>
          <w:p w14:paraId="10BE2A2E" w14:textId="77777777" w:rsidR="005A0B83" w:rsidRDefault="005A0B83" w:rsidP="005A0B83">
            <w:pPr>
              <w:rPr>
                <w:lang w:val="en-US"/>
              </w:rPr>
            </w:pPr>
            <w:r>
              <w:rPr>
                <w:lang w:val="en-US"/>
              </w:rPr>
              <w:t>-0.98 (-1.06; -0.90)</w:t>
            </w:r>
          </w:p>
        </w:tc>
        <w:tc>
          <w:tcPr>
            <w:tcW w:w="1984" w:type="dxa"/>
          </w:tcPr>
          <w:p w14:paraId="6A64D877" w14:textId="77777777" w:rsidR="005A0B83" w:rsidRDefault="005A0B83" w:rsidP="005A0B83">
            <w:pPr>
              <w:rPr>
                <w:lang w:val="en-US"/>
              </w:rPr>
            </w:pPr>
            <w:r>
              <w:rPr>
                <w:lang w:val="en-US"/>
              </w:rPr>
              <w:t>-0.54 (-0.61; -0.47)</w:t>
            </w:r>
          </w:p>
        </w:tc>
        <w:tc>
          <w:tcPr>
            <w:tcW w:w="2127" w:type="dxa"/>
          </w:tcPr>
          <w:p w14:paraId="39D12F16" w14:textId="77777777" w:rsidR="005A0B83" w:rsidRDefault="005A0B83" w:rsidP="005A0B83">
            <w:pPr>
              <w:rPr>
                <w:lang w:val="en-US"/>
              </w:rPr>
            </w:pPr>
            <w:r>
              <w:rPr>
                <w:lang w:val="en-US"/>
              </w:rPr>
              <w:t>-0.53 (-0.59; -0.46)</w:t>
            </w:r>
          </w:p>
        </w:tc>
        <w:tc>
          <w:tcPr>
            <w:tcW w:w="2126" w:type="dxa"/>
          </w:tcPr>
          <w:p w14:paraId="29084160" w14:textId="77777777" w:rsidR="005A0B83" w:rsidRDefault="005A0B83" w:rsidP="005A0B83">
            <w:pPr>
              <w:rPr>
                <w:lang w:val="en-US"/>
              </w:rPr>
            </w:pPr>
            <w:r>
              <w:rPr>
                <w:lang w:val="en-US"/>
              </w:rPr>
              <w:t>-0.54 (-0.61; -0.47)</w:t>
            </w:r>
          </w:p>
        </w:tc>
      </w:tr>
      <w:tr w:rsidR="005A0B83" w14:paraId="35A1931D" w14:textId="77777777" w:rsidTr="005A0B83">
        <w:tc>
          <w:tcPr>
            <w:tcW w:w="5098" w:type="dxa"/>
          </w:tcPr>
          <w:p w14:paraId="4A8494A6" w14:textId="77777777" w:rsidR="005A0B83" w:rsidRDefault="005A0B83" w:rsidP="005A0B83">
            <w:pPr>
              <w:rPr>
                <w:lang w:val="en-US"/>
              </w:rPr>
            </w:pPr>
          </w:p>
        </w:tc>
        <w:tc>
          <w:tcPr>
            <w:tcW w:w="1985" w:type="dxa"/>
          </w:tcPr>
          <w:p w14:paraId="5B4776E0" w14:textId="77777777" w:rsidR="005A0B83" w:rsidRDefault="005A0B83" w:rsidP="005A0B83">
            <w:pPr>
              <w:rPr>
                <w:lang w:val="en-US"/>
              </w:rPr>
            </w:pPr>
          </w:p>
        </w:tc>
        <w:tc>
          <w:tcPr>
            <w:tcW w:w="1984" w:type="dxa"/>
          </w:tcPr>
          <w:p w14:paraId="5FA84FA8" w14:textId="77777777" w:rsidR="005A0B83" w:rsidRDefault="005A0B83" w:rsidP="005A0B83">
            <w:pPr>
              <w:rPr>
                <w:lang w:val="en-US"/>
              </w:rPr>
            </w:pPr>
          </w:p>
        </w:tc>
        <w:tc>
          <w:tcPr>
            <w:tcW w:w="2127" w:type="dxa"/>
          </w:tcPr>
          <w:p w14:paraId="5704C987" w14:textId="77777777" w:rsidR="005A0B83" w:rsidRDefault="005A0B83" w:rsidP="005A0B83">
            <w:pPr>
              <w:rPr>
                <w:lang w:val="en-US"/>
              </w:rPr>
            </w:pPr>
          </w:p>
        </w:tc>
        <w:tc>
          <w:tcPr>
            <w:tcW w:w="2126" w:type="dxa"/>
          </w:tcPr>
          <w:p w14:paraId="6DB436A7" w14:textId="77777777" w:rsidR="005A0B83" w:rsidRDefault="005A0B83" w:rsidP="005A0B83">
            <w:pPr>
              <w:rPr>
                <w:lang w:val="en-US"/>
              </w:rPr>
            </w:pPr>
          </w:p>
        </w:tc>
      </w:tr>
    </w:tbl>
    <w:p w14:paraId="0E7ACC88" w14:textId="3117A9DA" w:rsidR="00815E76" w:rsidRDefault="00815E76" w:rsidP="00522E21">
      <w:pPr>
        <w:tabs>
          <w:tab w:val="left" w:pos="8458"/>
        </w:tabs>
        <w:rPr>
          <w:lang w:val="en-US"/>
        </w:rPr>
      </w:pPr>
    </w:p>
    <w:p w14:paraId="79AC8822" w14:textId="77777777" w:rsidR="00815E76" w:rsidRPr="00815E76" w:rsidRDefault="00815E76" w:rsidP="00815E76">
      <w:pPr>
        <w:rPr>
          <w:lang w:val="en-US"/>
        </w:rPr>
      </w:pPr>
    </w:p>
    <w:p w14:paraId="015A36F4" w14:textId="77777777" w:rsidR="00815E76" w:rsidRPr="00815E76" w:rsidRDefault="00815E76" w:rsidP="00815E76">
      <w:pPr>
        <w:rPr>
          <w:lang w:val="en-US"/>
        </w:rPr>
      </w:pPr>
    </w:p>
    <w:p w14:paraId="418D55E1" w14:textId="77777777" w:rsidR="00815E76" w:rsidRPr="00815E76" w:rsidRDefault="00815E76" w:rsidP="00815E76">
      <w:pPr>
        <w:rPr>
          <w:lang w:val="en-US"/>
        </w:rPr>
      </w:pPr>
    </w:p>
    <w:p w14:paraId="1FE1E2B7" w14:textId="77777777" w:rsidR="00815E76" w:rsidRPr="00815E76" w:rsidRDefault="00815E76" w:rsidP="00815E76">
      <w:pPr>
        <w:rPr>
          <w:lang w:val="en-US"/>
        </w:rPr>
      </w:pPr>
    </w:p>
    <w:p w14:paraId="59E36309" w14:textId="77777777" w:rsidR="00815E76" w:rsidRPr="00815E76" w:rsidRDefault="00815E76" w:rsidP="00815E76">
      <w:pPr>
        <w:rPr>
          <w:lang w:val="en-US"/>
        </w:rPr>
      </w:pPr>
    </w:p>
    <w:p w14:paraId="73DBCB29" w14:textId="035B24B8" w:rsidR="00815E76" w:rsidRDefault="00815E76" w:rsidP="00815E76">
      <w:pPr>
        <w:rPr>
          <w:lang w:val="en-US"/>
        </w:rPr>
      </w:pPr>
    </w:p>
    <w:p w14:paraId="5A9C4F27" w14:textId="399580BB" w:rsidR="00522E21" w:rsidRDefault="00522E21" w:rsidP="00815E76">
      <w:pPr>
        <w:rPr>
          <w:lang w:val="en-US"/>
        </w:rPr>
      </w:pPr>
    </w:p>
    <w:p w14:paraId="7D05021D" w14:textId="1F085340" w:rsidR="00815E76" w:rsidRDefault="00815E76" w:rsidP="00815E76">
      <w:pPr>
        <w:rPr>
          <w:lang w:val="en-US"/>
        </w:rPr>
      </w:pPr>
    </w:p>
    <w:p w14:paraId="5E4D5EA1" w14:textId="593422CC" w:rsidR="00815E76" w:rsidRDefault="00815E76" w:rsidP="00815E76">
      <w:pPr>
        <w:rPr>
          <w:lang w:val="en-US"/>
        </w:rPr>
      </w:pPr>
    </w:p>
    <w:p w14:paraId="4027E3EC" w14:textId="018C2149" w:rsidR="00815E76" w:rsidRDefault="00815E76" w:rsidP="00B86697">
      <w:pPr>
        <w:jc w:val="center"/>
        <w:rPr>
          <w:lang w:val="en-US"/>
        </w:rPr>
      </w:pPr>
      <w:r>
        <w:rPr>
          <w:noProof/>
          <w:lang w:eastAsia="sv-SE"/>
        </w:rPr>
        <w:drawing>
          <wp:anchor distT="0" distB="0" distL="114300" distR="114300" simplePos="0" relativeHeight="251707392" behindDoc="0" locked="0" layoutInCell="1" allowOverlap="1" wp14:anchorId="3AF71B1B" wp14:editId="760F34EB">
            <wp:simplePos x="0" y="0"/>
            <wp:positionH relativeFrom="column">
              <wp:posOffset>175260</wp:posOffset>
            </wp:positionH>
            <wp:positionV relativeFrom="paragraph">
              <wp:posOffset>328930</wp:posOffset>
            </wp:positionV>
            <wp:extent cx="8317230" cy="4376420"/>
            <wp:effectExtent l="0" t="0" r="7620" b="508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7230" cy="4376420"/>
                    </a:xfrm>
                    <a:prstGeom prst="rect">
                      <a:avLst/>
                    </a:prstGeom>
                    <a:noFill/>
                  </pic:spPr>
                </pic:pic>
              </a:graphicData>
            </a:graphic>
          </wp:anchor>
        </w:drawing>
      </w:r>
      <w:r w:rsidR="00164D50">
        <w:rPr>
          <w:lang w:val="en-US"/>
        </w:rPr>
        <w:t xml:space="preserve">Figure </w:t>
      </w:r>
      <w:r w:rsidR="00164D50" w:rsidRPr="003713DC">
        <w:rPr>
          <w:lang w:val="en-US"/>
        </w:rPr>
        <w:t xml:space="preserve">2 - </w:t>
      </w:r>
      <w:r w:rsidRPr="003713DC">
        <w:rPr>
          <w:lang w:val="en-US"/>
        </w:rPr>
        <w:t xml:space="preserve">Figures illustrating the sensitivity analysis above (from </w:t>
      </w:r>
      <w:r w:rsidR="009D0B5A" w:rsidRPr="003713DC">
        <w:rPr>
          <w:lang w:val="en-US"/>
        </w:rPr>
        <w:t xml:space="preserve">upper </w:t>
      </w:r>
      <w:r w:rsidRPr="003713DC">
        <w:rPr>
          <w:lang w:val="en-US"/>
        </w:rPr>
        <w:t xml:space="preserve">left to </w:t>
      </w:r>
      <w:r w:rsidR="009D0B5A" w:rsidRPr="003713DC">
        <w:rPr>
          <w:lang w:val="en-US"/>
        </w:rPr>
        <w:t xml:space="preserve">lower </w:t>
      </w:r>
      <w:r w:rsidRPr="003713DC">
        <w:rPr>
          <w:lang w:val="en-US"/>
        </w:rPr>
        <w:t>right: Model</w:t>
      </w:r>
      <w:r w:rsidR="009D0B5A" w:rsidRPr="003713DC">
        <w:rPr>
          <w:lang w:val="en-US"/>
        </w:rPr>
        <w:t>s</w:t>
      </w:r>
      <w:r w:rsidRPr="003713DC">
        <w:rPr>
          <w:lang w:val="en-US"/>
        </w:rPr>
        <w:t xml:space="preserve"> </w:t>
      </w:r>
      <w:r w:rsidR="003713DC" w:rsidRPr="003713DC">
        <w:rPr>
          <w:lang w:val="en-US"/>
        </w:rPr>
        <w:t>i</w:t>
      </w:r>
      <w:r w:rsidR="009D0B5A" w:rsidRPr="003713DC">
        <w:rPr>
          <w:lang w:val="en-US"/>
        </w:rPr>
        <w:t xml:space="preserve"> through </w:t>
      </w:r>
      <w:r w:rsidRPr="003713DC">
        <w:rPr>
          <w:lang w:val="en-US"/>
        </w:rPr>
        <w:t>iv)</w:t>
      </w:r>
    </w:p>
    <w:p w14:paraId="032E7B33" w14:textId="29390A4D" w:rsidR="005A0B83" w:rsidRDefault="005A0B83" w:rsidP="00815E76">
      <w:pPr>
        <w:rPr>
          <w:lang w:val="en-US"/>
        </w:rPr>
      </w:pPr>
    </w:p>
    <w:p w14:paraId="0C4CFD5A" w14:textId="00A013DB" w:rsidR="005A0B83" w:rsidRDefault="005A0B83" w:rsidP="00815E76">
      <w:pPr>
        <w:rPr>
          <w:lang w:val="en-US"/>
        </w:rPr>
      </w:pPr>
    </w:p>
    <w:p w14:paraId="5211E690" w14:textId="77777777" w:rsidR="005A0B83" w:rsidRPr="005A0B83" w:rsidRDefault="005A0B83" w:rsidP="005A0B83">
      <w:pPr>
        <w:rPr>
          <w:lang w:val="en-US"/>
        </w:rPr>
      </w:pPr>
    </w:p>
    <w:p w14:paraId="56D3828F" w14:textId="77777777" w:rsidR="005A0B83" w:rsidRPr="005A0B83" w:rsidRDefault="005A0B83" w:rsidP="005A0B83">
      <w:pPr>
        <w:rPr>
          <w:lang w:val="en-US"/>
        </w:rPr>
      </w:pPr>
    </w:p>
    <w:p w14:paraId="61CBCAAB" w14:textId="77777777" w:rsidR="005A0B83" w:rsidRPr="005A0B83" w:rsidRDefault="005A0B83" w:rsidP="005A0B83">
      <w:pPr>
        <w:rPr>
          <w:lang w:val="en-US"/>
        </w:rPr>
      </w:pPr>
    </w:p>
    <w:p w14:paraId="24CBD56F" w14:textId="77777777" w:rsidR="005A0B83" w:rsidRPr="005A0B83" w:rsidRDefault="005A0B83" w:rsidP="005A0B83">
      <w:pPr>
        <w:rPr>
          <w:lang w:val="en-US"/>
        </w:rPr>
      </w:pPr>
    </w:p>
    <w:p w14:paraId="1C381713" w14:textId="77777777" w:rsidR="005A0B83" w:rsidRPr="005A0B83" w:rsidRDefault="005A0B83" w:rsidP="005A0B83">
      <w:pPr>
        <w:rPr>
          <w:lang w:val="en-US"/>
        </w:rPr>
      </w:pPr>
    </w:p>
    <w:p w14:paraId="7D34505E" w14:textId="77777777" w:rsidR="005A0B83" w:rsidRPr="005A0B83" w:rsidRDefault="005A0B83" w:rsidP="005A0B83">
      <w:pPr>
        <w:rPr>
          <w:lang w:val="en-US"/>
        </w:rPr>
      </w:pPr>
    </w:p>
    <w:p w14:paraId="138F3C85" w14:textId="77777777" w:rsidR="005A0B83" w:rsidRPr="005A0B83" w:rsidRDefault="005A0B83" w:rsidP="005A0B83">
      <w:pPr>
        <w:rPr>
          <w:lang w:val="en-US"/>
        </w:rPr>
      </w:pPr>
    </w:p>
    <w:p w14:paraId="2B9702F7" w14:textId="77777777" w:rsidR="005A0B83" w:rsidRPr="005A0B83" w:rsidRDefault="005A0B83" w:rsidP="005A0B83">
      <w:pPr>
        <w:rPr>
          <w:lang w:val="en-US"/>
        </w:rPr>
      </w:pPr>
    </w:p>
    <w:p w14:paraId="13B474C5" w14:textId="77777777" w:rsidR="005A0B83" w:rsidRPr="005A0B83" w:rsidRDefault="005A0B83" w:rsidP="005A0B83">
      <w:pPr>
        <w:rPr>
          <w:lang w:val="en-US"/>
        </w:rPr>
      </w:pPr>
    </w:p>
    <w:p w14:paraId="7EA6A436" w14:textId="77777777" w:rsidR="005A0B83" w:rsidRPr="005A0B83" w:rsidRDefault="005A0B83" w:rsidP="005A0B83">
      <w:pPr>
        <w:rPr>
          <w:lang w:val="en-US"/>
        </w:rPr>
      </w:pPr>
    </w:p>
    <w:p w14:paraId="6935917F" w14:textId="77777777" w:rsidR="005A0B83" w:rsidRPr="005A0B83" w:rsidRDefault="005A0B83" w:rsidP="005A0B83">
      <w:pPr>
        <w:rPr>
          <w:lang w:val="en-US"/>
        </w:rPr>
      </w:pPr>
    </w:p>
    <w:p w14:paraId="0AD81580" w14:textId="77777777" w:rsidR="005A0B83" w:rsidRPr="005A0B83" w:rsidRDefault="005A0B83" w:rsidP="005A0B83">
      <w:pPr>
        <w:rPr>
          <w:lang w:val="en-US"/>
        </w:rPr>
      </w:pPr>
    </w:p>
    <w:p w14:paraId="66F7A6C2" w14:textId="77777777" w:rsidR="005A0B83" w:rsidRPr="005A0B83" w:rsidRDefault="005A0B83" w:rsidP="005A0B83">
      <w:pPr>
        <w:rPr>
          <w:lang w:val="en-US"/>
        </w:rPr>
      </w:pPr>
    </w:p>
    <w:p w14:paraId="3D6BC3CB" w14:textId="77777777" w:rsidR="005A0B83" w:rsidRPr="005A0B83" w:rsidRDefault="005A0B83" w:rsidP="005A0B83">
      <w:pPr>
        <w:rPr>
          <w:lang w:val="en-US"/>
        </w:rPr>
      </w:pPr>
    </w:p>
    <w:p w14:paraId="182667D7" w14:textId="6A430F9F" w:rsidR="005A0B83" w:rsidRDefault="005A0B83" w:rsidP="005A0B83">
      <w:pPr>
        <w:rPr>
          <w:lang w:val="en-US"/>
        </w:rPr>
      </w:pPr>
    </w:p>
    <w:p w14:paraId="29BB2E8A" w14:textId="34E1C774" w:rsidR="005A0B83" w:rsidRDefault="005A0B83" w:rsidP="005A0B83">
      <w:pPr>
        <w:tabs>
          <w:tab w:val="left" w:pos="2658"/>
        </w:tabs>
        <w:rPr>
          <w:lang w:val="en-US"/>
        </w:rPr>
      </w:pPr>
      <w:r>
        <w:rPr>
          <w:lang w:val="en-US"/>
        </w:rPr>
        <w:tab/>
      </w:r>
    </w:p>
    <w:p w14:paraId="54AD7452" w14:textId="2A210B72" w:rsidR="005A0B83" w:rsidRDefault="00164D50" w:rsidP="00B86697">
      <w:pPr>
        <w:tabs>
          <w:tab w:val="left" w:pos="2658"/>
        </w:tabs>
        <w:jc w:val="center"/>
        <w:rPr>
          <w:lang w:val="en-US"/>
        </w:rPr>
      </w:pPr>
      <w:r>
        <w:rPr>
          <w:lang w:val="en-US"/>
        </w:rPr>
        <w:lastRenderedPageBreak/>
        <w:t xml:space="preserve">Table </w:t>
      </w:r>
      <w:r w:rsidR="005D1D0D">
        <w:rPr>
          <w:lang w:val="en-US"/>
        </w:rPr>
        <w:t>8</w:t>
      </w:r>
      <w:r>
        <w:rPr>
          <w:lang w:val="en-US"/>
        </w:rPr>
        <w:t xml:space="preserve"> - </w:t>
      </w:r>
      <w:r w:rsidR="00B86697">
        <w:rPr>
          <w:lang w:val="en-US"/>
        </w:rPr>
        <w:t>Results using Cox proportional Hazard models (multiplicative interaction)</w:t>
      </w:r>
    </w:p>
    <w:p w14:paraId="4030A837" w14:textId="77777777" w:rsidR="00B86697" w:rsidRDefault="00B86697" w:rsidP="005A0B83">
      <w:pPr>
        <w:jc w:val="center"/>
        <w:rPr>
          <w:lang w:val="en-US"/>
        </w:rPr>
      </w:pPr>
    </w:p>
    <w:p w14:paraId="3F69F6B8" w14:textId="77777777" w:rsidR="00B86697" w:rsidRDefault="00B86697" w:rsidP="005A0B83">
      <w:pPr>
        <w:jc w:val="center"/>
        <w:rPr>
          <w:lang w:val="en-US"/>
        </w:rPr>
      </w:pPr>
    </w:p>
    <w:tbl>
      <w:tblPr>
        <w:tblStyle w:val="TableGrid"/>
        <w:tblpPr w:leftFromText="180" w:rightFromText="180" w:vertAnchor="page" w:horzAnchor="margin" w:tblpXSpec="center" w:tblpY="2919"/>
        <w:tblW w:w="9067" w:type="dxa"/>
        <w:tblLook w:val="04A0" w:firstRow="1" w:lastRow="0" w:firstColumn="1" w:lastColumn="0" w:noHBand="0" w:noVBand="1"/>
      </w:tblPr>
      <w:tblGrid>
        <w:gridCol w:w="5098"/>
        <w:gridCol w:w="1985"/>
        <w:gridCol w:w="1984"/>
      </w:tblGrid>
      <w:tr w:rsidR="00B86697" w14:paraId="1FEED73F" w14:textId="77777777" w:rsidTr="00B86697">
        <w:tc>
          <w:tcPr>
            <w:tcW w:w="5098" w:type="dxa"/>
          </w:tcPr>
          <w:p w14:paraId="31FF05A0" w14:textId="77777777" w:rsidR="00B86697" w:rsidRPr="007E74EC" w:rsidRDefault="00B86697" w:rsidP="00B86697">
            <w:pPr>
              <w:jc w:val="center"/>
              <w:rPr>
                <w:b/>
                <w:u w:val="single"/>
                <w:lang w:val="en-US"/>
              </w:rPr>
            </w:pPr>
          </w:p>
        </w:tc>
        <w:tc>
          <w:tcPr>
            <w:tcW w:w="1985" w:type="dxa"/>
          </w:tcPr>
          <w:p w14:paraId="1F87A4BE" w14:textId="052882A9" w:rsidR="00B86697" w:rsidRPr="004E0D38" w:rsidRDefault="00B86697" w:rsidP="00B86697">
            <w:pPr>
              <w:jc w:val="center"/>
              <w:rPr>
                <w:lang w:val="en-US"/>
              </w:rPr>
            </w:pPr>
            <w:r>
              <w:rPr>
                <w:lang w:val="en-US"/>
              </w:rPr>
              <w:t>AUD</w:t>
            </w:r>
          </w:p>
        </w:tc>
        <w:tc>
          <w:tcPr>
            <w:tcW w:w="1984" w:type="dxa"/>
          </w:tcPr>
          <w:p w14:paraId="31C7C9CB" w14:textId="04226182" w:rsidR="00B86697" w:rsidRPr="004E0D38" w:rsidRDefault="00B86697" w:rsidP="00B86697">
            <w:pPr>
              <w:jc w:val="center"/>
              <w:rPr>
                <w:lang w:val="en-US"/>
              </w:rPr>
            </w:pPr>
            <w:r>
              <w:rPr>
                <w:lang w:val="en-US"/>
              </w:rPr>
              <w:t>DUD</w:t>
            </w:r>
          </w:p>
        </w:tc>
      </w:tr>
      <w:tr w:rsidR="00B86697" w:rsidRPr="00B86697" w14:paraId="1AEA5E21" w14:textId="77777777" w:rsidTr="00B86697">
        <w:tc>
          <w:tcPr>
            <w:tcW w:w="5098" w:type="dxa"/>
          </w:tcPr>
          <w:p w14:paraId="28C448F4" w14:textId="77777777" w:rsidR="00B86697" w:rsidRDefault="00B86697" w:rsidP="00B86697">
            <w:pPr>
              <w:rPr>
                <w:lang w:val="en-US"/>
              </w:rPr>
            </w:pPr>
            <w:r>
              <w:rPr>
                <w:lang w:val="en-US"/>
              </w:rPr>
              <w:t>Familial Genetic Risk Score (FGRS)</w:t>
            </w:r>
          </w:p>
        </w:tc>
        <w:tc>
          <w:tcPr>
            <w:tcW w:w="1985" w:type="dxa"/>
          </w:tcPr>
          <w:p w14:paraId="0D2F93E8" w14:textId="7411E89C" w:rsidR="00B86697" w:rsidRDefault="004D3760" w:rsidP="00B86697">
            <w:pPr>
              <w:rPr>
                <w:lang w:val="en-US"/>
              </w:rPr>
            </w:pPr>
            <w:r>
              <w:rPr>
                <w:lang w:val="en-US"/>
              </w:rPr>
              <w:t>1.40 (1.40; 1.41)</w:t>
            </w:r>
          </w:p>
        </w:tc>
        <w:tc>
          <w:tcPr>
            <w:tcW w:w="1984" w:type="dxa"/>
          </w:tcPr>
          <w:p w14:paraId="7549E7E5" w14:textId="15EFF3E4" w:rsidR="00B86697" w:rsidRDefault="004D3760" w:rsidP="00B86697">
            <w:pPr>
              <w:rPr>
                <w:lang w:val="en-US"/>
              </w:rPr>
            </w:pPr>
            <w:r>
              <w:rPr>
                <w:lang w:val="en-US"/>
              </w:rPr>
              <w:t>1.36 (1.35; 1.38)</w:t>
            </w:r>
          </w:p>
        </w:tc>
      </w:tr>
      <w:tr w:rsidR="00B86697" w:rsidRPr="00B86697" w14:paraId="6C9D137C" w14:textId="77777777" w:rsidTr="00B86697">
        <w:tc>
          <w:tcPr>
            <w:tcW w:w="5098" w:type="dxa"/>
          </w:tcPr>
          <w:p w14:paraId="2C29DC1A" w14:textId="77777777" w:rsidR="00B86697" w:rsidRDefault="00B86697" w:rsidP="00B86697">
            <w:pPr>
              <w:rPr>
                <w:lang w:val="en-US"/>
              </w:rPr>
            </w:pPr>
            <w:r>
              <w:rPr>
                <w:lang w:val="en-US"/>
              </w:rPr>
              <w:t>Genetic Aptitude for Educational Attainment (GAEA)</w:t>
            </w:r>
          </w:p>
        </w:tc>
        <w:tc>
          <w:tcPr>
            <w:tcW w:w="1985" w:type="dxa"/>
          </w:tcPr>
          <w:p w14:paraId="5CED94B1" w14:textId="1C95DB3D" w:rsidR="00B86697" w:rsidRDefault="004D3760" w:rsidP="00B86697">
            <w:pPr>
              <w:rPr>
                <w:lang w:val="en-US"/>
              </w:rPr>
            </w:pPr>
            <w:r>
              <w:rPr>
                <w:lang w:val="en-US"/>
              </w:rPr>
              <w:t>0.73 (0.73; 0.74)</w:t>
            </w:r>
          </w:p>
        </w:tc>
        <w:tc>
          <w:tcPr>
            <w:tcW w:w="1984" w:type="dxa"/>
          </w:tcPr>
          <w:p w14:paraId="216E382F" w14:textId="5D8C94AD" w:rsidR="00B86697" w:rsidRDefault="004D3760" w:rsidP="00B86697">
            <w:pPr>
              <w:rPr>
                <w:lang w:val="en-US"/>
              </w:rPr>
            </w:pPr>
            <w:r>
              <w:rPr>
                <w:lang w:val="en-US"/>
              </w:rPr>
              <w:t>0.69 (0.68; 0.69)</w:t>
            </w:r>
          </w:p>
        </w:tc>
      </w:tr>
      <w:tr w:rsidR="004D3760" w14:paraId="5DE2CDB1" w14:textId="77777777" w:rsidTr="00B86697">
        <w:tc>
          <w:tcPr>
            <w:tcW w:w="5098" w:type="dxa"/>
          </w:tcPr>
          <w:p w14:paraId="61017F65" w14:textId="77777777" w:rsidR="004D3760" w:rsidRDefault="004D3760" w:rsidP="004D3760">
            <w:pPr>
              <w:rPr>
                <w:lang w:val="en-US"/>
              </w:rPr>
            </w:pPr>
            <w:r>
              <w:rPr>
                <w:lang w:val="en-US"/>
              </w:rPr>
              <w:t>Year of Birth</w:t>
            </w:r>
          </w:p>
        </w:tc>
        <w:tc>
          <w:tcPr>
            <w:tcW w:w="1985" w:type="dxa"/>
          </w:tcPr>
          <w:p w14:paraId="11812F91" w14:textId="0319B595" w:rsidR="004D3760" w:rsidRDefault="004D3760" w:rsidP="004D3760">
            <w:pPr>
              <w:rPr>
                <w:lang w:val="en-US"/>
              </w:rPr>
            </w:pPr>
            <w:r>
              <w:rPr>
                <w:lang w:val="en-US"/>
              </w:rPr>
              <w:t>1.01 (1.01; 1.01)</w:t>
            </w:r>
          </w:p>
        </w:tc>
        <w:tc>
          <w:tcPr>
            <w:tcW w:w="1984" w:type="dxa"/>
          </w:tcPr>
          <w:p w14:paraId="240A9A68" w14:textId="5AED10B1" w:rsidR="004D3760" w:rsidRDefault="004D3760" w:rsidP="004D3760">
            <w:pPr>
              <w:rPr>
                <w:lang w:val="en-US"/>
              </w:rPr>
            </w:pPr>
            <w:r>
              <w:rPr>
                <w:lang w:val="en-US"/>
              </w:rPr>
              <w:t>1.07 (1.07; 1.07)</w:t>
            </w:r>
          </w:p>
        </w:tc>
      </w:tr>
      <w:tr w:rsidR="004D3760" w14:paraId="2DC36C96" w14:textId="77777777" w:rsidTr="00B86697">
        <w:tc>
          <w:tcPr>
            <w:tcW w:w="5098" w:type="dxa"/>
          </w:tcPr>
          <w:p w14:paraId="60F9F3E3" w14:textId="77777777" w:rsidR="004D3760" w:rsidRDefault="004D3760" w:rsidP="004D3760">
            <w:pPr>
              <w:rPr>
                <w:lang w:val="en-US"/>
              </w:rPr>
            </w:pPr>
            <w:r>
              <w:rPr>
                <w:lang w:val="en-US"/>
              </w:rPr>
              <w:t>Male vs Female</w:t>
            </w:r>
          </w:p>
        </w:tc>
        <w:tc>
          <w:tcPr>
            <w:tcW w:w="1985" w:type="dxa"/>
          </w:tcPr>
          <w:p w14:paraId="700E3D94" w14:textId="019EBD1C" w:rsidR="004D3760" w:rsidRDefault="004D3760" w:rsidP="004D3760">
            <w:pPr>
              <w:rPr>
                <w:lang w:val="en-US"/>
              </w:rPr>
            </w:pPr>
            <w:r>
              <w:rPr>
                <w:lang w:val="en-US"/>
              </w:rPr>
              <w:t>2.54 (2.51; 2.58)</w:t>
            </w:r>
          </w:p>
        </w:tc>
        <w:tc>
          <w:tcPr>
            <w:tcW w:w="1984" w:type="dxa"/>
          </w:tcPr>
          <w:p w14:paraId="6D5D491B" w14:textId="0A2F0200" w:rsidR="004D3760" w:rsidRDefault="004D3760" w:rsidP="004D3760">
            <w:pPr>
              <w:rPr>
                <w:lang w:val="en-US"/>
              </w:rPr>
            </w:pPr>
            <w:r>
              <w:rPr>
                <w:lang w:val="en-US"/>
              </w:rPr>
              <w:t>1.79 (1.76; 1.82)</w:t>
            </w:r>
          </w:p>
        </w:tc>
      </w:tr>
      <w:tr w:rsidR="004D3760" w14:paraId="2F362A3B" w14:textId="77777777" w:rsidTr="00B86697">
        <w:tc>
          <w:tcPr>
            <w:tcW w:w="5098" w:type="dxa"/>
          </w:tcPr>
          <w:p w14:paraId="3D297E33" w14:textId="77777777" w:rsidR="004D3760" w:rsidRDefault="004D3760" w:rsidP="004D3760">
            <w:pPr>
              <w:rPr>
                <w:lang w:val="en-US"/>
              </w:rPr>
            </w:pPr>
            <w:r>
              <w:rPr>
                <w:lang w:val="en-US"/>
              </w:rPr>
              <w:t xml:space="preserve">FGRS* GAEA </w:t>
            </w:r>
          </w:p>
        </w:tc>
        <w:tc>
          <w:tcPr>
            <w:tcW w:w="1985" w:type="dxa"/>
          </w:tcPr>
          <w:p w14:paraId="7BDB3DD8" w14:textId="1AECC2EB" w:rsidR="004D3760" w:rsidRDefault="004D3760" w:rsidP="004D3760">
            <w:pPr>
              <w:rPr>
                <w:lang w:val="en-US"/>
              </w:rPr>
            </w:pPr>
            <w:r>
              <w:rPr>
                <w:lang w:val="en-US"/>
              </w:rPr>
              <w:t>1.02 (1.01; 1.02)</w:t>
            </w:r>
          </w:p>
        </w:tc>
        <w:tc>
          <w:tcPr>
            <w:tcW w:w="1984" w:type="dxa"/>
          </w:tcPr>
          <w:p w14:paraId="24E08713" w14:textId="2FE0B754" w:rsidR="004D3760" w:rsidRDefault="004D3760" w:rsidP="004D3760">
            <w:pPr>
              <w:rPr>
                <w:lang w:val="en-US"/>
              </w:rPr>
            </w:pPr>
            <w:r>
              <w:rPr>
                <w:lang w:val="en-US"/>
              </w:rPr>
              <w:t>1.02 (1.01; 1.03)</w:t>
            </w:r>
          </w:p>
        </w:tc>
      </w:tr>
      <w:tr w:rsidR="004D3760" w14:paraId="5B3135A7" w14:textId="77777777" w:rsidTr="00B86697">
        <w:tc>
          <w:tcPr>
            <w:tcW w:w="5098" w:type="dxa"/>
          </w:tcPr>
          <w:p w14:paraId="4BFEDB5F" w14:textId="77777777" w:rsidR="004D3760" w:rsidRDefault="004D3760" w:rsidP="004D3760">
            <w:pPr>
              <w:rPr>
                <w:lang w:val="en-US"/>
              </w:rPr>
            </w:pPr>
          </w:p>
        </w:tc>
        <w:tc>
          <w:tcPr>
            <w:tcW w:w="1985" w:type="dxa"/>
          </w:tcPr>
          <w:p w14:paraId="0B329F5C" w14:textId="2D96B874" w:rsidR="004D3760" w:rsidRDefault="004D3760" w:rsidP="004D3760">
            <w:pPr>
              <w:rPr>
                <w:lang w:val="en-US"/>
              </w:rPr>
            </w:pPr>
          </w:p>
        </w:tc>
        <w:tc>
          <w:tcPr>
            <w:tcW w:w="1984" w:type="dxa"/>
          </w:tcPr>
          <w:p w14:paraId="301849B7" w14:textId="06BD8695" w:rsidR="004D3760" w:rsidRDefault="004D3760" w:rsidP="004D3760">
            <w:pPr>
              <w:rPr>
                <w:lang w:val="en-US"/>
              </w:rPr>
            </w:pPr>
          </w:p>
        </w:tc>
      </w:tr>
    </w:tbl>
    <w:p w14:paraId="04DFCD95" w14:textId="77777777" w:rsidR="00B86697" w:rsidRDefault="00B86697" w:rsidP="005A0B83">
      <w:pPr>
        <w:jc w:val="center"/>
        <w:rPr>
          <w:lang w:val="en-US"/>
        </w:rPr>
      </w:pPr>
    </w:p>
    <w:p w14:paraId="2A129654" w14:textId="77777777" w:rsidR="00B86697" w:rsidRDefault="00B86697" w:rsidP="005A0B83">
      <w:pPr>
        <w:jc w:val="center"/>
        <w:rPr>
          <w:lang w:val="en-US"/>
        </w:rPr>
      </w:pPr>
    </w:p>
    <w:p w14:paraId="62E6C668" w14:textId="77777777" w:rsidR="00B86697" w:rsidRDefault="00B86697" w:rsidP="005A0B83">
      <w:pPr>
        <w:jc w:val="center"/>
        <w:rPr>
          <w:lang w:val="en-US"/>
        </w:rPr>
      </w:pPr>
    </w:p>
    <w:p w14:paraId="6E2FEFFC" w14:textId="77777777" w:rsidR="00B86697" w:rsidRDefault="00B86697" w:rsidP="005A0B83">
      <w:pPr>
        <w:jc w:val="center"/>
        <w:rPr>
          <w:lang w:val="en-US"/>
        </w:rPr>
      </w:pPr>
    </w:p>
    <w:p w14:paraId="397A8559" w14:textId="77777777" w:rsidR="00B86697" w:rsidRDefault="00B86697" w:rsidP="005A0B83">
      <w:pPr>
        <w:jc w:val="center"/>
        <w:rPr>
          <w:lang w:val="en-US"/>
        </w:rPr>
      </w:pPr>
    </w:p>
    <w:p w14:paraId="516C29C8" w14:textId="77777777" w:rsidR="00B86697" w:rsidRDefault="00B86697" w:rsidP="005A0B83">
      <w:pPr>
        <w:jc w:val="center"/>
        <w:rPr>
          <w:lang w:val="en-US"/>
        </w:rPr>
      </w:pPr>
    </w:p>
    <w:p w14:paraId="34281384" w14:textId="77777777" w:rsidR="00B86697" w:rsidRDefault="00B86697" w:rsidP="005A0B83">
      <w:pPr>
        <w:jc w:val="center"/>
        <w:rPr>
          <w:lang w:val="en-US"/>
        </w:rPr>
      </w:pPr>
    </w:p>
    <w:p w14:paraId="03EB2B1D" w14:textId="77777777" w:rsidR="00B86697" w:rsidRDefault="00B86697" w:rsidP="005A0B83">
      <w:pPr>
        <w:jc w:val="center"/>
        <w:rPr>
          <w:lang w:val="en-US"/>
        </w:rPr>
      </w:pPr>
    </w:p>
    <w:p w14:paraId="3DC6C224" w14:textId="360366E8" w:rsidR="00B86697" w:rsidRDefault="00B86697" w:rsidP="005A0B83">
      <w:pPr>
        <w:jc w:val="center"/>
        <w:rPr>
          <w:lang w:val="en-US"/>
        </w:rPr>
      </w:pPr>
    </w:p>
    <w:p w14:paraId="3B8FB257" w14:textId="12B98834" w:rsidR="00B86697" w:rsidRDefault="00B86697" w:rsidP="005A0B83">
      <w:pPr>
        <w:jc w:val="center"/>
        <w:rPr>
          <w:lang w:val="en-US"/>
        </w:rPr>
      </w:pPr>
    </w:p>
    <w:p w14:paraId="72AAE923" w14:textId="21BED10A" w:rsidR="00B86697" w:rsidRDefault="00B86697" w:rsidP="005A0B83">
      <w:pPr>
        <w:jc w:val="center"/>
        <w:rPr>
          <w:lang w:val="en-US"/>
        </w:rPr>
      </w:pPr>
    </w:p>
    <w:p w14:paraId="306620B6" w14:textId="5901A2CF" w:rsidR="00B86697" w:rsidRDefault="00B86697" w:rsidP="005A0B83">
      <w:pPr>
        <w:jc w:val="center"/>
        <w:rPr>
          <w:lang w:val="en-US"/>
        </w:rPr>
      </w:pPr>
    </w:p>
    <w:p w14:paraId="2ECFBDFC" w14:textId="72B83DC4" w:rsidR="00B86697" w:rsidRDefault="00B86697" w:rsidP="005A0B83">
      <w:pPr>
        <w:jc w:val="center"/>
        <w:rPr>
          <w:lang w:val="en-US"/>
        </w:rPr>
      </w:pPr>
    </w:p>
    <w:p w14:paraId="21268483" w14:textId="77777777" w:rsidR="00B86697" w:rsidRDefault="00B86697" w:rsidP="005A0B83">
      <w:pPr>
        <w:jc w:val="center"/>
        <w:rPr>
          <w:lang w:val="en-US"/>
        </w:rPr>
      </w:pPr>
    </w:p>
    <w:p w14:paraId="21782A9E" w14:textId="77777777" w:rsidR="00B86697" w:rsidRDefault="00B86697" w:rsidP="005A0B83">
      <w:pPr>
        <w:jc w:val="center"/>
        <w:rPr>
          <w:lang w:val="en-US"/>
        </w:rPr>
      </w:pPr>
    </w:p>
    <w:p w14:paraId="31A44130" w14:textId="77777777" w:rsidR="00B86697" w:rsidRDefault="00B86697" w:rsidP="005A0B83">
      <w:pPr>
        <w:jc w:val="center"/>
        <w:rPr>
          <w:lang w:val="en-US"/>
        </w:rPr>
      </w:pPr>
    </w:p>
    <w:p w14:paraId="24A8637D" w14:textId="77777777" w:rsidR="00B86697" w:rsidRDefault="00B86697" w:rsidP="005A0B83">
      <w:pPr>
        <w:jc w:val="center"/>
        <w:rPr>
          <w:lang w:val="en-US"/>
        </w:rPr>
      </w:pPr>
    </w:p>
    <w:p w14:paraId="5EABF403" w14:textId="088FEA85" w:rsidR="005A0B83" w:rsidRDefault="00164D50" w:rsidP="005A0B83">
      <w:pPr>
        <w:jc w:val="center"/>
        <w:rPr>
          <w:lang w:val="en-US"/>
        </w:rPr>
      </w:pPr>
      <w:r>
        <w:rPr>
          <w:lang w:val="en-US"/>
        </w:rPr>
        <w:lastRenderedPageBreak/>
        <w:t xml:space="preserve">Figure 3a - </w:t>
      </w:r>
      <w:r w:rsidR="005A0B83">
        <w:rPr>
          <w:lang w:val="en-US"/>
        </w:rPr>
        <w:t>Model A using a multiplicative interaction (i.e., Cox proportional Hazards model) – (AUD)</w:t>
      </w:r>
      <w:r w:rsidR="004D3760">
        <w:rPr>
          <w:lang w:val="en-US"/>
        </w:rPr>
        <w:t xml:space="preserve"> (Reference is FGRS AUD: -1 and GAEA = +2)</w:t>
      </w:r>
    </w:p>
    <w:p w14:paraId="05BD03BD" w14:textId="77777777" w:rsidR="005A0B83" w:rsidRDefault="005A0B83" w:rsidP="005A0B83">
      <w:pPr>
        <w:rPr>
          <w:lang w:val="en-US"/>
        </w:rPr>
      </w:pPr>
    </w:p>
    <w:p w14:paraId="3F452BAC" w14:textId="77777777" w:rsidR="005A0B83" w:rsidRDefault="005A0B83" w:rsidP="005A0B83">
      <w:pPr>
        <w:rPr>
          <w:lang w:val="en-US"/>
        </w:rPr>
      </w:pPr>
      <w:r>
        <w:rPr>
          <w:noProof/>
          <w:lang w:eastAsia="sv-SE"/>
        </w:rPr>
        <w:drawing>
          <wp:inline distT="0" distB="0" distL="0" distR="0" wp14:anchorId="6CFA695B" wp14:editId="5DA8C437">
            <wp:extent cx="7818904" cy="41148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A9404C" w14:textId="77777777" w:rsidR="005A0B83" w:rsidRDefault="005A0B83" w:rsidP="005A0B83">
      <w:pPr>
        <w:rPr>
          <w:lang w:val="en-US"/>
        </w:rPr>
      </w:pPr>
    </w:p>
    <w:p w14:paraId="07148326" w14:textId="77777777" w:rsidR="005A0B83" w:rsidRDefault="005A0B83" w:rsidP="005A0B83">
      <w:pPr>
        <w:rPr>
          <w:lang w:val="en-US"/>
        </w:rPr>
      </w:pPr>
    </w:p>
    <w:p w14:paraId="38F7EC9F" w14:textId="77777777" w:rsidR="005A0B83" w:rsidRDefault="005A0B83" w:rsidP="005A0B83">
      <w:pPr>
        <w:rPr>
          <w:lang w:val="en-US"/>
        </w:rPr>
      </w:pPr>
    </w:p>
    <w:p w14:paraId="51394F60" w14:textId="167E5BAE" w:rsidR="004D3760" w:rsidRDefault="00164D50" w:rsidP="004D3760">
      <w:pPr>
        <w:jc w:val="center"/>
        <w:rPr>
          <w:lang w:val="en-US"/>
        </w:rPr>
      </w:pPr>
      <w:r>
        <w:rPr>
          <w:lang w:val="en-US"/>
        </w:rPr>
        <w:lastRenderedPageBreak/>
        <w:t xml:space="preserve">Figure 3b </w:t>
      </w:r>
      <w:r w:rsidR="005A0B83">
        <w:rPr>
          <w:lang w:val="en-US"/>
        </w:rPr>
        <w:t>Model A using a multiplicative interaction (i.e., Cox proportional Hazards model) – (DUD)</w:t>
      </w:r>
      <w:r w:rsidR="004D3760">
        <w:rPr>
          <w:lang w:val="en-US"/>
        </w:rPr>
        <w:t xml:space="preserve"> (Reference is FGRS DUD: -1 and GAEA = +2)</w:t>
      </w:r>
    </w:p>
    <w:p w14:paraId="1A3D62DC" w14:textId="3C8B90A8" w:rsidR="005A0B83" w:rsidRDefault="005A0B83" w:rsidP="005A0B83">
      <w:pPr>
        <w:jc w:val="center"/>
        <w:rPr>
          <w:lang w:val="en-US"/>
        </w:rPr>
      </w:pPr>
    </w:p>
    <w:p w14:paraId="40065642" w14:textId="77777777" w:rsidR="005A0B83" w:rsidRDefault="005A0B83" w:rsidP="005A0B83">
      <w:pPr>
        <w:jc w:val="center"/>
        <w:rPr>
          <w:lang w:val="en-US"/>
        </w:rPr>
      </w:pPr>
      <w:r>
        <w:rPr>
          <w:noProof/>
          <w:lang w:eastAsia="sv-SE"/>
        </w:rPr>
        <w:drawing>
          <wp:inline distT="0" distB="0" distL="0" distR="0" wp14:anchorId="2E7C4B12" wp14:editId="7158CA40">
            <wp:extent cx="7818904" cy="4114800"/>
            <wp:effectExtent l="0" t="0" r="10795"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27EEA1" w14:textId="77777777" w:rsidR="005A0B83" w:rsidRDefault="005A0B83" w:rsidP="005A0B83">
      <w:pPr>
        <w:rPr>
          <w:lang w:val="en-US"/>
        </w:rPr>
      </w:pPr>
    </w:p>
    <w:p w14:paraId="4882D82C" w14:textId="77777777" w:rsidR="005A0B83" w:rsidRPr="005A0B83" w:rsidRDefault="005A0B83" w:rsidP="005A0B83">
      <w:pPr>
        <w:tabs>
          <w:tab w:val="left" w:pos="2658"/>
        </w:tabs>
        <w:rPr>
          <w:lang w:val="en-US"/>
        </w:rPr>
      </w:pPr>
    </w:p>
    <w:sectPr w:rsidR="005A0B83" w:rsidRPr="005A0B83" w:rsidSect="00296C44">
      <w:pgSz w:w="16838" w:h="11906" w:orient="landscape"/>
      <w:pgMar w:top="1418" w:right="1418" w:bottom="141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0A69A" w14:textId="77777777" w:rsidR="00A03B5F" w:rsidRDefault="00A03B5F" w:rsidP="005A0B83">
      <w:pPr>
        <w:spacing w:after="0" w:line="240" w:lineRule="auto"/>
      </w:pPr>
      <w:r>
        <w:separator/>
      </w:r>
    </w:p>
  </w:endnote>
  <w:endnote w:type="continuationSeparator" w:id="0">
    <w:p w14:paraId="7E3825B2" w14:textId="77777777" w:rsidR="00A03B5F" w:rsidRDefault="00A03B5F" w:rsidP="005A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D75F8" w14:textId="1C7FBEFF" w:rsidR="005A0B83" w:rsidRDefault="005A0B83">
    <w:pPr>
      <w:pStyle w:val="Footer"/>
    </w:pPr>
  </w:p>
  <w:p w14:paraId="6BCEFDD2" w14:textId="77777777" w:rsidR="005A0B83" w:rsidRDefault="005A0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56A6C" w14:textId="77777777" w:rsidR="00A03B5F" w:rsidRDefault="00A03B5F" w:rsidP="005A0B83">
      <w:pPr>
        <w:spacing w:after="0" w:line="240" w:lineRule="auto"/>
      </w:pPr>
      <w:r>
        <w:separator/>
      </w:r>
    </w:p>
  </w:footnote>
  <w:footnote w:type="continuationSeparator" w:id="0">
    <w:p w14:paraId="06645957" w14:textId="77777777" w:rsidR="00A03B5F" w:rsidRDefault="00A03B5F" w:rsidP="005A0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C37FC"/>
    <w:multiLevelType w:val="hybridMultilevel"/>
    <w:tmpl w:val="90582B88"/>
    <w:lvl w:ilvl="0" w:tplc="E44CF626">
      <w:start w:val="1"/>
      <w:numFmt w:val="lowerRoman"/>
      <w:lvlText w:val="%1)"/>
      <w:lvlJc w:val="left"/>
      <w:pPr>
        <w:ind w:left="1125" w:hanging="72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1" w15:restartNumberingAfterBreak="0">
    <w:nsid w:val="63C421F2"/>
    <w:multiLevelType w:val="hybridMultilevel"/>
    <w:tmpl w:val="60FC1FC4"/>
    <w:lvl w:ilvl="0" w:tplc="0AC43BFA">
      <w:start w:val="1"/>
      <w:numFmt w:val="upperLetter"/>
      <w:lvlText w:val="(%1)"/>
      <w:lvlJc w:val="left"/>
      <w:pPr>
        <w:ind w:left="765" w:hanging="36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2" w15:restartNumberingAfterBreak="0">
    <w:nsid w:val="689B4D85"/>
    <w:multiLevelType w:val="hybridMultilevel"/>
    <w:tmpl w:val="8250D25E"/>
    <w:lvl w:ilvl="0" w:tplc="A888147E">
      <w:start w:val="1"/>
      <w:numFmt w:val="lowerRoman"/>
      <w:lvlText w:val="%1)"/>
      <w:lvlJc w:val="left"/>
      <w:pPr>
        <w:ind w:left="1440" w:hanging="720"/>
      </w:pPr>
      <w:rPr>
        <w:rFonts w:ascii="Calibri" w:hAnsi="Calibri" w:cs="Times New Roman"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943"/>
    <w:rsid w:val="00033C0F"/>
    <w:rsid w:val="00156311"/>
    <w:rsid w:val="00164D50"/>
    <w:rsid w:val="001912A9"/>
    <w:rsid w:val="001A1778"/>
    <w:rsid w:val="001C2943"/>
    <w:rsid w:val="00220B95"/>
    <w:rsid w:val="00255A9D"/>
    <w:rsid w:val="00290299"/>
    <w:rsid w:val="00296C44"/>
    <w:rsid w:val="003011F6"/>
    <w:rsid w:val="003713DC"/>
    <w:rsid w:val="00386DC0"/>
    <w:rsid w:val="0048226A"/>
    <w:rsid w:val="004D3760"/>
    <w:rsid w:val="0051585E"/>
    <w:rsid w:val="00522E21"/>
    <w:rsid w:val="00556F9D"/>
    <w:rsid w:val="00586C9C"/>
    <w:rsid w:val="005A0B83"/>
    <w:rsid w:val="005A167F"/>
    <w:rsid w:val="005D1D0D"/>
    <w:rsid w:val="00694D1A"/>
    <w:rsid w:val="006A1952"/>
    <w:rsid w:val="006F34B5"/>
    <w:rsid w:val="00815E76"/>
    <w:rsid w:val="008672C3"/>
    <w:rsid w:val="008C2B68"/>
    <w:rsid w:val="00920540"/>
    <w:rsid w:val="00975FC8"/>
    <w:rsid w:val="009D0B5A"/>
    <w:rsid w:val="00A03B5F"/>
    <w:rsid w:val="00A25FA0"/>
    <w:rsid w:val="00A5257F"/>
    <w:rsid w:val="00A81569"/>
    <w:rsid w:val="00B86697"/>
    <w:rsid w:val="00C45910"/>
    <w:rsid w:val="00CE60D6"/>
    <w:rsid w:val="00DD13FA"/>
    <w:rsid w:val="00E21719"/>
    <w:rsid w:val="00EE0317"/>
    <w:rsid w:val="00F308BE"/>
    <w:rsid w:val="00F602EB"/>
    <w:rsid w:val="00F807B0"/>
    <w:rsid w:val="00FB2979"/>
    <w:rsid w:val="00FD2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9B55"/>
  <w15:chartTrackingRefBased/>
  <w15:docId w15:val="{F687B948-9D39-4A81-B761-2832B297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9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C2943"/>
    <w:rPr>
      <w:sz w:val="16"/>
      <w:szCs w:val="16"/>
    </w:rPr>
  </w:style>
  <w:style w:type="paragraph" w:styleId="CommentText">
    <w:name w:val="annotation text"/>
    <w:basedOn w:val="Normal"/>
    <w:link w:val="CommentTextChar"/>
    <w:uiPriority w:val="99"/>
    <w:semiHidden/>
    <w:unhideWhenUsed/>
    <w:rsid w:val="001C2943"/>
    <w:pPr>
      <w:spacing w:line="240" w:lineRule="auto"/>
    </w:pPr>
    <w:rPr>
      <w:sz w:val="20"/>
      <w:szCs w:val="20"/>
    </w:rPr>
  </w:style>
  <w:style w:type="character" w:customStyle="1" w:styleId="CommentTextChar">
    <w:name w:val="Comment Text Char"/>
    <w:basedOn w:val="DefaultParagraphFont"/>
    <w:link w:val="CommentText"/>
    <w:uiPriority w:val="99"/>
    <w:semiHidden/>
    <w:rsid w:val="001C294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C2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94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220B95"/>
    <w:rPr>
      <w:b/>
      <w:bCs/>
    </w:rPr>
  </w:style>
  <w:style w:type="character" w:customStyle="1" w:styleId="CommentSubjectChar">
    <w:name w:val="Comment Subject Char"/>
    <w:basedOn w:val="CommentTextChar"/>
    <w:link w:val="CommentSubject"/>
    <w:uiPriority w:val="99"/>
    <w:semiHidden/>
    <w:rsid w:val="00220B95"/>
    <w:rPr>
      <w:rFonts w:ascii="Calibri" w:eastAsia="Calibri" w:hAnsi="Calibri" w:cs="Times New Roman"/>
      <w:b/>
      <w:bCs/>
      <w:sz w:val="20"/>
      <w:szCs w:val="20"/>
    </w:rPr>
  </w:style>
  <w:style w:type="table" w:styleId="TableGrid">
    <w:name w:val="Table Grid"/>
    <w:basedOn w:val="TableNormal"/>
    <w:uiPriority w:val="39"/>
    <w:rsid w:val="00A8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6C44"/>
    <w:pPr>
      <w:spacing w:after="0" w:line="240" w:lineRule="auto"/>
    </w:pPr>
  </w:style>
  <w:style w:type="paragraph" w:styleId="ListParagraph">
    <w:name w:val="List Paragraph"/>
    <w:basedOn w:val="Normal"/>
    <w:uiPriority w:val="34"/>
    <w:qFormat/>
    <w:rsid w:val="00815E76"/>
    <w:pPr>
      <w:ind w:left="720"/>
      <w:contextualSpacing/>
    </w:pPr>
  </w:style>
  <w:style w:type="paragraph" w:styleId="Header">
    <w:name w:val="header"/>
    <w:basedOn w:val="Normal"/>
    <w:link w:val="HeaderChar"/>
    <w:uiPriority w:val="99"/>
    <w:unhideWhenUsed/>
    <w:rsid w:val="005A0B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0B83"/>
    <w:rPr>
      <w:rFonts w:ascii="Calibri" w:eastAsia="Calibri" w:hAnsi="Calibri" w:cs="Times New Roman"/>
    </w:rPr>
  </w:style>
  <w:style w:type="paragraph" w:styleId="Footer">
    <w:name w:val="footer"/>
    <w:basedOn w:val="Normal"/>
    <w:link w:val="FooterChar"/>
    <w:uiPriority w:val="99"/>
    <w:unhideWhenUsed/>
    <w:rsid w:val="005A0B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0B83"/>
    <w:rPr>
      <w:rFonts w:ascii="Calibri" w:eastAsia="Calibri" w:hAnsi="Calibri" w:cs="Times New Roman"/>
    </w:rPr>
  </w:style>
  <w:style w:type="paragraph" w:styleId="PlainText">
    <w:name w:val="Plain Text"/>
    <w:basedOn w:val="Normal"/>
    <w:link w:val="PlainTextChar"/>
    <w:uiPriority w:val="99"/>
    <w:unhideWhenUsed/>
    <w:rsid w:val="005D1D0D"/>
    <w:pPr>
      <w:spacing w:after="0" w:line="240" w:lineRule="auto"/>
    </w:pPr>
    <w:rPr>
      <w:rFonts w:eastAsia="Times New Roman" w:cs="Calibri"/>
      <w:szCs w:val="21"/>
      <w:lang w:val="en-US"/>
    </w:rPr>
  </w:style>
  <w:style w:type="character" w:customStyle="1" w:styleId="PlainTextChar">
    <w:name w:val="Plain Text Char"/>
    <w:basedOn w:val="DefaultParagraphFont"/>
    <w:link w:val="PlainText"/>
    <w:uiPriority w:val="99"/>
    <w:rsid w:val="005D1D0D"/>
    <w:rPr>
      <w:rFonts w:ascii="Calibri" w:eastAsia="Times New Roman" w:hAnsi="Calibri" w:cs="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Statistiker\HenrikO\KrimMed\GRS\Interactions\EDU2105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tatistiker\HenrikO\KrimMed\GRS\Interactions\EDU2105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AUDt_HR!$A$17</c:f>
              <c:strCache>
                <c:ptCount val="1"/>
                <c:pt idx="0">
                  <c:v>GAEA 2</c:v>
                </c:pt>
              </c:strCache>
            </c:strRef>
          </c:tx>
          <c:spPr>
            <a:ln w="28575" cap="rnd">
              <a:solidFill>
                <a:schemeClr val="accent1"/>
              </a:solidFill>
              <a:round/>
            </a:ln>
            <a:effectLst/>
          </c:spPr>
          <c:marker>
            <c:symbol val="none"/>
          </c:marker>
          <c:cat>
            <c:numRef>
              <c:f>AUDt_HR!$A$2:$A$5</c:f>
              <c:numCache>
                <c:formatCode>General</c:formatCode>
                <c:ptCount val="4"/>
                <c:pt idx="0">
                  <c:v>-1</c:v>
                </c:pt>
                <c:pt idx="1">
                  <c:v>0</c:v>
                </c:pt>
                <c:pt idx="2">
                  <c:v>1</c:v>
                </c:pt>
                <c:pt idx="3">
                  <c:v>2</c:v>
                </c:pt>
              </c:numCache>
            </c:numRef>
          </c:cat>
          <c:val>
            <c:numRef>
              <c:f>AUDt_HR!$C$17:$C$20</c:f>
              <c:numCache>
                <c:formatCode>General</c:formatCode>
                <c:ptCount val="4"/>
                <c:pt idx="0">
                  <c:v>1</c:v>
                </c:pt>
                <c:pt idx="1">
                  <c:v>1.4594594594594597</c:v>
                </c:pt>
                <c:pt idx="2">
                  <c:v>2.1081081081081083</c:v>
                </c:pt>
                <c:pt idx="3">
                  <c:v>3.0810810810810807</c:v>
                </c:pt>
              </c:numCache>
            </c:numRef>
          </c:val>
          <c:smooth val="0"/>
          <c:extLst>
            <c:ext xmlns:c16="http://schemas.microsoft.com/office/drawing/2014/chart" uri="{C3380CC4-5D6E-409C-BE32-E72D297353CC}">
              <c16:uniqueId val="{00000000-08FB-4BF4-AFEC-9E8BC8EE1EF3}"/>
            </c:ext>
          </c:extLst>
        </c:ser>
        <c:ser>
          <c:idx val="1"/>
          <c:order val="1"/>
          <c:tx>
            <c:strRef>
              <c:f>AUDt_HR!$A$21</c:f>
              <c:strCache>
                <c:ptCount val="1"/>
                <c:pt idx="0">
                  <c:v>GAEA 1</c:v>
                </c:pt>
              </c:strCache>
            </c:strRef>
          </c:tx>
          <c:spPr>
            <a:ln w="28575" cap="rnd">
              <a:solidFill>
                <a:schemeClr val="accent2"/>
              </a:solidFill>
              <a:round/>
            </a:ln>
            <a:effectLst/>
          </c:spPr>
          <c:marker>
            <c:symbol val="none"/>
          </c:marker>
          <c:cat>
            <c:numRef>
              <c:f>AUDt_HR!$A$2:$A$5</c:f>
              <c:numCache>
                <c:formatCode>General</c:formatCode>
                <c:ptCount val="4"/>
                <c:pt idx="0">
                  <c:v>-1</c:v>
                </c:pt>
                <c:pt idx="1">
                  <c:v>0</c:v>
                </c:pt>
                <c:pt idx="2">
                  <c:v>1</c:v>
                </c:pt>
                <c:pt idx="3">
                  <c:v>2</c:v>
                </c:pt>
              </c:numCache>
            </c:numRef>
          </c:cat>
          <c:val>
            <c:numRef>
              <c:f>AUDt_HR!$C$21:$C$24</c:f>
              <c:numCache>
                <c:formatCode>General</c:formatCode>
                <c:ptCount val="4"/>
                <c:pt idx="0">
                  <c:v>1.3783783783783785</c:v>
                </c:pt>
                <c:pt idx="1">
                  <c:v>1.972972972972973</c:v>
                </c:pt>
                <c:pt idx="2">
                  <c:v>2.8378378378378382</c:v>
                </c:pt>
                <c:pt idx="3">
                  <c:v>4.0540540540540544</c:v>
                </c:pt>
              </c:numCache>
            </c:numRef>
          </c:val>
          <c:smooth val="0"/>
          <c:extLst>
            <c:ext xmlns:c16="http://schemas.microsoft.com/office/drawing/2014/chart" uri="{C3380CC4-5D6E-409C-BE32-E72D297353CC}">
              <c16:uniqueId val="{00000001-08FB-4BF4-AFEC-9E8BC8EE1EF3}"/>
            </c:ext>
          </c:extLst>
        </c:ser>
        <c:ser>
          <c:idx val="2"/>
          <c:order val="2"/>
          <c:tx>
            <c:strRef>
              <c:f>AUDt_HR!$A$25</c:f>
              <c:strCache>
                <c:ptCount val="1"/>
                <c:pt idx="0">
                  <c:v>GAEA 0</c:v>
                </c:pt>
              </c:strCache>
            </c:strRef>
          </c:tx>
          <c:spPr>
            <a:ln w="28575" cap="rnd">
              <a:solidFill>
                <a:schemeClr val="accent3"/>
              </a:solidFill>
              <a:round/>
            </a:ln>
            <a:effectLst/>
          </c:spPr>
          <c:marker>
            <c:symbol val="none"/>
          </c:marker>
          <c:cat>
            <c:numRef>
              <c:f>AUDt_HR!$A$2:$A$5</c:f>
              <c:numCache>
                <c:formatCode>General</c:formatCode>
                <c:ptCount val="4"/>
                <c:pt idx="0">
                  <c:v>-1</c:v>
                </c:pt>
                <c:pt idx="1">
                  <c:v>0</c:v>
                </c:pt>
                <c:pt idx="2">
                  <c:v>1</c:v>
                </c:pt>
                <c:pt idx="3">
                  <c:v>2</c:v>
                </c:pt>
              </c:numCache>
            </c:numRef>
          </c:cat>
          <c:val>
            <c:numRef>
              <c:f>AUDt_HR!$C$25:$C$28</c:f>
              <c:numCache>
                <c:formatCode>General</c:formatCode>
                <c:ptCount val="4"/>
                <c:pt idx="0">
                  <c:v>1.9189189189189189</c:v>
                </c:pt>
                <c:pt idx="1">
                  <c:v>2.7027027027027026</c:v>
                </c:pt>
                <c:pt idx="2">
                  <c:v>3.7837837837837838</c:v>
                </c:pt>
                <c:pt idx="3">
                  <c:v>5.3243243243243246</c:v>
                </c:pt>
              </c:numCache>
            </c:numRef>
          </c:val>
          <c:smooth val="0"/>
          <c:extLst>
            <c:ext xmlns:c16="http://schemas.microsoft.com/office/drawing/2014/chart" uri="{C3380CC4-5D6E-409C-BE32-E72D297353CC}">
              <c16:uniqueId val="{00000002-08FB-4BF4-AFEC-9E8BC8EE1EF3}"/>
            </c:ext>
          </c:extLst>
        </c:ser>
        <c:ser>
          <c:idx val="3"/>
          <c:order val="3"/>
          <c:tx>
            <c:strRef>
              <c:f>AUDt_HR!$A$29</c:f>
              <c:strCache>
                <c:ptCount val="1"/>
                <c:pt idx="0">
                  <c:v>GAEA -1</c:v>
                </c:pt>
              </c:strCache>
            </c:strRef>
          </c:tx>
          <c:spPr>
            <a:ln w="28575" cap="rnd">
              <a:solidFill>
                <a:schemeClr val="accent4"/>
              </a:solidFill>
              <a:round/>
            </a:ln>
            <a:effectLst/>
          </c:spPr>
          <c:marker>
            <c:symbol val="none"/>
          </c:marker>
          <c:cat>
            <c:numRef>
              <c:f>AUDt_HR!$A$2:$A$5</c:f>
              <c:numCache>
                <c:formatCode>General</c:formatCode>
                <c:ptCount val="4"/>
                <c:pt idx="0">
                  <c:v>-1</c:v>
                </c:pt>
                <c:pt idx="1">
                  <c:v>0</c:v>
                </c:pt>
                <c:pt idx="2">
                  <c:v>1</c:v>
                </c:pt>
                <c:pt idx="3">
                  <c:v>2</c:v>
                </c:pt>
              </c:numCache>
            </c:numRef>
          </c:cat>
          <c:val>
            <c:numRef>
              <c:f>AUDt_HR!$C$29:$C$32</c:f>
              <c:numCache>
                <c:formatCode>General</c:formatCode>
                <c:ptCount val="4"/>
                <c:pt idx="0">
                  <c:v>2.6756756756756759</c:v>
                </c:pt>
                <c:pt idx="1">
                  <c:v>3.6756756756756759</c:v>
                </c:pt>
                <c:pt idx="2">
                  <c:v>5.0810810810810807</c:v>
                </c:pt>
                <c:pt idx="3">
                  <c:v>7</c:v>
                </c:pt>
              </c:numCache>
            </c:numRef>
          </c:val>
          <c:smooth val="0"/>
          <c:extLst>
            <c:ext xmlns:c16="http://schemas.microsoft.com/office/drawing/2014/chart" uri="{C3380CC4-5D6E-409C-BE32-E72D297353CC}">
              <c16:uniqueId val="{00000003-08FB-4BF4-AFEC-9E8BC8EE1EF3}"/>
            </c:ext>
          </c:extLst>
        </c:ser>
        <c:ser>
          <c:idx val="4"/>
          <c:order val="4"/>
          <c:tx>
            <c:strRef>
              <c:f>AUDt_HR!$A$33</c:f>
              <c:strCache>
                <c:ptCount val="1"/>
                <c:pt idx="0">
                  <c:v>GAEA -2</c:v>
                </c:pt>
              </c:strCache>
            </c:strRef>
          </c:tx>
          <c:spPr>
            <a:ln w="28575" cap="rnd">
              <a:solidFill>
                <a:schemeClr val="accent5"/>
              </a:solidFill>
              <a:round/>
            </a:ln>
            <a:effectLst/>
          </c:spPr>
          <c:marker>
            <c:symbol val="none"/>
          </c:marker>
          <c:cat>
            <c:numRef>
              <c:f>AUDt_HR!$A$2:$A$5</c:f>
              <c:numCache>
                <c:formatCode>General</c:formatCode>
                <c:ptCount val="4"/>
                <c:pt idx="0">
                  <c:v>-1</c:v>
                </c:pt>
                <c:pt idx="1">
                  <c:v>0</c:v>
                </c:pt>
                <c:pt idx="2">
                  <c:v>1</c:v>
                </c:pt>
                <c:pt idx="3">
                  <c:v>2</c:v>
                </c:pt>
              </c:numCache>
            </c:numRef>
          </c:cat>
          <c:val>
            <c:numRef>
              <c:f>AUDt_HR!$C$33:$C$36</c:f>
              <c:numCache>
                <c:formatCode>General</c:formatCode>
                <c:ptCount val="4"/>
                <c:pt idx="0">
                  <c:v>3.7027027027027031</c:v>
                </c:pt>
                <c:pt idx="1">
                  <c:v>5.0270270270270272</c:v>
                </c:pt>
                <c:pt idx="2">
                  <c:v>6.8108108108108105</c:v>
                </c:pt>
                <c:pt idx="3">
                  <c:v>9.2162162162162176</c:v>
                </c:pt>
              </c:numCache>
            </c:numRef>
          </c:val>
          <c:smooth val="0"/>
          <c:extLst>
            <c:ext xmlns:c16="http://schemas.microsoft.com/office/drawing/2014/chart" uri="{C3380CC4-5D6E-409C-BE32-E72D297353CC}">
              <c16:uniqueId val="{00000004-08FB-4BF4-AFEC-9E8BC8EE1EF3}"/>
            </c:ext>
          </c:extLst>
        </c:ser>
        <c:dLbls>
          <c:showLegendKey val="0"/>
          <c:showVal val="0"/>
          <c:showCatName val="0"/>
          <c:showSerName val="0"/>
          <c:showPercent val="0"/>
          <c:showBubbleSize val="0"/>
        </c:dLbls>
        <c:smooth val="0"/>
        <c:axId val="1535693871"/>
        <c:axId val="1535697199"/>
      </c:lineChart>
      <c:catAx>
        <c:axId val="1535693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AUD FGRS</a:t>
                </a:r>
              </a:p>
            </c:rich>
          </c:tx>
          <c:layout>
            <c:manualLayout>
              <c:xMode val="edge"/>
              <c:yMode val="edge"/>
              <c:x val="0.42991056350514323"/>
              <c:y val="0.929127697661710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697199"/>
        <c:crosses val="autoZero"/>
        <c:auto val="1"/>
        <c:lblAlgn val="ctr"/>
        <c:lblOffset val="100"/>
        <c:noMultiLvlLbl val="0"/>
      </c:catAx>
      <c:valAx>
        <c:axId val="1535697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69387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DAt_HR!$A$17</c:f>
              <c:strCache>
                <c:ptCount val="1"/>
                <c:pt idx="0">
                  <c:v>GAEA 2</c:v>
                </c:pt>
              </c:strCache>
            </c:strRef>
          </c:tx>
          <c:spPr>
            <a:ln w="28575" cap="rnd">
              <a:solidFill>
                <a:schemeClr val="accent1"/>
              </a:solidFill>
              <a:round/>
            </a:ln>
            <a:effectLst/>
          </c:spPr>
          <c:marker>
            <c:symbol val="none"/>
          </c:marker>
          <c:cat>
            <c:numRef>
              <c:f>DAt_HR!$A$2:$A$5</c:f>
              <c:numCache>
                <c:formatCode>General</c:formatCode>
                <c:ptCount val="4"/>
                <c:pt idx="0">
                  <c:v>-1</c:v>
                </c:pt>
                <c:pt idx="1">
                  <c:v>0</c:v>
                </c:pt>
                <c:pt idx="2">
                  <c:v>1</c:v>
                </c:pt>
                <c:pt idx="3">
                  <c:v>2</c:v>
                </c:pt>
              </c:numCache>
            </c:numRef>
          </c:cat>
          <c:val>
            <c:numRef>
              <c:f>DAt_HR!$C$17:$C$20</c:f>
              <c:numCache>
                <c:formatCode>General</c:formatCode>
                <c:ptCount val="4"/>
                <c:pt idx="0">
                  <c:v>1</c:v>
                </c:pt>
                <c:pt idx="1">
                  <c:v>1.4242424242424241</c:v>
                </c:pt>
                <c:pt idx="2">
                  <c:v>2</c:v>
                </c:pt>
                <c:pt idx="3">
                  <c:v>2.8484848484848482</c:v>
                </c:pt>
              </c:numCache>
            </c:numRef>
          </c:val>
          <c:smooth val="0"/>
          <c:extLst>
            <c:ext xmlns:c16="http://schemas.microsoft.com/office/drawing/2014/chart" uri="{C3380CC4-5D6E-409C-BE32-E72D297353CC}">
              <c16:uniqueId val="{00000000-6625-4D31-901D-1C529E869A72}"/>
            </c:ext>
          </c:extLst>
        </c:ser>
        <c:ser>
          <c:idx val="1"/>
          <c:order val="1"/>
          <c:tx>
            <c:strRef>
              <c:f>DAt_HR!$A$21</c:f>
              <c:strCache>
                <c:ptCount val="1"/>
                <c:pt idx="0">
                  <c:v>GAEA 1</c:v>
                </c:pt>
              </c:strCache>
            </c:strRef>
          </c:tx>
          <c:spPr>
            <a:ln w="28575" cap="rnd">
              <a:solidFill>
                <a:schemeClr val="accent2"/>
              </a:solidFill>
              <a:round/>
            </a:ln>
            <a:effectLst/>
          </c:spPr>
          <c:marker>
            <c:symbol val="none"/>
          </c:marker>
          <c:cat>
            <c:numRef>
              <c:f>DAt_HR!$A$2:$A$5</c:f>
              <c:numCache>
                <c:formatCode>General</c:formatCode>
                <c:ptCount val="4"/>
                <c:pt idx="0">
                  <c:v>-1</c:v>
                </c:pt>
                <c:pt idx="1">
                  <c:v>0</c:v>
                </c:pt>
                <c:pt idx="2">
                  <c:v>1</c:v>
                </c:pt>
                <c:pt idx="3">
                  <c:v>2</c:v>
                </c:pt>
              </c:numCache>
            </c:numRef>
          </c:cat>
          <c:val>
            <c:numRef>
              <c:f>DAt_HR!$C$21:$C$24</c:f>
              <c:numCache>
                <c:formatCode>General</c:formatCode>
                <c:ptCount val="4"/>
                <c:pt idx="0">
                  <c:v>1.4848484848484849</c:v>
                </c:pt>
                <c:pt idx="1">
                  <c:v>2.0606060606060606</c:v>
                </c:pt>
                <c:pt idx="2">
                  <c:v>2.8787878787878785</c:v>
                </c:pt>
                <c:pt idx="3">
                  <c:v>4</c:v>
                </c:pt>
              </c:numCache>
            </c:numRef>
          </c:val>
          <c:smooth val="0"/>
          <c:extLst>
            <c:ext xmlns:c16="http://schemas.microsoft.com/office/drawing/2014/chart" uri="{C3380CC4-5D6E-409C-BE32-E72D297353CC}">
              <c16:uniqueId val="{00000001-6625-4D31-901D-1C529E869A72}"/>
            </c:ext>
          </c:extLst>
        </c:ser>
        <c:ser>
          <c:idx val="2"/>
          <c:order val="2"/>
          <c:tx>
            <c:strRef>
              <c:f>DAt_HR!$A$25</c:f>
              <c:strCache>
                <c:ptCount val="1"/>
                <c:pt idx="0">
                  <c:v>GAEA 0</c:v>
                </c:pt>
              </c:strCache>
            </c:strRef>
          </c:tx>
          <c:spPr>
            <a:ln w="28575" cap="rnd">
              <a:solidFill>
                <a:schemeClr val="accent3"/>
              </a:solidFill>
              <a:round/>
            </a:ln>
            <a:effectLst/>
          </c:spPr>
          <c:marker>
            <c:symbol val="none"/>
          </c:marker>
          <c:cat>
            <c:numRef>
              <c:f>DAt_HR!$A$2:$A$5</c:f>
              <c:numCache>
                <c:formatCode>General</c:formatCode>
                <c:ptCount val="4"/>
                <c:pt idx="0">
                  <c:v>-1</c:v>
                </c:pt>
                <c:pt idx="1">
                  <c:v>0</c:v>
                </c:pt>
                <c:pt idx="2">
                  <c:v>1</c:v>
                </c:pt>
                <c:pt idx="3">
                  <c:v>2</c:v>
                </c:pt>
              </c:numCache>
            </c:numRef>
          </c:cat>
          <c:val>
            <c:numRef>
              <c:f>DAt_HR!$C$25:$C$28</c:f>
              <c:numCache>
                <c:formatCode>General</c:formatCode>
                <c:ptCount val="4"/>
                <c:pt idx="0">
                  <c:v>2.2121212121212119</c:v>
                </c:pt>
                <c:pt idx="1">
                  <c:v>3.0303030303030303</c:v>
                </c:pt>
                <c:pt idx="2">
                  <c:v>4.1212121212121211</c:v>
                </c:pt>
                <c:pt idx="3">
                  <c:v>5.6060606060606064</c:v>
                </c:pt>
              </c:numCache>
            </c:numRef>
          </c:val>
          <c:smooth val="0"/>
          <c:extLst>
            <c:ext xmlns:c16="http://schemas.microsoft.com/office/drawing/2014/chart" uri="{C3380CC4-5D6E-409C-BE32-E72D297353CC}">
              <c16:uniqueId val="{00000002-6625-4D31-901D-1C529E869A72}"/>
            </c:ext>
          </c:extLst>
        </c:ser>
        <c:ser>
          <c:idx val="3"/>
          <c:order val="3"/>
          <c:tx>
            <c:strRef>
              <c:f>DAt_HR!$A$29</c:f>
              <c:strCache>
                <c:ptCount val="1"/>
                <c:pt idx="0">
                  <c:v>GAEA -1</c:v>
                </c:pt>
              </c:strCache>
            </c:strRef>
          </c:tx>
          <c:spPr>
            <a:ln w="28575" cap="rnd">
              <a:solidFill>
                <a:schemeClr val="accent4"/>
              </a:solidFill>
              <a:round/>
            </a:ln>
            <a:effectLst/>
          </c:spPr>
          <c:marker>
            <c:symbol val="none"/>
          </c:marker>
          <c:cat>
            <c:numRef>
              <c:f>DAt_HR!$A$2:$A$5</c:f>
              <c:numCache>
                <c:formatCode>General</c:formatCode>
                <c:ptCount val="4"/>
                <c:pt idx="0">
                  <c:v>-1</c:v>
                </c:pt>
                <c:pt idx="1">
                  <c:v>0</c:v>
                </c:pt>
                <c:pt idx="2">
                  <c:v>1</c:v>
                </c:pt>
                <c:pt idx="3">
                  <c:v>2</c:v>
                </c:pt>
              </c:numCache>
            </c:numRef>
          </c:cat>
          <c:val>
            <c:numRef>
              <c:f>DAt_HR!$C$29:$C$32</c:f>
              <c:numCache>
                <c:formatCode>General</c:formatCode>
                <c:ptCount val="4"/>
                <c:pt idx="0">
                  <c:v>3.3030303030303032</c:v>
                </c:pt>
                <c:pt idx="1">
                  <c:v>4.4242424242424239</c:v>
                </c:pt>
                <c:pt idx="2">
                  <c:v>5.9090909090909083</c:v>
                </c:pt>
                <c:pt idx="3">
                  <c:v>7.9090909090909083</c:v>
                </c:pt>
              </c:numCache>
            </c:numRef>
          </c:val>
          <c:smooth val="0"/>
          <c:extLst>
            <c:ext xmlns:c16="http://schemas.microsoft.com/office/drawing/2014/chart" uri="{C3380CC4-5D6E-409C-BE32-E72D297353CC}">
              <c16:uniqueId val="{00000003-6625-4D31-901D-1C529E869A72}"/>
            </c:ext>
          </c:extLst>
        </c:ser>
        <c:ser>
          <c:idx val="4"/>
          <c:order val="4"/>
          <c:tx>
            <c:strRef>
              <c:f>DAt_HR!$A$33</c:f>
              <c:strCache>
                <c:ptCount val="1"/>
                <c:pt idx="0">
                  <c:v>GAEA -2</c:v>
                </c:pt>
              </c:strCache>
            </c:strRef>
          </c:tx>
          <c:spPr>
            <a:ln w="28575" cap="rnd">
              <a:solidFill>
                <a:schemeClr val="accent5"/>
              </a:solidFill>
              <a:round/>
            </a:ln>
            <a:effectLst/>
          </c:spPr>
          <c:marker>
            <c:symbol val="none"/>
          </c:marker>
          <c:cat>
            <c:numRef>
              <c:f>DAt_HR!$A$2:$A$5</c:f>
              <c:numCache>
                <c:formatCode>General</c:formatCode>
                <c:ptCount val="4"/>
                <c:pt idx="0">
                  <c:v>-1</c:v>
                </c:pt>
                <c:pt idx="1">
                  <c:v>0</c:v>
                </c:pt>
                <c:pt idx="2">
                  <c:v>1</c:v>
                </c:pt>
                <c:pt idx="3">
                  <c:v>2</c:v>
                </c:pt>
              </c:numCache>
            </c:numRef>
          </c:cat>
          <c:val>
            <c:numRef>
              <c:f>DAt_HR!$C$33:$C$36</c:f>
              <c:numCache>
                <c:formatCode>General</c:formatCode>
                <c:ptCount val="4"/>
                <c:pt idx="0">
                  <c:v>4.9393939393939386</c:v>
                </c:pt>
                <c:pt idx="1">
                  <c:v>6.4545454545454541</c:v>
                </c:pt>
                <c:pt idx="2">
                  <c:v>8.454545454545455</c:v>
                </c:pt>
                <c:pt idx="3">
                  <c:v>11.09090909090909</c:v>
                </c:pt>
              </c:numCache>
            </c:numRef>
          </c:val>
          <c:smooth val="0"/>
          <c:extLst>
            <c:ext xmlns:c16="http://schemas.microsoft.com/office/drawing/2014/chart" uri="{C3380CC4-5D6E-409C-BE32-E72D297353CC}">
              <c16:uniqueId val="{00000004-6625-4D31-901D-1C529E869A72}"/>
            </c:ext>
          </c:extLst>
        </c:ser>
        <c:dLbls>
          <c:showLegendKey val="0"/>
          <c:showVal val="0"/>
          <c:showCatName val="0"/>
          <c:showSerName val="0"/>
          <c:showPercent val="0"/>
          <c:showBubbleSize val="0"/>
        </c:dLbls>
        <c:smooth val="0"/>
        <c:axId val="1535693871"/>
        <c:axId val="1535697199"/>
      </c:lineChart>
      <c:catAx>
        <c:axId val="1535693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DUD FGRS</a:t>
                </a:r>
              </a:p>
            </c:rich>
          </c:tx>
          <c:layout>
            <c:manualLayout>
              <c:xMode val="edge"/>
              <c:yMode val="edge"/>
              <c:x val="0.42991056350514323"/>
              <c:y val="0.929127697661710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697199"/>
        <c:crosses val="autoZero"/>
        <c:auto val="1"/>
        <c:lblAlgn val="ctr"/>
        <c:lblOffset val="100"/>
        <c:noMultiLvlLbl val="0"/>
      </c:catAx>
      <c:valAx>
        <c:axId val="1535697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69387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13</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Ohlsson</dc:creator>
  <cp:keywords/>
  <dc:description/>
  <cp:lastModifiedBy>Kenneth Kendler</cp:lastModifiedBy>
  <cp:revision>13</cp:revision>
  <dcterms:created xsi:type="dcterms:W3CDTF">2021-05-26T11:47:00Z</dcterms:created>
  <dcterms:modified xsi:type="dcterms:W3CDTF">2021-11-22T14:24:00Z</dcterms:modified>
</cp:coreProperties>
</file>