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b/>
          <w:color w:val="000000" w:themeColor="text1"/>
          <w:szCs w:val="24"/>
        </w:rPr>
        <w:t>Supplementary Table 1.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Cognitive function measurements of the study participants, stratified into three groups.</w:t>
      </w: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tbl>
      <w:tblPr>
        <w:tblW w:w="1470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248"/>
        <w:gridCol w:w="2126"/>
        <w:gridCol w:w="236"/>
        <w:gridCol w:w="2040"/>
        <w:gridCol w:w="236"/>
        <w:gridCol w:w="1927"/>
        <w:gridCol w:w="284"/>
        <w:gridCol w:w="1094"/>
        <w:gridCol w:w="855"/>
        <w:gridCol w:w="2835"/>
      </w:tblGrid>
      <w:tr w:rsidR="004B1F20" w:rsidRPr="0065097D" w:rsidTr="008F6E48">
        <w:trPr>
          <w:trHeight w:val="170"/>
        </w:trPr>
        <w:tc>
          <w:tcPr>
            <w:tcW w:w="282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Characteristic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Non-TRS (n = 35)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TRS (n = 38)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Control (n = 19)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Test statistic</w:t>
            </w:r>
          </w:p>
        </w:tc>
      </w:tr>
      <w:tr w:rsidR="004B1F20" w:rsidRPr="0065097D" w:rsidTr="008F6E48">
        <w:trPr>
          <w:trHeight w:val="170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Mean (SD)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Mean (SD)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Mean (SD)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χ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/t/F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Post-hoc</w:t>
            </w:r>
          </w:p>
        </w:tc>
      </w:tr>
      <w:tr w:rsidR="004B1F20" w:rsidRPr="0065097D" w:rsidTr="008F6E48">
        <w:trPr>
          <w:trHeight w:val="170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Gender (male/female)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17/18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21/17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9/10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0.47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282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Cognitive function ratings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2822" w:type="dxa"/>
            <w:shd w:val="clear" w:color="auto" w:fill="auto"/>
          </w:tcPr>
          <w:p w:rsidR="004B1F20" w:rsidRPr="0065097D" w:rsidRDefault="004B1F20" w:rsidP="008F6E48">
            <w:pPr>
              <w:ind w:firstLineChars="57" w:firstLine="137"/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FSIQ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81.91 (13.73)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69.74 (16.03)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107.26 (12.74)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F20" w:rsidRPr="0065097D" w:rsidRDefault="004B1F20" w:rsidP="008F6E48">
            <w:pPr>
              <w:contextualSpacing/>
              <w:jc w:val="right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42.13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Control &gt; Non-TRS &gt; TRS</w:t>
            </w:r>
          </w:p>
        </w:tc>
      </w:tr>
      <w:tr w:rsidR="004B1F20" w:rsidRPr="0065097D" w:rsidTr="008F6E48">
        <w:trPr>
          <w:trHeight w:val="170"/>
        </w:trPr>
        <w:tc>
          <w:tcPr>
            <w:tcW w:w="2822" w:type="dxa"/>
            <w:shd w:val="clear" w:color="auto" w:fill="auto"/>
          </w:tcPr>
          <w:p w:rsidR="004B1F20" w:rsidRPr="0065097D" w:rsidRDefault="004B1F20" w:rsidP="008F6E48">
            <w:pPr>
              <w:ind w:firstLineChars="57" w:firstLine="137"/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WMI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84.49 (15.01)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74.48 (14.23)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101.63 (16.13)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B1F20" w:rsidRPr="0065097D" w:rsidRDefault="004B1F20" w:rsidP="008F6E48">
            <w:pPr>
              <w:contextualSpacing/>
              <w:jc w:val="right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21.07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Control &gt; Non-TRS &gt; TRS</w:t>
            </w:r>
          </w:p>
        </w:tc>
      </w:tr>
    </w:tbl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Abbreviations: TRS, treatment-resistant schizophrenia; FSIQ, full-scale IQ; WMI, working memory index.</w:t>
      </w: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b/>
          <w:color w:val="000000" w:themeColor="text1"/>
          <w:szCs w:val="24"/>
        </w:rPr>
        <w:lastRenderedPageBreak/>
        <w:t>Supplementary Table 2.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Medication categories classified by antipsychotic agents and mood stabilizers in the non-TRS and TRS patients.</w:t>
      </w:r>
    </w:p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tbl>
      <w:tblPr>
        <w:tblW w:w="139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48"/>
        <w:gridCol w:w="2126"/>
        <w:gridCol w:w="236"/>
        <w:gridCol w:w="2040"/>
        <w:gridCol w:w="236"/>
        <w:gridCol w:w="1094"/>
        <w:gridCol w:w="855"/>
        <w:gridCol w:w="2835"/>
      </w:tblGrid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Characteristic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Non-TRS (n = 35)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TRS (n = 38)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ind w:firstLineChars="500" w:firstLine="1200"/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Test statistic</w:t>
            </w: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Mean (SD)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Mean (SD)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χ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/t/F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Post-hoc</w:t>
            </w: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Gender (male/female)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17/18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21/17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0.47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0.80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Smoking status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16/19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13/25 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1.007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0.316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Dosage (CPZ equivalents)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467.91 (186.48)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821.36 (181.71)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8.2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Clozapine (proportion)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3/32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23/15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9.37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0.02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Clozapine (CPZ equivalent)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17.14 (60.57)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221.05 (280.60)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4.21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Clozapine-like agent (proportion)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5/30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12/26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3.05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0.08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Clozapine-like agent </w:t>
            </w: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(CPZ equivalent)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55.00 (142.43)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111.84 (269.03)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1.55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0.13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st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antipsychotic agent only (proportion)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6/29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0/38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11.15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2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nd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antipsychotic agent only (proportion)</w:t>
            </w:r>
          </w:p>
        </w:tc>
        <w:tc>
          <w:tcPr>
            <w:tcW w:w="248" w:type="dxa"/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18/17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7/31</w:t>
            </w:r>
          </w:p>
        </w:tc>
        <w:tc>
          <w:tcPr>
            <w:tcW w:w="236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8.82</w:t>
            </w:r>
          </w:p>
        </w:tc>
        <w:tc>
          <w:tcPr>
            <w:tcW w:w="85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st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and 2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  <w:vertAlign w:val="superscript"/>
              </w:rPr>
              <w:t>nd</w:t>
            </w: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ˇcombination (proportion)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8/27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30/8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22.97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Mood stabilizers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ind w:firstLineChars="100" w:firstLine="240"/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Lithium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  <w:t>2/33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6/32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widowControl/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1.90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0.17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  <w:tr w:rsidR="004B1F20" w:rsidRPr="0065097D" w:rsidTr="008F6E48">
        <w:trPr>
          <w:trHeight w:val="170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ind w:firstLineChars="100" w:firstLine="240"/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Anticonvulsant agent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3/32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11/27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細明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hAnsi="Times New Roman" w:cs="Times New Roman"/>
                <w:color w:val="000000" w:themeColor="text1"/>
                <w:szCs w:val="24"/>
              </w:rPr>
              <w:t>4.88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65097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&lt; 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F20" w:rsidRPr="0065097D" w:rsidRDefault="004B1F20" w:rsidP="008F6E48">
            <w:pPr>
              <w:contextualSpacing/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4B1F20" w:rsidRPr="0065097D" w:rsidRDefault="004B1F20" w:rsidP="004B1F20">
      <w:pPr>
        <w:ind w:leftChars="200" w:left="48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ind w:leftChars="200" w:left="48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CPZ, chlorpromazine. </w:t>
      </w:r>
    </w:p>
    <w:p w:rsidR="004B1F20" w:rsidRPr="0065097D" w:rsidRDefault="004B1F20" w:rsidP="004B1F20">
      <w:pPr>
        <w:ind w:leftChars="200" w:left="480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Note: clozapine-like agents: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clothiapine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zotepine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; 1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st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antipsychotic agent: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haloperidone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>flupentixol</w:t>
      </w:r>
      <w:proofErr w:type="spellEnd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>sulpiride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; 2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nd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antipsychotic agent: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amisulpiride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aripiprazole, risperidone,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lurasidone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quetiapine, olanzapine,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paliperidone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anticonvulsant agent: phenytoin, carbamazepine,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valproic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acid, lamotrigine, clonazepam.</w:t>
      </w: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Supplementary Table 3.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ACC, controlling for age and sex.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142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2.75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0.10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1.76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0.19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0.008*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7.67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8.77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ACC, anterior cingulate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widowControl/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Supplementary Table 4.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ACC, controlling for age, sex, educational level, smoking status and cognitive function. 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1701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2.65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2.01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1.85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Smoking status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FSIQ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0.95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3.60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0.03*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7.39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8.77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ACC, anterior cingulate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FSIQ, full-scale IQ;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widowControl/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Supplementary Table 5.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MPFC, controlling for age and sex.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142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0.08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0.63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0.32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0.15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0.81</w:t>
            </w: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24.27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142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24.89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MPFC, medial prefrontal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FSIQ, full-scale IQ;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widowControl/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Supplementary Table 6.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MPFC, controlling for age, sex, educational level, smoking status and cognitive function.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1701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0.69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0.30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0.56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Smoking status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0.99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FSIQ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0.033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0.77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0.19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0.82</w:t>
            </w: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170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24.89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MPFC, medial prefrontal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FSIQ, full-scale IQ;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ind w:leftChars="200" w:left="480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Supplementary Table 7.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ACC, controlling for age, sex, lithium usage proportion and mood stabilizer proportion. 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2721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3.33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</w:t>
            </w: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0.34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3.41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Lithium-P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Anticonvulsant agent-P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9.34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0.003*</w:t>
            </w: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6.76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2721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ACC, anterior cingulate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; 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Note: anticonvulsant agent: phenytoin, carbamazepine,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valproic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acid, lamotrigine, clonazepam.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Supplementary Table 8.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ACC, controlling for age, sex, 1</w:t>
      </w:r>
      <w:r w:rsidRPr="0065097D">
        <w:rPr>
          <w:rFonts w:ascii="Times New Roman" w:hAnsi="Times New Roman" w:cs="Times New Roman"/>
          <w:color w:val="000000" w:themeColor="text1"/>
          <w:szCs w:val="24"/>
          <w:vertAlign w:val="superscript"/>
        </w:rPr>
        <w:t>st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antipsychotic usage proportion, 2</w:t>
      </w:r>
      <w:r w:rsidRPr="0065097D">
        <w:rPr>
          <w:rFonts w:ascii="Times New Roman" w:hAnsi="Times New Roman" w:cs="Times New Roman"/>
          <w:color w:val="000000" w:themeColor="text1"/>
          <w:szCs w:val="24"/>
          <w:vertAlign w:val="superscript"/>
        </w:rPr>
        <w:t>nd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antipsychotic proportion and combined antipsychotic proportion.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294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3.33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3.41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antipsychotic-P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antipsychotic-P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Combined antipsychotic-P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0.43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7.39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0.008*</w:t>
            </w: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6.59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294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ACC, anterior cingulate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Note: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1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st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antipsychotic agent: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haloperidole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>flupentixol</w:t>
      </w:r>
      <w:proofErr w:type="spellEnd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標楷體" w:hAnsi="Times New Roman" w:cs="Times New Roman"/>
          <w:color w:val="000000" w:themeColor="text1"/>
          <w:szCs w:val="24"/>
        </w:rPr>
        <w:t>sulpiride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; 2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  <w:vertAlign w:val="superscript"/>
        </w:rPr>
        <w:t>nd</w:t>
      </w: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antipsychotic agent: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amisulpiride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aripiprazole, risperidone,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lurasidone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quetiapine, olanzapine,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paliperidone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4B1F20" w:rsidRPr="0065097D" w:rsidRDefault="004B1F20" w:rsidP="004B1F20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Supplementary Table 9.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Analysis of covariance (ANCOVA) for testing of the group difference in 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Pr="0065097D">
        <w:rPr>
          <w:rFonts w:ascii="Times New Roman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level in the ACC, controlling for age, sex, clozapine usage proportion and clozapine-like agent proportion.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1644"/>
        <w:gridCol w:w="1359"/>
        <w:gridCol w:w="1387"/>
        <w:gridCol w:w="1338"/>
        <w:gridCol w:w="1313"/>
      </w:tblGrid>
      <w:tr w:rsidR="004B1F20" w:rsidRPr="0065097D" w:rsidTr="008F6E48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 of square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4B1F20" w:rsidRPr="0065097D" w:rsidTr="008F6E48">
        <w:tc>
          <w:tcPr>
            <w:tcW w:w="24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3.43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Clozapine-P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0.15</w:t>
            </w: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Clozapine-like agent-P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0.44</w:t>
            </w: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TRS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12.24</w:t>
            </w: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0.001*</w:t>
            </w: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Error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6.54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1F20" w:rsidRPr="0065097D" w:rsidTr="008F6E48">
        <w:tc>
          <w:tcPr>
            <w:tcW w:w="24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44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1359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4B1F20" w:rsidRPr="0065097D" w:rsidRDefault="004B1F20" w:rsidP="008F6E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4B1F20" w:rsidRPr="0065097D" w:rsidRDefault="004B1F20" w:rsidP="004B1F20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Abbreviations: TRS, treatment-resistant schizophrenia; ACC, anterior cingulate cortex;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Glx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total glutamate + glutamine;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NAAx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,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+ N-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acetylaspartylglutamate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; P: proportion; </w:t>
      </w:r>
      <w:r w:rsidRPr="0065097D">
        <w:rPr>
          <w:rFonts w:ascii="Times New Roman" w:hAnsi="Times New Roman" w:cs="Times New Roman"/>
          <w:color w:val="000000" w:themeColor="text1"/>
          <w:szCs w:val="24"/>
        </w:rPr>
        <w:t>MS: mean square.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Note: clozapine-like agent: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clothiapine</w:t>
      </w:r>
      <w:proofErr w:type="spellEnd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</w:t>
      </w:r>
      <w:proofErr w:type="spellStart"/>
      <w:r w:rsidRPr="0065097D">
        <w:rPr>
          <w:rFonts w:ascii="Times New Roman" w:eastAsia="新細明體" w:hAnsi="Times New Roman" w:cs="Times New Roman"/>
          <w:color w:val="000000" w:themeColor="text1"/>
          <w:szCs w:val="24"/>
        </w:rPr>
        <w:t>zotepine</w:t>
      </w:r>
      <w:proofErr w:type="spellEnd"/>
      <w:r w:rsidRPr="0065097D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1F20" w:rsidRPr="0065097D" w:rsidRDefault="004B1F20" w:rsidP="004B1F20">
      <w:pPr>
        <w:rPr>
          <w:rFonts w:ascii="Times New Roman" w:hAnsi="Times New Roman" w:cs="Times New Roman"/>
          <w:color w:val="000000" w:themeColor="text1"/>
          <w:szCs w:val="24"/>
        </w:rPr>
      </w:pPr>
      <w:r w:rsidRPr="0065097D">
        <w:rPr>
          <w:rFonts w:ascii="Times New Roman" w:hAnsi="Times New Roman" w:cs="Times New Roman"/>
          <w:color w:val="000000" w:themeColor="text1"/>
          <w:szCs w:val="24"/>
        </w:rPr>
        <w:t>*p &lt; 0.05</w:t>
      </w:r>
    </w:p>
    <w:p w:rsidR="007C24FE" w:rsidRDefault="007C24FE">
      <w:bookmarkStart w:id="0" w:name="_GoBack"/>
      <w:bookmarkEnd w:id="0"/>
    </w:p>
    <w:sectPr w:rsidR="007C24FE" w:rsidSect="004B1F2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20"/>
    <w:rsid w:val="004B1F20"/>
    <w:rsid w:val="007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1144-F73F-4E95-B509-6B734B3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2021-11-08T07:40:00Z</dcterms:created>
  <dcterms:modified xsi:type="dcterms:W3CDTF">2021-11-08T07:40:00Z</dcterms:modified>
</cp:coreProperties>
</file>