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AE26C" w14:textId="52088C0C" w:rsidR="00FA714F" w:rsidRPr="00042932" w:rsidRDefault="00FA714F" w:rsidP="00FA714F">
      <w:pPr>
        <w:jc w:val="center"/>
        <w:rPr>
          <w:rFonts w:asciiTheme="majorHAnsi" w:hAnsiTheme="majorHAnsi" w:cstheme="majorHAnsi"/>
          <w:lang w:val="en-US"/>
        </w:rPr>
      </w:pPr>
      <w:r w:rsidRPr="00042932">
        <w:rPr>
          <w:rFonts w:asciiTheme="majorHAnsi" w:hAnsiTheme="majorHAnsi" w:cstheme="majorHAnsi"/>
          <w:lang w:val="en-US"/>
        </w:rPr>
        <w:t>APPENDIX</w:t>
      </w:r>
    </w:p>
    <w:p w14:paraId="05932CBC" w14:textId="358371AC" w:rsidR="00185F70" w:rsidRPr="00C97F00" w:rsidRDefault="00017DE6" w:rsidP="00FA714F">
      <w:pPr>
        <w:jc w:val="center"/>
        <w:rPr>
          <w:rFonts w:asciiTheme="majorHAnsi" w:hAnsiTheme="majorHAnsi" w:cstheme="majorHAnsi"/>
          <w:bCs/>
          <w:lang w:val="en-US"/>
        </w:rPr>
      </w:pPr>
      <w:r w:rsidRPr="00C97F00">
        <w:rPr>
          <w:rFonts w:asciiTheme="majorHAnsi" w:hAnsiTheme="majorHAnsi" w:cstheme="majorHAnsi"/>
          <w:bCs/>
          <w:lang w:val="en-US"/>
        </w:rPr>
        <w:t xml:space="preserve">Table 1 - </w:t>
      </w:r>
      <w:r w:rsidR="0025629C" w:rsidRPr="00C97F00">
        <w:rPr>
          <w:rFonts w:asciiTheme="majorHAnsi" w:hAnsiTheme="majorHAnsi" w:cstheme="majorHAnsi"/>
          <w:bCs/>
          <w:lang w:val="en-US"/>
        </w:rPr>
        <w:t>Description</w:t>
      </w:r>
      <w:r w:rsidR="00185F70" w:rsidRPr="00C97F00">
        <w:rPr>
          <w:rFonts w:asciiTheme="majorHAnsi" w:hAnsiTheme="majorHAnsi" w:cstheme="majorHAnsi"/>
          <w:bCs/>
          <w:lang w:val="en-US"/>
        </w:rPr>
        <w:t xml:space="preserve"> of Registers</w:t>
      </w:r>
    </w:p>
    <w:p w14:paraId="730B2DD6" w14:textId="77777777" w:rsidR="007C61E8" w:rsidRPr="00042932" w:rsidRDefault="007C61E8" w:rsidP="0083015C">
      <w:pPr>
        <w:spacing w:after="0" w:line="240" w:lineRule="auto"/>
        <w:rPr>
          <w:rFonts w:asciiTheme="majorHAnsi" w:hAnsiTheme="majorHAnsi" w:cstheme="majorHAnsi"/>
          <w:i/>
          <w:color w:val="212121"/>
          <w:shd w:val="clear" w:color="auto" w:fill="FFFFFF"/>
          <w:lang w:val="en-US"/>
        </w:rPr>
      </w:pPr>
      <w:r w:rsidRPr="00042932">
        <w:rPr>
          <w:rFonts w:asciiTheme="majorHAnsi" w:hAnsiTheme="majorHAnsi" w:cstheme="majorHAnsi"/>
          <w:i/>
          <w:color w:val="212121"/>
          <w:shd w:val="clear" w:color="auto" w:fill="FFFFFF"/>
          <w:lang w:val="en-US"/>
        </w:rPr>
        <w:t xml:space="preserve">Multi-Generation Register </w:t>
      </w:r>
    </w:p>
    <w:p w14:paraId="44824E20" w14:textId="04094791" w:rsidR="0083015C" w:rsidRPr="00042932" w:rsidRDefault="0083015C" w:rsidP="0083015C">
      <w:pPr>
        <w:spacing w:after="0" w:line="240" w:lineRule="auto"/>
        <w:rPr>
          <w:rFonts w:asciiTheme="majorHAnsi" w:hAnsiTheme="majorHAnsi" w:cstheme="majorHAnsi"/>
          <w:i/>
          <w:color w:val="212121"/>
          <w:shd w:val="clear" w:color="auto" w:fill="FFFFFF"/>
          <w:lang w:val="en-US"/>
        </w:rPr>
      </w:pPr>
      <w:r w:rsidRPr="00042932">
        <w:rPr>
          <w:rFonts w:asciiTheme="majorHAnsi" w:hAnsiTheme="majorHAnsi" w:cstheme="majorHAnsi"/>
          <w:color w:val="212121"/>
          <w:shd w:val="clear" w:color="auto" w:fill="FFFFFF"/>
          <w:lang w:val="en-US"/>
        </w:rPr>
        <w:t>The Multi-Generation Register is a register made up of persons who have been registered in Sweden at some time since 1961 and those who were born in 1932 or later. These are called index persons. The register contains connections between index persons and their biological parents. There are about 11 million index persons in the register.  The Multi-Generation Register is a part of the register system for Total Population Register, where information comes from the National Tax Board. Every year, a new version of the register is created, including new index persons who immigrated or were born during the year. Information from the Multi-Generation Register may be disclosed for research and statistical purposes.</w:t>
      </w:r>
      <w:r w:rsidR="00185F70" w:rsidRPr="00042932">
        <w:rPr>
          <w:rFonts w:asciiTheme="majorHAnsi" w:hAnsiTheme="majorHAnsi" w:cstheme="majorHAnsi"/>
          <w:color w:val="212121"/>
          <w:shd w:val="clear" w:color="auto" w:fill="FFFFFF"/>
          <w:lang w:val="en-US"/>
        </w:rPr>
        <w:t xml:space="preserve"> For more information, see </w:t>
      </w:r>
      <w:r w:rsidR="00185F70" w:rsidRPr="00042932">
        <w:rPr>
          <w:rFonts w:asciiTheme="majorHAnsi" w:hAnsiTheme="majorHAnsi" w:cstheme="majorHAnsi"/>
          <w:i/>
          <w:color w:val="212121"/>
          <w:shd w:val="clear" w:color="auto" w:fill="FFFFFF"/>
          <w:lang w:val="en-US"/>
        </w:rPr>
        <w:t>Statistics Sweden, Background Facts, Population and Welfare Statistics 2017:2, Multi-generation register 2016. A description of contents and quality</w:t>
      </w:r>
    </w:p>
    <w:p w14:paraId="55FBE7E8" w14:textId="5730629D" w:rsidR="0083015C" w:rsidRPr="00042932" w:rsidRDefault="0083015C" w:rsidP="0083015C">
      <w:pPr>
        <w:spacing w:after="0" w:line="240" w:lineRule="auto"/>
        <w:rPr>
          <w:rFonts w:asciiTheme="majorHAnsi" w:hAnsiTheme="majorHAnsi" w:cstheme="majorHAnsi"/>
          <w:color w:val="212121"/>
          <w:shd w:val="clear" w:color="auto" w:fill="FFFFFF"/>
          <w:lang w:val="en-US"/>
        </w:rPr>
      </w:pPr>
    </w:p>
    <w:p w14:paraId="764409B5" w14:textId="15262A20" w:rsidR="007C61E8" w:rsidRPr="00042932" w:rsidRDefault="007C61E8" w:rsidP="007C61E8">
      <w:pPr>
        <w:spacing w:after="0" w:line="240" w:lineRule="auto"/>
        <w:rPr>
          <w:rFonts w:asciiTheme="majorHAnsi" w:hAnsiTheme="majorHAnsi" w:cstheme="majorHAnsi"/>
          <w:color w:val="212121"/>
          <w:shd w:val="clear" w:color="auto" w:fill="FFFFFF"/>
          <w:lang w:val="en-US"/>
        </w:rPr>
      </w:pPr>
      <w:r w:rsidRPr="00042932">
        <w:rPr>
          <w:rFonts w:asciiTheme="majorHAnsi" w:hAnsiTheme="majorHAnsi" w:cstheme="majorHAnsi"/>
          <w:i/>
          <w:color w:val="212121"/>
          <w:shd w:val="clear" w:color="auto" w:fill="FFFFFF"/>
          <w:lang w:val="en-US"/>
        </w:rPr>
        <w:t>National Patient Register</w:t>
      </w:r>
    </w:p>
    <w:p w14:paraId="3BFC97A8" w14:textId="742678EE" w:rsidR="0083015C" w:rsidRPr="00042932" w:rsidRDefault="0083015C" w:rsidP="0083015C">
      <w:pPr>
        <w:spacing w:after="0" w:line="240" w:lineRule="auto"/>
        <w:rPr>
          <w:rFonts w:asciiTheme="majorHAnsi" w:hAnsiTheme="majorHAnsi" w:cstheme="majorHAnsi"/>
          <w:color w:val="212121"/>
          <w:shd w:val="clear" w:color="auto" w:fill="FFFFFF"/>
          <w:lang w:val="en-US"/>
        </w:rPr>
      </w:pPr>
      <w:r w:rsidRPr="00042932">
        <w:rPr>
          <w:rFonts w:asciiTheme="majorHAnsi" w:hAnsiTheme="majorHAnsi" w:cstheme="majorHAnsi"/>
          <w:color w:val="212121"/>
          <w:shd w:val="clear" w:color="auto" w:fill="FFFFFF"/>
          <w:lang w:val="en-US"/>
        </w:rPr>
        <w:t xml:space="preserve">In the 1960's the National Board of Health and Welfare started to collect information regarding in-patients at public hospitals, the National Patient Register (NPR). Initially it contained information about all patients treated in psychiatric care and approximately 16 percent of patients in somatic care. The register at that time covered six of the 26 county councils in Sweden. In </w:t>
      </w:r>
      <w:r w:rsidR="007C61E8" w:rsidRPr="00042932">
        <w:rPr>
          <w:rFonts w:asciiTheme="majorHAnsi" w:hAnsiTheme="majorHAnsi" w:cstheme="majorHAnsi"/>
          <w:color w:val="212121"/>
          <w:shd w:val="clear" w:color="auto" w:fill="FFFFFF"/>
          <w:lang w:val="en-US"/>
        </w:rPr>
        <w:t>1984,</w:t>
      </w:r>
      <w:r w:rsidRPr="00042932">
        <w:rPr>
          <w:rFonts w:asciiTheme="majorHAnsi" w:hAnsiTheme="majorHAnsi" w:cstheme="majorHAnsi"/>
          <w:color w:val="212121"/>
          <w:shd w:val="clear" w:color="auto" w:fill="FFFFFF"/>
          <w:lang w:val="en-US"/>
        </w:rPr>
        <w:t xml:space="preserve"> the Ministry of Health and Welfare together with the Federation of County Councils decided a mandatory participation for all county councils. From </w:t>
      </w:r>
      <w:r w:rsidR="007C61E8" w:rsidRPr="00042932">
        <w:rPr>
          <w:rFonts w:asciiTheme="majorHAnsi" w:hAnsiTheme="majorHAnsi" w:cstheme="majorHAnsi"/>
          <w:color w:val="212121"/>
          <w:shd w:val="clear" w:color="auto" w:fill="FFFFFF"/>
          <w:lang w:val="en-US"/>
        </w:rPr>
        <w:t>1987,</w:t>
      </w:r>
      <w:r w:rsidRPr="00042932">
        <w:rPr>
          <w:rFonts w:asciiTheme="majorHAnsi" w:hAnsiTheme="majorHAnsi" w:cstheme="majorHAnsi"/>
          <w:color w:val="212121"/>
          <w:shd w:val="clear" w:color="auto" w:fill="FFFFFF"/>
          <w:lang w:val="en-US"/>
        </w:rPr>
        <w:t xml:space="preserve"> NPR includes all in-patient care in Sweden. Since </w:t>
      </w:r>
      <w:r w:rsidR="007C61E8" w:rsidRPr="00042932">
        <w:rPr>
          <w:rFonts w:asciiTheme="majorHAnsi" w:hAnsiTheme="majorHAnsi" w:cstheme="majorHAnsi"/>
          <w:color w:val="212121"/>
          <w:shd w:val="clear" w:color="auto" w:fill="FFFFFF"/>
          <w:lang w:val="en-US"/>
        </w:rPr>
        <w:t>2001,</w:t>
      </w:r>
      <w:r w:rsidRPr="00042932">
        <w:rPr>
          <w:rFonts w:asciiTheme="majorHAnsi" w:hAnsiTheme="majorHAnsi" w:cstheme="majorHAnsi"/>
          <w:color w:val="212121"/>
          <w:shd w:val="clear" w:color="auto" w:fill="FFFFFF"/>
          <w:lang w:val="en-US"/>
        </w:rPr>
        <w:t xml:space="preserve"> the register also covers outpatient doctor visits including day surgery and psychiatric care from both private and public caregivers</w:t>
      </w:r>
      <w:r w:rsidR="00185F70" w:rsidRPr="00042932">
        <w:rPr>
          <w:rFonts w:asciiTheme="majorHAnsi" w:hAnsiTheme="majorHAnsi" w:cstheme="majorHAnsi"/>
          <w:color w:val="212121"/>
          <w:shd w:val="clear" w:color="auto" w:fill="FFFFFF"/>
          <w:lang w:val="en-US"/>
        </w:rPr>
        <w:t xml:space="preserve">. For more </w:t>
      </w:r>
      <w:r w:rsidR="007C61E8" w:rsidRPr="00042932">
        <w:rPr>
          <w:rFonts w:asciiTheme="majorHAnsi" w:hAnsiTheme="majorHAnsi" w:cstheme="majorHAnsi"/>
          <w:color w:val="212121"/>
          <w:shd w:val="clear" w:color="auto" w:fill="FFFFFF"/>
          <w:lang w:val="en-US"/>
        </w:rPr>
        <w:t>information,</w:t>
      </w:r>
      <w:r w:rsidR="00185F70" w:rsidRPr="00042932">
        <w:rPr>
          <w:rFonts w:asciiTheme="majorHAnsi" w:hAnsiTheme="majorHAnsi" w:cstheme="majorHAnsi"/>
          <w:color w:val="212121"/>
          <w:shd w:val="clear" w:color="auto" w:fill="FFFFFF"/>
          <w:lang w:val="en-US"/>
        </w:rPr>
        <w:t xml:space="preserve"> see </w:t>
      </w:r>
      <w:r w:rsidR="00185F70" w:rsidRPr="00042932">
        <w:rPr>
          <w:rFonts w:asciiTheme="majorHAnsi" w:hAnsiTheme="majorHAnsi" w:cstheme="majorHAnsi"/>
          <w:i/>
          <w:color w:val="212121"/>
          <w:shd w:val="clear" w:color="auto" w:fill="FFFFFF"/>
          <w:lang w:val="en-US"/>
        </w:rPr>
        <w:t>https://www.socialstyrelsen.se/en/statistics-and-data/registers/register-information/the-national-patient-register/</w:t>
      </w:r>
    </w:p>
    <w:p w14:paraId="6452E2D8" w14:textId="5A32476B" w:rsidR="0083015C" w:rsidRPr="00042932" w:rsidRDefault="0083015C" w:rsidP="0083015C">
      <w:pPr>
        <w:spacing w:after="0" w:line="240" w:lineRule="auto"/>
        <w:rPr>
          <w:rFonts w:asciiTheme="majorHAnsi" w:hAnsiTheme="majorHAnsi" w:cstheme="majorHAnsi"/>
          <w:color w:val="212121"/>
          <w:shd w:val="clear" w:color="auto" w:fill="FFFFFF"/>
          <w:lang w:val="en-US"/>
        </w:rPr>
      </w:pPr>
    </w:p>
    <w:p w14:paraId="55EAB9EC" w14:textId="28EB7BB6" w:rsidR="007C61E8" w:rsidRPr="00042932" w:rsidRDefault="007C61E8" w:rsidP="007C61E8">
      <w:pPr>
        <w:spacing w:after="0" w:line="240" w:lineRule="auto"/>
        <w:rPr>
          <w:rFonts w:asciiTheme="majorHAnsi" w:hAnsiTheme="majorHAnsi" w:cstheme="majorHAnsi"/>
          <w:i/>
          <w:color w:val="212121"/>
          <w:shd w:val="clear" w:color="auto" w:fill="FFFFFF"/>
          <w:lang w:val="en-US"/>
        </w:rPr>
      </w:pPr>
      <w:r w:rsidRPr="00042932">
        <w:rPr>
          <w:rFonts w:asciiTheme="majorHAnsi" w:hAnsiTheme="majorHAnsi" w:cstheme="majorHAnsi"/>
          <w:i/>
          <w:color w:val="212121"/>
          <w:shd w:val="clear" w:color="auto" w:fill="FFFFFF"/>
          <w:lang w:val="en-US"/>
        </w:rPr>
        <w:t>Primary Care Registry</w:t>
      </w:r>
    </w:p>
    <w:p w14:paraId="5AD55800" w14:textId="4C4CDA88" w:rsidR="0083015C" w:rsidRDefault="0083015C" w:rsidP="00185F70">
      <w:pPr>
        <w:spacing w:after="0" w:line="240" w:lineRule="auto"/>
        <w:rPr>
          <w:rFonts w:asciiTheme="majorHAnsi" w:hAnsiTheme="majorHAnsi" w:cstheme="majorHAnsi"/>
          <w:color w:val="212121"/>
          <w:shd w:val="clear" w:color="auto" w:fill="FFFFFF"/>
          <w:lang w:val="en-US"/>
        </w:rPr>
      </w:pPr>
      <w:r w:rsidRPr="00042932">
        <w:rPr>
          <w:rFonts w:asciiTheme="majorHAnsi" w:hAnsiTheme="majorHAnsi" w:cstheme="majorHAnsi"/>
          <w:color w:val="212121"/>
          <w:shd w:val="clear" w:color="auto" w:fill="FFFFFF"/>
          <w:lang w:val="en-US"/>
        </w:rPr>
        <w:t>We also used information from our new Primary Care Registry (PCR), a research dataset including individual-level information on clinical diagnoses from primary health care centers from the following 15 of the 21 Swedish counties: Blekinge (2009-2016), Värmland (2005-2015), Kalmar (2007-2016), Sörmland (1997-2017), Uppsala (2005-2015), Västernorrland (2008-2015), Norrbotten (2009-2016), Gävleborg (2010-2016), Halland (2007-2014), Jönköping (2008-2014), Kronoberg (2006-2016), Skåne (1998-2013), Östergötland (1997-2014), Stockholm (2003-2016), and Västergötland (2000-2013). In 2016, these counties included 87% of the Swedish population.</w:t>
      </w:r>
      <w:r w:rsidR="00185F70" w:rsidRPr="00042932">
        <w:rPr>
          <w:rFonts w:asciiTheme="majorHAnsi" w:hAnsiTheme="majorHAnsi" w:cstheme="majorHAnsi"/>
          <w:color w:val="212121"/>
          <w:shd w:val="clear" w:color="auto" w:fill="FFFFFF"/>
          <w:lang w:val="en-US"/>
        </w:rPr>
        <w:t xml:space="preserve"> For more information see </w:t>
      </w:r>
      <w:r w:rsidR="00185F70" w:rsidRPr="00042932">
        <w:rPr>
          <w:rFonts w:asciiTheme="majorHAnsi" w:hAnsiTheme="majorHAnsi" w:cstheme="majorHAnsi"/>
          <w:i/>
          <w:color w:val="212121"/>
          <w:shd w:val="clear" w:color="auto" w:fill="FFFFFF"/>
          <w:lang w:val="en-US"/>
        </w:rPr>
        <w:t>Sundquist, J., Ohlsson, H., Sundquist, K. et al. Common adult psychiatric disorders in Swedish primary care where most mental health patients are treated. BMC Psychiatry 17, 235 (2017).</w:t>
      </w:r>
      <w:r w:rsidR="00185F70" w:rsidRPr="00042932">
        <w:rPr>
          <w:rFonts w:asciiTheme="majorHAnsi" w:hAnsiTheme="majorHAnsi" w:cstheme="majorHAnsi"/>
          <w:color w:val="212121"/>
          <w:shd w:val="clear" w:color="auto" w:fill="FFFFFF"/>
          <w:lang w:val="en-US"/>
        </w:rPr>
        <w:t xml:space="preserve"> </w:t>
      </w:r>
    </w:p>
    <w:p w14:paraId="3B687BDB" w14:textId="32646257" w:rsidR="00017DE6" w:rsidRDefault="00017DE6" w:rsidP="00185F70">
      <w:pPr>
        <w:spacing w:after="0" w:line="240" w:lineRule="auto"/>
        <w:rPr>
          <w:rFonts w:asciiTheme="majorHAnsi" w:hAnsiTheme="majorHAnsi" w:cstheme="majorHAnsi"/>
          <w:color w:val="212121"/>
          <w:shd w:val="clear" w:color="auto" w:fill="FFFFFF"/>
          <w:lang w:val="en-US"/>
        </w:rPr>
      </w:pPr>
    </w:p>
    <w:p w14:paraId="501D7F04" w14:textId="633F5FCB" w:rsidR="00017DE6" w:rsidRDefault="00017DE6" w:rsidP="00017DE6">
      <w:pPr>
        <w:spacing w:after="0" w:line="240" w:lineRule="auto"/>
        <w:jc w:val="center"/>
        <w:rPr>
          <w:rFonts w:asciiTheme="majorHAnsi" w:hAnsiTheme="majorHAnsi" w:cstheme="majorHAnsi"/>
          <w:color w:val="212121"/>
          <w:shd w:val="clear" w:color="auto" w:fill="FFFFFF"/>
          <w:lang w:val="en-US"/>
        </w:rPr>
      </w:pPr>
      <w:r w:rsidRPr="00017DE6">
        <w:rPr>
          <w:rFonts w:asciiTheme="majorHAnsi" w:hAnsiTheme="majorHAnsi" w:cstheme="majorHAnsi"/>
          <w:color w:val="212121"/>
          <w:shd w:val="clear" w:color="auto" w:fill="FFFFFF"/>
          <w:lang w:val="en-US"/>
        </w:rPr>
        <w:t>Table 2 Definition</w:t>
      </w:r>
      <w:r>
        <w:rPr>
          <w:rFonts w:asciiTheme="majorHAnsi" w:hAnsiTheme="majorHAnsi" w:cstheme="majorHAnsi"/>
          <w:color w:val="212121"/>
          <w:shd w:val="clear" w:color="auto" w:fill="FFFFFF"/>
          <w:lang w:val="en-US"/>
        </w:rPr>
        <w:t>s</w:t>
      </w:r>
      <w:r w:rsidRPr="00017DE6">
        <w:rPr>
          <w:rFonts w:asciiTheme="majorHAnsi" w:hAnsiTheme="majorHAnsi" w:cstheme="majorHAnsi"/>
          <w:color w:val="212121"/>
          <w:shd w:val="clear" w:color="auto" w:fill="FFFFFF"/>
          <w:lang w:val="en-US"/>
        </w:rPr>
        <w:t xml:space="preserve"> of Phenotypes</w:t>
      </w:r>
    </w:p>
    <w:p w14:paraId="59CC663A" w14:textId="117A9CD0" w:rsidR="00017DE6" w:rsidRDefault="00017DE6" w:rsidP="00017DE6">
      <w:pPr>
        <w:spacing w:after="0" w:line="240" w:lineRule="auto"/>
        <w:rPr>
          <w:rFonts w:asciiTheme="majorHAnsi" w:hAnsiTheme="majorHAnsi" w:cstheme="majorHAnsi"/>
          <w:color w:val="212121"/>
          <w:shd w:val="clear" w:color="auto" w:fill="FFFFFF"/>
          <w:lang w:val="en-US"/>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4389"/>
      </w:tblGrid>
      <w:tr w:rsidR="00017DE6" w:rsidRPr="002146B6" w14:paraId="532C7E21" w14:textId="77777777" w:rsidTr="00B52B6D">
        <w:tc>
          <w:tcPr>
            <w:tcW w:w="2122" w:type="dxa"/>
            <w:shd w:val="clear" w:color="auto" w:fill="auto"/>
          </w:tcPr>
          <w:p w14:paraId="1E919B6E" w14:textId="77777777" w:rsidR="00017DE6" w:rsidRPr="002146B6" w:rsidRDefault="00017DE6" w:rsidP="00B52B6D">
            <w:pPr>
              <w:spacing w:after="0" w:line="240" w:lineRule="auto"/>
              <w:rPr>
                <w:rFonts w:ascii="Calibri Light" w:hAnsi="Calibri Light" w:cs="Calibri Light"/>
                <w:lang w:val="en-US"/>
              </w:rPr>
            </w:pPr>
          </w:p>
        </w:tc>
        <w:tc>
          <w:tcPr>
            <w:tcW w:w="2551" w:type="dxa"/>
            <w:shd w:val="clear" w:color="auto" w:fill="auto"/>
          </w:tcPr>
          <w:p w14:paraId="53048721" w14:textId="77777777" w:rsidR="00017DE6" w:rsidRPr="002146B6" w:rsidRDefault="00017DE6" w:rsidP="00B52B6D">
            <w:pPr>
              <w:spacing w:after="0" w:line="240" w:lineRule="auto"/>
              <w:rPr>
                <w:rFonts w:ascii="Calibri Light" w:hAnsi="Calibri Light" w:cs="Calibri Light"/>
                <w:lang w:val="en-US"/>
              </w:rPr>
            </w:pPr>
            <w:r w:rsidRPr="002146B6">
              <w:rPr>
                <w:rFonts w:ascii="Calibri Light" w:hAnsi="Calibri Light" w:cs="Calibri Light"/>
                <w:lang w:val="en-US"/>
              </w:rPr>
              <w:t>Registers Used</w:t>
            </w:r>
          </w:p>
        </w:tc>
        <w:tc>
          <w:tcPr>
            <w:tcW w:w="4389" w:type="dxa"/>
            <w:shd w:val="clear" w:color="auto" w:fill="auto"/>
          </w:tcPr>
          <w:p w14:paraId="6FC0D15B" w14:textId="77777777" w:rsidR="00017DE6" w:rsidRPr="002146B6" w:rsidRDefault="00017DE6" w:rsidP="00B52B6D">
            <w:pPr>
              <w:spacing w:after="0" w:line="240" w:lineRule="auto"/>
              <w:rPr>
                <w:rFonts w:ascii="Calibri Light" w:hAnsi="Calibri Light" w:cs="Calibri Light"/>
                <w:lang w:val="en-US"/>
              </w:rPr>
            </w:pPr>
            <w:r w:rsidRPr="002146B6">
              <w:rPr>
                <w:rFonts w:ascii="Calibri Light" w:hAnsi="Calibri Light" w:cs="Calibri Light"/>
                <w:lang w:val="en-US"/>
              </w:rPr>
              <w:t xml:space="preserve">Definition </w:t>
            </w:r>
          </w:p>
        </w:tc>
      </w:tr>
      <w:tr w:rsidR="00017DE6" w:rsidRPr="002146B6" w14:paraId="3E0E4F0B" w14:textId="77777777" w:rsidTr="00B52B6D">
        <w:tc>
          <w:tcPr>
            <w:tcW w:w="2122" w:type="dxa"/>
            <w:shd w:val="clear" w:color="auto" w:fill="auto"/>
          </w:tcPr>
          <w:p w14:paraId="6CEF8B62"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Major Depression (MD)</w:t>
            </w:r>
          </w:p>
        </w:tc>
        <w:tc>
          <w:tcPr>
            <w:tcW w:w="2551" w:type="dxa"/>
            <w:shd w:val="clear" w:color="auto" w:fill="auto"/>
          </w:tcPr>
          <w:p w14:paraId="3CC30ECF"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The Swedish Hospital Discharge Register (coverage 1973-2017); Outpatient Care Register (national coverage 2001-2017); Primary Care Registry (Partly coverage from 1999-2017)</w:t>
            </w:r>
          </w:p>
        </w:tc>
        <w:tc>
          <w:tcPr>
            <w:tcW w:w="4389" w:type="dxa"/>
            <w:shd w:val="clear" w:color="auto" w:fill="auto"/>
          </w:tcPr>
          <w:p w14:paraId="221BFDBB" w14:textId="77777777" w:rsidR="00017DE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ICD-8: 296.2, 298.0, 300.4; ICD-9: 296.2, 296.4, 298.0, 300.4; ICD-10: F32, F33.</w:t>
            </w:r>
          </w:p>
          <w:p w14:paraId="26E1C34E" w14:textId="77777777" w:rsidR="00017DE6" w:rsidRPr="002146B6" w:rsidRDefault="00017DE6" w:rsidP="00B52B6D">
            <w:pPr>
              <w:spacing w:after="0" w:line="240" w:lineRule="auto"/>
              <w:rPr>
                <w:rFonts w:ascii="Calibri Light" w:hAnsi="Calibri Light" w:cs="Calibri Light"/>
                <w:sz w:val="18"/>
                <w:szCs w:val="18"/>
                <w:lang w:val="en-US"/>
              </w:rPr>
            </w:pPr>
            <w:r w:rsidRPr="00556F9D">
              <w:rPr>
                <w:rFonts w:ascii="Calibri Light" w:hAnsi="Calibri Light" w:cs="Calibri Light"/>
                <w:b/>
                <w:sz w:val="18"/>
                <w:szCs w:val="18"/>
                <w:lang w:val="en-US"/>
              </w:rPr>
              <w:t>Note</w:t>
            </w:r>
            <w:r>
              <w:rPr>
                <w:rFonts w:ascii="Calibri Light" w:hAnsi="Calibri Light" w:cs="Calibri Light"/>
                <w:sz w:val="18"/>
                <w:szCs w:val="18"/>
                <w:lang w:val="en-US"/>
              </w:rPr>
              <w:t>: all individuals with a registration for BD were excluded.</w:t>
            </w:r>
          </w:p>
        </w:tc>
      </w:tr>
      <w:tr w:rsidR="00017DE6" w:rsidRPr="002146B6" w14:paraId="433F2824" w14:textId="77777777" w:rsidTr="00B52B6D">
        <w:tc>
          <w:tcPr>
            <w:tcW w:w="2122" w:type="dxa"/>
            <w:shd w:val="clear" w:color="auto" w:fill="auto"/>
          </w:tcPr>
          <w:p w14:paraId="45FB2C51"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 xml:space="preserve">Drug </w:t>
            </w:r>
            <w:r>
              <w:rPr>
                <w:rFonts w:ascii="Calibri Light" w:hAnsi="Calibri Light" w:cs="Calibri Light"/>
                <w:sz w:val="18"/>
                <w:szCs w:val="18"/>
                <w:lang w:val="en-US"/>
              </w:rPr>
              <w:t xml:space="preserve">Use Disorder </w:t>
            </w:r>
            <w:r w:rsidRPr="002146B6">
              <w:rPr>
                <w:rFonts w:ascii="Calibri Light" w:hAnsi="Calibri Light" w:cs="Calibri Light"/>
                <w:sz w:val="18"/>
                <w:szCs w:val="18"/>
                <w:lang w:val="en-US"/>
              </w:rPr>
              <w:t>(D</w:t>
            </w:r>
            <w:r>
              <w:rPr>
                <w:rFonts w:ascii="Calibri Light" w:hAnsi="Calibri Light" w:cs="Calibri Light"/>
                <w:sz w:val="18"/>
                <w:szCs w:val="18"/>
                <w:lang w:val="en-US"/>
              </w:rPr>
              <w:t>UD</w:t>
            </w:r>
            <w:r w:rsidRPr="002146B6">
              <w:rPr>
                <w:rFonts w:ascii="Calibri Light" w:hAnsi="Calibri Light" w:cs="Calibri Light"/>
                <w:sz w:val="18"/>
                <w:szCs w:val="18"/>
                <w:lang w:val="en-US"/>
              </w:rPr>
              <w:t>)</w:t>
            </w:r>
          </w:p>
        </w:tc>
        <w:tc>
          <w:tcPr>
            <w:tcW w:w="2551" w:type="dxa"/>
            <w:shd w:val="clear" w:color="auto" w:fill="auto"/>
          </w:tcPr>
          <w:p w14:paraId="4FDFF8AA"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 xml:space="preserve">The Swedish Hospital Discharge Register (coverage 1973-2017); Outpatient Care Register (national coverage 2001-2017); Primary Care Registry (Partly coverage from 1999-2017); the Swedish Drug Register (2005-2017); the Swedish Mortality Register, and the Swedish </w:t>
            </w:r>
            <w:r w:rsidRPr="002146B6">
              <w:rPr>
                <w:rFonts w:ascii="Calibri Light" w:hAnsi="Calibri Light" w:cs="Calibri Light"/>
                <w:sz w:val="18"/>
                <w:szCs w:val="18"/>
                <w:lang w:val="en-US"/>
              </w:rPr>
              <w:lastRenderedPageBreak/>
              <w:t>Criminal Register (1973-2017) and the Swedish Suspicion Register (1998-2017)</w:t>
            </w:r>
          </w:p>
        </w:tc>
        <w:tc>
          <w:tcPr>
            <w:tcW w:w="4389" w:type="dxa"/>
            <w:shd w:val="clear" w:color="auto" w:fill="auto"/>
          </w:tcPr>
          <w:p w14:paraId="5E537868"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lastRenderedPageBreak/>
              <w:t xml:space="preserve">Drug </w:t>
            </w:r>
            <w:r>
              <w:rPr>
                <w:rFonts w:ascii="Calibri Light" w:hAnsi="Calibri Light" w:cs="Calibri Light"/>
                <w:sz w:val="18"/>
                <w:szCs w:val="18"/>
                <w:lang w:val="en-US"/>
              </w:rPr>
              <w:t xml:space="preserve">Use Disorder </w:t>
            </w:r>
            <w:r w:rsidRPr="002146B6">
              <w:rPr>
                <w:rFonts w:ascii="Calibri Light" w:hAnsi="Calibri Light" w:cs="Calibri Light"/>
                <w:sz w:val="18"/>
                <w:szCs w:val="18"/>
                <w:lang w:val="en-US"/>
              </w:rPr>
              <w:t>(D</w:t>
            </w:r>
            <w:r>
              <w:rPr>
                <w:rFonts w:ascii="Calibri Light" w:hAnsi="Calibri Light" w:cs="Calibri Light"/>
                <w:sz w:val="18"/>
                <w:szCs w:val="18"/>
                <w:lang w:val="en-US"/>
              </w:rPr>
              <w:t>UD</w:t>
            </w:r>
            <w:r w:rsidRPr="002146B6">
              <w:rPr>
                <w:rFonts w:ascii="Calibri Light" w:hAnsi="Calibri Light" w:cs="Calibri Light"/>
                <w:sz w:val="18"/>
                <w:szCs w:val="18"/>
                <w:lang w:val="en-US"/>
              </w:rPr>
              <w:t>) was identified in the Swedish medical and mortality registries by ICD codes (ICD8: Drug dependence (304); ICD9: Drug psychoses (292) and Drug dependence (304); ICD10: Mental and behavioral disorders due to psychoactive substance use (F10-F19), except those due to alcohol (F10) or tobacco (F17)); in the Suspicion Register by codes 3070, 5010, 5011, and 5012, that reflect crimes related to D</w:t>
            </w:r>
            <w:r>
              <w:rPr>
                <w:rFonts w:ascii="Calibri Light" w:hAnsi="Calibri Light" w:cs="Calibri Light"/>
                <w:sz w:val="18"/>
                <w:szCs w:val="18"/>
                <w:lang w:val="en-US"/>
              </w:rPr>
              <w:t>UD</w:t>
            </w:r>
            <w:r w:rsidRPr="002146B6">
              <w:rPr>
                <w:rFonts w:ascii="Calibri Light" w:hAnsi="Calibri Light" w:cs="Calibri Light"/>
                <w:sz w:val="18"/>
                <w:szCs w:val="18"/>
                <w:lang w:val="en-US"/>
              </w:rPr>
              <w:t xml:space="preserve">; and in the Crime Register by references to laws covering narcotics </w:t>
            </w:r>
            <w:r w:rsidRPr="002146B6">
              <w:rPr>
                <w:rFonts w:ascii="Calibri Light" w:hAnsi="Calibri Light" w:cs="Calibri Light"/>
                <w:sz w:val="18"/>
                <w:szCs w:val="18"/>
                <w:lang w:val="en-US"/>
              </w:rPr>
              <w:lastRenderedPageBreak/>
              <w:t>(law 1968:64, paragraph 1, point 6) and drug-related driving offences (law 1951:649, paragraph 4, subsection 2 and paragraph 4A, subsection 2). D</w:t>
            </w:r>
            <w:r>
              <w:rPr>
                <w:rFonts w:ascii="Calibri Light" w:hAnsi="Calibri Light" w:cs="Calibri Light"/>
                <w:sz w:val="18"/>
                <w:szCs w:val="18"/>
                <w:lang w:val="en-US"/>
              </w:rPr>
              <w:t>UD</w:t>
            </w:r>
            <w:r w:rsidRPr="002146B6">
              <w:rPr>
                <w:rFonts w:ascii="Calibri Light" w:hAnsi="Calibri Light" w:cs="Calibri Light"/>
                <w:sz w:val="18"/>
                <w:szCs w:val="18"/>
                <w:lang w:val="en-US"/>
              </w:rPr>
              <w:t xml:space="preserve"> was identified in individuals (excluding those suffering from cancer) in the Prescribed Drug Register who had retrieved (in average) more than four defined daily doses a day for 12 months from either of Hypnotics and Sedatives (Anatomical Therapeutic Chemical (ATC) Classification System N05C and N05BA) or Opioids (ATC: N02A).</w:t>
            </w:r>
          </w:p>
        </w:tc>
      </w:tr>
      <w:tr w:rsidR="00017DE6" w:rsidRPr="002146B6" w14:paraId="4AE79EA6" w14:textId="77777777" w:rsidTr="00B52B6D">
        <w:tc>
          <w:tcPr>
            <w:tcW w:w="2122" w:type="dxa"/>
            <w:shd w:val="clear" w:color="auto" w:fill="auto"/>
          </w:tcPr>
          <w:p w14:paraId="68F3B84E" w14:textId="77777777" w:rsidR="00017DE6" w:rsidRPr="002146B6" w:rsidRDefault="00017DE6" w:rsidP="00B52B6D">
            <w:pPr>
              <w:spacing w:after="0" w:line="240" w:lineRule="auto"/>
              <w:rPr>
                <w:rFonts w:ascii="Calibri Light" w:hAnsi="Calibri Light" w:cs="Calibri Light"/>
                <w:sz w:val="18"/>
                <w:szCs w:val="18"/>
                <w:lang w:val="en-US"/>
              </w:rPr>
            </w:pPr>
            <w:r w:rsidRPr="006A1952">
              <w:rPr>
                <w:rFonts w:ascii="Calibri Light" w:hAnsi="Calibri Light" w:cs="Calibri Light"/>
                <w:sz w:val="18"/>
                <w:szCs w:val="18"/>
                <w:lang w:val="en-US"/>
              </w:rPr>
              <w:lastRenderedPageBreak/>
              <w:t>ADHD</w:t>
            </w:r>
          </w:p>
        </w:tc>
        <w:tc>
          <w:tcPr>
            <w:tcW w:w="2551" w:type="dxa"/>
            <w:shd w:val="clear" w:color="auto" w:fill="auto"/>
          </w:tcPr>
          <w:p w14:paraId="68F27042"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The Swedish Hospital Discharge Register (coverage 1973-2017); Outpatient Care Register (national coverage 2001-2017); Primary Care Registry (Partly coverage from 1999-2017)</w:t>
            </w:r>
          </w:p>
        </w:tc>
        <w:tc>
          <w:tcPr>
            <w:tcW w:w="4389" w:type="dxa"/>
            <w:shd w:val="clear" w:color="auto" w:fill="auto"/>
          </w:tcPr>
          <w:p w14:paraId="37C991B5"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 xml:space="preserve">ICD-9: </w:t>
            </w:r>
            <w:r>
              <w:rPr>
                <w:rFonts w:ascii="Calibri Light" w:hAnsi="Calibri Light" w:cs="Calibri Light"/>
                <w:sz w:val="18"/>
                <w:szCs w:val="18"/>
                <w:lang w:val="en-US"/>
              </w:rPr>
              <w:t>314</w:t>
            </w:r>
            <w:r w:rsidRPr="002146B6">
              <w:rPr>
                <w:rFonts w:ascii="Calibri Light" w:hAnsi="Calibri Light" w:cs="Calibri Light"/>
                <w:sz w:val="18"/>
                <w:szCs w:val="18"/>
                <w:lang w:val="en-US"/>
              </w:rPr>
              <w:t xml:space="preserve">; ICD-10: </w:t>
            </w:r>
            <w:r>
              <w:rPr>
                <w:rFonts w:ascii="Calibri Light" w:hAnsi="Calibri Light" w:cs="Calibri Light"/>
                <w:sz w:val="18"/>
                <w:szCs w:val="18"/>
                <w:lang w:val="en-US"/>
              </w:rPr>
              <w:t>F90</w:t>
            </w:r>
          </w:p>
        </w:tc>
      </w:tr>
      <w:tr w:rsidR="00017DE6" w:rsidRPr="002146B6" w14:paraId="1BE14BAE" w14:textId="77777777" w:rsidTr="00B52B6D">
        <w:tc>
          <w:tcPr>
            <w:tcW w:w="2122" w:type="dxa"/>
            <w:shd w:val="clear" w:color="auto" w:fill="auto"/>
          </w:tcPr>
          <w:p w14:paraId="32BE349A" w14:textId="77777777" w:rsidR="00017DE6" w:rsidRPr="002146B6" w:rsidRDefault="00017DE6" w:rsidP="00B52B6D">
            <w:pPr>
              <w:spacing w:after="0" w:line="240" w:lineRule="auto"/>
              <w:rPr>
                <w:rFonts w:ascii="Calibri Light" w:hAnsi="Calibri Light" w:cs="Calibri Light"/>
                <w:sz w:val="18"/>
                <w:szCs w:val="18"/>
                <w:lang w:val="en-US"/>
              </w:rPr>
            </w:pPr>
          </w:p>
        </w:tc>
        <w:tc>
          <w:tcPr>
            <w:tcW w:w="2551" w:type="dxa"/>
            <w:shd w:val="clear" w:color="auto" w:fill="auto"/>
          </w:tcPr>
          <w:p w14:paraId="45F4B9CF" w14:textId="77777777" w:rsidR="00017DE6" w:rsidRPr="002146B6" w:rsidRDefault="00017DE6" w:rsidP="00B52B6D">
            <w:pPr>
              <w:spacing w:after="0" w:line="240" w:lineRule="auto"/>
              <w:rPr>
                <w:rFonts w:ascii="Calibri Light" w:hAnsi="Calibri Light" w:cs="Calibri Light"/>
                <w:sz w:val="18"/>
                <w:szCs w:val="18"/>
                <w:lang w:val="en-US"/>
              </w:rPr>
            </w:pPr>
          </w:p>
        </w:tc>
        <w:tc>
          <w:tcPr>
            <w:tcW w:w="4389" w:type="dxa"/>
            <w:shd w:val="clear" w:color="auto" w:fill="auto"/>
          </w:tcPr>
          <w:p w14:paraId="58890713" w14:textId="77777777" w:rsidR="00017DE6" w:rsidRPr="002146B6" w:rsidRDefault="00017DE6" w:rsidP="00B52B6D">
            <w:pPr>
              <w:spacing w:after="0" w:line="240" w:lineRule="auto"/>
              <w:rPr>
                <w:rFonts w:ascii="Calibri Light" w:hAnsi="Calibri Light" w:cs="Calibri Light"/>
                <w:sz w:val="18"/>
                <w:szCs w:val="18"/>
                <w:lang w:val="en-US"/>
              </w:rPr>
            </w:pPr>
          </w:p>
        </w:tc>
      </w:tr>
      <w:tr w:rsidR="00017DE6" w:rsidRPr="002146B6" w14:paraId="3AABA373" w14:textId="77777777" w:rsidTr="00B52B6D">
        <w:tc>
          <w:tcPr>
            <w:tcW w:w="2122" w:type="dxa"/>
            <w:shd w:val="clear" w:color="auto" w:fill="auto"/>
          </w:tcPr>
          <w:p w14:paraId="2D211BA4" w14:textId="77777777" w:rsidR="00017DE6" w:rsidRPr="002146B6" w:rsidRDefault="00017DE6" w:rsidP="00B52B6D">
            <w:pPr>
              <w:spacing w:after="0" w:line="240" w:lineRule="auto"/>
              <w:rPr>
                <w:rFonts w:ascii="Calibri Light" w:hAnsi="Calibri Light" w:cs="Calibri Light"/>
                <w:sz w:val="18"/>
                <w:szCs w:val="18"/>
                <w:lang w:val="en-US"/>
              </w:rPr>
            </w:pPr>
            <w:r>
              <w:rPr>
                <w:rFonts w:ascii="Calibri Light" w:hAnsi="Calibri Light" w:cs="Calibri Light"/>
                <w:sz w:val="18"/>
                <w:szCs w:val="18"/>
                <w:lang w:val="en-US"/>
              </w:rPr>
              <w:t>Anxiety Disorder (AD)</w:t>
            </w:r>
          </w:p>
        </w:tc>
        <w:tc>
          <w:tcPr>
            <w:tcW w:w="2551" w:type="dxa"/>
            <w:shd w:val="clear" w:color="auto" w:fill="auto"/>
          </w:tcPr>
          <w:p w14:paraId="6A2E3CB7"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The Swedish Hospital Discharge Register (coverage 1973-2017); Outpatient Care Register (national coverage 2001-2017); Primary Care Registry (Partly coverage from 1999-2017)</w:t>
            </w:r>
          </w:p>
        </w:tc>
        <w:tc>
          <w:tcPr>
            <w:tcW w:w="4389" w:type="dxa"/>
            <w:shd w:val="clear" w:color="auto" w:fill="auto"/>
          </w:tcPr>
          <w:p w14:paraId="0ADC2607"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 xml:space="preserve">ICD-8: </w:t>
            </w:r>
            <w:r>
              <w:rPr>
                <w:rFonts w:ascii="Calibri Light" w:hAnsi="Calibri Light" w:cs="Calibri Light"/>
                <w:sz w:val="18"/>
                <w:szCs w:val="18"/>
                <w:lang w:val="en-US"/>
              </w:rPr>
              <w:t xml:space="preserve">300.0, 300.2 </w:t>
            </w:r>
            <w:r w:rsidRPr="002146B6">
              <w:rPr>
                <w:rFonts w:ascii="Calibri Light" w:hAnsi="Calibri Light" w:cs="Calibri Light"/>
                <w:sz w:val="18"/>
                <w:szCs w:val="18"/>
                <w:lang w:val="en-US"/>
              </w:rPr>
              <w:t xml:space="preserve">; ICD-9: </w:t>
            </w:r>
            <w:r>
              <w:rPr>
                <w:rFonts w:ascii="Calibri Light" w:hAnsi="Calibri Light" w:cs="Calibri Light"/>
                <w:sz w:val="18"/>
                <w:szCs w:val="18"/>
                <w:lang w:val="en-US"/>
              </w:rPr>
              <w:t>300A, 300C</w:t>
            </w:r>
            <w:r w:rsidRPr="002146B6">
              <w:rPr>
                <w:rFonts w:ascii="Calibri Light" w:hAnsi="Calibri Light" w:cs="Calibri Light"/>
                <w:sz w:val="18"/>
                <w:szCs w:val="18"/>
                <w:lang w:val="en-US"/>
              </w:rPr>
              <w:t xml:space="preserve">; ICD-10: </w:t>
            </w:r>
            <w:r>
              <w:rPr>
                <w:rFonts w:ascii="Calibri Light" w:hAnsi="Calibri Light" w:cs="Calibri Light"/>
                <w:sz w:val="18"/>
                <w:szCs w:val="18"/>
                <w:lang w:val="en-US"/>
              </w:rPr>
              <w:t>F40</w:t>
            </w:r>
            <w:r w:rsidRPr="002146B6">
              <w:rPr>
                <w:rFonts w:ascii="Calibri Light" w:hAnsi="Calibri Light" w:cs="Calibri Light"/>
                <w:sz w:val="18"/>
                <w:szCs w:val="18"/>
                <w:lang w:val="en-US"/>
              </w:rPr>
              <w:t xml:space="preserve">, </w:t>
            </w:r>
            <w:r>
              <w:rPr>
                <w:rFonts w:ascii="Calibri Light" w:hAnsi="Calibri Light" w:cs="Calibri Light"/>
                <w:sz w:val="18"/>
                <w:szCs w:val="18"/>
                <w:lang w:val="en-US"/>
              </w:rPr>
              <w:t>F41</w:t>
            </w:r>
          </w:p>
        </w:tc>
      </w:tr>
      <w:tr w:rsidR="00017DE6" w:rsidRPr="002146B6" w14:paraId="2F57DF50" w14:textId="77777777" w:rsidTr="00B52B6D">
        <w:tc>
          <w:tcPr>
            <w:tcW w:w="2122" w:type="dxa"/>
            <w:shd w:val="clear" w:color="auto" w:fill="auto"/>
          </w:tcPr>
          <w:p w14:paraId="65AA4280"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Bipolar Disorder (BD)</w:t>
            </w:r>
          </w:p>
        </w:tc>
        <w:tc>
          <w:tcPr>
            <w:tcW w:w="2551" w:type="dxa"/>
            <w:shd w:val="clear" w:color="auto" w:fill="auto"/>
          </w:tcPr>
          <w:p w14:paraId="4FC60C87"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The Swedish Hospital Discharge Register (coverage 1973-2017); Outpatient Care Register (national coverage 2001-2017); Primary Care Registry (Partly coverage from 1999-2017)</w:t>
            </w:r>
          </w:p>
        </w:tc>
        <w:tc>
          <w:tcPr>
            <w:tcW w:w="4389" w:type="dxa"/>
            <w:shd w:val="clear" w:color="auto" w:fill="auto"/>
          </w:tcPr>
          <w:p w14:paraId="7BDB83B0"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ICD-8: 296.1, 296.3, 296.8, 296.9, 298.1; ICD-9: 296A, 296C, 296D, 296E, 296W, 298B; ICD-10: F30, F31</w:t>
            </w:r>
            <w:r>
              <w:rPr>
                <w:rFonts w:ascii="Calibri Light" w:hAnsi="Calibri Light" w:cs="Calibri Light"/>
                <w:sz w:val="18"/>
                <w:szCs w:val="18"/>
                <w:lang w:val="en-US"/>
              </w:rPr>
              <w:t xml:space="preserve">. </w:t>
            </w:r>
            <w:r w:rsidRPr="00556F9D">
              <w:rPr>
                <w:rFonts w:ascii="Calibri Light" w:hAnsi="Calibri Light" w:cs="Calibri Light"/>
                <w:b/>
                <w:sz w:val="18"/>
                <w:szCs w:val="18"/>
                <w:lang w:val="en-US"/>
              </w:rPr>
              <w:t>Note</w:t>
            </w:r>
            <w:r>
              <w:rPr>
                <w:rFonts w:ascii="Calibri Light" w:hAnsi="Calibri Light" w:cs="Calibri Light"/>
                <w:sz w:val="18"/>
                <w:szCs w:val="18"/>
                <w:lang w:val="en-US"/>
              </w:rPr>
              <w:t>: BP and SZ were separated based on table below.</w:t>
            </w:r>
          </w:p>
        </w:tc>
      </w:tr>
      <w:tr w:rsidR="00017DE6" w:rsidRPr="002146B6" w14:paraId="499557F3" w14:textId="77777777" w:rsidTr="00B52B6D">
        <w:tc>
          <w:tcPr>
            <w:tcW w:w="2122" w:type="dxa"/>
            <w:shd w:val="clear" w:color="auto" w:fill="auto"/>
          </w:tcPr>
          <w:p w14:paraId="591EDAF3"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Schizophrenia (SZ)</w:t>
            </w:r>
          </w:p>
        </w:tc>
        <w:tc>
          <w:tcPr>
            <w:tcW w:w="2551" w:type="dxa"/>
            <w:shd w:val="clear" w:color="auto" w:fill="auto"/>
          </w:tcPr>
          <w:p w14:paraId="0FC282C8"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The Swedish Hospital Discharge Register (coverage 1973-2017); Outpatient Care Register (national coverage 2001-2017); Primary Care Registry (Partly coverage from 1999-2017)</w:t>
            </w:r>
          </w:p>
        </w:tc>
        <w:tc>
          <w:tcPr>
            <w:tcW w:w="4389" w:type="dxa"/>
            <w:shd w:val="clear" w:color="auto" w:fill="auto"/>
          </w:tcPr>
          <w:p w14:paraId="341FF8B7"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ICD-8: 295.1, 295.2, 2953, 295.9, 295.6; ICD-9: 295B, 295C, 295D, 295G, 295X; ICD-10: F200, F201, F202, F203, F205,  F209</w:t>
            </w:r>
            <w:r>
              <w:rPr>
                <w:rFonts w:ascii="Calibri Light" w:hAnsi="Calibri Light" w:cs="Calibri Light"/>
                <w:sz w:val="18"/>
                <w:szCs w:val="18"/>
                <w:lang w:val="en-US"/>
              </w:rPr>
              <w:t xml:space="preserve">. </w:t>
            </w:r>
            <w:r w:rsidRPr="00556F9D">
              <w:rPr>
                <w:rFonts w:ascii="Calibri Light" w:hAnsi="Calibri Light" w:cs="Calibri Light"/>
                <w:b/>
                <w:sz w:val="18"/>
                <w:szCs w:val="18"/>
                <w:lang w:val="en-US"/>
              </w:rPr>
              <w:t>Note</w:t>
            </w:r>
            <w:r>
              <w:rPr>
                <w:rFonts w:ascii="Calibri Light" w:hAnsi="Calibri Light" w:cs="Calibri Light"/>
                <w:sz w:val="18"/>
                <w:szCs w:val="18"/>
                <w:lang w:val="en-US"/>
              </w:rPr>
              <w:t>: BP and SZ were separated based on table below.</w:t>
            </w:r>
          </w:p>
        </w:tc>
      </w:tr>
      <w:tr w:rsidR="00017DE6" w:rsidRPr="002146B6" w14:paraId="3C11D6BE" w14:textId="77777777" w:rsidTr="00B52B6D">
        <w:tc>
          <w:tcPr>
            <w:tcW w:w="2122" w:type="dxa"/>
            <w:shd w:val="clear" w:color="auto" w:fill="auto"/>
          </w:tcPr>
          <w:p w14:paraId="015BEC75"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Alcohol Use Disorder (AUD)</w:t>
            </w:r>
          </w:p>
        </w:tc>
        <w:tc>
          <w:tcPr>
            <w:tcW w:w="2551" w:type="dxa"/>
            <w:shd w:val="clear" w:color="auto" w:fill="auto"/>
          </w:tcPr>
          <w:p w14:paraId="3E8AFC8D"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 xml:space="preserve">The Swedish Hospital Discharge Register (coverage 1973-2017); Outpatient Care Register (national coverage 2001-2017); Primary Care Registry (Partly coverage from 1999-2017); the Swedish Drug Register (2005-2017); the Swedish Mortality Register, and the Swedish Criminal Register (1973-2017) and the Swedish Suspicion Register (1998-2017) </w:t>
            </w:r>
          </w:p>
        </w:tc>
        <w:tc>
          <w:tcPr>
            <w:tcW w:w="4389" w:type="dxa"/>
            <w:shd w:val="clear" w:color="auto" w:fill="auto"/>
          </w:tcPr>
          <w:p w14:paraId="750781F7"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Alcohol Use Disorder (AUD) was identified in the Swedish medical and mortality registries by ICD codes: ICD9: V79B, 305A, 357F, 571A-D, 425F, 535D, 291, 303, 980; ICD 10: E244, G312, G621, G721, I426, K292, K70, K852, K860, O354, T51, F10); in the Crime Register by codes 3005, 3201, which reflect crimes related to alcohol abuse; in the Suspicion Register by codes 0004, 0005 (Only those individuals with at least two alcohol-related crimes or suspicion of crimes from both Crime Register and Suspicion Register were included); in the Prescribed Drug Register by the drugs disulfiram (Anatomical Therapeutic Chemical (ATC) Classification System N07BB01), acamprosate (N07BB03), and naltrexone (N07BB04).</w:t>
            </w:r>
          </w:p>
        </w:tc>
      </w:tr>
      <w:tr w:rsidR="00017DE6" w:rsidRPr="002146B6" w14:paraId="57A700D6" w14:textId="77777777" w:rsidTr="00B52B6D">
        <w:tc>
          <w:tcPr>
            <w:tcW w:w="2122" w:type="dxa"/>
            <w:shd w:val="clear" w:color="auto" w:fill="auto"/>
          </w:tcPr>
          <w:p w14:paraId="1368142A" w14:textId="77777777" w:rsidR="00017DE6" w:rsidRPr="002146B6" w:rsidRDefault="00017DE6" w:rsidP="00B52B6D">
            <w:pPr>
              <w:spacing w:after="0" w:line="240" w:lineRule="auto"/>
              <w:rPr>
                <w:rFonts w:ascii="Calibri Light" w:hAnsi="Calibri Light" w:cs="Calibri Light"/>
                <w:sz w:val="18"/>
                <w:szCs w:val="18"/>
                <w:lang w:val="en-US"/>
              </w:rPr>
            </w:pPr>
            <w:r w:rsidRPr="006A1952">
              <w:rPr>
                <w:rFonts w:ascii="Calibri Light" w:hAnsi="Calibri Light" w:cs="Calibri Light"/>
                <w:sz w:val="18"/>
                <w:szCs w:val="18"/>
                <w:lang w:val="en-US"/>
              </w:rPr>
              <w:t>Autism spectrum disorder (ASD)</w:t>
            </w:r>
          </w:p>
        </w:tc>
        <w:tc>
          <w:tcPr>
            <w:tcW w:w="2551" w:type="dxa"/>
            <w:shd w:val="clear" w:color="auto" w:fill="auto"/>
          </w:tcPr>
          <w:p w14:paraId="1ADA3A45"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The Swedish Hospital Discharge Register (coverage 1973-2017); Outpatient Care Register (national coverage 2001-2017); Primary Care Registry (Partly coverage from 1999-2017)</w:t>
            </w:r>
          </w:p>
        </w:tc>
        <w:tc>
          <w:tcPr>
            <w:tcW w:w="4389" w:type="dxa"/>
            <w:shd w:val="clear" w:color="auto" w:fill="auto"/>
          </w:tcPr>
          <w:p w14:paraId="40FA2695" w14:textId="77777777" w:rsidR="00017DE6" w:rsidRPr="002146B6" w:rsidRDefault="00017DE6" w:rsidP="00B52B6D">
            <w:pPr>
              <w:spacing w:after="0" w:line="240" w:lineRule="auto"/>
              <w:rPr>
                <w:rFonts w:ascii="Calibri Light" w:hAnsi="Calibri Light" w:cs="Calibri Light"/>
                <w:sz w:val="18"/>
                <w:szCs w:val="18"/>
                <w:lang w:val="en-US"/>
              </w:rPr>
            </w:pPr>
            <w:r w:rsidRPr="002146B6">
              <w:rPr>
                <w:rFonts w:ascii="Calibri Light" w:hAnsi="Calibri Light" w:cs="Calibri Light"/>
                <w:sz w:val="18"/>
                <w:szCs w:val="18"/>
                <w:lang w:val="en-US"/>
              </w:rPr>
              <w:t xml:space="preserve">ICD-9: </w:t>
            </w:r>
            <w:r>
              <w:rPr>
                <w:rFonts w:ascii="Calibri Light" w:hAnsi="Calibri Light" w:cs="Calibri Light"/>
                <w:sz w:val="18"/>
                <w:szCs w:val="18"/>
                <w:lang w:val="en-US"/>
              </w:rPr>
              <w:t>299</w:t>
            </w:r>
            <w:r w:rsidRPr="002146B6">
              <w:rPr>
                <w:rFonts w:ascii="Calibri Light" w:hAnsi="Calibri Light" w:cs="Calibri Light"/>
                <w:sz w:val="18"/>
                <w:szCs w:val="18"/>
                <w:lang w:val="en-US"/>
              </w:rPr>
              <w:t xml:space="preserve">; ICD-10: </w:t>
            </w:r>
            <w:r>
              <w:rPr>
                <w:rFonts w:ascii="Calibri Light" w:hAnsi="Calibri Light" w:cs="Calibri Light"/>
                <w:sz w:val="18"/>
                <w:szCs w:val="18"/>
                <w:lang w:val="en-US"/>
              </w:rPr>
              <w:t>F840, F841, F845, F849</w:t>
            </w:r>
          </w:p>
        </w:tc>
      </w:tr>
    </w:tbl>
    <w:p w14:paraId="27DE8499" w14:textId="77777777" w:rsidR="00017DE6" w:rsidRDefault="00017DE6" w:rsidP="00017DE6">
      <w:pPr>
        <w:spacing w:after="0" w:line="240" w:lineRule="auto"/>
        <w:rPr>
          <w:rFonts w:asciiTheme="majorHAnsi" w:hAnsiTheme="majorHAnsi" w:cstheme="majorHAnsi"/>
          <w:color w:val="212121"/>
          <w:shd w:val="clear" w:color="auto" w:fill="FFFFFF"/>
          <w:lang w:val="en-US"/>
        </w:rPr>
      </w:pPr>
    </w:p>
    <w:p w14:paraId="606DE515" w14:textId="72FA5315" w:rsidR="00017DE6" w:rsidRDefault="00017DE6" w:rsidP="00185F70">
      <w:pPr>
        <w:spacing w:after="0" w:line="240" w:lineRule="auto"/>
        <w:rPr>
          <w:rFonts w:asciiTheme="majorHAnsi" w:hAnsiTheme="majorHAnsi" w:cstheme="majorHAnsi"/>
          <w:color w:val="212121"/>
          <w:shd w:val="clear" w:color="auto" w:fill="FFFFFF"/>
          <w:lang w:val="en-US"/>
        </w:rPr>
      </w:pPr>
    </w:p>
    <w:p w14:paraId="08524185" w14:textId="77777777" w:rsidR="00017DE6" w:rsidRPr="00042932" w:rsidRDefault="00017DE6" w:rsidP="00185F70">
      <w:pPr>
        <w:spacing w:after="0" w:line="240" w:lineRule="auto"/>
        <w:rPr>
          <w:rFonts w:asciiTheme="majorHAnsi" w:hAnsiTheme="majorHAnsi" w:cstheme="majorHAnsi"/>
          <w:color w:val="212121"/>
          <w:shd w:val="clear" w:color="auto" w:fill="FFFFFF"/>
          <w:lang w:val="en-US"/>
        </w:rPr>
      </w:pPr>
    </w:p>
    <w:p w14:paraId="6C6B2799" w14:textId="65DB1B8E" w:rsidR="00BF058E" w:rsidRPr="00042932" w:rsidRDefault="00BF058E" w:rsidP="00185F70">
      <w:pPr>
        <w:spacing w:after="0" w:line="240" w:lineRule="auto"/>
        <w:rPr>
          <w:rFonts w:asciiTheme="majorHAnsi" w:hAnsiTheme="majorHAnsi" w:cstheme="majorHAnsi"/>
          <w:color w:val="212121"/>
          <w:shd w:val="clear" w:color="auto" w:fill="FFFFFF"/>
          <w:lang w:val="en-US"/>
        </w:rPr>
      </w:pPr>
    </w:p>
    <w:p w14:paraId="707BBED3" w14:textId="77777777" w:rsidR="00447B82" w:rsidRDefault="00447B82" w:rsidP="00042932">
      <w:pPr>
        <w:pStyle w:val="PlainText"/>
        <w:ind w:left="3240" w:firstLine="0"/>
        <w:rPr>
          <w:rFonts w:ascii="Calibri Light" w:hAnsi="Calibri Light" w:cs="Calibri Light"/>
          <w:b/>
          <w:bCs/>
        </w:rPr>
      </w:pPr>
    </w:p>
    <w:p w14:paraId="55EEEF97" w14:textId="536D7E34" w:rsidR="00FA714F" w:rsidRDefault="00FA714F" w:rsidP="00FA714F">
      <w:pPr>
        <w:rPr>
          <w:rFonts w:asciiTheme="majorHAnsi" w:hAnsiTheme="majorHAnsi" w:cstheme="majorHAnsi"/>
          <w:lang w:val="en-US"/>
        </w:rPr>
      </w:pPr>
    </w:p>
    <w:p w14:paraId="595E2C32" w14:textId="079711C6" w:rsidR="007D2E4A" w:rsidRDefault="007D2E4A" w:rsidP="00FA714F">
      <w:pPr>
        <w:rPr>
          <w:rFonts w:ascii="Calibri Light" w:hAnsi="Calibri Light" w:cs="Calibri Light"/>
          <w:lang w:val="en-US"/>
        </w:rPr>
      </w:pPr>
    </w:p>
    <w:p w14:paraId="7A0969B9" w14:textId="415718DD" w:rsidR="003A20E4" w:rsidRPr="00C97F00" w:rsidRDefault="003A20E4" w:rsidP="003A20E4">
      <w:pPr>
        <w:jc w:val="center"/>
        <w:rPr>
          <w:rFonts w:ascii="Calibri Light" w:hAnsi="Calibri Light" w:cs="Calibri Light"/>
          <w:lang w:val="en-US"/>
        </w:rPr>
      </w:pPr>
      <w:r w:rsidRPr="00C97F00">
        <w:rPr>
          <w:rFonts w:ascii="Calibri Light" w:hAnsi="Calibri Light" w:cs="Calibri Light"/>
          <w:lang w:val="en-US"/>
        </w:rPr>
        <w:lastRenderedPageBreak/>
        <w:t xml:space="preserve">Table </w:t>
      </w:r>
      <w:r w:rsidR="00B87BB0" w:rsidRPr="00C97F00">
        <w:rPr>
          <w:rFonts w:ascii="Calibri Light" w:hAnsi="Calibri Light" w:cs="Calibri Light"/>
          <w:lang w:val="en-US"/>
        </w:rPr>
        <w:t>3</w:t>
      </w:r>
      <w:r w:rsidRPr="00C97F00">
        <w:rPr>
          <w:rFonts w:ascii="Calibri Light" w:hAnsi="Calibri Light" w:cs="Calibri Light"/>
          <w:lang w:val="en-US"/>
        </w:rPr>
        <w:t xml:space="preserve"> - Definition of clinical features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04"/>
      </w:tblGrid>
      <w:tr w:rsidR="003A20E4" w:rsidRPr="002146B6" w14:paraId="3DE781E7" w14:textId="77777777" w:rsidTr="00447B82">
        <w:tc>
          <w:tcPr>
            <w:tcW w:w="2122" w:type="dxa"/>
            <w:shd w:val="clear" w:color="auto" w:fill="auto"/>
          </w:tcPr>
          <w:p w14:paraId="5629DBDC" w14:textId="77777777" w:rsidR="003A20E4" w:rsidRPr="005D603F" w:rsidRDefault="003A20E4" w:rsidP="00447B82">
            <w:pPr>
              <w:spacing w:after="0" w:line="240" w:lineRule="auto"/>
              <w:rPr>
                <w:rFonts w:ascii="Calibri Light" w:hAnsi="Calibri Light" w:cs="Calibri Light"/>
                <w:b/>
                <w:lang w:val="en-US"/>
              </w:rPr>
            </w:pPr>
            <w:r w:rsidRPr="005D603F">
              <w:rPr>
                <w:rFonts w:ascii="Calibri Light" w:hAnsi="Calibri Light" w:cs="Calibri Light"/>
                <w:b/>
                <w:lang w:val="en-US"/>
              </w:rPr>
              <w:t>Clinical Feature</w:t>
            </w:r>
          </w:p>
        </w:tc>
        <w:tc>
          <w:tcPr>
            <w:tcW w:w="6804" w:type="dxa"/>
            <w:shd w:val="clear" w:color="auto" w:fill="auto"/>
          </w:tcPr>
          <w:p w14:paraId="1EE4784A" w14:textId="77777777" w:rsidR="003A20E4" w:rsidRPr="005D603F" w:rsidRDefault="003A20E4" w:rsidP="00447B82">
            <w:pPr>
              <w:spacing w:after="0" w:line="240" w:lineRule="auto"/>
              <w:rPr>
                <w:rFonts w:ascii="Calibri Light" w:hAnsi="Calibri Light" w:cs="Calibri Light"/>
                <w:b/>
                <w:lang w:val="en-US"/>
              </w:rPr>
            </w:pPr>
            <w:r w:rsidRPr="005D603F">
              <w:rPr>
                <w:rFonts w:ascii="Calibri Light" w:hAnsi="Calibri Light" w:cs="Calibri Light"/>
                <w:b/>
                <w:lang w:val="en-US"/>
              </w:rPr>
              <w:t xml:space="preserve">Definition </w:t>
            </w:r>
          </w:p>
        </w:tc>
      </w:tr>
      <w:tr w:rsidR="003A20E4" w:rsidRPr="005B25E4" w14:paraId="1EDDECEA" w14:textId="77777777" w:rsidTr="00447B82">
        <w:tc>
          <w:tcPr>
            <w:tcW w:w="2122" w:type="dxa"/>
            <w:shd w:val="clear" w:color="auto" w:fill="auto"/>
          </w:tcPr>
          <w:p w14:paraId="756F5EA5"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Age at Onset (AAO)</w:t>
            </w:r>
          </w:p>
        </w:tc>
        <w:tc>
          <w:tcPr>
            <w:tcW w:w="6804" w:type="dxa"/>
            <w:shd w:val="clear" w:color="auto" w:fill="auto"/>
          </w:tcPr>
          <w:p w14:paraId="4C8ED714"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Age at first registration in either of the registers</w:t>
            </w:r>
          </w:p>
        </w:tc>
      </w:tr>
      <w:tr w:rsidR="003A20E4" w:rsidRPr="005B25E4" w14:paraId="10DB04AA" w14:textId="77777777" w:rsidTr="00447B82">
        <w:tc>
          <w:tcPr>
            <w:tcW w:w="2122" w:type="dxa"/>
            <w:shd w:val="clear" w:color="auto" w:fill="auto"/>
          </w:tcPr>
          <w:p w14:paraId="42D68DE5"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Number of recurrences</w:t>
            </w:r>
          </w:p>
        </w:tc>
        <w:tc>
          <w:tcPr>
            <w:tcW w:w="6804" w:type="dxa"/>
            <w:shd w:val="clear" w:color="auto" w:fill="auto"/>
          </w:tcPr>
          <w:p w14:paraId="3C0E6F92"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Total number of registrations in all registers. Note that registrations within 90 days from the previous registration is not counted.</w:t>
            </w:r>
          </w:p>
        </w:tc>
      </w:tr>
      <w:tr w:rsidR="003A20E4" w:rsidRPr="005814F2" w14:paraId="2B6AE039" w14:textId="77777777" w:rsidTr="00447B82">
        <w:tc>
          <w:tcPr>
            <w:tcW w:w="2122" w:type="dxa"/>
            <w:shd w:val="clear" w:color="auto" w:fill="auto"/>
          </w:tcPr>
          <w:p w14:paraId="3D4EB251" w14:textId="2ADE88F9"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Type of ascertainment 1 (DUD)</w:t>
            </w:r>
          </w:p>
        </w:tc>
        <w:tc>
          <w:tcPr>
            <w:tcW w:w="6804" w:type="dxa"/>
            <w:shd w:val="clear" w:color="auto" w:fill="auto"/>
          </w:tcPr>
          <w:p w14:paraId="0F1BAEFC" w14:textId="77777777" w:rsidR="003A20E4" w:rsidRDefault="003A20E4" w:rsidP="00447B82">
            <w:pPr>
              <w:rPr>
                <w:rFonts w:ascii="Calibri Light" w:hAnsi="Calibri Light" w:cs="Calibri Light"/>
                <w:lang w:val="en-US"/>
              </w:rPr>
            </w:pPr>
            <w:r w:rsidRPr="005D603F">
              <w:rPr>
                <w:rFonts w:ascii="Calibri Light" w:hAnsi="Calibri Light" w:cs="Calibri Light"/>
                <w:lang w:val="en-US"/>
              </w:rPr>
              <w:t>Registration in the criminal registers, the medical registers or the prescriptions register. Here we used a hierarchy – (1) criminal, (2) medical, (3) prescription - for individuals with multiple registrations.</w:t>
            </w:r>
          </w:p>
          <w:p w14:paraId="3414C00E"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 xml:space="preserve">Gr 1: </w:t>
            </w:r>
            <w:r>
              <w:rPr>
                <w:rFonts w:ascii="Calibri Light" w:hAnsi="Calibri Light" w:cs="Calibri Light"/>
                <w:lang w:val="en-US"/>
              </w:rPr>
              <w:t>55.2</w:t>
            </w:r>
            <w:r w:rsidRPr="005D603F">
              <w:rPr>
                <w:rFonts w:ascii="Calibri Light" w:hAnsi="Calibri Light" w:cs="Calibri Light"/>
                <w:lang w:val="en-US"/>
              </w:rPr>
              <w:t>%</w:t>
            </w:r>
          </w:p>
          <w:p w14:paraId="1B18B001"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Gr2</w:t>
            </w:r>
            <w:r>
              <w:rPr>
                <w:rFonts w:ascii="Calibri Light" w:hAnsi="Calibri Light" w:cs="Calibri Light"/>
                <w:lang w:val="en-US"/>
              </w:rPr>
              <w:t>: 37.3</w:t>
            </w:r>
            <w:r w:rsidRPr="005D603F">
              <w:rPr>
                <w:rFonts w:ascii="Calibri Light" w:hAnsi="Calibri Light" w:cs="Calibri Light"/>
                <w:lang w:val="en-US"/>
              </w:rPr>
              <w:t>%</w:t>
            </w:r>
          </w:p>
          <w:p w14:paraId="1D24E4D1" w14:textId="77777777" w:rsidR="003A20E4" w:rsidRPr="005D603F" w:rsidRDefault="003A20E4" w:rsidP="00447B82">
            <w:pPr>
              <w:rPr>
                <w:rFonts w:ascii="Calibri Light" w:hAnsi="Calibri Light" w:cs="Calibri Light"/>
                <w:lang w:val="en-US"/>
              </w:rPr>
            </w:pPr>
            <w:r>
              <w:rPr>
                <w:rFonts w:ascii="Calibri Light" w:hAnsi="Calibri Light" w:cs="Calibri Light"/>
                <w:lang w:val="en-US"/>
              </w:rPr>
              <w:t>Gr3: 7.7</w:t>
            </w:r>
            <w:r w:rsidRPr="005D603F">
              <w:rPr>
                <w:rFonts w:ascii="Calibri Light" w:hAnsi="Calibri Light" w:cs="Calibri Light"/>
                <w:lang w:val="en-US"/>
              </w:rPr>
              <w:t>%</w:t>
            </w:r>
          </w:p>
        </w:tc>
      </w:tr>
      <w:tr w:rsidR="003A20E4" w:rsidRPr="005814F2" w14:paraId="00C94170" w14:textId="77777777" w:rsidTr="00447B82">
        <w:tc>
          <w:tcPr>
            <w:tcW w:w="2122" w:type="dxa"/>
            <w:shd w:val="clear" w:color="auto" w:fill="auto"/>
          </w:tcPr>
          <w:p w14:paraId="3E28AA52"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Type of ascertainment 2 (DUD)</w:t>
            </w:r>
          </w:p>
        </w:tc>
        <w:tc>
          <w:tcPr>
            <w:tcW w:w="6804" w:type="dxa"/>
            <w:shd w:val="clear" w:color="auto" w:fill="auto"/>
          </w:tcPr>
          <w:p w14:paraId="391AEDCC"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For individuals with a DUD registration in the medical registers we used a hierarchy and categorized individuals into three groups; (1) at least one registration in the inpatient register, (2) registration in the specialist care, and (3) registration in primary care only.</w:t>
            </w:r>
          </w:p>
          <w:p w14:paraId="59217510"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 1: 63.4%</w:t>
            </w:r>
          </w:p>
          <w:p w14:paraId="7394CB5D"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Gr2: 25.1%</w:t>
            </w:r>
          </w:p>
          <w:p w14:paraId="2E4AA5D9"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Gr3: 6.6%</w:t>
            </w:r>
          </w:p>
        </w:tc>
      </w:tr>
      <w:tr w:rsidR="003A20E4" w:rsidRPr="005814F2" w14:paraId="63C8E1B8" w14:textId="77777777" w:rsidTr="00447B82">
        <w:tc>
          <w:tcPr>
            <w:tcW w:w="2122" w:type="dxa"/>
            <w:shd w:val="clear" w:color="auto" w:fill="auto"/>
          </w:tcPr>
          <w:p w14:paraId="43E023BA"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Type of ascertainment  (ADHD)</w:t>
            </w:r>
          </w:p>
        </w:tc>
        <w:tc>
          <w:tcPr>
            <w:tcW w:w="6804" w:type="dxa"/>
            <w:shd w:val="clear" w:color="auto" w:fill="auto"/>
          </w:tcPr>
          <w:p w14:paraId="08C77FB3"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For individuals with an ADHD registration we used a hierarchy and categorized individuals into three groups; (1) at least one registration in the inpatient register, (2) registration in the specialist care, and (3) registration in primary care only.</w:t>
            </w:r>
          </w:p>
          <w:p w14:paraId="687AAEE5"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 1: 8.2%</w:t>
            </w:r>
          </w:p>
          <w:p w14:paraId="45948239"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Gr2: 82.8%</w:t>
            </w:r>
          </w:p>
          <w:p w14:paraId="6D54A849"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Gr3: 9.0%</w:t>
            </w:r>
          </w:p>
        </w:tc>
      </w:tr>
      <w:tr w:rsidR="003A20E4" w:rsidRPr="005B25E4" w14:paraId="5A6D59AF" w14:textId="77777777" w:rsidTr="00447B82">
        <w:tc>
          <w:tcPr>
            <w:tcW w:w="2122" w:type="dxa"/>
            <w:shd w:val="clear" w:color="auto" w:fill="auto"/>
          </w:tcPr>
          <w:p w14:paraId="2C882A95"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Type of ascertainment   (MD)</w:t>
            </w:r>
          </w:p>
        </w:tc>
        <w:tc>
          <w:tcPr>
            <w:tcW w:w="6804" w:type="dxa"/>
            <w:shd w:val="clear" w:color="auto" w:fill="auto"/>
          </w:tcPr>
          <w:p w14:paraId="7ED66EB1"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For individuals with a MD registration we used a hierarchy and categorized individuals into four groups; (1)  individuals who had a Suicide Attempt at the same day as their MD registration; (2) at least one registration in the inpatient register, (3) registration in the specialist care, and (4) registration in primary care only.</w:t>
            </w:r>
          </w:p>
          <w:p w14:paraId="036170F8"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 1: 0.9%</w:t>
            </w:r>
          </w:p>
          <w:p w14:paraId="4C378687"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Gr2: 7.7%</w:t>
            </w:r>
          </w:p>
          <w:p w14:paraId="0930B7DF"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Gr3: 24.0%</w:t>
            </w:r>
          </w:p>
          <w:p w14:paraId="2D0A9CC9"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Gr4: 67.5%</w:t>
            </w:r>
          </w:p>
          <w:p w14:paraId="0B2D9C65" w14:textId="77777777" w:rsidR="003A20E4" w:rsidRPr="005D603F" w:rsidRDefault="003A20E4" w:rsidP="00447B82">
            <w:pPr>
              <w:rPr>
                <w:rFonts w:ascii="Calibri Light" w:hAnsi="Calibri Light" w:cs="Calibri Light"/>
                <w:lang w:val="en-US"/>
              </w:rPr>
            </w:pPr>
          </w:p>
          <w:p w14:paraId="6FD58C34"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lastRenderedPageBreak/>
              <w:t xml:space="preserve">Suicide attempts were defined using the following ICD codes in the Swedish medical registers: ICD-8 codes E950-E959, E980-987 </w:t>
            </w:r>
          </w:p>
          <w:p w14:paraId="6E70ABF6"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ICD-9 codes E950-E959, E980-987</w:t>
            </w:r>
          </w:p>
          <w:p w14:paraId="7381ECFB"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ICD-10 codes X60-X84, Y10-Y34</w:t>
            </w:r>
          </w:p>
        </w:tc>
      </w:tr>
      <w:tr w:rsidR="003A20E4" w:rsidRPr="005814F2" w14:paraId="5435FD3C" w14:textId="77777777" w:rsidTr="00447B82">
        <w:tc>
          <w:tcPr>
            <w:tcW w:w="2122" w:type="dxa"/>
            <w:shd w:val="clear" w:color="auto" w:fill="auto"/>
          </w:tcPr>
          <w:p w14:paraId="30167C32"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lastRenderedPageBreak/>
              <w:t>Clinical severity for MD</w:t>
            </w:r>
          </w:p>
        </w:tc>
        <w:tc>
          <w:tcPr>
            <w:tcW w:w="6804" w:type="dxa"/>
            <w:shd w:val="clear" w:color="auto" w:fill="auto"/>
          </w:tcPr>
          <w:p w14:paraId="69A75A09"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 xml:space="preserve">Only measured in individuals registered with MD during the period ICD10 was used (1997 and onwards). We categorized individuals into three groups, also a hierarchy; severe, (ICD10: F32.2 – N: 32,223 (21.2%)); moderate (ICD10: F32.1; N: 79,098 (51.9%)) and mild (ICD10: F32.0 – N: 40.982 (26.9%)) single episode. 152,303 individuals were included in this analysis. </w:t>
            </w:r>
          </w:p>
        </w:tc>
      </w:tr>
      <w:tr w:rsidR="003A20E4" w:rsidRPr="005814F2" w14:paraId="37518386" w14:textId="77777777" w:rsidTr="00447B82">
        <w:tc>
          <w:tcPr>
            <w:tcW w:w="2122" w:type="dxa"/>
            <w:shd w:val="clear" w:color="auto" w:fill="auto"/>
          </w:tcPr>
          <w:p w14:paraId="3640CB34"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Treatment (MD)</w:t>
            </w:r>
          </w:p>
        </w:tc>
        <w:tc>
          <w:tcPr>
            <w:tcW w:w="6804" w:type="dxa"/>
            <w:shd w:val="clear" w:color="auto" w:fill="auto"/>
          </w:tcPr>
          <w:p w14:paraId="6EC04CA6"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 xml:space="preserve">Electroconvulsive therapy (ECT) information was only available from 2006 and onwards, so this analysis was only performed among individuals who had an MD registration during this period. ECT was defined using the following operation codes: DA006, DA024, and DA025. Individuals with at least one registration with ECT was categorized as treated. </w:t>
            </w:r>
          </w:p>
          <w:p w14:paraId="62497670"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588,656 individuals were included in this analysis. 7,7706 (1.31%) were treated with ECT</w:t>
            </w:r>
          </w:p>
        </w:tc>
      </w:tr>
      <w:tr w:rsidR="003A20E4" w:rsidRPr="005814F2" w14:paraId="5E5FBE59" w14:textId="77777777" w:rsidTr="00447B82">
        <w:tc>
          <w:tcPr>
            <w:tcW w:w="2122" w:type="dxa"/>
            <w:shd w:val="clear" w:color="auto" w:fill="auto"/>
          </w:tcPr>
          <w:p w14:paraId="4D2F878B"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Treatment (ADHD)</w:t>
            </w:r>
          </w:p>
        </w:tc>
        <w:tc>
          <w:tcPr>
            <w:tcW w:w="6804" w:type="dxa"/>
            <w:shd w:val="clear" w:color="auto" w:fill="auto"/>
          </w:tcPr>
          <w:p w14:paraId="336FAD7F" w14:textId="77777777" w:rsidR="003A20E4" w:rsidRPr="005D603F" w:rsidRDefault="003A20E4" w:rsidP="00447B82">
            <w:pPr>
              <w:rPr>
                <w:rFonts w:ascii="Calibri Light" w:hAnsi="Calibri Light" w:cs="Calibri Light"/>
                <w:lang w:val="en-US"/>
              </w:rPr>
            </w:pPr>
            <w:r w:rsidRPr="005D603F">
              <w:rPr>
                <w:rFonts w:ascii="Calibri Light" w:hAnsi="Calibri Light" w:cs="Calibri Light"/>
                <w:lang w:val="en-US"/>
              </w:rPr>
              <w:t xml:space="preserve">Stimulant users were defined using the Swedish prescription register. ATC codes: N06BA04, N06BA09, N06BA01, N06BA02. 54,720 (80.3%) were registered as stimulants users and 13,394 (19.7%) as no stimulant users. In total 68,114 individuals were included in this analysis. </w:t>
            </w:r>
          </w:p>
        </w:tc>
      </w:tr>
      <w:tr w:rsidR="003A20E4" w:rsidRPr="005814F2" w14:paraId="60974B9B" w14:textId="77777777" w:rsidTr="00447B82">
        <w:tc>
          <w:tcPr>
            <w:tcW w:w="2122" w:type="dxa"/>
            <w:shd w:val="clear" w:color="auto" w:fill="auto"/>
          </w:tcPr>
          <w:p w14:paraId="1A1634AD" w14:textId="77777777" w:rsidR="003A20E4" w:rsidRPr="002146B6" w:rsidRDefault="003A20E4" w:rsidP="00447B82">
            <w:pPr>
              <w:spacing w:after="0" w:line="240" w:lineRule="auto"/>
              <w:rPr>
                <w:rFonts w:ascii="Calibri Light" w:hAnsi="Calibri Light" w:cs="Calibri Light"/>
                <w:sz w:val="18"/>
                <w:szCs w:val="18"/>
                <w:lang w:val="en-US"/>
              </w:rPr>
            </w:pPr>
          </w:p>
        </w:tc>
        <w:tc>
          <w:tcPr>
            <w:tcW w:w="6804" w:type="dxa"/>
            <w:shd w:val="clear" w:color="auto" w:fill="auto"/>
          </w:tcPr>
          <w:p w14:paraId="60EF8A3E" w14:textId="77777777" w:rsidR="003A20E4" w:rsidRPr="002146B6" w:rsidRDefault="003A20E4" w:rsidP="00447B82">
            <w:pPr>
              <w:spacing w:after="0" w:line="240" w:lineRule="auto"/>
              <w:rPr>
                <w:rFonts w:ascii="Calibri Light" w:hAnsi="Calibri Light" w:cs="Calibri Light"/>
                <w:sz w:val="18"/>
                <w:szCs w:val="18"/>
                <w:lang w:val="en-US"/>
              </w:rPr>
            </w:pPr>
          </w:p>
        </w:tc>
      </w:tr>
    </w:tbl>
    <w:p w14:paraId="273C6668" w14:textId="77777777" w:rsidR="003A20E4" w:rsidRDefault="003A20E4" w:rsidP="003A20E4">
      <w:pPr>
        <w:rPr>
          <w:rFonts w:ascii="Calibri Light" w:hAnsi="Calibri Light" w:cs="Calibri Light"/>
          <w:lang w:val="en-US"/>
        </w:rPr>
      </w:pPr>
    </w:p>
    <w:p w14:paraId="5B3F0F74" w14:textId="77777777" w:rsidR="003A20E4" w:rsidRDefault="003A20E4" w:rsidP="003A20E4">
      <w:pPr>
        <w:jc w:val="center"/>
        <w:rPr>
          <w:b/>
          <w:lang w:val="en-US"/>
        </w:rPr>
      </w:pPr>
    </w:p>
    <w:p w14:paraId="1D40B08E" w14:textId="77777777" w:rsidR="003A20E4" w:rsidRDefault="003A20E4" w:rsidP="003A20E4">
      <w:pPr>
        <w:jc w:val="center"/>
        <w:rPr>
          <w:b/>
          <w:lang w:val="en-US"/>
        </w:rPr>
      </w:pPr>
    </w:p>
    <w:p w14:paraId="55C20223" w14:textId="77777777" w:rsidR="003A20E4" w:rsidRDefault="003A20E4" w:rsidP="003A20E4">
      <w:pPr>
        <w:jc w:val="center"/>
        <w:rPr>
          <w:b/>
          <w:lang w:val="en-US"/>
        </w:rPr>
      </w:pPr>
    </w:p>
    <w:p w14:paraId="3EC658FC" w14:textId="77777777" w:rsidR="003A20E4" w:rsidRDefault="003A20E4">
      <w:pPr>
        <w:rPr>
          <w:rFonts w:ascii="Calibri Light" w:hAnsi="Calibri Light" w:cs="Calibri Light"/>
          <w:b/>
          <w:bCs/>
          <w:lang w:val="en-US"/>
        </w:rPr>
      </w:pPr>
      <w:r>
        <w:rPr>
          <w:rFonts w:ascii="Calibri Light" w:hAnsi="Calibri Light" w:cs="Calibri Light"/>
          <w:b/>
          <w:bCs/>
          <w:lang w:val="en-US"/>
        </w:rPr>
        <w:br w:type="page"/>
      </w:r>
    </w:p>
    <w:p w14:paraId="0710100D" w14:textId="23CE7264" w:rsidR="00445E1B" w:rsidRDefault="00445E1B" w:rsidP="00445E1B">
      <w:pPr>
        <w:jc w:val="center"/>
        <w:rPr>
          <w:rFonts w:ascii="Calibri Light" w:hAnsi="Calibri Light" w:cs="Calibri Light"/>
          <w:lang w:val="en-US"/>
        </w:rPr>
      </w:pPr>
      <w:r>
        <w:rPr>
          <w:rFonts w:ascii="Calibri Light" w:hAnsi="Calibri Light" w:cs="Calibri Light"/>
          <w:lang w:val="en-US"/>
        </w:rPr>
        <w:lastRenderedPageBreak/>
        <w:t>Table 4 -Steps for the Calculation of the FGRS</w:t>
      </w:r>
    </w:p>
    <w:tbl>
      <w:tblPr>
        <w:tblStyle w:val="TableGrid"/>
        <w:tblW w:w="0" w:type="auto"/>
        <w:tblLook w:val="04A0" w:firstRow="1" w:lastRow="0" w:firstColumn="1" w:lastColumn="0" w:noHBand="0" w:noVBand="1"/>
      </w:tblPr>
      <w:tblGrid>
        <w:gridCol w:w="9072"/>
      </w:tblGrid>
      <w:tr w:rsidR="00445E1B" w14:paraId="7211EEEE" w14:textId="77777777" w:rsidTr="00445E1B">
        <w:tc>
          <w:tcPr>
            <w:tcW w:w="9072" w:type="dxa"/>
          </w:tcPr>
          <w:p w14:paraId="2890824B" w14:textId="77777777" w:rsidR="00445E1B" w:rsidRDefault="00445E1B" w:rsidP="00445E1B">
            <w:pPr>
              <w:spacing w:before="100" w:beforeAutospacing="1" w:after="100" w:afterAutospacing="1"/>
              <w:contextualSpacing/>
            </w:pPr>
            <w:r w:rsidRPr="0023688A">
              <w:t xml:space="preserve">The </w:t>
            </w:r>
            <w:r>
              <w:t>dataset</w:t>
            </w:r>
            <w:r w:rsidRPr="0023688A">
              <w:t xml:space="preserve"> for the calculations</w:t>
            </w:r>
            <w:r>
              <w:t xml:space="preserve"> includes:</w:t>
            </w:r>
          </w:p>
          <w:p w14:paraId="4AE35009" w14:textId="77777777" w:rsidR="00445E1B" w:rsidRDefault="00445E1B" w:rsidP="00445E1B">
            <w:pPr>
              <w:spacing w:before="100" w:beforeAutospacing="1" w:after="100" w:afterAutospacing="1"/>
              <w:contextualSpacing/>
            </w:pPr>
            <w:r>
              <w:t>Column</w:t>
            </w:r>
            <w:r w:rsidRPr="0023688A">
              <w:t>1</w:t>
            </w:r>
            <w:r>
              <w:t xml:space="preserve"> = Identification number of the proband (Born 1932-1995)</w:t>
            </w:r>
          </w:p>
          <w:p w14:paraId="0D824C7A" w14:textId="77777777" w:rsidR="00445E1B" w:rsidRPr="0056447B" w:rsidRDefault="00445E1B" w:rsidP="00445E1B">
            <w:pPr>
              <w:spacing w:before="100" w:beforeAutospacing="1" w:after="100" w:afterAutospacing="1"/>
              <w:contextualSpacing/>
            </w:pPr>
            <w:r>
              <w:t xml:space="preserve">Column2 = Identification number of the relative (1st to 5th degree relatives) </w:t>
            </w:r>
          </w:p>
          <w:p w14:paraId="5ABCAAAD" w14:textId="77777777" w:rsidR="00445E1B" w:rsidRPr="0023688A" w:rsidRDefault="00445E1B" w:rsidP="00445E1B">
            <w:pPr>
              <w:spacing w:before="100" w:beforeAutospacing="1" w:after="100" w:afterAutospacing="1"/>
              <w:contextualSpacing/>
            </w:pPr>
            <w:r>
              <w:t>Column3 = Proportion of shared additive genetic effects (0.03125 to 0.50) with the proband</w:t>
            </w:r>
          </w:p>
          <w:p w14:paraId="12EC9E32" w14:textId="77777777" w:rsidR="00445E1B" w:rsidRDefault="00445E1B" w:rsidP="00445E1B">
            <w:pPr>
              <w:spacing w:before="100" w:beforeAutospacing="1" w:after="100" w:afterAutospacing="1"/>
              <w:contextualSpacing/>
            </w:pPr>
            <w:r>
              <w:t>Column4 = Year of Birth of relative</w:t>
            </w:r>
          </w:p>
          <w:p w14:paraId="1A7D947F" w14:textId="77777777" w:rsidR="00445E1B" w:rsidRDefault="00445E1B" w:rsidP="00445E1B">
            <w:pPr>
              <w:spacing w:before="100" w:beforeAutospacing="1" w:after="100" w:afterAutospacing="1"/>
              <w:contextualSpacing/>
            </w:pPr>
            <w:r>
              <w:t>Column5 = Sex of relative</w:t>
            </w:r>
          </w:p>
          <w:p w14:paraId="5EB685AE" w14:textId="77777777" w:rsidR="00445E1B" w:rsidRDefault="00445E1B" w:rsidP="00445E1B">
            <w:pPr>
              <w:spacing w:before="100" w:beforeAutospacing="1" w:after="100" w:afterAutospacing="1"/>
              <w:contextualSpacing/>
            </w:pPr>
            <w:r>
              <w:t>Column6 = Age at registration for trait</w:t>
            </w:r>
          </w:p>
          <w:p w14:paraId="45087F8C" w14:textId="334D039B" w:rsidR="00445E1B" w:rsidRDefault="00445E1B" w:rsidP="00445E1B">
            <w:pPr>
              <w:spacing w:before="100" w:beforeAutospacing="1" w:after="100" w:afterAutospacing="1"/>
              <w:contextualSpacing/>
              <w:rPr>
                <w:rFonts w:ascii="Calibri Light" w:hAnsi="Calibri Light" w:cs="Calibri Light"/>
                <w:lang w:val="en-US"/>
              </w:rPr>
            </w:pPr>
            <w:r>
              <w:t>Column7 = Age at end of follow-up (2017-12-31 or age at death, or age at emigration whichever came first)</w:t>
            </w:r>
          </w:p>
        </w:tc>
      </w:tr>
      <w:tr w:rsidR="00445E1B" w14:paraId="112DCA4A" w14:textId="77777777" w:rsidTr="00445E1B">
        <w:tc>
          <w:tcPr>
            <w:tcW w:w="9072" w:type="dxa"/>
          </w:tcPr>
          <w:p w14:paraId="35080ED5" w14:textId="0A22A258" w:rsidR="00445E1B" w:rsidRDefault="00445E1B" w:rsidP="00445E1B">
            <w:pPr>
              <w:spacing w:before="100" w:beforeAutospacing="1" w:after="100" w:afterAutospacing="1"/>
              <w:contextualSpacing/>
              <w:rPr>
                <w:rFonts w:ascii="Calibri Light" w:hAnsi="Calibri Light" w:cs="Calibri Light"/>
                <w:lang w:val="en-US"/>
              </w:rPr>
            </w:pPr>
            <w:r w:rsidRPr="0023688A">
              <w:rPr>
                <w:b/>
              </w:rPr>
              <w:t>Step 1:</w:t>
            </w:r>
            <w:r>
              <w:t xml:space="preserve"> Using all unique relatives with a registration for the disorder, we non-parametrically estimated the distribution of </w:t>
            </w:r>
            <w:r w:rsidRPr="0005603F">
              <w:rPr>
                <w:i/>
              </w:rPr>
              <w:t>Age at first registration</w:t>
            </w:r>
            <w:r>
              <w:t>. The empirical distribution is used to obtain weights for relatives without a registration for the disorder, in order to account for the proportion of the  time-at-risk period they had completed at the end of follow-up.</w:t>
            </w:r>
            <w:r w:rsidRPr="00863FED">
              <w:t xml:space="preserve"> </w:t>
            </w:r>
            <w:r>
              <w:t xml:space="preserve"> For example, for relatives at age x at end of follow-up, the weight corresponds to the proportion of relatives registered for the trait that had been registration at age x. For relatives born prior to 1958 we subtracted age at the end of follow-up with the following formula: </w:t>
            </w:r>
            <w:r w:rsidRPr="0005603F">
              <w:t>1958 - Year of birth of relative</w:t>
            </w:r>
            <w:r>
              <w:t>. This modification was done in order to control for registration effects (i.e, most registers in Sweden start in 1973 suggesting that relatives from early birth cohorts do not have the possibility to be registered at younger ages</w:t>
            </w:r>
            <w:r w:rsidRPr="0005603F">
              <w:t>).</w:t>
            </w:r>
            <w:r>
              <w:t xml:space="preserve"> Note that all relatives with the disorder are weighted one.</w:t>
            </w:r>
          </w:p>
        </w:tc>
      </w:tr>
      <w:tr w:rsidR="00445E1B" w14:paraId="7A4C888D" w14:textId="77777777" w:rsidTr="00445E1B">
        <w:tc>
          <w:tcPr>
            <w:tcW w:w="9072" w:type="dxa"/>
          </w:tcPr>
          <w:p w14:paraId="24B6223F" w14:textId="34FA89A7" w:rsidR="00445E1B" w:rsidRDefault="00445E1B" w:rsidP="00445E1B">
            <w:pPr>
              <w:spacing w:before="100" w:beforeAutospacing="1" w:after="100" w:afterAutospacing="1"/>
              <w:contextualSpacing/>
              <w:rPr>
                <w:rFonts w:ascii="Calibri Light" w:hAnsi="Calibri Light" w:cs="Calibri Light"/>
                <w:lang w:val="en-US"/>
              </w:rPr>
            </w:pPr>
            <w:r w:rsidRPr="0005603F">
              <w:rPr>
                <w:b/>
              </w:rPr>
              <w:t>Step 2:</w:t>
            </w:r>
            <w:r>
              <w:t xml:space="preserve"> Transform the binary variable (trait yes/no) into a z-score based on the threshold for each trait.</w:t>
            </w:r>
            <w:r w:rsidRPr="0005603F">
              <w:t xml:space="preserve"> The</w:t>
            </w:r>
            <w:r>
              <w:t xml:space="preserve"> underlying liability of the individual is not assessable. Instead we estimated the mean of the underlying liability to obtain sex and birth decade specific Z-scores for relatives with the trait registration and relatives without the trait. We generate n random numbers from a N(0, 1) distribution and estimate the mean for relatives registered with the disorder (i.e., mean of the observations above the threshold) and for relatives without a registration (i.e., mean of all observation below the threshold). The thresholds are calculated for each decade of birth and sex.</w:t>
            </w:r>
          </w:p>
        </w:tc>
      </w:tr>
      <w:tr w:rsidR="00445E1B" w14:paraId="02F9AE2D" w14:textId="77777777" w:rsidTr="00445E1B">
        <w:tc>
          <w:tcPr>
            <w:tcW w:w="9072" w:type="dxa"/>
          </w:tcPr>
          <w:p w14:paraId="147F47BD" w14:textId="77777777" w:rsidR="00445E1B" w:rsidRDefault="00445E1B" w:rsidP="00445E1B">
            <w:pPr>
              <w:rPr>
                <w:rFonts w:ascii="Calibri Light" w:hAnsi="Calibri Light" w:cs="Calibri Light"/>
                <w:lang w:val="en-US"/>
              </w:rPr>
            </w:pPr>
            <w:r w:rsidRPr="0005603F">
              <w:rPr>
                <w:b/>
              </w:rPr>
              <w:t>Step 3</w:t>
            </w:r>
            <w:r>
              <w:t xml:space="preserve">: Correct for cohabitation effects. To estimate the cohabitation effect (i.e. “shared environment”), we created a database with all individuals in  the Swedish population born in Sweden 1955-1990. We also included the number of years, during ages 0-15, that individuals resided in the same household as their biological father. We thereby were able to define two kinds of families  i) “not-lived-with” father families (offspring never resided for more than 1 year in the same household or in the same community as their biological father);  ii) “lived-with” father (offspring resided a minimum of 13 year in the same household as their biological father. We performed a logistic regression model with the </w:t>
            </w:r>
            <w:r w:rsidRPr="0005603F">
              <w:t>binary trait</w:t>
            </w:r>
            <w:r>
              <w:t xml:space="preserve"> in offspring as outcome and </w:t>
            </w:r>
            <w:r w:rsidRPr="0005603F">
              <w:t>the binary trait</w:t>
            </w:r>
            <w:r>
              <w:t xml:space="preserve"> in father, type of father, and their interaction as predictors. We used the interaction term as the difference of effect between genes only and genes + environment. The same approach was performed for half-siblings where we compared those who were reared together versus reared apart. </w:t>
            </w:r>
            <w:r w:rsidRPr="00682C16">
              <w:t xml:space="preserve">The following </w:t>
            </w:r>
            <w:r>
              <w:t>interaction terms were used in the calculations for each of our 8 main disorders:</w:t>
            </w:r>
          </w:p>
          <w:tbl>
            <w:tblPr>
              <w:tblStyle w:val="TableGrid"/>
              <w:tblW w:w="0" w:type="auto"/>
              <w:tblLook w:val="04A0" w:firstRow="1" w:lastRow="0" w:firstColumn="1" w:lastColumn="0" w:noHBand="0" w:noVBand="1"/>
            </w:tblPr>
            <w:tblGrid>
              <w:gridCol w:w="1271"/>
              <w:gridCol w:w="2126"/>
              <w:gridCol w:w="1985"/>
            </w:tblGrid>
            <w:tr w:rsidR="00445E1B" w:rsidRPr="00682C16" w14:paraId="26644BE7" w14:textId="77777777" w:rsidTr="00447B82">
              <w:tc>
                <w:tcPr>
                  <w:tcW w:w="1271" w:type="dxa"/>
                </w:tcPr>
                <w:p w14:paraId="71EFDE05" w14:textId="77777777" w:rsidR="00445E1B" w:rsidRDefault="00445E1B" w:rsidP="00445E1B">
                  <w:pPr>
                    <w:spacing w:before="100" w:beforeAutospacing="1" w:after="100" w:afterAutospacing="1"/>
                  </w:pPr>
                </w:p>
              </w:tc>
              <w:tc>
                <w:tcPr>
                  <w:tcW w:w="2126" w:type="dxa"/>
                </w:tcPr>
                <w:p w14:paraId="1A256725" w14:textId="77777777" w:rsidR="00445E1B" w:rsidRDefault="00445E1B" w:rsidP="00445E1B">
                  <w:pPr>
                    <w:spacing w:before="100" w:beforeAutospacing="1" w:after="100" w:afterAutospacing="1"/>
                  </w:pPr>
                  <w:r>
                    <w:t xml:space="preserve">Parent/Children      </w:t>
                  </w:r>
                </w:p>
              </w:tc>
              <w:tc>
                <w:tcPr>
                  <w:tcW w:w="1985" w:type="dxa"/>
                </w:tcPr>
                <w:p w14:paraId="27F2BDB3" w14:textId="77777777" w:rsidR="00445E1B" w:rsidRPr="00682C16" w:rsidRDefault="00445E1B" w:rsidP="00445E1B">
                  <w:pPr>
                    <w:spacing w:before="100" w:beforeAutospacing="1" w:after="100" w:afterAutospacing="1"/>
                  </w:pPr>
                  <w:r>
                    <w:t>Siblings</w:t>
                  </w:r>
                </w:p>
              </w:tc>
            </w:tr>
            <w:tr w:rsidR="00445E1B" w:rsidRPr="00682C16" w14:paraId="5FFAD6DD" w14:textId="77777777" w:rsidTr="00447B82">
              <w:tc>
                <w:tcPr>
                  <w:tcW w:w="1271" w:type="dxa"/>
                </w:tcPr>
                <w:p w14:paraId="70C0A885" w14:textId="77777777" w:rsidR="00445E1B" w:rsidRPr="00682C16" w:rsidRDefault="00445E1B" w:rsidP="00445E1B">
                  <w:pPr>
                    <w:spacing w:before="100" w:beforeAutospacing="1" w:after="100" w:afterAutospacing="1"/>
                  </w:pPr>
                  <w:r>
                    <w:t>MD</w:t>
                  </w:r>
                </w:p>
              </w:tc>
              <w:tc>
                <w:tcPr>
                  <w:tcW w:w="2126" w:type="dxa"/>
                </w:tcPr>
                <w:p w14:paraId="2A0DDAB9" w14:textId="77777777" w:rsidR="00445E1B" w:rsidRPr="00682C16" w:rsidRDefault="00445E1B" w:rsidP="00445E1B">
                  <w:pPr>
                    <w:spacing w:before="100" w:beforeAutospacing="1" w:after="100" w:afterAutospacing="1"/>
                  </w:pPr>
                  <w:r>
                    <w:t>0.80</w:t>
                  </w:r>
                </w:p>
              </w:tc>
              <w:tc>
                <w:tcPr>
                  <w:tcW w:w="1985" w:type="dxa"/>
                </w:tcPr>
                <w:p w14:paraId="708CADF7" w14:textId="77777777" w:rsidR="00445E1B" w:rsidRPr="00682C16" w:rsidRDefault="00445E1B" w:rsidP="00445E1B">
                  <w:pPr>
                    <w:spacing w:before="100" w:beforeAutospacing="1" w:after="100" w:afterAutospacing="1"/>
                  </w:pPr>
                  <w:r>
                    <w:t>0.85</w:t>
                  </w:r>
                </w:p>
              </w:tc>
            </w:tr>
            <w:tr w:rsidR="00445E1B" w:rsidRPr="00682C16" w14:paraId="561B5256" w14:textId="77777777" w:rsidTr="00447B82">
              <w:tc>
                <w:tcPr>
                  <w:tcW w:w="1271" w:type="dxa"/>
                </w:tcPr>
                <w:p w14:paraId="3511B91F" w14:textId="77777777" w:rsidR="00445E1B" w:rsidRPr="00682C16" w:rsidRDefault="00445E1B" w:rsidP="00445E1B">
                  <w:pPr>
                    <w:spacing w:before="100" w:beforeAutospacing="1" w:after="100" w:afterAutospacing="1"/>
                  </w:pPr>
                  <w:r>
                    <w:t>AD</w:t>
                  </w:r>
                </w:p>
              </w:tc>
              <w:tc>
                <w:tcPr>
                  <w:tcW w:w="2126" w:type="dxa"/>
                </w:tcPr>
                <w:p w14:paraId="03F7B621" w14:textId="77777777" w:rsidR="00445E1B" w:rsidRPr="00682C16" w:rsidRDefault="00445E1B" w:rsidP="00445E1B">
                  <w:pPr>
                    <w:spacing w:before="100" w:beforeAutospacing="1" w:after="100" w:afterAutospacing="1"/>
                  </w:pPr>
                  <w:r>
                    <w:t>0.87</w:t>
                  </w:r>
                </w:p>
              </w:tc>
              <w:tc>
                <w:tcPr>
                  <w:tcW w:w="1985" w:type="dxa"/>
                </w:tcPr>
                <w:p w14:paraId="5112B7A0" w14:textId="77777777" w:rsidR="00445E1B" w:rsidRPr="00682C16" w:rsidRDefault="00445E1B" w:rsidP="00445E1B">
                  <w:pPr>
                    <w:spacing w:before="100" w:beforeAutospacing="1" w:after="100" w:afterAutospacing="1"/>
                  </w:pPr>
                  <w:r>
                    <w:t>0.81</w:t>
                  </w:r>
                </w:p>
              </w:tc>
            </w:tr>
            <w:tr w:rsidR="00445E1B" w:rsidRPr="00682C16" w14:paraId="1610C2B3" w14:textId="77777777" w:rsidTr="00447B82">
              <w:tc>
                <w:tcPr>
                  <w:tcW w:w="1271" w:type="dxa"/>
                </w:tcPr>
                <w:p w14:paraId="71328594" w14:textId="77777777" w:rsidR="00445E1B" w:rsidRPr="00682C16" w:rsidRDefault="00445E1B" w:rsidP="00445E1B">
                  <w:pPr>
                    <w:spacing w:before="100" w:beforeAutospacing="1" w:after="100" w:afterAutospacing="1"/>
                  </w:pPr>
                  <w:r>
                    <w:t>BD</w:t>
                  </w:r>
                </w:p>
              </w:tc>
              <w:tc>
                <w:tcPr>
                  <w:tcW w:w="2126" w:type="dxa"/>
                </w:tcPr>
                <w:p w14:paraId="3A3B84E3" w14:textId="77777777" w:rsidR="00445E1B" w:rsidRPr="00682C16" w:rsidRDefault="00445E1B" w:rsidP="00445E1B">
                  <w:pPr>
                    <w:spacing w:before="100" w:beforeAutospacing="1" w:after="100" w:afterAutospacing="1"/>
                  </w:pPr>
                  <w:r>
                    <w:t>0.67</w:t>
                  </w:r>
                </w:p>
              </w:tc>
              <w:tc>
                <w:tcPr>
                  <w:tcW w:w="1985" w:type="dxa"/>
                </w:tcPr>
                <w:p w14:paraId="1865D7B4" w14:textId="77777777" w:rsidR="00445E1B" w:rsidRPr="00682C16" w:rsidRDefault="00445E1B" w:rsidP="00445E1B">
                  <w:pPr>
                    <w:spacing w:before="100" w:beforeAutospacing="1" w:after="100" w:afterAutospacing="1"/>
                  </w:pPr>
                  <w:r>
                    <w:t>0.77</w:t>
                  </w:r>
                </w:p>
              </w:tc>
            </w:tr>
            <w:tr w:rsidR="00445E1B" w:rsidRPr="00682C16" w14:paraId="55D7C07A" w14:textId="77777777" w:rsidTr="00447B82">
              <w:tc>
                <w:tcPr>
                  <w:tcW w:w="1271" w:type="dxa"/>
                </w:tcPr>
                <w:p w14:paraId="1C0A0A3F" w14:textId="77777777" w:rsidR="00445E1B" w:rsidRPr="00682C16" w:rsidRDefault="00445E1B" w:rsidP="00445E1B">
                  <w:pPr>
                    <w:spacing w:before="100" w:beforeAutospacing="1" w:after="100" w:afterAutospacing="1"/>
                  </w:pPr>
                  <w:r>
                    <w:t>SZ</w:t>
                  </w:r>
                </w:p>
              </w:tc>
              <w:tc>
                <w:tcPr>
                  <w:tcW w:w="2126" w:type="dxa"/>
                </w:tcPr>
                <w:p w14:paraId="4837D5B9" w14:textId="77777777" w:rsidR="00445E1B" w:rsidRPr="00682C16" w:rsidRDefault="00445E1B" w:rsidP="00445E1B">
                  <w:pPr>
                    <w:spacing w:before="100" w:beforeAutospacing="1" w:after="100" w:afterAutospacing="1"/>
                  </w:pPr>
                  <w:r>
                    <w:t>0.93</w:t>
                  </w:r>
                </w:p>
              </w:tc>
              <w:tc>
                <w:tcPr>
                  <w:tcW w:w="1985" w:type="dxa"/>
                </w:tcPr>
                <w:p w14:paraId="210EF4F3" w14:textId="77777777" w:rsidR="00445E1B" w:rsidRPr="00682C16" w:rsidRDefault="00445E1B" w:rsidP="00445E1B">
                  <w:pPr>
                    <w:spacing w:before="100" w:beforeAutospacing="1" w:after="100" w:afterAutospacing="1"/>
                  </w:pPr>
                  <w:r>
                    <w:t>0.84</w:t>
                  </w:r>
                </w:p>
              </w:tc>
            </w:tr>
            <w:tr w:rsidR="00445E1B" w:rsidRPr="00682C16" w14:paraId="445FD6FE" w14:textId="77777777" w:rsidTr="00447B82">
              <w:tc>
                <w:tcPr>
                  <w:tcW w:w="1271" w:type="dxa"/>
                </w:tcPr>
                <w:p w14:paraId="50FFFCFC" w14:textId="77777777" w:rsidR="00445E1B" w:rsidRPr="00682C16" w:rsidRDefault="00445E1B" w:rsidP="00445E1B">
                  <w:pPr>
                    <w:spacing w:before="100" w:beforeAutospacing="1" w:after="100" w:afterAutospacing="1"/>
                  </w:pPr>
                  <w:r>
                    <w:t>AUD</w:t>
                  </w:r>
                </w:p>
              </w:tc>
              <w:tc>
                <w:tcPr>
                  <w:tcW w:w="2126" w:type="dxa"/>
                </w:tcPr>
                <w:p w14:paraId="07992245" w14:textId="77777777" w:rsidR="00445E1B" w:rsidRPr="00682C16" w:rsidRDefault="00445E1B" w:rsidP="00445E1B">
                  <w:pPr>
                    <w:spacing w:before="100" w:beforeAutospacing="1" w:after="100" w:afterAutospacing="1"/>
                  </w:pPr>
                  <w:r>
                    <w:t>0.99</w:t>
                  </w:r>
                </w:p>
              </w:tc>
              <w:tc>
                <w:tcPr>
                  <w:tcW w:w="1985" w:type="dxa"/>
                </w:tcPr>
                <w:p w14:paraId="18C478ED" w14:textId="77777777" w:rsidR="00445E1B" w:rsidRPr="00682C16" w:rsidRDefault="00445E1B" w:rsidP="00445E1B">
                  <w:pPr>
                    <w:spacing w:before="100" w:beforeAutospacing="1" w:after="100" w:afterAutospacing="1"/>
                  </w:pPr>
                  <w:r>
                    <w:t>0.69</w:t>
                  </w:r>
                </w:p>
              </w:tc>
            </w:tr>
            <w:tr w:rsidR="00445E1B" w:rsidRPr="00682C16" w14:paraId="1324343E" w14:textId="77777777" w:rsidTr="00447B82">
              <w:tc>
                <w:tcPr>
                  <w:tcW w:w="1271" w:type="dxa"/>
                </w:tcPr>
                <w:p w14:paraId="2BC79F46" w14:textId="77777777" w:rsidR="00445E1B" w:rsidRPr="00682C16" w:rsidRDefault="00445E1B" w:rsidP="00445E1B">
                  <w:pPr>
                    <w:spacing w:before="100" w:beforeAutospacing="1" w:after="100" w:afterAutospacing="1"/>
                  </w:pPr>
                  <w:r>
                    <w:t>DUD</w:t>
                  </w:r>
                </w:p>
              </w:tc>
              <w:tc>
                <w:tcPr>
                  <w:tcW w:w="2126" w:type="dxa"/>
                </w:tcPr>
                <w:p w14:paraId="24360178" w14:textId="77777777" w:rsidR="00445E1B" w:rsidRPr="00682C16" w:rsidRDefault="00445E1B" w:rsidP="00445E1B">
                  <w:pPr>
                    <w:spacing w:before="100" w:beforeAutospacing="1" w:after="100" w:afterAutospacing="1"/>
                  </w:pPr>
                  <w:r>
                    <w:t>0.92</w:t>
                  </w:r>
                </w:p>
              </w:tc>
              <w:tc>
                <w:tcPr>
                  <w:tcW w:w="1985" w:type="dxa"/>
                </w:tcPr>
                <w:p w14:paraId="46E3258C" w14:textId="77777777" w:rsidR="00445E1B" w:rsidRPr="00682C16" w:rsidRDefault="00445E1B" w:rsidP="00445E1B">
                  <w:pPr>
                    <w:spacing w:before="100" w:beforeAutospacing="1" w:after="100" w:afterAutospacing="1"/>
                  </w:pPr>
                  <w:r>
                    <w:t>0.52</w:t>
                  </w:r>
                </w:p>
              </w:tc>
            </w:tr>
            <w:tr w:rsidR="00445E1B" w:rsidRPr="00682C16" w14:paraId="287835DC" w14:textId="77777777" w:rsidTr="00447B82">
              <w:tc>
                <w:tcPr>
                  <w:tcW w:w="1271" w:type="dxa"/>
                </w:tcPr>
                <w:p w14:paraId="6EF4F3D4" w14:textId="77777777" w:rsidR="00445E1B" w:rsidRPr="00682C16" w:rsidRDefault="00445E1B" w:rsidP="00445E1B">
                  <w:pPr>
                    <w:spacing w:before="100" w:beforeAutospacing="1" w:after="100" w:afterAutospacing="1"/>
                  </w:pPr>
                  <w:r>
                    <w:t>ADHD</w:t>
                  </w:r>
                </w:p>
              </w:tc>
              <w:tc>
                <w:tcPr>
                  <w:tcW w:w="2126" w:type="dxa"/>
                </w:tcPr>
                <w:p w14:paraId="463B0CE4" w14:textId="77777777" w:rsidR="00445E1B" w:rsidRPr="00682C16" w:rsidRDefault="00445E1B" w:rsidP="00445E1B">
                  <w:pPr>
                    <w:spacing w:before="100" w:beforeAutospacing="1" w:after="100" w:afterAutospacing="1"/>
                  </w:pPr>
                  <w:r>
                    <w:t>0.42</w:t>
                  </w:r>
                </w:p>
              </w:tc>
              <w:tc>
                <w:tcPr>
                  <w:tcW w:w="1985" w:type="dxa"/>
                </w:tcPr>
                <w:p w14:paraId="626A70DA" w14:textId="77777777" w:rsidR="00445E1B" w:rsidRPr="00682C16" w:rsidRDefault="00445E1B" w:rsidP="00445E1B">
                  <w:pPr>
                    <w:spacing w:before="100" w:beforeAutospacing="1" w:after="100" w:afterAutospacing="1"/>
                  </w:pPr>
                  <w:r>
                    <w:t>0.81</w:t>
                  </w:r>
                </w:p>
              </w:tc>
            </w:tr>
            <w:tr w:rsidR="00445E1B" w:rsidRPr="00682C16" w14:paraId="4E577B1B" w14:textId="77777777" w:rsidTr="00447B82">
              <w:tc>
                <w:tcPr>
                  <w:tcW w:w="1271" w:type="dxa"/>
                </w:tcPr>
                <w:p w14:paraId="26B70A85" w14:textId="77777777" w:rsidR="00445E1B" w:rsidRDefault="00445E1B" w:rsidP="00445E1B">
                  <w:pPr>
                    <w:spacing w:before="100" w:beforeAutospacing="1" w:after="100" w:afterAutospacing="1"/>
                  </w:pPr>
                  <w:r>
                    <w:t>ASD</w:t>
                  </w:r>
                </w:p>
              </w:tc>
              <w:tc>
                <w:tcPr>
                  <w:tcW w:w="2126" w:type="dxa"/>
                </w:tcPr>
                <w:p w14:paraId="571B62BD" w14:textId="77777777" w:rsidR="00445E1B" w:rsidRPr="00682C16" w:rsidRDefault="00445E1B" w:rsidP="00445E1B">
                  <w:pPr>
                    <w:spacing w:before="100" w:beforeAutospacing="1" w:after="100" w:afterAutospacing="1"/>
                  </w:pPr>
                  <w:r>
                    <w:t>0.83</w:t>
                  </w:r>
                </w:p>
              </w:tc>
              <w:tc>
                <w:tcPr>
                  <w:tcW w:w="1985" w:type="dxa"/>
                </w:tcPr>
                <w:p w14:paraId="50A7BF01" w14:textId="77777777" w:rsidR="00445E1B" w:rsidRPr="00682C16" w:rsidRDefault="00445E1B" w:rsidP="00445E1B">
                  <w:pPr>
                    <w:spacing w:before="100" w:beforeAutospacing="1" w:after="100" w:afterAutospacing="1"/>
                  </w:pPr>
                  <w:r>
                    <w:t>0.61</w:t>
                  </w:r>
                </w:p>
              </w:tc>
            </w:tr>
          </w:tbl>
          <w:p w14:paraId="651F75DE" w14:textId="71B05379" w:rsidR="00445E1B" w:rsidRDefault="00445E1B" w:rsidP="00445E1B">
            <w:pPr>
              <w:rPr>
                <w:rFonts w:ascii="Calibri Light" w:hAnsi="Calibri Light" w:cs="Calibri Light"/>
                <w:lang w:val="en-US"/>
              </w:rPr>
            </w:pPr>
          </w:p>
        </w:tc>
      </w:tr>
      <w:tr w:rsidR="00445E1B" w14:paraId="53BE2197" w14:textId="77777777" w:rsidTr="00445E1B">
        <w:tc>
          <w:tcPr>
            <w:tcW w:w="9072" w:type="dxa"/>
          </w:tcPr>
          <w:p w14:paraId="6E4DC5EF" w14:textId="77777777" w:rsidR="00445E1B" w:rsidRDefault="00445E1B" w:rsidP="00445E1B">
            <w:pPr>
              <w:spacing w:before="100" w:beforeAutospacing="1" w:after="100" w:afterAutospacing="1"/>
              <w:contextualSpacing/>
            </w:pPr>
            <w:r w:rsidRPr="00682C16">
              <w:rPr>
                <w:b/>
              </w:rPr>
              <w:lastRenderedPageBreak/>
              <w:t>Step 4:</w:t>
            </w:r>
            <w:r>
              <w:t xml:space="preserve"> Calculate the product for each relative using the four components:</w:t>
            </w:r>
          </w:p>
          <w:p w14:paraId="38AF5A62" w14:textId="77777777" w:rsidR="00445E1B" w:rsidRDefault="00445E1B" w:rsidP="00445E1B">
            <w:pPr>
              <w:pStyle w:val="ListParagraph"/>
              <w:numPr>
                <w:ilvl w:val="0"/>
                <w:numId w:val="3"/>
              </w:numPr>
              <w:spacing w:before="100" w:beforeAutospacing="1" w:after="100" w:afterAutospacing="1"/>
            </w:pPr>
            <w:r>
              <w:t>Z-score</w:t>
            </w:r>
            <w:r w:rsidRPr="005F17F7">
              <w:t xml:space="preserve"> (reflecting </w:t>
            </w:r>
            <w:r>
              <w:t xml:space="preserve"> </w:t>
            </w:r>
            <w:r w:rsidRPr="005F17F7">
              <w:t>sex and year of birth adjusted rates)</w:t>
            </w:r>
            <w:r>
              <w:t xml:space="preserve"> </w:t>
            </w:r>
          </w:p>
          <w:p w14:paraId="3A2B457B" w14:textId="77777777" w:rsidR="00445E1B" w:rsidRDefault="00445E1B" w:rsidP="00445E1B">
            <w:pPr>
              <w:pStyle w:val="ListParagraph"/>
              <w:numPr>
                <w:ilvl w:val="0"/>
                <w:numId w:val="3"/>
              </w:numPr>
              <w:spacing w:before="100" w:beforeAutospacing="1" w:after="100" w:afterAutospacing="1"/>
            </w:pPr>
            <w:r>
              <w:t xml:space="preserve">Weight (reflecting the proportion of risk period they had completed) </w:t>
            </w:r>
          </w:p>
          <w:p w14:paraId="29155E65" w14:textId="77777777" w:rsidR="00445E1B" w:rsidRDefault="00445E1B" w:rsidP="00445E1B">
            <w:pPr>
              <w:pStyle w:val="ListParagraph"/>
              <w:numPr>
                <w:ilvl w:val="0"/>
                <w:numId w:val="3"/>
              </w:numPr>
              <w:spacing w:before="100" w:beforeAutospacing="1" w:after="100" w:afterAutospacing="1"/>
            </w:pPr>
            <w:r>
              <w:t>Cohabitation effects</w:t>
            </w:r>
          </w:p>
          <w:p w14:paraId="3F9BB6BC" w14:textId="6CB36751" w:rsidR="00445E1B" w:rsidRDefault="00445E1B" w:rsidP="00445E1B">
            <w:pPr>
              <w:pStyle w:val="ListParagraph"/>
              <w:numPr>
                <w:ilvl w:val="0"/>
                <w:numId w:val="3"/>
              </w:numPr>
              <w:spacing w:before="100" w:beforeAutospacing="1" w:after="100" w:afterAutospacing="1"/>
              <w:rPr>
                <w:rFonts w:ascii="Calibri Light" w:hAnsi="Calibri Light" w:cs="Calibri Light"/>
                <w:lang w:val="en-US"/>
              </w:rPr>
            </w:pPr>
            <w:r w:rsidRPr="005F17F7">
              <w:t xml:space="preserve">Proportion of shared genetic </w:t>
            </w:r>
            <w:r>
              <w:t xml:space="preserve">effects </w:t>
            </w:r>
            <w:r w:rsidRPr="005F17F7">
              <w:t>(0.0625</w:t>
            </w:r>
            <w:r>
              <w:t xml:space="preserve"> -</w:t>
            </w:r>
            <w:r w:rsidRPr="005F17F7">
              <w:t xml:space="preserve"> 1) with the proband</w:t>
            </w:r>
          </w:p>
        </w:tc>
      </w:tr>
      <w:tr w:rsidR="00445E1B" w14:paraId="7A022B5E" w14:textId="77777777" w:rsidTr="00445E1B">
        <w:tc>
          <w:tcPr>
            <w:tcW w:w="9072" w:type="dxa"/>
          </w:tcPr>
          <w:p w14:paraId="401B7FC9" w14:textId="09D2494A" w:rsidR="00445E1B" w:rsidRPr="00445E1B" w:rsidRDefault="00445E1B" w:rsidP="00445E1B">
            <w:pPr>
              <w:spacing w:before="100" w:beforeAutospacing="1" w:after="100" w:afterAutospacing="1"/>
              <w:contextualSpacing/>
            </w:pPr>
            <w:r w:rsidRPr="00682C16">
              <w:rPr>
                <w:b/>
              </w:rPr>
              <w:t>Step 5:</w:t>
            </w:r>
            <w:r>
              <w:t xml:space="preserve"> Average the product calculated in step 4 across all relatives to a proband</w:t>
            </w:r>
          </w:p>
        </w:tc>
      </w:tr>
      <w:tr w:rsidR="00445E1B" w14:paraId="7021780C" w14:textId="77777777" w:rsidTr="00445E1B">
        <w:tc>
          <w:tcPr>
            <w:tcW w:w="9072" w:type="dxa"/>
          </w:tcPr>
          <w:p w14:paraId="05444174" w14:textId="77777777" w:rsidR="00445E1B" w:rsidRPr="00682C16" w:rsidRDefault="00445E1B" w:rsidP="00445E1B">
            <w:pPr>
              <w:spacing w:before="100" w:beforeAutospacing="1" w:after="100" w:afterAutospacing="1"/>
              <w:contextualSpacing/>
            </w:pPr>
            <w:r w:rsidRPr="00682C16">
              <w:rPr>
                <w:b/>
              </w:rPr>
              <w:t>Step 6</w:t>
            </w:r>
            <w:r>
              <w:t>: Correct for the number of relatives.</w:t>
            </w:r>
            <w:r w:rsidRPr="00682C16">
              <w:t xml:space="preserve"> W</w:t>
            </w:r>
            <w:r>
              <w:t>e multiplied the results from step 5 with a shrinkage factor. Shrinkage factor (SF):  B/(B+A/C)</w:t>
            </w:r>
            <w:r w:rsidRPr="00682C16">
              <w:t xml:space="preserve">. </w:t>
            </w:r>
            <w:r>
              <w:t xml:space="preserve"> It produces more shrinkage if B and C are small and A is large.</w:t>
            </w:r>
          </w:p>
          <w:p w14:paraId="268FB17F" w14:textId="77777777" w:rsidR="00445E1B" w:rsidRDefault="00445E1B" w:rsidP="00445E1B">
            <w:pPr>
              <w:pStyle w:val="ListParagraph"/>
              <w:numPr>
                <w:ilvl w:val="0"/>
                <w:numId w:val="4"/>
              </w:numPr>
              <w:spacing w:before="100" w:beforeAutospacing="1" w:after="100" w:afterAutospacing="1"/>
            </w:pPr>
            <w:r>
              <w:t xml:space="preserve">the variance of the z-score of the disorder across all relatives, </w:t>
            </w:r>
          </w:p>
          <w:p w14:paraId="71990B02" w14:textId="77777777" w:rsidR="00445E1B" w:rsidRDefault="00445E1B" w:rsidP="00445E1B">
            <w:pPr>
              <w:pStyle w:val="ListParagraph"/>
              <w:numPr>
                <w:ilvl w:val="0"/>
                <w:numId w:val="4"/>
              </w:numPr>
              <w:spacing w:before="100" w:beforeAutospacing="1" w:after="100" w:afterAutospacing="1"/>
            </w:pPr>
            <w:r>
              <w:t>the variance in the mean z-score across all probands,</w:t>
            </w:r>
          </w:p>
          <w:p w14:paraId="40469DD3" w14:textId="494875CB" w:rsidR="00445E1B" w:rsidRDefault="00445E1B" w:rsidP="00445E1B">
            <w:pPr>
              <w:pStyle w:val="ListParagraph"/>
              <w:numPr>
                <w:ilvl w:val="0"/>
                <w:numId w:val="4"/>
              </w:numPr>
              <w:spacing w:before="100" w:beforeAutospacing="1" w:after="100" w:afterAutospacing="1"/>
              <w:rPr>
                <w:rFonts w:ascii="Calibri Light" w:hAnsi="Calibri Light" w:cs="Calibri Light"/>
                <w:lang w:val="en-US"/>
              </w:rPr>
            </w:pPr>
            <w:r>
              <w:t xml:space="preserve">the  weighted number of relatives for each proband (sum of Column 3 across each proband). </w:t>
            </w:r>
          </w:p>
        </w:tc>
      </w:tr>
      <w:tr w:rsidR="00445E1B" w14:paraId="69172094" w14:textId="77777777" w:rsidTr="00445E1B">
        <w:tc>
          <w:tcPr>
            <w:tcW w:w="9072" w:type="dxa"/>
          </w:tcPr>
          <w:p w14:paraId="4F0760BD" w14:textId="3AE950D3" w:rsidR="00445E1B" w:rsidRDefault="00445E1B" w:rsidP="00445E1B">
            <w:pPr>
              <w:contextualSpacing/>
              <w:rPr>
                <w:rFonts w:ascii="Calibri Light" w:hAnsi="Calibri Light" w:cs="Calibri Light"/>
                <w:lang w:val="en-US"/>
              </w:rPr>
            </w:pPr>
            <w:r w:rsidRPr="00682C16">
              <w:rPr>
                <w:b/>
              </w:rPr>
              <w:t>Step 7:</w:t>
            </w:r>
            <w:r w:rsidRPr="00682C16">
              <w:t xml:space="preserve"> </w:t>
            </w:r>
            <w:r>
              <w:t>Correct for difference by year of birth and county differences. There are 21 counties in Sweden. For each proband we used the county they had resided in during the maximum number of years (measured from 1969 and onwards) W</w:t>
            </w:r>
            <w:r w:rsidRPr="00747533">
              <w:t xml:space="preserve">e standardized the </w:t>
            </w:r>
            <w:r>
              <w:t>risk score</w:t>
            </w:r>
            <w:r w:rsidRPr="00747533">
              <w:t xml:space="preserve"> </w:t>
            </w:r>
            <w:r>
              <w:t xml:space="preserve">by year of birth and county of the proband </w:t>
            </w:r>
            <w:r w:rsidRPr="00747533">
              <w:t>into a z-score with mean 0 and SD 1.</w:t>
            </w:r>
            <w:r>
              <w:t xml:space="preserve"> This was then used as the FGRS in the analyses.</w:t>
            </w:r>
          </w:p>
        </w:tc>
      </w:tr>
      <w:tr w:rsidR="0058091B" w14:paraId="54C4F183" w14:textId="77777777" w:rsidTr="00445E1B">
        <w:tc>
          <w:tcPr>
            <w:tcW w:w="9072" w:type="dxa"/>
          </w:tcPr>
          <w:p w14:paraId="34BD146A" w14:textId="7B40D925" w:rsidR="0058091B" w:rsidRPr="00682C16" w:rsidRDefault="0058091B" w:rsidP="00445E1B">
            <w:pPr>
              <w:contextualSpacing/>
              <w:rPr>
                <w:b/>
              </w:rPr>
            </w:pPr>
            <w:r>
              <w:rPr>
                <w:b/>
              </w:rPr>
              <w:t xml:space="preserve">Note – The authors will be pleased to provide our SAS code to calculate the FGRS to interested investigators. </w:t>
            </w:r>
          </w:p>
        </w:tc>
      </w:tr>
    </w:tbl>
    <w:p w14:paraId="187155FF" w14:textId="77777777" w:rsidR="00A8036A" w:rsidRDefault="00A8036A" w:rsidP="00F962E6">
      <w:pPr>
        <w:jc w:val="center"/>
        <w:rPr>
          <w:b/>
          <w:lang w:val="en-US"/>
        </w:rPr>
      </w:pPr>
    </w:p>
    <w:p w14:paraId="2E4FE553" w14:textId="77777777" w:rsidR="00AA36F8" w:rsidRDefault="00AA36F8" w:rsidP="0055392D">
      <w:pPr>
        <w:jc w:val="center"/>
        <w:rPr>
          <w:lang w:val="en-US"/>
        </w:rPr>
        <w:sectPr w:rsidR="00AA36F8" w:rsidSect="00B40FD8">
          <w:pgSz w:w="11906" w:h="16838"/>
          <w:pgMar w:top="1412" w:right="1412" w:bottom="1412" w:left="1412" w:header="709" w:footer="709" w:gutter="0"/>
          <w:cols w:space="708"/>
          <w:docGrid w:linePitch="360"/>
        </w:sectPr>
      </w:pPr>
    </w:p>
    <w:tbl>
      <w:tblPr>
        <w:tblStyle w:val="TableGrid"/>
        <w:tblW w:w="9923" w:type="dxa"/>
        <w:tblInd w:w="-289" w:type="dxa"/>
        <w:tblLook w:val="04A0" w:firstRow="1" w:lastRow="0" w:firstColumn="1" w:lastColumn="0" w:noHBand="0" w:noVBand="1"/>
      </w:tblPr>
      <w:tblGrid>
        <w:gridCol w:w="3545"/>
        <w:gridCol w:w="2126"/>
        <w:gridCol w:w="2126"/>
        <w:gridCol w:w="2126"/>
      </w:tblGrid>
      <w:tr w:rsidR="005B25E4" w:rsidRPr="00FA714F" w14:paraId="132FC597" w14:textId="77777777" w:rsidTr="00447B82">
        <w:tc>
          <w:tcPr>
            <w:tcW w:w="9923" w:type="dxa"/>
            <w:gridSpan w:val="4"/>
          </w:tcPr>
          <w:p w14:paraId="01F79C31" w14:textId="2E5E743A" w:rsidR="005B25E4" w:rsidRPr="00FA714F" w:rsidRDefault="005B25E4" w:rsidP="00447B82">
            <w:pPr>
              <w:pStyle w:val="NoSpacing"/>
              <w:jc w:val="center"/>
            </w:pPr>
            <w:r>
              <w:lastRenderedPageBreak/>
              <w:t xml:space="preserve">Table </w:t>
            </w:r>
            <w:r w:rsidR="00445E1B">
              <w:t>5</w:t>
            </w:r>
            <w:r w:rsidR="00C97F00">
              <w:t xml:space="preserve"> – Testing Stability of FGRS Estimates and Area Under the Surve by Alterations of FGRS Algorithm </w:t>
            </w:r>
          </w:p>
        </w:tc>
      </w:tr>
      <w:tr w:rsidR="005B25E4" w:rsidRPr="00FA714F" w14:paraId="3D32DF1D" w14:textId="77777777" w:rsidTr="00447B82">
        <w:tc>
          <w:tcPr>
            <w:tcW w:w="3545" w:type="dxa"/>
          </w:tcPr>
          <w:p w14:paraId="2ABBF7C4" w14:textId="77777777" w:rsidR="005B25E4" w:rsidRPr="00FA714F" w:rsidRDefault="005B25E4" w:rsidP="00447B82">
            <w:pPr>
              <w:pStyle w:val="NoSpacing"/>
              <w:rPr>
                <w:lang w:val="en-US"/>
              </w:rPr>
            </w:pPr>
          </w:p>
        </w:tc>
        <w:tc>
          <w:tcPr>
            <w:tcW w:w="2126" w:type="dxa"/>
          </w:tcPr>
          <w:p w14:paraId="081CF6BE" w14:textId="3E748651" w:rsidR="005B25E4" w:rsidRPr="00FA714F" w:rsidRDefault="005B25E4" w:rsidP="00447B82">
            <w:pPr>
              <w:pStyle w:val="NoSpacing"/>
            </w:pPr>
            <w:r w:rsidRPr="00FA714F">
              <w:t xml:space="preserve">MD </w:t>
            </w:r>
            <w:r w:rsidR="003D680D">
              <w:t>FGRS</w:t>
            </w:r>
          </w:p>
        </w:tc>
        <w:tc>
          <w:tcPr>
            <w:tcW w:w="2126" w:type="dxa"/>
          </w:tcPr>
          <w:p w14:paraId="5A329703" w14:textId="355A67E6" w:rsidR="005B25E4" w:rsidRPr="00FA714F" w:rsidRDefault="00EA6EA4" w:rsidP="00447B82">
            <w:pPr>
              <w:pStyle w:val="NoSpacing"/>
            </w:pPr>
            <w:r>
              <w:t>DUD</w:t>
            </w:r>
            <w:r w:rsidR="005B25E4" w:rsidRPr="00FA714F">
              <w:t xml:space="preserve"> </w:t>
            </w:r>
            <w:r w:rsidR="003D680D">
              <w:t>FGRS</w:t>
            </w:r>
          </w:p>
        </w:tc>
        <w:tc>
          <w:tcPr>
            <w:tcW w:w="2126" w:type="dxa"/>
          </w:tcPr>
          <w:p w14:paraId="61D82C93" w14:textId="20F9D32B" w:rsidR="005B25E4" w:rsidRPr="00FA714F" w:rsidRDefault="00B56584" w:rsidP="00447B82">
            <w:pPr>
              <w:pStyle w:val="NoSpacing"/>
            </w:pPr>
            <w:r>
              <w:t>ADHD</w:t>
            </w:r>
            <w:r w:rsidR="005B25E4" w:rsidRPr="00FA714F">
              <w:t xml:space="preserve"> </w:t>
            </w:r>
            <w:r w:rsidR="003D680D">
              <w:t>FGRS</w:t>
            </w:r>
          </w:p>
        </w:tc>
      </w:tr>
      <w:tr w:rsidR="005B25E4" w:rsidRPr="005B25E4" w14:paraId="7C3D5FD1" w14:textId="77777777" w:rsidTr="00447B82">
        <w:tc>
          <w:tcPr>
            <w:tcW w:w="9923" w:type="dxa"/>
            <w:gridSpan w:val="4"/>
          </w:tcPr>
          <w:p w14:paraId="63A641F6" w14:textId="0EB7DB7C" w:rsidR="005B25E4" w:rsidRPr="008263D6" w:rsidRDefault="005B25E4" w:rsidP="00447B82">
            <w:pPr>
              <w:pStyle w:val="NoSpacing"/>
              <w:rPr>
                <w:b/>
                <w:lang w:val="en-US"/>
              </w:rPr>
            </w:pPr>
            <w:r w:rsidRPr="008263D6">
              <w:rPr>
                <w:b/>
                <w:lang w:val="en-US"/>
              </w:rPr>
              <w:t xml:space="preserve">Correlation with the </w:t>
            </w:r>
            <w:r w:rsidR="003D680D">
              <w:rPr>
                <w:b/>
                <w:lang w:val="en-US"/>
              </w:rPr>
              <w:t>FGRS</w:t>
            </w:r>
            <w:r w:rsidRPr="008263D6">
              <w:rPr>
                <w:b/>
                <w:lang w:val="en-US"/>
              </w:rPr>
              <w:t xml:space="preserve"> used in the m</w:t>
            </w:r>
            <w:r w:rsidR="00DE2C58">
              <w:rPr>
                <w:b/>
                <w:lang w:val="en-US"/>
              </w:rPr>
              <w:t xml:space="preserve">anuscript </w:t>
            </w:r>
          </w:p>
        </w:tc>
      </w:tr>
      <w:tr w:rsidR="00AB3C32" w:rsidRPr="00FA714F" w14:paraId="7636A8C5" w14:textId="77777777" w:rsidTr="00447B82">
        <w:tc>
          <w:tcPr>
            <w:tcW w:w="3545" w:type="dxa"/>
          </w:tcPr>
          <w:p w14:paraId="5991D2E1" w14:textId="4A911D58" w:rsidR="00AB3C32" w:rsidRPr="00FA714F" w:rsidRDefault="003D680D" w:rsidP="00AB3C32">
            <w:pPr>
              <w:pStyle w:val="NoSpacing"/>
              <w:rPr>
                <w:lang w:val="en-US"/>
              </w:rPr>
            </w:pPr>
            <w:r>
              <w:rPr>
                <w:lang w:val="en-US"/>
              </w:rPr>
              <w:t>FGRS</w:t>
            </w:r>
            <w:r w:rsidR="00AB3C32">
              <w:rPr>
                <w:lang w:val="en-US"/>
              </w:rPr>
              <w:t>(a) -</w:t>
            </w:r>
            <w:r w:rsidR="00AB3C32" w:rsidRPr="00FA714F">
              <w:rPr>
                <w:lang w:val="en-US"/>
              </w:rPr>
              <w:t xml:space="preserve"> 1</w:t>
            </w:r>
            <w:r w:rsidR="00AB3C32" w:rsidRPr="00FA714F">
              <w:rPr>
                <w:vertAlign w:val="superscript"/>
                <w:lang w:val="en-US"/>
              </w:rPr>
              <w:t>st</w:t>
            </w:r>
            <w:r w:rsidR="00AB3C32" w:rsidRPr="00FA714F">
              <w:rPr>
                <w:lang w:val="en-US"/>
              </w:rPr>
              <w:t xml:space="preserve"> degree relatives</w:t>
            </w:r>
            <w:r w:rsidR="00DE2C58">
              <w:rPr>
                <w:lang w:val="en-US"/>
              </w:rPr>
              <w:t xml:space="preserve"> only</w:t>
            </w:r>
          </w:p>
        </w:tc>
        <w:tc>
          <w:tcPr>
            <w:tcW w:w="2126" w:type="dxa"/>
          </w:tcPr>
          <w:p w14:paraId="4A53E89D" w14:textId="60F23203" w:rsidR="00AB3C32" w:rsidRPr="00FA714F" w:rsidRDefault="007879DC" w:rsidP="00AB3C32">
            <w:pPr>
              <w:pStyle w:val="NoSpacing"/>
              <w:rPr>
                <w:lang w:val="en-US"/>
              </w:rPr>
            </w:pPr>
            <w:r>
              <w:rPr>
                <w:lang w:val="en-US"/>
              </w:rPr>
              <w:t>0.760</w:t>
            </w:r>
          </w:p>
        </w:tc>
        <w:tc>
          <w:tcPr>
            <w:tcW w:w="2126" w:type="dxa"/>
          </w:tcPr>
          <w:p w14:paraId="100FB7F0" w14:textId="53E0E885" w:rsidR="00AB3C32" w:rsidRPr="00FA714F" w:rsidRDefault="00AB3C32" w:rsidP="00AB3C32">
            <w:pPr>
              <w:pStyle w:val="NoSpacing"/>
              <w:rPr>
                <w:lang w:val="en-US"/>
              </w:rPr>
            </w:pPr>
            <w:r>
              <w:rPr>
                <w:lang w:val="en-US"/>
              </w:rPr>
              <w:t>0.763</w:t>
            </w:r>
          </w:p>
        </w:tc>
        <w:tc>
          <w:tcPr>
            <w:tcW w:w="2126" w:type="dxa"/>
          </w:tcPr>
          <w:p w14:paraId="4610310D" w14:textId="081D0F1B" w:rsidR="00AB3C32" w:rsidRPr="00FA714F" w:rsidRDefault="00AB3C32" w:rsidP="00AB3C32">
            <w:pPr>
              <w:pStyle w:val="NoSpacing"/>
              <w:rPr>
                <w:lang w:val="en-US"/>
              </w:rPr>
            </w:pPr>
            <w:r>
              <w:rPr>
                <w:lang w:val="en-US"/>
              </w:rPr>
              <w:t>0.731</w:t>
            </w:r>
          </w:p>
        </w:tc>
      </w:tr>
      <w:tr w:rsidR="00AB3C32" w:rsidRPr="00FA714F" w14:paraId="42F13D87" w14:textId="77777777" w:rsidTr="00447B82">
        <w:tc>
          <w:tcPr>
            <w:tcW w:w="3545" w:type="dxa"/>
          </w:tcPr>
          <w:p w14:paraId="29F580BC" w14:textId="2058D781" w:rsidR="00AB3C32" w:rsidRPr="00FA714F" w:rsidRDefault="003D680D" w:rsidP="00AB3C32">
            <w:pPr>
              <w:pStyle w:val="NoSpacing"/>
              <w:rPr>
                <w:lang w:val="en-US"/>
              </w:rPr>
            </w:pPr>
            <w:r>
              <w:rPr>
                <w:lang w:val="en-US"/>
              </w:rPr>
              <w:t>FGRS</w:t>
            </w:r>
            <w:r w:rsidR="00AB3C32">
              <w:rPr>
                <w:lang w:val="en-US"/>
              </w:rPr>
              <w:t>(b) -</w:t>
            </w:r>
            <w:r w:rsidR="00AB3C32" w:rsidRPr="00FA714F">
              <w:rPr>
                <w:lang w:val="en-US"/>
              </w:rPr>
              <w:t xml:space="preserve"> no age correction</w:t>
            </w:r>
          </w:p>
        </w:tc>
        <w:tc>
          <w:tcPr>
            <w:tcW w:w="2126" w:type="dxa"/>
          </w:tcPr>
          <w:p w14:paraId="4A5866D1" w14:textId="0C58E570" w:rsidR="00AB3C32" w:rsidRPr="00FA714F" w:rsidRDefault="007879DC" w:rsidP="00AB3C32">
            <w:pPr>
              <w:pStyle w:val="NoSpacing"/>
              <w:rPr>
                <w:lang w:val="en-US"/>
              </w:rPr>
            </w:pPr>
            <w:r>
              <w:rPr>
                <w:lang w:val="en-US"/>
              </w:rPr>
              <w:t>0.949</w:t>
            </w:r>
          </w:p>
        </w:tc>
        <w:tc>
          <w:tcPr>
            <w:tcW w:w="2126" w:type="dxa"/>
          </w:tcPr>
          <w:p w14:paraId="3C6D3472" w14:textId="27F9B60B" w:rsidR="00AB3C32" w:rsidRPr="00FA714F" w:rsidRDefault="007879DC" w:rsidP="00AB3C32">
            <w:pPr>
              <w:pStyle w:val="NoSpacing"/>
              <w:rPr>
                <w:lang w:val="en-US"/>
              </w:rPr>
            </w:pPr>
            <w:r>
              <w:rPr>
                <w:lang w:val="en-US"/>
              </w:rPr>
              <w:t>0.995</w:t>
            </w:r>
          </w:p>
        </w:tc>
        <w:tc>
          <w:tcPr>
            <w:tcW w:w="2126" w:type="dxa"/>
          </w:tcPr>
          <w:p w14:paraId="4481CF0F" w14:textId="74C649E7" w:rsidR="00AB3C32" w:rsidRPr="00FA714F" w:rsidRDefault="00AB3C32" w:rsidP="00AB3C32">
            <w:pPr>
              <w:pStyle w:val="NoSpacing"/>
              <w:rPr>
                <w:lang w:val="en-US"/>
              </w:rPr>
            </w:pPr>
            <w:r>
              <w:rPr>
                <w:lang w:val="en-US"/>
              </w:rPr>
              <w:t>0.999</w:t>
            </w:r>
          </w:p>
        </w:tc>
      </w:tr>
      <w:tr w:rsidR="00AB3C32" w:rsidRPr="00182B11" w14:paraId="78607117" w14:textId="77777777" w:rsidTr="00447B82">
        <w:tc>
          <w:tcPr>
            <w:tcW w:w="3545" w:type="dxa"/>
          </w:tcPr>
          <w:p w14:paraId="3BD23E08" w14:textId="20EEFE29" w:rsidR="00AB3C32" w:rsidRPr="00FA714F" w:rsidRDefault="003D680D" w:rsidP="00AB3C32">
            <w:pPr>
              <w:pStyle w:val="NoSpacing"/>
              <w:rPr>
                <w:lang w:val="en-US"/>
              </w:rPr>
            </w:pPr>
            <w:r>
              <w:rPr>
                <w:lang w:val="en-US"/>
              </w:rPr>
              <w:t>FGRS</w:t>
            </w:r>
            <w:r w:rsidR="00AB3C32">
              <w:rPr>
                <w:lang w:val="en-US"/>
              </w:rPr>
              <w:t>(c) -</w:t>
            </w:r>
            <w:r w:rsidR="00AB3C32" w:rsidRPr="00FA714F">
              <w:rPr>
                <w:lang w:val="en-US"/>
              </w:rPr>
              <w:t xml:space="preserve"> </w:t>
            </w:r>
            <w:r w:rsidR="00AB3C32" w:rsidRPr="007C61E8">
              <w:rPr>
                <w:lang w:val="en-US"/>
              </w:rPr>
              <w:t>no cohabitation correction</w:t>
            </w:r>
          </w:p>
        </w:tc>
        <w:tc>
          <w:tcPr>
            <w:tcW w:w="2126" w:type="dxa"/>
          </w:tcPr>
          <w:p w14:paraId="0BA29885" w14:textId="323B0665" w:rsidR="00AB3C32" w:rsidRPr="00FA714F" w:rsidRDefault="007879DC" w:rsidP="00AB3C32">
            <w:pPr>
              <w:pStyle w:val="NoSpacing"/>
              <w:rPr>
                <w:lang w:val="en-US"/>
              </w:rPr>
            </w:pPr>
            <w:r>
              <w:rPr>
                <w:lang w:val="en-US"/>
              </w:rPr>
              <w:t>0.961</w:t>
            </w:r>
          </w:p>
        </w:tc>
        <w:tc>
          <w:tcPr>
            <w:tcW w:w="2126" w:type="dxa"/>
          </w:tcPr>
          <w:p w14:paraId="77C1D119" w14:textId="06CBE89E" w:rsidR="00AB3C32" w:rsidRPr="00FA714F" w:rsidRDefault="00AB3C32" w:rsidP="00AB3C32">
            <w:pPr>
              <w:pStyle w:val="NoSpacing"/>
              <w:rPr>
                <w:lang w:val="en-US"/>
              </w:rPr>
            </w:pPr>
            <w:r>
              <w:rPr>
                <w:lang w:val="en-US"/>
              </w:rPr>
              <w:t>0.980</w:t>
            </w:r>
          </w:p>
        </w:tc>
        <w:tc>
          <w:tcPr>
            <w:tcW w:w="2126" w:type="dxa"/>
          </w:tcPr>
          <w:p w14:paraId="617FA16B" w14:textId="4C494D85" w:rsidR="00AB3C32" w:rsidRPr="00FA714F" w:rsidRDefault="00AB3C32" w:rsidP="00AB3C32">
            <w:pPr>
              <w:pStyle w:val="NoSpacing"/>
              <w:rPr>
                <w:lang w:val="en-US"/>
              </w:rPr>
            </w:pPr>
            <w:r>
              <w:rPr>
                <w:lang w:val="en-US"/>
              </w:rPr>
              <w:t>0.991</w:t>
            </w:r>
          </w:p>
        </w:tc>
      </w:tr>
      <w:tr w:rsidR="00AB3C32" w:rsidRPr="00FA714F" w14:paraId="7BD77B31" w14:textId="77777777" w:rsidTr="00447B82">
        <w:tc>
          <w:tcPr>
            <w:tcW w:w="3545" w:type="dxa"/>
          </w:tcPr>
          <w:p w14:paraId="26DF7CCA" w14:textId="10312604" w:rsidR="00AB3C32" w:rsidRPr="00FA714F" w:rsidRDefault="003D680D" w:rsidP="00AB3C32">
            <w:pPr>
              <w:pStyle w:val="NoSpacing"/>
              <w:rPr>
                <w:lang w:val="en-US"/>
              </w:rPr>
            </w:pPr>
            <w:r>
              <w:rPr>
                <w:lang w:val="en-US"/>
              </w:rPr>
              <w:t>FGRS</w:t>
            </w:r>
            <w:r w:rsidR="00AB3C32">
              <w:rPr>
                <w:lang w:val="en-US"/>
              </w:rPr>
              <w:t>(d) -</w:t>
            </w:r>
            <w:r w:rsidR="00AB3C32" w:rsidRPr="00FA714F">
              <w:rPr>
                <w:lang w:val="en-US"/>
              </w:rPr>
              <w:t xml:space="preserve"> no weighting for # relatives</w:t>
            </w:r>
          </w:p>
        </w:tc>
        <w:tc>
          <w:tcPr>
            <w:tcW w:w="2126" w:type="dxa"/>
          </w:tcPr>
          <w:p w14:paraId="66C3078E" w14:textId="339B6ABA" w:rsidR="00AB3C32" w:rsidRPr="00FA714F" w:rsidRDefault="007879DC" w:rsidP="00AB3C32">
            <w:pPr>
              <w:pStyle w:val="NoSpacing"/>
              <w:rPr>
                <w:lang w:val="en-US"/>
              </w:rPr>
            </w:pPr>
            <w:r>
              <w:rPr>
                <w:lang w:val="en-US"/>
              </w:rPr>
              <w:t>0.912</w:t>
            </w:r>
          </w:p>
        </w:tc>
        <w:tc>
          <w:tcPr>
            <w:tcW w:w="2126" w:type="dxa"/>
          </w:tcPr>
          <w:p w14:paraId="6305B8F0" w14:textId="3B776185" w:rsidR="00AB3C32" w:rsidRPr="00FA714F" w:rsidRDefault="00AB3C32" w:rsidP="00AB3C32">
            <w:pPr>
              <w:pStyle w:val="NoSpacing"/>
              <w:rPr>
                <w:lang w:val="en-US"/>
              </w:rPr>
            </w:pPr>
            <w:r>
              <w:rPr>
                <w:lang w:val="en-US"/>
              </w:rPr>
              <w:t>0.971</w:t>
            </w:r>
          </w:p>
        </w:tc>
        <w:tc>
          <w:tcPr>
            <w:tcW w:w="2126" w:type="dxa"/>
          </w:tcPr>
          <w:p w14:paraId="6D94ADAB" w14:textId="71D240BC" w:rsidR="00AB3C32" w:rsidRPr="00FA714F" w:rsidRDefault="00AB3C32" w:rsidP="00AB3C32">
            <w:pPr>
              <w:pStyle w:val="NoSpacing"/>
              <w:rPr>
                <w:lang w:val="en-US"/>
              </w:rPr>
            </w:pPr>
            <w:r>
              <w:rPr>
                <w:lang w:val="en-US"/>
              </w:rPr>
              <w:t>0.974</w:t>
            </w:r>
          </w:p>
        </w:tc>
      </w:tr>
      <w:tr w:rsidR="00AB3C32" w:rsidRPr="00FA714F" w14:paraId="5FA313B5" w14:textId="77777777" w:rsidTr="00447B82">
        <w:tc>
          <w:tcPr>
            <w:tcW w:w="3545" w:type="dxa"/>
          </w:tcPr>
          <w:p w14:paraId="149E1398" w14:textId="459DE3D8" w:rsidR="00AB3C32" w:rsidRPr="00FA714F" w:rsidRDefault="003D680D" w:rsidP="00AB3C32">
            <w:pPr>
              <w:pStyle w:val="NoSpacing"/>
              <w:rPr>
                <w:lang w:val="en-US"/>
              </w:rPr>
            </w:pPr>
            <w:r>
              <w:rPr>
                <w:lang w:val="en-US"/>
              </w:rPr>
              <w:t>FGRS</w:t>
            </w:r>
            <w:r w:rsidR="00AB3C32">
              <w:rPr>
                <w:lang w:val="en-US"/>
              </w:rPr>
              <w:t>(e) -std by YoB only</w:t>
            </w:r>
          </w:p>
        </w:tc>
        <w:tc>
          <w:tcPr>
            <w:tcW w:w="2126" w:type="dxa"/>
          </w:tcPr>
          <w:p w14:paraId="0F626D63" w14:textId="73DE5AE8" w:rsidR="00AB3C32" w:rsidRPr="00FA714F" w:rsidRDefault="007879DC" w:rsidP="00AB3C32">
            <w:pPr>
              <w:pStyle w:val="NoSpacing"/>
              <w:rPr>
                <w:lang w:val="en-US"/>
              </w:rPr>
            </w:pPr>
            <w:r>
              <w:rPr>
                <w:lang w:val="en-US"/>
              </w:rPr>
              <w:t>0.973</w:t>
            </w:r>
          </w:p>
        </w:tc>
        <w:tc>
          <w:tcPr>
            <w:tcW w:w="2126" w:type="dxa"/>
          </w:tcPr>
          <w:p w14:paraId="4E0B2729" w14:textId="5EDCBCAB" w:rsidR="00AB3C32" w:rsidRPr="00FA714F" w:rsidRDefault="00AB3C32" w:rsidP="00AB3C32">
            <w:pPr>
              <w:pStyle w:val="NoSpacing"/>
              <w:rPr>
                <w:lang w:val="en-US"/>
              </w:rPr>
            </w:pPr>
            <w:r>
              <w:rPr>
                <w:lang w:val="en-US"/>
              </w:rPr>
              <w:t>0.990</w:t>
            </w:r>
          </w:p>
        </w:tc>
        <w:tc>
          <w:tcPr>
            <w:tcW w:w="2126" w:type="dxa"/>
          </w:tcPr>
          <w:p w14:paraId="1CEA3294" w14:textId="2982A6EE" w:rsidR="00AB3C32" w:rsidRPr="00FA714F" w:rsidRDefault="00AB3C32" w:rsidP="00AB3C32">
            <w:pPr>
              <w:pStyle w:val="NoSpacing"/>
              <w:rPr>
                <w:lang w:val="en-US"/>
              </w:rPr>
            </w:pPr>
            <w:r>
              <w:rPr>
                <w:lang w:val="en-US"/>
              </w:rPr>
              <w:t>0.983</w:t>
            </w:r>
          </w:p>
        </w:tc>
      </w:tr>
      <w:tr w:rsidR="00AB3C32" w:rsidRPr="00FA714F" w14:paraId="7AD66DD4" w14:textId="77777777" w:rsidTr="00447B82">
        <w:tc>
          <w:tcPr>
            <w:tcW w:w="3545" w:type="dxa"/>
          </w:tcPr>
          <w:p w14:paraId="0E37EC96" w14:textId="4698248E" w:rsidR="00AB3C32" w:rsidRPr="00FA714F" w:rsidRDefault="003D680D" w:rsidP="00AB3C32">
            <w:pPr>
              <w:pStyle w:val="NoSpacing"/>
              <w:rPr>
                <w:lang w:val="en-US"/>
              </w:rPr>
            </w:pPr>
            <w:r>
              <w:rPr>
                <w:lang w:val="en-US"/>
              </w:rPr>
              <w:t>FGRS</w:t>
            </w:r>
            <w:r w:rsidR="00AB3C32">
              <w:rPr>
                <w:lang w:val="en-US"/>
              </w:rPr>
              <w:t>(f) - std by geography only</w:t>
            </w:r>
          </w:p>
        </w:tc>
        <w:tc>
          <w:tcPr>
            <w:tcW w:w="2126" w:type="dxa"/>
          </w:tcPr>
          <w:p w14:paraId="127BE434" w14:textId="27044BCD" w:rsidR="00AB3C32" w:rsidRPr="00FA714F" w:rsidRDefault="007879DC" w:rsidP="00AB3C32">
            <w:pPr>
              <w:pStyle w:val="NoSpacing"/>
              <w:rPr>
                <w:lang w:val="en-US"/>
              </w:rPr>
            </w:pPr>
            <w:r>
              <w:rPr>
                <w:lang w:val="en-US"/>
              </w:rPr>
              <w:t>0.955</w:t>
            </w:r>
          </w:p>
        </w:tc>
        <w:tc>
          <w:tcPr>
            <w:tcW w:w="2126" w:type="dxa"/>
          </w:tcPr>
          <w:p w14:paraId="35EE4ABA" w14:textId="4F2B9148" w:rsidR="00AB3C32" w:rsidRPr="00FA714F" w:rsidRDefault="00AB3C32" w:rsidP="00AB3C32">
            <w:pPr>
              <w:pStyle w:val="NoSpacing"/>
              <w:rPr>
                <w:lang w:val="en-US"/>
              </w:rPr>
            </w:pPr>
            <w:r>
              <w:rPr>
                <w:lang w:val="en-US"/>
              </w:rPr>
              <w:t>0.951</w:t>
            </w:r>
          </w:p>
        </w:tc>
        <w:tc>
          <w:tcPr>
            <w:tcW w:w="2126" w:type="dxa"/>
          </w:tcPr>
          <w:p w14:paraId="11B57F04" w14:textId="0A785597" w:rsidR="00AB3C32" w:rsidRPr="00FA714F" w:rsidRDefault="00AB3C32" w:rsidP="00AB3C32">
            <w:pPr>
              <w:pStyle w:val="NoSpacing"/>
              <w:rPr>
                <w:lang w:val="en-US"/>
              </w:rPr>
            </w:pPr>
            <w:r>
              <w:rPr>
                <w:lang w:val="en-US"/>
              </w:rPr>
              <w:t>0.948</w:t>
            </w:r>
          </w:p>
        </w:tc>
      </w:tr>
      <w:tr w:rsidR="00AB3C32" w:rsidRPr="00E6160C" w14:paraId="2D41AB5E" w14:textId="77777777" w:rsidTr="00447B82">
        <w:tc>
          <w:tcPr>
            <w:tcW w:w="3545" w:type="dxa"/>
          </w:tcPr>
          <w:p w14:paraId="0F4052C2" w14:textId="213B21C0" w:rsidR="00AB3C32" w:rsidRDefault="003D680D" w:rsidP="00AB3C32">
            <w:pPr>
              <w:pStyle w:val="NoSpacing"/>
              <w:rPr>
                <w:lang w:val="en-US"/>
              </w:rPr>
            </w:pPr>
            <w:r>
              <w:rPr>
                <w:lang w:val="en-US"/>
              </w:rPr>
              <w:t>FGRS</w:t>
            </w:r>
            <w:r w:rsidR="00AB3C32">
              <w:rPr>
                <w:lang w:val="en-US"/>
              </w:rPr>
              <w:t>(g) - std only by entire sample</w:t>
            </w:r>
          </w:p>
        </w:tc>
        <w:tc>
          <w:tcPr>
            <w:tcW w:w="2126" w:type="dxa"/>
          </w:tcPr>
          <w:p w14:paraId="31B38FF4" w14:textId="5158B9AA" w:rsidR="00AB3C32" w:rsidRPr="00FA714F" w:rsidRDefault="007879DC" w:rsidP="00AB3C32">
            <w:pPr>
              <w:pStyle w:val="NoSpacing"/>
              <w:rPr>
                <w:lang w:val="en-US"/>
              </w:rPr>
            </w:pPr>
            <w:r>
              <w:rPr>
                <w:lang w:val="en-US"/>
              </w:rPr>
              <w:t>0.935</w:t>
            </w:r>
          </w:p>
        </w:tc>
        <w:tc>
          <w:tcPr>
            <w:tcW w:w="2126" w:type="dxa"/>
          </w:tcPr>
          <w:p w14:paraId="50A65550" w14:textId="0B621235" w:rsidR="00AB3C32" w:rsidRPr="00FA714F" w:rsidRDefault="00AB3C32" w:rsidP="00AB3C32">
            <w:pPr>
              <w:pStyle w:val="NoSpacing"/>
              <w:rPr>
                <w:lang w:val="en-US"/>
              </w:rPr>
            </w:pPr>
            <w:r>
              <w:rPr>
                <w:lang w:val="en-US"/>
              </w:rPr>
              <w:t>0.946</w:t>
            </w:r>
          </w:p>
        </w:tc>
        <w:tc>
          <w:tcPr>
            <w:tcW w:w="2126" w:type="dxa"/>
          </w:tcPr>
          <w:p w14:paraId="1823B774" w14:textId="7E38D6B4" w:rsidR="00AB3C32" w:rsidRPr="00FA714F" w:rsidRDefault="00AB3C32" w:rsidP="00AB3C32">
            <w:pPr>
              <w:pStyle w:val="NoSpacing"/>
              <w:rPr>
                <w:lang w:val="en-US"/>
              </w:rPr>
            </w:pPr>
            <w:r>
              <w:rPr>
                <w:lang w:val="en-US"/>
              </w:rPr>
              <w:t>0.934</w:t>
            </w:r>
          </w:p>
        </w:tc>
      </w:tr>
      <w:tr w:rsidR="00AB3C32" w:rsidRPr="00E6160C" w14:paraId="49422CE1" w14:textId="77777777" w:rsidTr="00447B82">
        <w:tc>
          <w:tcPr>
            <w:tcW w:w="3545" w:type="dxa"/>
          </w:tcPr>
          <w:p w14:paraId="4B5800E7" w14:textId="77777777" w:rsidR="00AB3C32" w:rsidRPr="00FA714F" w:rsidRDefault="00AB3C32" w:rsidP="00AB3C32">
            <w:pPr>
              <w:pStyle w:val="NoSpacing"/>
              <w:rPr>
                <w:lang w:val="en-US"/>
              </w:rPr>
            </w:pPr>
          </w:p>
        </w:tc>
        <w:tc>
          <w:tcPr>
            <w:tcW w:w="2126" w:type="dxa"/>
          </w:tcPr>
          <w:p w14:paraId="0A2769E6" w14:textId="77777777" w:rsidR="00AB3C32" w:rsidRPr="00FA714F" w:rsidRDefault="00AB3C32" w:rsidP="00AB3C32">
            <w:pPr>
              <w:pStyle w:val="NoSpacing"/>
              <w:rPr>
                <w:lang w:val="en-US"/>
              </w:rPr>
            </w:pPr>
          </w:p>
        </w:tc>
        <w:tc>
          <w:tcPr>
            <w:tcW w:w="2126" w:type="dxa"/>
          </w:tcPr>
          <w:p w14:paraId="25165713" w14:textId="77777777" w:rsidR="00AB3C32" w:rsidRPr="00FA714F" w:rsidRDefault="00AB3C32" w:rsidP="00AB3C32">
            <w:pPr>
              <w:pStyle w:val="NoSpacing"/>
              <w:rPr>
                <w:lang w:val="en-US"/>
              </w:rPr>
            </w:pPr>
          </w:p>
        </w:tc>
        <w:tc>
          <w:tcPr>
            <w:tcW w:w="2126" w:type="dxa"/>
          </w:tcPr>
          <w:p w14:paraId="6517486B" w14:textId="77777777" w:rsidR="00AB3C32" w:rsidRPr="00FA714F" w:rsidRDefault="00AB3C32" w:rsidP="00AB3C32">
            <w:pPr>
              <w:pStyle w:val="NoSpacing"/>
              <w:rPr>
                <w:lang w:val="en-US"/>
              </w:rPr>
            </w:pPr>
          </w:p>
        </w:tc>
      </w:tr>
      <w:tr w:rsidR="00AB3C32" w:rsidRPr="00FA714F" w14:paraId="15CDF1EB" w14:textId="77777777" w:rsidTr="00447B82">
        <w:tc>
          <w:tcPr>
            <w:tcW w:w="9923" w:type="dxa"/>
            <w:gridSpan w:val="4"/>
          </w:tcPr>
          <w:p w14:paraId="0AC07ED2" w14:textId="77777777" w:rsidR="00AB3C32" w:rsidRPr="008263D6" w:rsidRDefault="00AB3C32" w:rsidP="00AB3C32">
            <w:pPr>
              <w:pStyle w:val="NoSpacing"/>
              <w:rPr>
                <w:b/>
                <w:lang w:val="en-US"/>
              </w:rPr>
            </w:pPr>
            <w:r>
              <w:rPr>
                <w:b/>
                <w:lang w:val="en-US"/>
              </w:rPr>
              <w:t>Area Under the Curve</w:t>
            </w:r>
          </w:p>
        </w:tc>
      </w:tr>
      <w:tr w:rsidR="00AB3C32" w:rsidRPr="00FA714F" w14:paraId="72953D45" w14:textId="77777777" w:rsidTr="00447B82">
        <w:tc>
          <w:tcPr>
            <w:tcW w:w="3545" w:type="dxa"/>
          </w:tcPr>
          <w:p w14:paraId="18C67D9E" w14:textId="7FC3B6C8" w:rsidR="00AB3C32" w:rsidRPr="00FA714F" w:rsidRDefault="003D680D" w:rsidP="00AB3C32">
            <w:pPr>
              <w:pStyle w:val="NoSpacing"/>
              <w:rPr>
                <w:lang w:val="en-US"/>
              </w:rPr>
            </w:pPr>
            <w:r>
              <w:rPr>
                <w:lang w:val="en-US"/>
              </w:rPr>
              <w:t>FGRS</w:t>
            </w:r>
            <w:r w:rsidR="00AB3C32">
              <w:rPr>
                <w:lang w:val="en-US"/>
              </w:rPr>
              <w:t xml:space="preserve"> used in the manuscript</w:t>
            </w:r>
          </w:p>
        </w:tc>
        <w:tc>
          <w:tcPr>
            <w:tcW w:w="2126" w:type="dxa"/>
          </w:tcPr>
          <w:p w14:paraId="11CDE78D" w14:textId="530E7786" w:rsidR="00AB3C32" w:rsidRPr="00FA714F" w:rsidRDefault="008F5969" w:rsidP="00AB3C32">
            <w:pPr>
              <w:pStyle w:val="NoSpacing"/>
              <w:rPr>
                <w:lang w:val="en-US"/>
              </w:rPr>
            </w:pPr>
            <w:r>
              <w:rPr>
                <w:lang w:val="en-US"/>
              </w:rPr>
              <w:t>0.587 (0.586; 0.588)</w:t>
            </w:r>
          </w:p>
        </w:tc>
        <w:tc>
          <w:tcPr>
            <w:tcW w:w="2126" w:type="dxa"/>
          </w:tcPr>
          <w:p w14:paraId="2338B4D6" w14:textId="0339F409" w:rsidR="00AB3C32" w:rsidRPr="00FA714F" w:rsidRDefault="00AB3C32" w:rsidP="00AB3C32">
            <w:pPr>
              <w:pStyle w:val="NoSpacing"/>
              <w:rPr>
                <w:lang w:val="en-US"/>
              </w:rPr>
            </w:pPr>
            <w:r>
              <w:rPr>
                <w:lang w:val="en-US"/>
              </w:rPr>
              <w:t>0.653 (0.652; 0.654)</w:t>
            </w:r>
          </w:p>
        </w:tc>
        <w:tc>
          <w:tcPr>
            <w:tcW w:w="2126" w:type="dxa"/>
          </w:tcPr>
          <w:p w14:paraId="517E3A73" w14:textId="3D03BFAF" w:rsidR="00AB3C32" w:rsidRPr="00FA714F" w:rsidRDefault="00AB3C32" w:rsidP="00AB3C32">
            <w:pPr>
              <w:pStyle w:val="NoSpacing"/>
              <w:rPr>
                <w:lang w:val="en-US"/>
              </w:rPr>
            </w:pPr>
            <w:r>
              <w:rPr>
                <w:lang w:val="en-US"/>
              </w:rPr>
              <w:t>0.631 (0.629; 0.634)</w:t>
            </w:r>
          </w:p>
        </w:tc>
      </w:tr>
      <w:tr w:rsidR="00AB3C32" w:rsidRPr="0025629C" w14:paraId="44AB8271" w14:textId="77777777" w:rsidTr="00447B82">
        <w:tc>
          <w:tcPr>
            <w:tcW w:w="3545" w:type="dxa"/>
          </w:tcPr>
          <w:p w14:paraId="625C64B1" w14:textId="7103DA4A" w:rsidR="00AB3C32" w:rsidRPr="00FA714F" w:rsidRDefault="003D680D" w:rsidP="00AB3C32">
            <w:pPr>
              <w:pStyle w:val="NoSpacing"/>
              <w:rPr>
                <w:lang w:val="en-US"/>
              </w:rPr>
            </w:pPr>
            <w:r>
              <w:rPr>
                <w:lang w:val="en-US"/>
              </w:rPr>
              <w:t>FGRS</w:t>
            </w:r>
            <w:r w:rsidR="00AB3C32">
              <w:rPr>
                <w:lang w:val="en-US"/>
              </w:rPr>
              <w:t>(a) -</w:t>
            </w:r>
            <w:r w:rsidR="00AB3C32" w:rsidRPr="00FA714F">
              <w:rPr>
                <w:lang w:val="en-US"/>
              </w:rPr>
              <w:t xml:space="preserve"> 1</w:t>
            </w:r>
            <w:r w:rsidR="00AB3C32" w:rsidRPr="00FA714F">
              <w:rPr>
                <w:vertAlign w:val="superscript"/>
                <w:lang w:val="en-US"/>
              </w:rPr>
              <w:t>st</w:t>
            </w:r>
            <w:r w:rsidR="00AB3C32" w:rsidRPr="00FA714F">
              <w:rPr>
                <w:lang w:val="en-US"/>
              </w:rPr>
              <w:t xml:space="preserve"> degree relatives</w:t>
            </w:r>
          </w:p>
        </w:tc>
        <w:tc>
          <w:tcPr>
            <w:tcW w:w="2126" w:type="dxa"/>
          </w:tcPr>
          <w:p w14:paraId="0D8FD869" w14:textId="3DD2807C" w:rsidR="00AB3C32" w:rsidRPr="00FA714F" w:rsidRDefault="008F5969" w:rsidP="00AB3C32">
            <w:pPr>
              <w:pStyle w:val="NoSpacing"/>
              <w:rPr>
                <w:lang w:val="en-US"/>
              </w:rPr>
            </w:pPr>
            <w:r>
              <w:rPr>
                <w:lang w:val="en-US"/>
              </w:rPr>
              <w:t>0.575 (0.574; 0.575)</w:t>
            </w:r>
          </w:p>
        </w:tc>
        <w:tc>
          <w:tcPr>
            <w:tcW w:w="2126" w:type="dxa"/>
          </w:tcPr>
          <w:p w14:paraId="626DDC28" w14:textId="7C65DCC4" w:rsidR="00AB3C32" w:rsidRPr="00FA714F" w:rsidRDefault="008F5969" w:rsidP="00AB3C32">
            <w:pPr>
              <w:pStyle w:val="NoSpacing"/>
              <w:rPr>
                <w:lang w:val="en-US"/>
              </w:rPr>
            </w:pPr>
            <w:r>
              <w:rPr>
                <w:lang w:val="en-US"/>
              </w:rPr>
              <w:t>0.608 (0.607; 0.610)</w:t>
            </w:r>
          </w:p>
        </w:tc>
        <w:tc>
          <w:tcPr>
            <w:tcW w:w="2126" w:type="dxa"/>
          </w:tcPr>
          <w:p w14:paraId="2BA3C439" w14:textId="7DD61C74" w:rsidR="00AB3C32" w:rsidRPr="00FA714F" w:rsidRDefault="008F5969" w:rsidP="00AB3C32">
            <w:pPr>
              <w:pStyle w:val="NoSpacing"/>
              <w:rPr>
                <w:lang w:val="en-US"/>
              </w:rPr>
            </w:pPr>
            <w:r>
              <w:rPr>
                <w:lang w:val="en-US"/>
              </w:rPr>
              <w:t>0.570 (0.567; 0.572)</w:t>
            </w:r>
          </w:p>
        </w:tc>
      </w:tr>
      <w:tr w:rsidR="00AB3C32" w:rsidRPr="0025629C" w14:paraId="45025D83" w14:textId="77777777" w:rsidTr="00447B82">
        <w:tc>
          <w:tcPr>
            <w:tcW w:w="3545" w:type="dxa"/>
          </w:tcPr>
          <w:p w14:paraId="02B80AB0" w14:textId="3E1EDABD" w:rsidR="00AB3C32" w:rsidRPr="00FA714F" w:rsidRDefault="003D680D" w:rsidP="00AB3C32">
            <w:pPr>
              <w:pStyle w:val="NoSpacing"/>
              <w:rPr>
                <w:lang w:val="en-US"/>
              </w:rPr>
            </w:pPr>
            <w:r>
              <w:rPr>
                <w:lang w:val="en-US"/>
              </w:rPr>
              <w:t>FGRS</w:t>
            </w:r>
            <w:r w:rsidR="00AB3C32">
              <w:rPr>
                <w:lang w:val="en-US"/>
              </w:rPr>
              <w:t>(b) -</w:t>
            </w:r>
            <w:r w:rsidR="00AB3C32" w:rsidRPr="00FA714F">
              <w:rPr>
                <w:lang w:val="en-US"/>
              </w:rPr>
              <w:t xml:space="preserve"> no age correction</w:t>
            </w:r>
          </w:p>
        </w:tc>
        <w:tc>
          <w:tcPr>
            <w:tcW w:w="2126" w:type="dxa"/>
          </w:tcPr>
          <w:p w14:paraId="697EA90C" w14:textId="6BE66F99" w:rsidR="00AB3C32" w:rsidRPr="00FA714F" w:rsidRDefault="008F5969" w:rsidP="00AB3C32">
            <w:pPr>
              <w:pStyle w:val="NoSpacing"/>
              <w:rPr>
                <w:lang w:val="en-US"/>
              </w:rPr>
            </w:pPr>
            <w:r>
              <w:rPr>
                <w:lang w:val="en-US"/>
              </w:rPr>
              <w:t>0.589 (0.588; 0.590)</w:t>
            </w:r>
          </w:p>
        </w:tc>
        <w:tc>
          <w:tcPr>
            <w:tcW w:w="2126" w:type="dxa"/>
          </w:tcPr>
          <w:p w14:paraId="3B282A85" w14:textId="5DAEECB6" w:rsidR="00AB3C32" w:rsidRPr="00FA714F" w:rsidRDefault="008F5969" w:rsidP="00AB3C32">
            <w:pPr>
              <w:pStyle w:val="NoSpacing"/>
              <w:rPr>
                <w:lang w:val="en-US"/>
              </w:rPr>
            </w:pPr>
            <w:r>
              <w:rPr>
                <w:lang w:val="en-US"/>
              </w:rPr>
              <w:t>0.657 (0.656; 0.659)</w:t>
            </w:r>
          </w:p>
        </w:tc>
        <w:tc>
          <w:tcPr>
            <w:tcW w:w="2126" w:type="dxa"/>
          </w:tcPr>
          <w:p w14:paraId="0EF41626" w14:textId="2F3F5DA1" w:rsidR="00AB3C32" w:rsidRPr="00FA714F" w:rsidRDefault="008F5969" w:rsidP="00AB3C32">
            <w:pPr>
              <w:pStyle w:val="NoSpacing"/>
              <w:rPr>
                <w:lang w:val="en-US"/>
              </w:rPr>
            </w:pPr>
            <w:r>
              <w:rPr>
                <w:lang w:val="en-US"/>
              </w:rPr>
              <w:t>0.642 (0.640; 0.644)</w:t>
            </w:r>
          </w:p>
        </w:tc>
      </w:tr>
      <w:tr w:rsidR="00AB3C32" w:rsidRPr="0025629C" w14:paraId="7DA89EDD" w14:textId="77777777" w:rsidTr="00447B82">
        <w:tc>
          <w:tcPr>
            <w:tcW w:w="3545" w:type="dxa"/>
          </w:tcPr>
          <w:p w14:paraId="06CA3CCA" w14:textId="4A12B74D" w:rsidR="00AB3C32" w:rsidRPr="00FA714F" w:rsidRDefault="003D680D" w:rsidP="00AB3C32">
            <w:pPr>
              <w:pStyle w:val="NoSpacing"/>
              <w:rPr>
                <w:lang w:val="en-US"/>
              </w:rPr>
            </w:pPr>
            <w:r>
              <w:rPr>
                <w:lang w:val="en-US"/>
              </w:rPr>
              <w:t>FGRS</w:t>
            </w:r>
            <w:r w:rsidR="00AB3C32">
              <w:rPr>
                <w:lang w:val="en-US"/>
              </w:rPr>
              <w:t>(c) -</w:t>
            </w:r>
            <w:r w:rsidR="00AB3C32" w:rsidRPr="00FA714F">
              <w:rPr>
                <w:lang w:val="en-US"/>
              </w:rPr>
              <w:t xml:space="preserve"> </w:t>
            </w:r>
            <w:r w:rsidR="00AB3C32" w:rsidRPr="000E29C2">
              <w:rPr>
                <w:lang w:val="en-US"/>
              </w:rPr>
              <w:t>no cohabitation correction</w:t>
            </w:r>
          </w:p>
        </w:tc>
        <w:tc>
          <w:tcPr>
            <w:tcW w:w="2126" w:type="dxa"/>
          </w:tcPr>
          <w:p w14:paraId="178ACED4" w14:textId="3235CAF0" w:rsidR="00AB3C32" w:rsidRPr="00FA714F" w:rsidRDefault="008F5969" w:rsidP="00AB3C32">
            <w:pPr>
              <w:pStyle w:val="NoSpacing"/>
              <w:rPr>
                <w:lang w:val="en-US"/>
              </w:rPr>
            </w:pPr>
            <w:r>
              <w:rPr>
                <w:lang w:val="en-US"/>
              </w:rPr>
              <w:t>0.588 (0.587; 0.590)</w:t>
            </w:r>
          </w:p>
        </w:tc>
        <w:tc>
          <w:tcPr>
            <w:tcW w:w="2126" w:type="dxa"/>
          </w:tcPr>
          <w:p w14:paraId="432D4C65" w14:textId="670C1446" w:rsidR="00AB3C32" w:rsidRPr="00FA714F" w:rsidRDefault="008F5969" w:rsidP="00AB3C32">
            <w:pPr>
              <w:pStyle w:val="NoSpacing"/>
              <w:rPr>
                <w:lang w:val="en-US"/>
              </w:rPr>
            </w:pPr>
            <w:r>
              <w:rPr>
                <w:lang w:val="en-US"/>
              </w:rPr>
              <w:t>0.657 (0.655; 0.658)</w:t>
            </w:r>
          </w:p>
        </w:tc>
        <w:tc>
          <w:tcPr>
            <w:tcW w:w="2126" w:type="dxa"/>
          </w:tcPr>
          <w:p w14:paraId="3BD88D11" w14:textId="089CE01D" w:rsidR="00AB3C32" w:rsidRPr="00FA714F" w:rsidRDefault="008F5969" w:rsidP="00AB3C32">
            <w:pPr>
              <w:pStyle w:val="NoSpacing"/>
              <w:rPr>
                <w:lang w:val="en-US"/>
              </w:rPr>
            </w:pPr>
            <w:r>
              <w:rPr>
                <w:lang w:val="en-US"/>
              </w:rPr>
              <w:t>0.641 (0.639; 0.643)</w:t>
            </w:r>
          </w:p>
        </w:tc>
      </w:tr>
      <w:tr w:rsidR="00AB3C32" w:rsidRPr="00FA714F" w14:paraId="0F2995E6" w14:textId="77777777" w:rsidTr="00447B82">
        <w:tc>
          <w:tcPr>
            <w:tcW w:w="3545" w:type="dxa"/>
          </w:tcPr>
          <w:p w14:paraId="48E36E62" w14:textId="126D1B6C" w:rsidR="00AB3C32" w:rsidRPr="00FA714F" w:rsidRDefault="003D680D" w:rsidP="00AB3C32">
            <w:pPr>
              <w:pStyle w:val="NoSpacing"/>
              <w:rPr>
                <w:lang w:val="en-US"/>
              </w:rPr>
            </w:pPr>
            <w:r>
              <w:rPr>
                <w:lang w:val="en-US"/>
              </w:rPr>
              <w:t>FGRS</w:t>
            </w:r>
            <w:r w:rsidR="00AB3C32">
              <w:rPr>
                <w:lang w:val="en-US"/>
              </w:rPr>
              <w:t>(d) -</w:t>
            </w:r>
            <w:r w:rsidR="00AB3C32" w:rsidRPr="00FA714F">
              <w:rPr>
                <w:lang w:val="en-US"/>
              </w:rPr>
              <w:t xml:space="preserve"> no weighting for # relatives</w:t>
            </w:r>
          </w:p>
        </w:tc>
        <w:tc>
          <w:tcPr>
            <w:tcW w:w="2126" w:type="dxa"/>
          </w:tcPr>
          <w:p w14:paraId="580E873B" w14:textId="18664C43" w:rsidR="00AB3C32" w:rsidRPr="00FA714F" w:rsidRDefault="008F5969" w:rsidP="00AB3C32">
            <w:pPr>
              <w:pStyle w:val="NoSpacing"/>
              <w:rPr>
                <w:lang w:val="en-US"/>
              </w:rPr>
            </w:pPr>
            <w:r>
              <w:rPr>
                <w:lang w:val="en-US"/>
              </w:rPr>
              <w:t>0.585 (0.585; 0.586)</w:t>
            </w:r>
          </w:p>
        </w:tc>
        <w:tc>
          <w:tcPr>
            <w:tcW w:w="2126" w:type="dxa"/>
          </w:tcPr>
          <w:p w14:paraId="4066D646" w14:textId="2CA5B2E0" w:rsidR="00AB3C32" w:rsidRPr="00FA714F" w:rsidRDefault="008F5969" w:rsidP="00AB3C32">
            <w:pPr>
              <w:pStyle w:val="NoSpacing"/>
              <w:rPr>
                <w:lang w:val="en-US"/>
              </w:rPr>
            </w:pPr>
            <w:r>
              <w:rPr>
                <w:lang w:val="en-US"/>
              </w:rPr>
              <w:t>0.648 (0.646; 0.649)</w:t>
            </w:r>
          </w:p>
        </w:tc>
        <w:tc>
          <w:tcPr>
            <w:tcW w:w="2126" w:type="dxa"/>
          </w:tcPr>
          <w:p w14:paraId="44370E3A" w14:textId="6DDFF8EF" w:rsidR="00AB3C32" w:rsidRPr="00FA714F" w:rsidRDefault="008F5969" w:rsidP="00AB3C32">
            <w:pPr>
              <w:pStyle w:val="NoSpacing"/>
              <w:rPr>
                <w:lang w:val="en-US"/>
              </w:rPr>
            </w:pPr>
            <w:r>
              <w:rPr>
                <w:lang w:val="en-US"/>
              </w:rPr>
              <w:t>0.621 (0.618; 0.623)</w:t>
            </w:r>
          </w:p>
        </w:tc>
      </w:tr>
      <w:tr w:rsidR="00AB3C32" w:rsidRPr="00FA714F" w14:paraId="6DB69D76" w14:textId="77777777" w:rsidTr="00447B82">
        <w:tc>
          <w:tcPr>
            <w:tcW w:w="3545" w:type="dxa"/>
          </w:tcPr>
          <w:p w14:paraId="49684F54" w14:textId="683B7FBE" w:rsidR="00AB3C32" w:rsidRPr="00FA714F" w:rsidRDefault="003D680D" w:rsidP="00AB3C32">
            <w:pPr>
              <w:pStyle w:val="NoSpacing"/>
              <w:rPr>
                <w:lang w:val="en-US"/>
              </w:rPr>
            </w:pPr>
            <w:r>
              <w:rPr>
                <w:lang w:val="en-US"/>
              </w:rPr>
              <w:t>FGRS</w:t>
            </w:r>
            <w:r w:rsidR="00AB3C32">
              <w:rPr>
                <w:lang w:val="en-US"/>
              </w:rPr>
              <w:t>(e) -std by YoB only</w:t>
            </w:r>
          </w:p>
        </w:tc>
        <w:tc>
          <w:tcPr>
            <w:tcW w:w="2126" w:type="dxa"/>
          </w:tcPr>
          <w:p w14:paraId="41B81AE3" w14:textId="21CB6424" w:rsidR="00AB3C32" w:rsidRPr="00FA714F" w:rsidRDefault="008F5969" w:rsidP="00AB3C32">
            <w:pPr>
              <w:pStyle w:val="NoSpacing"/>
              <w:rPr>
                <w:lang w:val="en-US"/>
              </w:rPr>
            </w:pPr>
            <w:r>
              <w:rPr>
                <w:lang w:val="en-US"/>
              </w:rPr>
              <w:t>0.601 (0.600; 0.602)</w:t>
            </w:r>
          </w:p>
        </w:tc>
        <w:tc>
          <w:tcPr>
            <w:tcW w:w="2126" w:type="dxa"/>
          </w:tcPr>
          <w:p w14:paraId="4EEC5A58" w14:textId="4E66C17D" w:rsidR="00AB3C32" w:rsidRPr="00FA714F" w:rsidRDefault="008F5969" w:rsidP="00AB3C32">
            <w:pPr>
              <w:pStyle w:val="NoSpacing"/>
              <w:rPr>
                <w:lang w:val="en-US"/>
              </w:rPr>
            </w:pPr>
            <w:r>
              <w:rPr>
                <w:lang w:val="en-US"/>
              </w:rPr>
              <w:t>0.657 (0.656; 0.659)</w:t>
            </w:r>
          </w:p>
        </w:tc>
        <w:tc>
          <w:tcPr>
            <w:tcW w:w="2126" w:type="dxa"/>
          </w:tcPr>
          <w:p w14:paraId="5C52C0AD" w14:textId="3CD97F37" w:rsidR="00AB3C32" w:rsidRPr="00FA714F" w:rsidRDefault="008F5969" w:rsidP="00AB3C32">
            <w:pPr>
              <w:pStyle w:val="NoSpacing"/>
              <w:rPr>
                <w:lang w:val="en-US"/>
              </w:rPr>
            </w:pPr>
            <w:r>
              <w:rPr>
                <w:lang w:val="en-US"/>
              </w:rPr>
              <w:t>0.638 (0.636; 0.641)</w:t>
            </w:r>
          </w:p>
        </w:tc>
      </w:tr>
      <w:tr w:rsidR="00AB3C32" w:rsidRPr="009F1EFD" w14:paraId="35E7F9E8" w14:textId="77777777" w:rsidTr="00447B82">
        <w:tc>
          <w:tcPr>
            <w:tcW w:w="3545" w:type="dxa"/>
          </w:tcPr>
          <w:p w14:paraId="11C3B84C" w14:textId="2470FBEF" w:rsidR="00AB3C32" w:rsidRPr="00FA714F" w:rsidRDefault="003D680D" w:rsidP="00AB3C32">
            <w:pPr>
              <w:pStyle w:val="NoSpacing"/>
              <w:rPr>
                <w:lang w:val="en-US"/>
              </w:rPr>
            </w:pPr>
            <w:r>
              <w:rPr>
                <w:lang w:val="en-US"/>
              </w:rPr>
              <w:t>FGRS</w:t>
            </w:r>
            <w:r w:rsidR="00AB3C32">
              <w:rPr>
                <w:lang w:val="en-US"/>
              </w:rPr>
              <w:t>(f) - std by geography only</w:t>
            </w:r>
          </w:p>
        </w:tc>
        <w:tc>
          <w:tcPr>
            <w:tcW w:w="2126" w:type="dxa"/>
          </w:tcPr>
          <w:p w14:paraId="1C81FBFA" w14:textId="6FC8F997" w:rsidR="00AB3C32" w:rsidRPr="00FA714F" w:rsidRDefault="008F5969" w:rsidP="00AB3C32">
            <w:pPr>
              <w:pStyle w:val="NoSpacing"/>
              <w:rPr>
                <w:lang w:val="en-US"/>
              </w:rPr>
            </w:pPr>
            <w:r>
              <w:rPr>
                <w:lang w:val="en-US"/>
              </w:rPr>
              <w:t>0.584 (0.583; 0.585)</w:t>
            </w:r>
          </w:p>
        </w:tc>
        <w:tc>
          <w:tcPr>
            <w:tcW w:w="2126" w:type="dxa"/>
          </w:tcPr>
          <w:p w14:paraId="41AC5A6C" w14:textId="1AB4C729" w:rsidR="00AB3C32" w:rsidRPr="00FA714F" w:rsidRDefault="008F5969" w:rsidP="00AB3C32">
            <w:pPr>
              <w:pStyle w:val="NoSpacing"/>
              <w:rPr>
                <w:lang w:val="en-US"/>
              </w:rPr>
            </w:pPr>
            <w:r>
              <w:rPr>
                <w:lang w:val="en-US"/>
              </w:rPr>
              <w:t>0.665 (0.664; 0.667)</w:t>
            </w:r>
          </w:p>
        </w:tc>
        <w:tc>
          <w:tcPr>
            <w:tcW w:w="2126" w:type="dxa"/>
          </w:tcPr>
          <w:p w14:paraId="0C15A858" w14:textId="3F8DA628" w:rsidR="00AB3C32" w:rsidRPr="00FA714F" w:rsidRDefault="008F5969" w:rsidP="00AB3C32">
            <w:pPr>
              <w:pStyle w:val="NoSpacing"/>
              <w:rPr>
                <w:lang w:val="en-US"/>
              </w:rPr>
            </w:pPr>
            <w:r>
              <w:rPr>
                <w:lang w:val="en-US"/>
              </w:rPr>
              <w:t>0.703 (0.701; 0.705)</w:t>
            </w:r>
          </w:p>
        </w:tc>
      </w:tr>
      <w:tr w:rsidR="00AB3C32" w:rsidRPr="00182B11" w14:paraId="248D167D" w14:textId="77777777" w:rsidTr="00447B82">
        <w:tc>
          <w:tcPr>
            <w:tcW w:w="3545" w:type="dxa"/>
          </w:tcPr>
          <w:p w14:paraId="1F6B0D21" w14:textId="7FC3A40C" w:rsidR="00AB3C32" w:rsidRPr="00FA714F" w:rsidRDefault="003D680D" w:rsidP="00AB3C32">
            <w:pPr>
              <w:pStyle w:val="NoSpacing"/>
              <w:rPr>
                <w:lang w:val="en-US"/>
              </w:rPr>
            </w:pPr>
            <w:r>
              <w:rPr>
                <w:lang w:val="en-US"/>
              </w:rPr>
              <w:t>FGRS</w:t>
            </w:r>
            <w:r w:rsidR="00AB3C32">
              <w:rPr>
                <w:lang w:val="en-US"/>
              </w:rPr>
              <w:t>(g) - std only by entire sample</w:t>
            </w:r>
          </w:p>
        </w:tc>
        <w:tc>
          <w:tcPr>
            <w:tcW w:w="2126" w:type="dxa"/>
          </w:tcPr>
          <w:p w14:paraId="68E36847" w14:textId="07163DAC" w:rsidR="00AB3C32" w:rsidRPr="00FA714F" w:rsidRDefault="008F5969" w:rsidP="00AB3C32">
            <w:pPr>
              <w:pStyle w:val="NoSpacing"/>
              <w:rPr>
                <w:lang w:val="en-US"/>
              </w:rPr>
            </w:pPr>
            <w:r>
              <w:rPr>
                <w:lang w:val="en-US"/>
              </w:rPr>
              <w:t>0.598 (0.597; 0.599)</w:t>
            </w:r>
          </w:p>
        </w:tc>
        <w:tc>
          <w:tcPr>
            <w:tcW w:w="2126" w:type="dxa"/>
          </w:tcPr>
          <w:p w14:paraId="77245BF5" w14:textId="53078193" w:rsidR="00AB3C32" w:rsidRPr="00FA714F" w:rsidRDefault="008F5969" w:rsidP="00AB3C32">
            <w:pPr>
              <w:pStyle w:val="NoSpacing"/>
              <w:rPr>
                <w:lang w:val="en-US"/>
              </w:rPr>
            </w:pPr>
            <w:r>
              <w:rPr>
                <w:lang w:val="en-US"/>
              </w:rPr>
              <w:t>0.671 (0.670; 0.672)</w:t>
            </w:r>
          </w:p>
        </w:tc>
        <w:tc>
          <w:tcPr>
            <w:tcW w:w="2126" w:type="dxa"/>
          </w:tcPr>
          <w:p w14:paraId="48E8C2FC" w14:textId="2EBC40EA" w:rsidR="00AB3C32" w:rsidRPr="00FA714F" w:rsidRDefault="008F5969" w:rsidP="00AB3C32">
            <w:pPr>
              <w:pStyle w:val="NoSpacing"/>
              <w:rPr>
                <w:lang w:val="en-US"/>
              </w:rPr>
            </w:pPr>
            <w:r>
              <w:rPr>
                <w:lang w:val="en-US"/>
              </w:rPr>
              <w:t>0.717 (0.715; 0.719)</w:t>
            </w:r>
          </w:p>
        </w:tc>
      </w:tr>
    </w:tbl>
    <w:p w14:paraId="2C7E70B2" w14:textId="77777777" w:rsidR="00ED3011" w:rsidRDefault="00ED3011" w:rsidP="00ED3011">
      <w:pPr>
        <w:spacing w:after="0" w:line="240" w:lineRule="auto"/>
        <w:jc w:val="center"/>
        <w:rPr>
          <w:rFonts w:asciiTheme="majorHAnsi" w:hAnsiTheme="majorHAnsi" w:cstheme="majorHAnsi"/>
          <w:b/>
          <w:bCs/>
          <w:color w:val="212121"/>
          <w:shd w:val="clear" w:color="auto" w:fill="FFFFFF"/>
          <w:lang w:val="en-US"/>
        </w:rPr>
      </w:pPr>
    </w:p>
    <w:p w14:paraId="57807753" w14:textId="297BFC68" w:rsidR="00ED3011" w:rsidRPr="00042932" w:rsidRDefault="00ED3011" w:rsidP="00ED3011">
      <w:pPr>
        <w:spacing w:after="0" w:line="240" w:lineRule="auto"/>
        <w:jc w:val="center"/>
        <w:rPr>
          <w:rFonts w:asciiTheme="majorHAnsi" w:hAnsiTheme="majorHAnsi" w:cstheme="majorHAnsi"/>
          <w:b/>
          <w:bCs/>
          <w:color w:val="212121"/>
          <w:shd w:val="clear" w:color="auto" w:fill="FFFFFF"/>
          <w:lang w:val="en-US"/>
        </w:rPr>
      </w:pPr>
      <w:r>
        <w:rPr>
          <w:rFonts w:asciiTheme="majorHAnsi" w:hAnsiTheme="majorHAnsi" w:cstheme="majorHAnsi"/>
          <w:b/>
          <w:bCs/>
          <w:color w:val="212121"/>
          <w:shd w:val="clear" w:color="auto" w:fill="FFFFFF"/>
          <w:lang w:val="en-US"/>
        </w:rPr>
        <w:t xml:space="preserve">Table 6 - </w:t>
      </w:r>
      <w:r w:rsidRPr="00042932">
        <w:rPr>
          <w:rFonts w:asciiTheme="majorHAnsi" w:hAnsiTheme="majorHAnsi" w:cstheme="majorHAnsi"/>
          <w:b/>
          <w:bCs/>
          <w:color w:val="212121"/>
          <w:shd w:val="clear" w:color="auto" w:fill="FFFFFF"/>
          <w:lang w:val="en-US"/>
        </w:rPr>
        <w:t>Method of Simulations</w:t>
      </w:r>
    </w:p>
    <w:p w14:paraId="766E7D1F" w14:textId="77777777" w:rsidR="00ED3011" w:rsidRPr="00042932" w:rsidRDefault="00ED3011" w:rsidP="00ED3011">
      <w:pPr>
        <w:spacing w:after="0" w:line="240" w:lineRule="auto"/>
        <w:rPr>
          <w:rFonts w:asciiTheme="majorHAnsi" w:hAnsiTheme="majorHAnsi" w:cstheme="majorHAnsi"/>
          <w:color w:val="212121"/>
          <w:shd w:val="clear" w:color="auto" w:fill="FFFFFF"/>
          <w:lang w:val="en-US"/>
        </w:rPr>
      </w:pPr>
    </w:p>
    <w:p w14:paraId="07C30387" w14:textId="77777777" w:rsidR="00ED3011" w:rsidRPr="00042932" w:rsidRDefault="00ED3011" w:rsidP="00ED3011">
      <w:pPr>
        <w:pStyle w:val="PlainText"/>
        <w:ind w:firstLine="720"/>
        <w:rPr>
          <w:rFonts w:asciiTheme="majorHAnsi" w:hAnsiTheme="majorHAnsi" w:cstheme="majorHAnsi"/>
          <w:sz w:val="22"/>
          <w:szCs w:val="22"/>
        </w:rPr>
      </w:pPr>
      <w:r w:rsidRPr="00042932">
        <w:rPr>
          <w:rFonts w:asciiTheme="majorHAnsi" w:hAnsiTheme="majorHAnsi" w:cstheme="majorHAnsi"/>
          <w:sz w:val="22"/>
          <w:szCs w:val="22"/>
        </w:rPr>
        <w:t xml:space="preserve">To get realistic (Swedish population-like) simulations, after unsuccessful attempts to utilize the </w:t>
      </w:r>
      <w:r w:rsidRPr="00042932">
        <w:rPr>
          <w:rFonts w:asciiTheme="majorHAnsi" w:hAnsiTheme="majorHAnsi" w:cstheme="majorHAnsi"/>
          <w:i/>
          <w:iCs/>
          <w:sz w:val="22"/>
          <w:szCs w:val="22"/>
        </w:rPr>
        <w:t xml:space="preserve">R </w:t>
      </w:r>
      <w:r w:rsidRPr="00042932">
        <w:rPr>
          <w:rFonts w:asciiTheme="majorHAnsi" w:hAnsiTheme="majorHAnsi" w:cstheme="majorHAnsi"/>
          <w:sz w:val="22"/>
          <w:szCs w:val="22"/>
        </w:rPr>
        <w:t xml:space="preserve">pedigree simulating packages </w:t>
      </w:r>
      <w:r w:rsidRPr="00042932">
        <w:rPr>
          <w:rFonts w:asciiTheme="majorHAnsi" w:hAnsiTheme="majorHAnsi" w:cstheme="majorHAnsi"/>
          <w:i/>
          <w:iCs/>
          <w:sz w:val="22"/>
          <w:szCs w:val="22"/>
        </w:rPr>
        <w:t>pedSimulate</w:t>
      </w:r>
      <w:r w:rsidRPr="00042932">
        <w:rPr>
          <w:rFonts w:asciiTheme="majorHAnsi" w:hAnsiTheme="majorHAnsi" w:cstheme="majorHAnsi"/>
          <w:sz w:val="22"/>
          <w:szCs w:val="22"/>
        </w:rPr>
        <w:t xml:space="preserve"> and </w:t>
      </w:r>
      <w:r w:rsidRPr="00042932">
        <w:rPr>
          <w:rFonts w:asciiTheme="majorHAnsi" w:hAnsiTheme="majorHAnsi" w:cstheme="majorHAnsi"/>
          <w:i/>
          <w:iCs/>
          <w:sz w:val="22"/>
          <w:szCs w:val="22"/>
        </w:rPr>
        <w:t xml:space="preserve">synbreed, </w:t>
      </w:r>
      <w:r w:rsidRPr="00042932">
        <w:rPr>
          <w:rFonts w:asciiTheme="majorHAnsi" w:hAnsiTheme="majorHAnsi" w:cstheme="majorHAnsi"/>
          <w:sz w:val="22"/>
          <w:szCs w:val="22"/>
        </w:rPr>
        <w:t xml:space="preserve">we implemented a de-novo pedigree simulation using Julia script because of its greater speed. For increased generality, the script was built to have numerous adjustable parameters: </w:t>
      </w:r>
    </w:p>
    <w:p w14:paraId="5F6B0FDB" w14:textId="77777777" w:rsidR="00ED3011" w:rsidRPr="00042932" w:rsidRDefault="00ED3011" w:rsidP="00ED3011">
      <w:pPr>
        <w:pStyle w:val="PlainText"/>
        <w:numPr>
          <w:ilvl w:val="0"/>
          <w:numId w:val="5"/>
        </w:numPr>
        <w:rPr>
          <w:rFonts w:asciiTheme="majorHAnsi" w:hAnsiTheme="majorHAnsi" w:cstheme="majorHAnsi"/>
          <w:sz w:val="22"/>
          <w:szCs w:val="22"/>
        </w:rPr>
      </w:pPr>
      <w:r w:rsidRPr="00042932">
        <w:rPr>
          <w:rFonts w:asciiTheme="majorHAnsi" w:hAnsiTheme="majorHAnsi" w:cstheme="majorHAnsi"/>
          <w:sz w:val="22"/>
          <w:szCs w:val="22"/>
        </w:rPr>
        <w:t>Additive heritability of the trait [setting for this manuscript (SFTM) h</w:t>
      </w:r>
      <w:r w:rsidRPr="00042932">
        <w:rPr>
          <w:rFonts w:asciiTheme="majorHAnsi" w:hAnsiTheme="majorHAnsi" w:cstheme="majorHAnsi"/>
          <w:sz w:val="22"/>
          <w:szCs w:val="22"/>
          <w:vertAlign w:val="superscript"/>
        </w:rPr>
        <w:t>2</w:t>
      </w:r>
      <w:r w:rsidRPr="00042932">
        <w:rPr>
          <w:rFonts w:asciiTheme="majorHAnsi" w:hAnsiTheme="majorHAnsi" w:cstheme="majorHAnsi"/>
          <w:sz w:val="22"/>
          <w:szCs w:val="22"/>
        </w:rPr>
        <w:t xml:space="preserve">= {20%, 40%, 60%, 80%}], </w:t>
      </w:r>
    </w:p>
    <w:p w14:paraId="294C3F25" w14:textId="77777777" w:rsidR="00ED3011" w:rsidRPr="00042932" w:rsidRDefault="00ED3011" w:rsidP="00ED3011">
      <w:pPr>
        <w:pStyle w:val="PlainText"/>
        <w:numPr>
          <w:ilvl w:val="0"/>
          <w:numId w:val="5"/>
        </w:numPr>
        <w:rPr>
          <w:rFonts w:asciiTheme="majorHAnsi" w:hAnsiTheme="majorHAnsi" w:cstheme="majorHAnsi"/>
          <w:sz w:val="22"/>
          <w:szCs w:val="22"/>
        </w:rPr>
      </w:pPr>
      <w:r w:rsidRPr="00042932">
        <w:rPr>
          <w:rFonts w:asciiTheme="majorHAnsi" w:hAnsiTheme="majorHAnsi" w:cstheme="majorHAnsi"/>
          <w:sz w:val="22"/>
          <w:szCs w:val="22"/>
        </w:rPr>
        <w:t>variance of siblings’ trait that is explained by the common or shared environment (SFTM c</w:t>
      </w:r>
      <w:r w:rsidRPr="00042932">
        <w:rPr>
          <w:rFonts w:asciiTheme="majorHAnsi" w:hAnsiTheme="majorHAnsi" w:cstheme="majorHAnsi"/>
          <w:sz w:val="22"/>
          <w:szCs w:val="22"/>
          <w:vertAlign w:val="superscript"/>
        </w:rPr>
        <w:t>2</w:t>
      </w:r>
      <w:r w:rsidRPr="00042932">
        <w:rPr>
          <w:rFonts w:asciiTheme="majorHAnsi" w:hAnsiTheme="majorHAnsi" w:cstheme="majorHAnsi"/>
          <w:sz w:val="22"/>
          <w:szCs w:val="22"/>
        </w:rPr>
        <w:t xml:space="preserve">= {2.5%, 5%, 10%, 20%}) which was applied only for full siblings, </w:t>
      </w:r>
    </w:p>
    <w:p w14:paraId="6D1F2835" w14:textId="77777777" w:rsidR="00ED3011" w:rsidRPr="00042932" w:rsidRDefault="00ED3011" w:rsidP="00ED3011">
      <w:pPr>
        <w:pStyle w:val="PlainText"/>
        <w:numPr>
          <w:ilvl w:val="0"/>
          <w:numId w:val="5"/>
        </w:numPr>
        <w:rPr>
          <w:rFonts w:asciiTheme="majorHAnsi" w:hAnsiTheme="majorHAnsi" w:cstheme="majorHAnsi"/>
          <w:sz w:val="22"/>
          <w:szCs w:val="22"/>
        </w:rPr>
      </w:pPr>
      <w:r w:rsidRPr="00042932">
        <w:rPr>
          <w:rFonts w:asciiTheme="majorHAnsi" w:hAnsiTheme="majorHAnsi" w:cstheme="majorHAnsi"/>
          <w:sz w:val="22"/>
          <w:szCs w:val="22"/>
        </w:rPr>
        <w:t xml:space="preserve">k=number of generations (SFTM: k=5, i.e., founder generation gen=0 and gen=1- 4 for subsequent generations),  </w:t>
      </w:r>
    </w:p>
    <w:p w14:paraId="5F567B2E" w14:textId="77777777" w:rsidR="00ED3011" w:rsidRPr="00042932" w:rsidRDefault="00ED3011" w:rsidP="00ED3011">
      <w:pPr>
        <w:pStyle w:val="PlainText"/>
        <w:numPr>
          <w:ilvl w:val="0"/>
          <w:numId w:val="5"/>
        </w:numPr>
        <w:rPr>
          <w:rFonts w:asciiTheme="majorHAnsi" w:hAnsiTheme="majorHAnsi" w:cstheme="majorHAnsi"/>
          <w:sz w:val="22"/>
          <w:szCs w:val="22"/>
        </w:rPr>
      </w:pPr>
      <w:r w:rsidRPr="00042932">
        <w:rPr>
          <w:rFonts w:asciiTheme="majorHAnsi" w:hAnsiTheme="majorHAnsi" w:cstheme="majorHAnsi"/>
          <w:sz w:val="22"/>
          <w:szCs w:val="22"/>
        </w:rPr>
        <w:t xml:space="preserve">vector of average number of children per couple in generations 0 to k-2 (SFTM: </w:t>
      </w:r>
      <m:oMath>
        <m:r>
          <w:rPr>
            <w:rFonts w:ascii="Cambria Math" w:hAnsi="Cambria Math" w:cstheme="majorHAnsi"/>
            <w:sz w:val="22"/>
            <w:szCs w:val="22"/>
          </w:rPr>
          <m:t>μ=</m:t>
        </m:r>
      </m:oMath>
      <w:r w:rsidRPr="00042932">
        <w:rPr>
          <w:rFonts w:asciiTheme="majorHAnsi" w:hAnsiTheme="majorHAnsi" w:cstheme="majorHAnsi"/>
          <w:sz w:val="22"/>
          <w:szCs w:val="22"/>
        </w:rPr>
        <w:t xml:space="preserve">{2.1, 2.2, 1.7, 1.7}, as estimated from Swedish registries assuming average generation time is 25 years), </w:t>
      </w:r>
    </w:p>
    <w:p w14:paraId="13C06C5B" w14:textId="77777777" w:rsidR="00ED3011" w:rsidRPr="00042932" w:rsidRDefault="00ED3011" w:rsidP="00ED3011">
      <w:pPr>
        <w:pStyle w:val="PlainText"/>
        <w:numPr>
          <w:ilvl w:val="0"/>
          <w:numId w:val="5"/>
        </w:numPr>
        <w:rPr>
          <w:rFonts w:asciiTheme="majorHAnsi" w:hAnsiTheme="majorHAnsi" w:cstheme="majorHAnsi"/>
          <w:sz w:val="22"/>
          <w:szCs w:val="22"/>
        </w:rPr>
      </w:pPr>
      <w:r w:rsidRPr="00042932">
        <w:rPr>
          <w:rFonts w:asciiTheme="majorHAnsi" w:hAnsiTheme="majorHAnsi" w:cstheme="majorHAnsi"/>
          <w:sz w:val="22"/>
          <w:szCs w:val="22"/>
        </w:rPr>
        <w:t xml:space="preserve">number of founders (SFTM: n=500K), </w:t>
      </w:r>
    </w:p>
    <w:p w14:paraId="58098DF6" w14:textId="77777777" w:rsidR="00ED3011" w:rsidRPr="00042932" w:rsidRDefault="00ED3011" w:rsidP="00ED3011">
      <w:pPr>
        <w:pStyle w:val="PlainText"/>
        <w:numPr>
          <w:ilvl w:val="0"/>
          <w:numId w:val="5"/>
        </w:numPr>
        <w:rPr>
          <w:rFonts w:asciiTheme="majorHAnsi" w:hAnsiTheme="majorHAnsi" w:cstheme="majorHAnsi"/>
          <w:sz w:val="22"/>
          <w:szCs w:val="22"/>
        </w:rPr>
      </w:pPr>
      <w:r w:rsidRPr="00042932">
        <w:rPr>
          <w:rFonts w:asciiTheme="majorHAnsi" w:hAnsiTheme="majorHAnsi" w:cstheme="majorHAnsi"/>
          <w:sz w:val="22"/>
          <w:szCs w:val="22"/>
        </w:rPr>
        <w:t>number of independent breeding groups (SFTM m=500, rather similar to villages),</w:t>
      </w:r>
    </w:p>
    <w:p w14:paraId="01980B56" w14:textId="77777777" w:rsidR="00ED3011" w:rsidRPr="00042932" w:rsidRDefault="00ED3011" w:rsidP="00ED3011">
      <w:pPr>
        <w:pStyle w:val="PlainText"/>
        <w:numPr>
          <w:ilvl w:val="0"/>
          <w:numId w:val="5"/>
        </w:numPr>
        <w:rPr>
          <w:rFonts w:asciiTheme="majorHAnsi" w:hAnsiTheme="majorHAnsi" w:cstheme="majorHAnsi"/>
          <w:sz w:val="22"/>
          <w:szCs w:val="22"/>
        </w:rPr>
      </w:pPr>
      <w:r w:rsidRPr="00042932">
        <w:rPr>
          <w:rFonts w:asciiTheme="majorHAnsi" w:hAnsiTheme="majorHAnsi" w:cstheme="majorHAnsi"/>
          <w:sz w:val="22"/>
          <w:szCs w:val="22"/>
        </w:rPr>
        <w:t>(to avoid inbreeding) number of subgroups=k-1 for mothers in a subgroup to breed circularly with fathers from the next subgroup. (Children inherit the subgroup of mothers.)</w:t>
      </w:r>
    </w:p>
    <w:p w14:paraId="40F7841C" w14:textId="77777777" w:rsidR="00ED3011" w:rsidRPr="00042932" w:rsidRDefault="00ED3011" w:rsidP="00ED3011">
      <w:pPr>
        <w:pStyle w:val="PlainText"/>
        <w:ind w:firstLine="0"/>
        <w:rPr>
          <w:rFonts w:asciiTheme="majorHAnsi" w:hAnsiTheme="majorHAnsi" w:cstheme="majorHAnsi"/>
          <w:sz w:val="22"/>
          <w:szCs w:val="22"/>
        </w:rPr>
      </w:pPr>
      <w:r w:rsidRPr="00042932">
        <w:rPr>
          <w:rFonts w:asciiTheme="majorHAnsi" w:hAnsiTheme="majorHAnsi" w:cstheme="majorHAnsi"/>
          <w:sz w:val="22"/>
          <w:szCs w:val="22"/>
        </w:rPr>
        <w:t xml:space="preserve">The theoretical algorithm simulations were as follows: </w:t>
      </w:r>
    </w:p>
    <w:p w14:paraId="729403E8" w14:textId="77777777" w:rsidR="00ED3011" w:rsidRPr="00042932" w:rsidRDefault="00ED3011" w:rsidP="00ED3011">
      <w:pPr>
        <w:pStyle w:val="PlainText"/>
        <w:numPr>
          <w:ilvl w:val="0"/>
          <w:numId w:val="6"/>
        </w:numPr>
        <w:rPr>
          <w:rFonts w:asciiTheme="majorHAnsi" w:hAnsiTheme="majorHAnsi" w:cstheme="majorHAnsi"/>
          <w:sz w:val="22"/>
          <w:szCs w:val="22"/>
        </w:rPr>
      </w:pPr>
      <w:r w:rsidRPr="00042932">
        <w:rPr>
          <w:rFonts w:asciiTheme="majorHAnsi" w:hAnsiTheme="majorHAnsi" w:cstheme="majorHAnsi"/>
          <w:sz w:val="22"/>
          <w:szCs w:val="22"/>
        </w:rPr>
        <w:t xml:space="preserve">Simulate independent True Breeding Values (TBV) for founder generation (gen=0), i.e. </w:t>
      </w:r>
      <m:oMath>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TBV</m:t>
            </m:r>
          </m:e>
          <m:sub>
            <m:r>
              <w:rPr>
                <w:rFonts w:ascii="Cambria Math" w:eastAsiaTheme="minorEastAsia" w:hAnsi="Cambria Math" w:cstheme="majorHAnsi"/>
                <w:sz w:val="22"/>
                <w:szCs w:val="22"/>
              </w:rPr>
              <m:t>j</m:t>
            </m:r>
          </m:sub>
        </m:sSub>
        <m:r>
          <w:rPr>
            <w:rFonts w:ascii="Cambria Math" w:eastAsiaTheme="minorEastAsia" w:hAnsi="Cambria Math" w:cstheme="majorHAnsi"/>
            <w:sz w:val="22"/>
            <w:szCs w:val="22"/>
          </w:rPr>
          <m:t>=</m:t>
        </m:r>
        <m:rad>
          <m:radPr>
            <m:degHide m:val="1"/>
            <m:ctrlPr>
              <w:rPr>
                <w:rFonts w:ascii="Cambria Math" w:hAnsi="Cambria Math" w:cstheme="majorHAnsi"/>
                <w:i/>
                <w:sz w:val="22"/>
                <w:szCs w:val="22"/>
              </w:rPr>
            </m:ctrlPr>
          </m:radPr>
          <m:deg/>
          <m:e>
            <m:sSup>
              <m:sSupPr>
                <m:ctrlPr>
                  <w:rPr>
                    <w:rFonts w:ascii="Cambria Math" w:hAnsi="Cambria Math" w:cstheme="majorHAnsi"/>
                    <w:i/>
                    <w:sz w:val="22"/>
                    <w:szCs w:val="22"/>
                  </w:rPr>
                </m:ctrlPr>
              </m:sSupPr>
              <m:e>
                <m:r>
                  <w:rPr>
                    <w:rFonts w:ascii="Cambria Math" w:hAnsi="Cambria Math" w:cstheme="majorHAnsi"/>
                    <w:sz w:val="22"/>
                    <w:szCs w:val="22"/>
                  </w:rPr>
                  <m:t>h</m:t>
                </m:r>
              </m:e>
              <m:sup>
                <m:r>
                  <w:rPr>
                    <w:rFonts w:ascii="Cambria Math" w:hAnsi="Cambria Math" w:cstheme="majorHAnsi"/>
                    <w:sz w:val="22"/>
                    <w:szCs w:val="22"/>
                  </w:rPr>
                  <m:t>2</m:t>
                </m:r>
              </m:sup>
            </m:sSup>
          </m:e>
        </m:rad>
        <m:r>
          <w:rPr>
            <w:rFonts w:ascii="Cambria Math" w:eastAsiaTheme="minorEastAsia" w:hAnsi="Cambria Math" w:cstheme="majorHAnsi"/>
            <w:sz w:val="22"/>
            <w:szCs w:val="22"/>
          </w:rPr>
          <m:t xml:space="preserve">* </m:t>
        </m:r>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Z</m:t>
            </m:r>
          </m:e>
          <m:sub>
            <m:r>
              <w:rPr>
                <w:rFonts w:ascii="Cambria Math" w:eastAsiaTheme="minorEastAsia" w:hAnsi="Cambria Math" w:cstheme="majorHAnsi"/>
                <w:sz w:val="22"/>
                <w:szCs w:val="22"/>
              </w:rPr>
              <m:t>j</m:t>
            </m:r>
          </m:sub>
        </m:sSub>
      </m:oMath>
      <w:r w:rsidRPr="00042932">
        <w:rPr>
          <w:rFonts w:asciiTheme="majorHAnsi" w:eastAsiaTheme="minorEastAsia" w:hAnsiTheme="majorHAnsi" w:cstheme="majorHAnsi"/>
          <w:sz w:val="22"/>
          <w:szCs w:val="22"/>
        </w:rPr>
        <w:t xml:space="preserve">, where </w:t>
      </w:r>
      <m:oMath>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Z</m:t>
            </m:r>
          </m:e>
          <m:sub>
            <m:r>
              <w:rPr>
                <w:rFonts w:ascii="Cambria Math" w:eastAsiaTheme="minorEastAsia" w:hAnsi="Cambria Math" w:cstheme="majorHAnsi"/>
                <w:sz w:val="22"/>
                <w:szCs w:val="22"/>
              </w:rPr>
              <m:t>j</m:t>
            </m:r>
          </m:sub>
        </m:sSub>
      </m:oMath>
      <w:r w:rsidRPr="00042932">
        <w:rPr>
          <w:rFonts w:asciiTheme="majorHAnsi" w:eastAsiaTheme="minorEastAsia" w:hAnsiTheme="majorHAnsi" w:cstheme="majorHAnsi"/>
          <w:sz w:val="22"/>
          <w:szCs w:val="22"/>
        </w:rPr>
        <w:t xml:space="preserve">   are independent standard normal (Gaussian) variates (j=1,…n),</w:t>
      </w:r>
    </w:p>
    <w:p w14:paraId="3366C980" w14:textId="77777777" w:rsidR="00ED3011" w:rsidRPr="00042932" w:rsidRDefault="00ED3011" w:rsidP="00ED3011">
      <w:pPr>
        <w:pStyle w:val="PlainText"/>
        <w:numPr>
          <w:ilvl w:val="0"/>
          <w:numId w:val="6"/>
        </w:numPr>
        <w:rPr>
          <w:rFonts w:asciiTheme="majorHAnsi" w:hAnsiTheme="majorHAnsi" w:cstheme="majorHAnsi"/>
          <w:sz w:val="22"/>
          <w:szCs w:val="22"/>
        </w:rPr>
      </w:pPr>
      <w:r w:rsidRPr="00042932">
        <w:rPr>
          <w:rFonts w:asciiTheme="majorHAnsi" w:hAnsiTheme="majorHAnsi" w:cstheme="majorHAnsi"/>
          <w:sz w:val="22"/>
          <w:szCs w:val="22"/>
        </w:rPr>
        <w:t>For subsequent generations (gen=i&gt;0)</w:t>
      </w:r>
    </w:p>
    <w:p w14:paraId="094D14D6" w14:textId="77777777" w:rsidR="00ED3011" w:rsidRPr="00042932" w:rsidRDefault="00ED3011" w:rsidP="00ED3011">
      <w:pPr>
        <w:pStyle w:val="PlainText"/>
        <w:numPr>
          <w:ilvl w:val="1"/>
          <w:numId w:val="6"/>
        </w:numPr>
        <w:rPr>
          <w:rFonts w:asciiTheme="majorHAnsi" w:hAnsiTheme="majorHAnsi" w:cstheme="majorHAnsi"/>
          <w:sz w:val="22"/>
          <w:szCs w:val="22"/>
        </w:rPr>
      </w:pPr>
      <w:r w:rsidRPr="00042932">
        <w:rPr>
          <w:rFonts w:asciiTheme="majorHAnsi" w:hAnsiTheme="majorHAnsi" w:cstheme="majorHAnsi"/>
          <w:sz w:val="22"/>
          <w:szCs w:val="22"/>
        </w:rPr>
        <w:t>Within each group</w:t>
      </w:r>
    </w:p>
    <w:p w14:paraId="6D250758" w14:textId="77777777" w:rsidR="00ED3011" w:rsidRPr="00042932" w:rsidRDefault="00ED3011" w:rsidP="00ED3011">
      <w:pPr>
        <w:pStyle w:val="PlainText"/>
        <w:numPr>
          <w:ilvl w:val="2"/>
          <w:numId w:val="6"/>
        </w:numPr>
        <w:rPr>
          <w:rFonts w:asciiTheme="majorHAnsi" w:hAnsiTheme="majorHAnsi" w:cstheme="majorHAnsi"/>
          <w:sz w:val="22"/>
          <w:szCs w:val="22"/>
        </w:rPr>
      </w:pPr>
      <w:r w:rsidRPr="00042932">
        <w:rPr>
          <w:rFonts w:asciiTheme="majorHAnsi" w:hAnsiTheme="majorHAnsi" w:cstheme="majorHAnsi"/>
          <w:sz w:val="22"/>
          <w:szCs w:val="22"/>
        </w:rPr>
        <w:t>Permute mothers from one subgroups and fathers from the next,</w:t>
      </w:r>
    </w:p>
    <w:p w14:paraId="40979E40" w14:textId="77777777" w:rsidR="00ED3011" w:rsidRPr="00042932" w:rsidRDefault="00ED3011" w:rsidP="00ED3011">
      <w:pPr>
        <w:pStyle w:val="PlainText"/>
        <w:numPr>
          <w:ilvl w:val="2"/>
          <w:numId w:val="6"/>
        </w:numPr>
        <w:rPr>
          <w:rFonts w:asciiTheme="majorHAnsi" w:hAnsiTheme="majorHAnsi" w:cstheme="majorHAnsi"/>
          <w:sz w:val="22"/>
          <w:szCs w:val="22"/>
        </w:rPr>
      </w:pPr>
      <w:r w:rsidRPr="00042932">
        <w:rPr>
          <w:rFonts w:asciiTheme="majorHAnsi" w:hAnsiTheme="majorHAnsi" w:cstheme="majorHAnsi"/>
          <w:sz w:val="22"/>
          <w:szCs w:val="22"/>
        </w:rPr>
        <w:t>Pair mothers and fathers with the same rank,</w:t>
      </w:r>
    </w:p>
    <w:p w14:paraId="139ECAA7" w14:textId="77777777" w:rsidR="00ED3011" w:rsidRPr="00042932" w:rsidRDefault="00ED3011" w:rsidP="00ED3011">
      <w:pPr>
        <w:pStyle w:val="PlainText"/>
        <w:numPr>
          <w:ilvl w:val="2"/>
          <w:numId w:val="6"/>
        </w:numPr>
        <w:rPr>
          <w:rFonts w:asciiTheme="majorHAnsi" w:hAnsiTheme="majorHAnsi" w:cstheme="majorHAnsi"/>
          <w:sz w:val="22"/>
          <w:szCs w:val="22"/>
        </w:rPr>
      </w:pPr>
      <w:r w:rsidRPr="00042932">
        <w:rPr>
          <w:rFonts w:asciiTheme="majorHAnsi" w:hAnsiTheme="majorHAnsi" w:cstheme="majorHAnsi"/>
          <w:sz w:val="22"/>
          <w:szCs w:val="22"/>
        </w:rPr>
        <w:t>For each pair, simulate number of sibs m~ Poisson (</w:t>
      </w:r>
      <m:oMath>
        <m:sSub>
          <m:sSubPr>
            <m:ctrlPr>
              <w:rPr>
                <w:rFonts w:ascii="Cambria Math" w:hAnsi="Cambria Math" w:cstheme="majorHAnsi"/>
                <w:i/>
                <w:sz w:val="22"/>
                <w:szCs w:val="22"/>
              </w:rPr>
            </m:ctrlPr>
          </m:sSubPr>
          <m:e>
            <m:r>
              <w:rPr>
                <w:rFonts w:ascii="Cambria Math" w:hAnsi="Cambria Math" w:cstheme="majorHAnsi"/>
                <w:sz w:val="22"/>
                <w:szCs w:val="22"/>
              </w:rPr>
              <m:t>μ</m:t>
            </m:r>
          </m:e>
          <m:sub>
            <m:r>
              <w:rPr>
                <w:rFonts w:ascii="Cambria Math" w:hAnsi="Cambria Math" w:cstheme="majorHAnsi"/>
                <w:sz w:val="22"/>
                <w:szCs w:val="22"/>
              </w:rPr>
              <m:t>i</m:t>
            </m:r>
          </m:sub>
        </m:sSub>
      </m:oMath>
      <w:r w:rsidRPr="00042932">
        <w:rPr>
          <w:rFonts w:asciiTheme="majorHAnsi" w:eastAsiaTheme="minorEastAsia" w:hAnsiTheme="majorHAnsi" w:cstheme="majorHAnsi"/>
          <w:sz w:val="22"/>
          <w:szCs w:val="22"/>
        </w:rPr>
        <w:t xml:space="preserve">), </w:t>
      </w:r>
    </w:p>
    <w:p w14:paraId="4DD1347F" w14:textId="77777777" w:rsidR="00ED3011" w:rsidRPr="00042932" w:rsidRDefault="00ED3011" w:rsidP="00ED3011">
      <w:pPr>
        <w:pStyle w:val="PlainText"/>
        <w:numPr>
          <w:ilvl w:val="2"/>
          <w:numId w:val="6"/>
        </w:numPr>
        <w:rPr>
          <w:rFonts w:asciiTheme="majorHAnsi" w:hAnsiTheme="majorHAnsi" w:cstheme="majorHAnsi"/>
          <w:sz w:val="22"/>
          <w:szCs w:val="22"/>
        </w:rPr>
      </w:pPr>
      <w:r w:rsidRPr="00042932">
        <w:rPr>
          <w:rFonts w:asciiTheme="majorHAnsi" w:eastAsiaTheme="minorEastAsia" w:hAnsiTheme="majorHAnsi" w:cstheme="majorHAnsi"/>
          <w:sz w:val="22"/>
          <w:szCs w:val="22"/>
        </w:rPr>
        <w:t>If m&gt;0, within each sibship</w:t>
      </w:r>
    </w:p>
    <w:p w14:paraId="6DD7BF14" w14:textId="77777777" w:rsidR="00ED3011" w:rsidRPr="00042932" w:rsidRDefault="00ED3011" w:rsidP="00ED3011">
      <w:pPr>
        <w:pStyle w:val="PlainText"/>
        <w:numPr>
          <w:ilvl w:val="3"/>
          <w:numId w:val="6"/>
        </w:numPr>
        <w:rPr>
          <w:rFonts w:asciiTheme="majorHAnsi" w:hAnsiTheme="majorHAnsi" w:cstheme="majorHAnsi"/>
          <w:sz w:val="22"/>
          <w:szCs w:val="22"/>
        </w:rPr>
      </w:pPr>
      <w:r w:rsidRPr="00042932">
        <w:rPr>
          <w:rFonts w:asciiTheme="majorHAnsi" w:eastAsiaTheme="minorEastAsia" w:hAnsiTheme="majorHAnsi" w:cstheme="majorHAnsi"/>
          <w:sz w:val="22"/>
          <w:szCs w:val="22"/>
        </w:rPr>
        <w:lastRenderedPageBreak/>
        <w:t>Simulate sib’s j TBV</w:t>
      </w:r>
      <w:r w:rsidRPr="00042932">
        <w:rPr>
          <w:rFonts w:asciiTheme="majorHAnsi" w:eastAsiaTheme="minorEastAsia" w:hAnsiTheme="majorHAnsi" w:cstheme="majorHAnsi"/>
          <w:sz w:val="22"/>
          <w:szCs w:val="22"/>
          <w:vertAlign w:val="subscript"/>
        </w:rPr>
        <w:t>j</w:t>
      </w:r>
      <w:r w:rsidRPr="00042932">
        <w:rPr>
          <w:rFonts w:asciiTheme="majorHAnsi" w:eastAsiaTheme="minorEastAsia" w:hAnsiTheme="majorHAnsi" w:cstheme="majorHAnsi"/>
          <w:sz w:val="22"/>
          <w:szCs w:val="22"/>
        </w:rPr>
        <w:t xml:space="preserve"> as the sum of parent’ average and mendelian sampling, i.e., sib </w:t>
      </w:r>
      <m:oMath>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TBV</m:t>
            </m:r>
          </m:e>
          <m:sub>
            <m:r>
              <w:rPr>
                <w:rFonts w:ascii="Cambria Math" w:eastAsiaTheme="minorEastAsia" w:hAnsi="Cambria Math" w:cstheme="majorHAnsi"/>
                <w:sz w:val="22"/>
                <w:szCs w:val="22"/>
              </w:rPr>
              <m:t>j</m:t>
            </m:r>
          </m:sub>
        </m:sSub>
        <m:r>
          <w:rPr>
            <w:rFonts w:ascii="Cambria Math" w:eastAsiaTheme="minorEastAsia" w:hAnsi="Cambria Math" w:cstheme="majorHAnsi"/>
            <w:sz w:val="22"/>
            <w:szCs w:val="22"/>
          </w:rPr>
          <m:t>=</m:t>
        </m:r>
        <m:f>
          <m:fPr>
            <m:ctrlPr>
              <w:rPr>
                <w:rFonts w:ascii="Cambria Math" w:eastAsiaTheme="minorEastAsia" w:hAnsi="Cambria Math" w:cstheme="majorHAnsi"/>
                <w:i/>
                <w:sz w:val="22"/>
                <w:szCs w:val="22"/>
              </w:rPr>
            </m:ctrlPr>
          </m:fPr>
          <m:num>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TBV</m:t>
                </m:r>
              </m:e>
              <m:sub>
                <m:r>
                  <w:rPr>
                    <w:rFonts w:ascii="Cambria Math" w:eastAsiaTheme="minorEastAsia" w:hAnsi="Cambria Math" w:cstheme="majorHAnsi"/>
                    <w:sz w:val="22"/>
                    <w:szCs w:val="22"/>
                  </w:rPr>
                  <m:t>mother</m:t>
                </m:r>
              </m:sub>
            </m:sSub>
            <m:r>
              <w:rPr>
                <w:rFonts w:ascii="Cambria Math" w:eastAsiaTheme="minorEastAsia" w:hAnsi="Cambria Math" w:cstheme="majorHAnsi"/>
                <w:sz w:val="22"/>
                <w:szCs w:val="22"/>
              </w:rPr>
              <m:t>+</m:t>
            </m:r>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TBV</m:t>
                </m:r>
              </m:e>
              <m:sub>
                <m:r>
                  <w:rPr>
                    <w:rFonts w:ascii="Cambria Math" w:eastAsiaTheme="minorEastAsia" w:hAnsi="Cambria Math" w:cstheme="majorHAnsi"/>
                    <w:sz w:val="22"/>
                    <w:szCs w:val="22"/>
                  </w:rPr>
                  <m:t>father</m:t>
                </m:r>
              </m:sub>
            </m:sSub>
          </m:num>
          <m:den>
            <m:r>
              <w:rPr>
                <w:rFonts w:ascii="Cambria Math" w:eastAsiaTheme="minorEastAsia" w:hAnsi="Cambria Math" w:cstheme="majorHAnsi"/>
                <w:sz w:val="22"/>
                <w:szCs w:val="22"/>
              </w:rPr>
              <m:t>2</m:t>
            </m:r>
          </m:den>
        </m:f>
        <m:r>
          <w:rPr>
            <w:rFonts w:ascii="Cambria Math" w:eastAsiaTheme="minorEastAsia" w:hAnsi="Cambria Math" w:cstheme="majorHAnsi"/>
            <w:sz w:val="22"/>
            <w:szCs w:val="22"/>
          </w:rPr>
          <m:t>+</m:t>
        </m:r>
        <m:rad>
          <m:radPr>
            <m:degHide m:val="1"/>
            <m:ctrlPr>
              <w:rPr>
                <w:rFonts w:ascii="Cambria Math" w:hAnsi="Cambria Math" w:cstheme="majorHAnsi"/>
                <w:i/>
                <w:sz w:val="22"/>
                <w:szCs w:val="22"/>
              </w:rPr>
            </m:ctrlPr>
          </m:radPr>
          <m:deg/>
          <m:e>
            <m:f>
              <m:fPr>
                <m:ctrlPr>
                  <w:rPr>
                    <w:rFonts w:ascii="Cambria Math" w:hAnsi="Cambria Math" w:cstheme="majorHAnsi"/>
                    <w:i/>
                    <w:sz w:val="22"/>
                    <w:szCs w:val="22"/>
                  </w:rPr>
                </m:ctrlPr>
              </m:fPr>
              <m:num>
                <m:sSup>
                  <m:sSupPr>
                    <m:ctrlPr>
                      <w:rPr>
                        <w:rFonts w:ascii="Cambria Math" w:hAnsi="Cambria Math" w:cstheme="majorHAnsi"/>
                        <w:i/>
                        <w:sz w:val="22"/>
                        <w:szCs w:val="22"/>
                      </w:rPr>
                    </m:ctrlPr>
                  </m:sSupPr>
                  <m:e>
                    <m:r>
                      <w:rPr>
                        <w:rFonts w:ascii="Cambria Math" w:hAnsi="Cambria Math" w:cstheme="majorHAnsi"/>
                        <w:sz w:val="22"/>
                        <w:szCs w:val="22"/>
                      </w:rPr>
                      <m:t>h</m:t>
                    </m:r>
                  </m:e>
                  <m:sup>
                    <m:r>
                      <w:rPr>
                        <w:rFonts w:ascii="Cambria Math" w:hAnsi="Cambria Math" w:cstheme="majorHAnsi"/>
                        <w:sz w:val="22"/>
                        <w:szCs w:val="22"/>
                      </w:rPr>
                      <m:t>2</m:t>
                    </m:r>
                  </m:sup>
                </m:sSup>
              </m:num>
              <m:den>
                <m:r>
                  <w:rPr>
                    <w:rFonts w:ascii="Cambria Math" w:hAnsi="Cambria Math" w:cstheme="majorHAnsi"/>
                    <w:sz w:val="22"/>
                    <w:szCs w:val="22"/>
                  </w:rPr>
                  <m:t>2</m:t>
                </m:r>
              </m:den>
            </m:f>
          </m:e>
        </m:rad>
        <m:r>
          <w:rPr>
            <w:rFonts w:ascii="Cambria Math" w:eastAsiaTheme="minorEastAsia" w:hAnsi="Cambria Math" w:cstheme="majorHAnsi"/>
            <w:sz w:val="22"/>
            <w:szCs w:val="22"/>
          </w:rPr>
          <m:t xml:space="preserve"> </m:t>
        </m:r>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Z</m:t>
            </m:r>
          </m:e>
          <m:sub>
            <m:r>
              <w:rPr>
                <w:rFonts w:ascii="Cambria Math" w:eastAsiaTheme="minorEastAsia" w:hAnsi="Cambria Math" w:cstheme="majorHAnsi"/>
                <w:sz w:val="22"/>
                <w:szCs w:val="22"/>
              </w:rPr>
              <m:t>j</m:t>
            </m:r>
          </m:sub>
        </m:sSub>
      </m:oMath>
      <w:r w:rsidRPr="00042932">
        <w:rPr>
          <w:rFonts w:asciiTheme="majorHAnsi" w:eastAsiaTheme="minorEastAsia" w:hAnsiTheme="majorHAnsi" w:cstheme="majorHAnsi"/>
          <w:sz w:val="22"/>
          <w:szCs w:val="22"/>
        </w:rPr>
        <w:t xml:space="preserve">, where </w:t>
      </w:r>
      <m:oMath>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Z</m:t>
            </m:r>
          </m:e>
          <m:sub>
            <m:r>
              <w:rPr>
                <w:rFonts w:ascii="Cambria Math" w:eastAsiaTheme="minorEastAsia" w:hAnsi="Cambria Math" w:cstheme="majorHAnsi"/>
                <w:sz w:val="22"/>
                <w:szCs w:val="22"/>
              </w:rPr>
              <m:t>j</m:t>
            </m:r>
          </m:sub>
        </m:sSub>
      </m:oMath>
      <w:r w:rsidRPr="00042932">
        <w:rPr>
          <w:rFonts w:asciiTheme="majorHAnsi" w:eastAsiaTheme="minorEastAsia" w:hAnsiTheme="majorHAnsi" w:cstheme="majorHAnsi"/>
          <w:sz w:val="22"/>
          <w:szCs w:val="22"/>
        </w:rPr>
        <w:t xml:space="preserve">   are independent standard normal (Gaussian) variates (j=1,…m),</w:t>
      </w:r>
    </w:p>
    <w:p w14:paraId="08CA6565" w14:textId="77777777" w:rsidR="00ED3011" w:rsidRPr="00042932" w:rsidRDefault="00ED3011" w:rsidP="00ED3011">
      <w:pPr>
        <w:pStyle w:val="PlainText"/>
        <w:numPr>
          <w:ilvl w:val="3"/>
          <w:numId w:val="6"/>
        </w:numPr>
        <w:rPr>
          <w:rFonts w:asciiTheme="majorHAnsi" w:hAnsiTheme="majorHAnsi" w:cstheme="majorHAnsi"/>
          <w:sz w:val="22"/>
          <w:szCs w:val="22"/>
        </w:rPr>
      </w:pPr>
      <w:r w:rsidRPr="00042932">
        <w:rPr>
          <w:rFonts w:asciiTheme="majorHAnsi" w:eastAsiaTheme="minorEastAsia" w:hAnsiTheme="majorHAnsi" w:cstheme="majorHAnsi"/>
          <w:sz w:val="22"/>
          <w:szCs w:val="22"/>
        </w:rPr>
        <w:t xml:space="preserve">Simulate the common environment for all sibs within family as, </w:t>
      </w:r>
      <m:oMath>
        <m:r>
          <w:rPr>
            <w:rFonts w:ascii="Cambria Math" w:eastAsiaTheme="minorEastAsia" w:hAnsi="Cambria Math" w:cstheme="majorHAnsi"/>
            <w:sz w:val="22"/>
            <w:szCs w:val="22"/>
          </w:rPr>
          <m:t xml:space="preserve">C= </m:t>
        </m:r>
        <m:rad>
          <m:radPr>
            <m:degHide m:val="1"/>
            <m:ctrlPr>
              <w:rPr>
                <w:rFonts w:ascii="Cambria Math" w:hAnsi="Cambria Math" w:cstheme="majorHAnsi"/>
                <w:i/>
                <w:sz w:val="22"/>
                <w:szCs w:val="22"/>
              </w:rPr>
            </m:ctrlPr>
          </m:radPr>
          <m:deg/>
          <m:e>
            <m:sSup>
              <m:sSupPr>
                <m:ctrlPr>
                  <w:rPr>
                    <w:rFonts w:ascii="Cambria Math" w:hAnsi="Cambria Math" w:cstheme="majorHAnsi"/>
                    <w:i/>
                    <w:sz w:val="22"/>
                    <w:szCs w:val="22"/>
                  </w:rPr>
                </m:ctrlPr>
              </m:sSupPr>
              <m:e>
                <m:r>
                  <w:rPr>
                    <w:rFonts w:ascii="Cambria Math" w:hAnsi="Cambria Math" w:cstheme="majorHAnsi"/>
                    <w:sz w:val="22"/>
                    <w:szCs w:val="22"/>
                  </w:rPr>
                  <m:t>c</m:t>
                </m:r>
              </m:e>
              <m:sup>
                <m:r>
                  <w:rPr>
                    <w:rFonts w:ascii="Cambria Math" w:hAnsi="Cambria Math" w:cstheme="majorHAnsi"/>
                    <w:sz w:val="22"/>
                    <w:szCs w:val="22"/>
                  </w:rPr>
                  <m:t>2</m:t>
                </m:r>
              </m:sup>
            </m:sSup>
          </m:e>
        </m:rad>
        <m:r>
          <w:rPr>
            <w:rFonts w:ascii="Cambria Math" w:eastAsiaTheme="minorEastAsia" w:hAnsi="Cambria Math" w:cstheme="majorHAnsi"/>
            <w:sz w:val="22"/>
            <w:szCs w:val="22"/>
          </w:rPr>
          <m:t xml:space="preserve">  Z</m:t>
        </m:r>
      </m:oMath>
      <w:r w:rsidRPr="00042932">
        <w:rPr>
          <w:rFonts w:asciiTheme="majorHAnsi" w:eastAsiaTheme="minorEastAsia" w:hAnsiTheme="majorHAnsi" w:cstheme="majorHAnsi"/>
          <w:sz w:val="22"/>
          <w:szCs w:val="22"/>
        </w:rPr>
        <w:t xml:space="preserve">, with </w:t>
      </w:r>
      <m:oMath>
        <m:r>
          <w:rPr>
            <w:rFonts w:ascii="Cambria Math" w:eastAsiaTheme="minorEastAsia" w:hAnsi="Cambria Math" w:cstheme="majorHAnsi"/>
            <w:sz w:val="22"/>
            <w:szCs w:val="22"/>
          </w:rPr>
          <m:t>Z</m:t>
        </m:r>
      </m:oMath>
      <w:r w:rsidRPr="00042932">
        <w:rPr>
          <w:rFonts w:asciiTheme="majorHAnsi" w:eastAsiaTheme="minorEastAsia" w:hAnsiTheme="majorHAnsi" w:cstheme="majorHAnsi"/>
          <w:sz w:val="22"/>
          <w:szCs w:val="22"/>
        </w:rPr>
        <w:t xml:space="preserve"> a single Gaussian variant for entire sibship,</w:t>
      </w:r>
    </w:p>
    <w:p w14:paraId="57A0825F" w14:textId="77777777" w:rsidR="00ED3011" w:rsidRPr="00042932" w:rsidRDefault="00ED3011" w:rsidP="00ED3011">
      <w:pPr>
        <w:pStyle w:val="PlainText"/>
        <w:numPr>
          <w:ilvl w:val="3"/>
          <w:numId w:val="6"/>
        </w:numPr>
        <w:rPr>
          <w:rFonts w:asciiTheme="majorHAnsi" w:hAnsiTheme="majorHAnsi" w:cstheme="majorHAnsi"/>
          <w:sz w:val="22"/>
          <w:szCs w:val="22"/>
        </w:rPr>
      </w:pPr>
      <w:r w:rsidRPr="00042932">
        <w:rPr>
          <w:rFonts w:asciiTheme="majorHAnsi" w:eastAsiaTheme="minorEastAsia" w:hAnsiTheme="majorHAnsi" w:cstheme="majorHAnsi"/>
          <w:sz w:val="22"/>
          <w:szCs w:val="22"/>
        </w:rPr>
        <w:t xml:space="preserve">Simulate the independent environment for each sib within family as, </w:t>
      </w:r>
      <m:oMath>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E</m:t>
            </m:r>
          </m:e>
          <m:sub>
            <m:r>
              <w:rPr>
                <w:rFonts w:ascii="Cambria Math" w:eastAsiaTheme="minorEastAsia" w:hAnsi="Cambria Math" w:cstheme="majorHAnsi"/>
                <w:sz w:val="22"/>
                <w:szCs w:val="22"/>
              </w:rPr>
              <m:t>j</m:t>
            </m:r>
          </m:sub>
        </m:sSub>
        <m:r>
          <w:rPr>
            <w:rFonts w:ascii="Cambria Math" w:eastAsiaTheme="minorEastAsia" w:hAnsi="Cambria Math" w:cstheme="majorHAnsi"/>
            <w:sz w:val="22"/>
            <w:szCs w:val="22"/>
          </w:rPr>
          <m:t xml:space="preserve">= </m:t>
        </m:r>
        <m:rad>
          <m:radPr>
            <m:degHide m:val="1"/>
            <m:ctrlPr>
              <w:rPr>
                <w:rFonts w:ascii="Cambria Math" w:hAnsi="Cambria Math" w:cstheme="majorHAnsi"/>
                <w:i/>
                <w:sz w:val="22"/>
                <w:szCs w:val="22"/>
              </w:rPr>
            </m:ctrlPr>
          </m:radPr>
          <m:deg/>
          <m:e>
            <m:r>
              <w:rPr>
                <w:rFonts w:ascii="Cambria Math" w:hAnsi="Cambria Math" w:cstheme="majorHAnsi"/>
                <w:sz w:val="22"/>
                <w:szCs w:val="22"/>
              </w:rPr>
              <m:t>1-</m:t>
            </m:r>
            <m:sSup>
              <m:sSupPr>
                <m:ctrlPr>
                  <w:rPr>
                    <w:rFonts w:ascii="Cambria Math" w:hAnsi="Cambria Math" w:cstheme="majorHAnsi"/>
                    <w:i/>
                    <w:sz w:val="22"/>
                    <w:szCs w:val="22"/>
                  </w:rPr>
                </m:ctrlPr>
              </m:sSupPr>
              <m:e>
                <m:r>
                  <w:rPr>
                    <w:rFonts w:ascii="Cambria Math" w:hAnsi="Cambria Math" w:cstheme="majorHAnsi"/>
                    <w:sz w:val="22"/>
                    <w:szCs w:val="22"/>
                  </w:rPr>
                  <m:t>h</m:t>
                </m:r>
              </m:e>
              <m:sup>
                <m:r>
                  <w:rPr>
                    <w:rFonts w:ascii="Cambria Math" w:hAnsi="Cambria Math" w:cstheme="majorHAnsi"/>
                    <w:sz w:val="22"/>
                    <w:szCs w:val="22"/>
                  </w:rPr>
                  <m:t>2</m:t>
                </m:r>
              </m:sup>
            </m:sSup>
            <m:r>
              <w:rPr>
                <w:rFonts w:ascii="Cambria Math" w:hAnsi="Cambria Math" w:cstheme="majorHAnsi"/>
                <w:sz w:val="22"/>
                <w:szCs w:val="22"/>
              </w:rPr>
              <m:t>-</m:t>
            </m:r>
            <m:sSup>
              <m:sSupPr>
                <m:ctrlPr>
                  <w:rPr>
                    <w:rFonts w:ascii="Cambria Math" w:hAnsi="Cambria Math" w:cstheme="majorHAnsi"/>
                    <w:i/>
                    <w:sz w:val="22"/>
                    <w:szCs w:val="22"/>
                  </w:rPr>
                </m:ctrlPr>
              </m:sSupPr>
              <m:e>
                <m:r>
                  <w:rPr>
                    <w:rFonts w:ascii="Cambria Math" w:hAnsi="Cambria Math" w:cstheme="majorHAnsi"/>
                    <w:sz w:val="22"/>
                    <w:szCs w:val="22"/>
                  </w:rPr>
                  <m:t>c</m:t>
                </m:r>
              </m:e>
              <m:sup>
                <m:r>
                  <w:rPr>
                    <w:rFonts w:ascii="Cambria Math" w:hAnsi="Cambria Math" w:cstheme="majorHAnsi"/>
                    <w:sz w:val="22"/>
                    <w:szCs w:val="22"/>
                  </w:rPr>
                  <m:t>2</m:t>
                </m:r>
              </m:sup>
            </m:sSup>
          </m:e>
        </m:rad>
        <m:r>
          <w:rPr>
            <w:rFonts w:ascii="Cambria Math" w:eastAsiaTheme="minorEastAsia" w:hAnsi="Cambria Math" w:cstheme="majorHAnsi"/>
            <w:sz w:val="22"/>
            <w:szCs w:val="22"/>
          </w:rPr>
          <m:t xml:space="preserve"> </m:t>
        </m:r>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Z</m:t>
            </m:r>
          </m:e>
          <m:sub>
            <m:r>
              <w:rPr>
                <w:rFonts w:ascii="Cambria Math" w:eastAsiaTheme="minorEastAsia" w:hAnsi="Cambria Math" w:cstheme="majorHAnsi"/>
                <w:sz w:val="22"/>
                <w:szCs w:val="22"/>
              </w:rPr>
              <m:t>j</m:t>
            </m:r>
          </m:sub>
        </m:sSub>
      </m:oMath>
      <w:r w:rsidRPr="00042932">
        <w:rPr>
          <w:rFonts w:asciiTheme="majorHAnsi" w:eastAsiaTheme="minorEastAsia" w:hAnsiTheme="majorHAnsi" w:cstheme="majorHAnsi"/>
          <w:sz w:val="22"/>
          <w:szCs w:val="22"/>
        </w:rPr>
        <w:t xml:space="preserve">,  where </w:t>
      </w:r>
      <m:oMath>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Z</m:t>
            </m:r>
          </m:e>
          <m:sub>
            <m:r>
              <w:rPr>
                <w:rFonts w:ascii="Cambria Math" w:eastAsiaTheme="minorEastAsia" w:hAnsi="Cambria Math" w:cstheme="majorHAnsi"/>
                <w:sz w:val="22"/>
                <w:szCs w:val="22"/>
              </w:rPr>
              <m:t>j</m:t>
            </m:r>
          </m:sub>
        </m:sSub>
      </m:oMath>
      <w:r w:rsidRPr="00042932">
        <w:rPr>
          <w:rFonts w:asciiTheme="majorHAnsi" w:eastAsiaTheme="minorEastAsia" w:hAnsiTheme="majorHAnsi" w:cstheme="majorHAnsi"/>
          <w:sz w:val="22"/>
          <w:szCs w:val="22"/>
        </w:rPr>
        <w:t xml:space="preserve">   are independent standard normal (Gaussian) variates (j=1,…m),</w:t>
      </w:r>
    </w:p>
    <w:p w14:paraId="43B65692" w14:textId="77777777" w:rsidR="00ED3011" w:rsidRPr="00042932" w:rsidRDefault="00ED3011" w:rsidP="00ED3011">
      <w:pPr>
        <w:pStyle w:val="PlainText"/>
        <w:numPr>
          <w:ilvl w:val="3"/>
          <w:numId w:val="6"/>
        </w:numPr>
        <w:rPr>
          <w:rFonts w:asciiTheme="majorHAnsi" w:hAnsiTheme="majorHAnsi" w:cstheme="majorHAnsi"/>
          <w:sz w:val="22"/>
          <w:szCs w:val="22"/>
        </w:rPr>
      </w:pPr>
      <w:r w:rsidRPr="00042932">
        <w:rPr>
          <w:rFonts w:asciiTheme="majorHAnsi" w:hAnsiTheme="majorHAnsi" w:cstheme="majorHAnsi"/>
          <w:sz w:val="22"/>
          <w:szCs w:val="22"/>
        </w:rPr>
        <w:t xml:space="preserve">Compute liability for each sib as </w:t>
      </w:r>
      <m:oMath>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L</m:t>
            </m:r>
          </m:e>
          <m:sub>
            <m:r>
              <w:rPr>
                <w:rFonts w:ascii="Cambria Math" w:eastAsiaTheme="minorEastAsia" w:hAnsi="Cambria Math" w:cstheme="majorHAnsi"/>
                <w:sz w:val="22"/>
                <w:szCs w:val="22"/>
              </w:rPr>
              <m:t>j</m:t>
            </m:r>
          </m:sub>
        </m:sSub>
        <m:r>
          <w:rPr>
            <w:rFonts w:ascii="Cambria Math" w:eastAsiaTheme="minorEastAsia" w:hAnsi="Cambria Math" w:cstheme="majorHAnsi"/>
            <w:sz w:val="22"/>
            <w:szCs w:val="22"/>
          </w:rPr>
          <m:t xml:space="preserve">= </m:t>
        </m:r>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TBV</m:t>
            </m:r>
          </m:e>
          <m:sub>
            <m:r>
              <w:rPr>
                <w:rFonts w:ascii="Cambria Math" w:eastAsiaTheme="minorEastAsia" w:hAnsi="Cambria Math" w:cstheme="majorHAnsi"/>
                <w:sz w:val="22"/>
                <w:szCs w:val="22"/>
              </w:rPr>
              <m:t>j</m:t>
            </m:r>
          </m:sub>
        </m:sSub>
        <m:r>
          <w:rPr>
            <w:rFonts w:ascii="Cambria Math" w:eastAsiaTheme="minorEastAsia" w:hAnsi="Cambria Math" w:cstheme="majorHAnsi"/>
            <w:sz w:val="22"/>
            <w:szCs w:val="22"/>
          </w:rPr>
          <m:t>+C+</m:t>
        </m:r>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E</m:t>
            </m:r>
          </m:e>
          <m:sub>
            <m:r>
              <w:rPr>
                <w:rFonts w:ascii="Cambria Math" w:eastAsiaTheme="minorEastAsia" w:hAnsi="Cambria Math" w:cstheme="majorHAnsi"/>
                <w:sz w:val="22"/>
                <w:szCs w:val="22"/>
              </w:rPr>
              <m:t>j</m:t>
            </m:r>
          </m:sub>
        </m:sSub>
      </m:oMath>
    </w:p>
    <w:p w14:paraId="4523F3A2" w14:textId="77777777" w:rsidR="00ED3011" w:rsidRPr="00042932" w:rsidRDefault="00ED3011" w:rsidP="00ED3011">
      <w:pPr>
        <w:pStyle w:val="PlainText"/>
        <w:numPr>
          <w:ilvl w:val="3"/>
          <w:numId w:val="6"/>
        </w:numPr>
        <w:rPr>
          <w:rFonts w:ascii="Calibri Light" w:hAnsi="Calibri Light" w:cs="Calibri Light"/>
          <w:b/>
          <w:bCs/>
        </w:rPr>
      </w:pPr>
      <w:r w:rsidRPr="00042932">
        <w:rPr>
          <w:rFonts w:asciiTheme="majorHAnsi" w:eastAsiaTheme="minorEastAsia" w:hAnsiTheme="majorHAnsi" w:cstheme="majorHAnsi"/>
          <w:sz w:val="22"/>
          <w:szCs w:val="22"/>
        </w:rPr>
        <w:t>Compute the affected status for each sib using the liability using a liability threshold model (for computational efficiency, computing affected status for multiple prevalences in a single pass).</w:t>
      </w:r>
    </w:p>
    <w:p w14:paraId="0F466A77" w14:textId="03CD506C" w:rsidR="00ED3011" w:rsidRDefault="00ED3011" w:rsidP="00ED3011">
      <w:pPr>
        <w:pStyle w:val="PlainText"/>
        <w:rPr>
          <w:rFonts w:asciiTheme="majorHAnsi" w:hAnsiTheme="majorHAnsi" w:cstheme="majorHAnsi"/>
        </w:rPr>
      </w:pPr>
      <w:bookmarkStart w:id="0" w:name="_Hlk80609462"/>
      <w:r w:rsidRPr="00B02A88">
        <w:rPr>
          <w:rFonts w:asciiTheme="majorHAnsi" w:hAnsiTheme="majorHAnsi" w:cstheme="majorHAnsi"/>
        </w:rPr>
        <w:t>Our simulations contained a mean (SD) of 324,656 (1,105) probands</w:t>
      </w:r>
      <w:r>
        <w:rPr>
          <w:rFonts w:asciiTheme="majorHAnsi" w:hAnsiTheme="majorHAnsi" w:cstheme="majorHAnsi"/>
        </w:rPr>
        <w:t xml:space="preserve">, each proband having a mean </w:t>
      </w:r>
      <w:r w:rsidRPr="00B02A88">
        <w:rPr>
          <w:rFonts w:asciiTheme="majorHAnsi" w:hAnsiTheme="majorHAnsi" w:cstheme="majorHAnsi"/>
        </w:rPr>
        <w:t>number of 3.7 (SD: 1.3) 1st degree relatives, 7.4 (SD: 1.8) 2nd degree relatives, 13.7 (SD: 4.3)  3rd degree relatives, and 23.3 (5.2) 4th degree relatives for a total mean number of relatives: 48.1 (SD:8.7).</w:t>
      </w:r>
      <w:bookmarkEnd w:id="0"/>
    </w:p>
    <w:p w14:paraId="7692E1B3" w14:textId="7BE97F25" w:rsidR="00BB2223" w:rsidRDefault="00BB2223" w:rsidP="00ED3011">
      <w:pPr>
        <w:pStyle w:val="PlainText"/>
        <w:rPr>
          <w:rFonts w:asciiTheme="majorHAnsi" w:hAnsiTheme="majorHAnsi" w:cstheme="majorHAnsi"/>
        </w:rPr>
      </w:pPr>
    </w:p>
    <w:p w14:paraId="47BF96AB" w14:textId="77777777" w:rsidR="00BB2223" w:rsidRDefault="00BB2223" w:rsidP="00ED3011">
      <w:pPr>
        <w:pStyle w:val="PlainText"/>
        <w:rPr>
          <w:rFonts w:asciiTheme="majorHAnsi" w:hAnsiTheme="majorHAnsi" w:cstheme="majorHAnsi"/>
        </w:rPr>
      </w:pPr>
    </w:p>
    <w:p w14:paraId="3A5E9047" w14:textId="58D1B8A4" w:rsidR="00BB2223" w:rsidRDefault="00BB2223" w:rsidP="00ED3011">
      <w:pPr>
        <w:pStyle w:val="PlainText"/>
        <w:rPr>
          <w:rFonts w:asciiTheme="majorHAnsi" w:hAnsiTheme="majorHAnsi" w:cstheme="majorHAnsi"/>
        </w:rPr>
      </w:pPr>
    </w:p>
    <w:p w14:paraId="00A559BA" w14:textId="654E317C" w:rsidR="00BB2223" w:rsidRDefault="00BB2223" w:rsidP="00BB2223">
      <w:pPr>
        <w:pStyle w:val="PlainText"/>
        <w:jc w:val="center"/>
        <w:rPr>
          <w:rFonts w:ascii="Calibri Light" w:hAnsi="Calibri Light" w:cs="Calibri Light"/>
          <w:b/>
          <w:bCs/>
        </w:rPr>
      </w:pPr>
      <w:r>
        <w:rPr>
          <w:rFonts w:asciiTheme="majorHAnsi" w:hAnsiTheme="majorHAnsi" w:cstheme="majorHAnsi"/>
        </w:rPr>
        <w:t>Figure 1 – The Chance in Population Prevalence for DUD, ADHD and MD as a Function of the FGRS Score Ranging from 0 (population mean) to + 2 (2 SDs above the mean)</w:t>
      </w:r>
    </w:p>
    <w:p w14:paraId="1B6F1E31" w14:textId="77777777" w:rsidR="00ED3011" w:rsidRDefault="00ED3011" w:rsidP="00ED3011">
      <w:pPr>
        <w:rPr>
          <w:rFonts w:asciiTheme="majorHAnsi" w:hAnsiTheme="majorHAnsi" w:cstheme="majorHAnsi"/>
          <w:b/>
          <w:lang w:val="en-US"/>
        </w:rPr>
      </w:pPr>
    </w:p>
    <w:p w14:paraId="10E5F1CE" w14:textId="1ADD9242" w:rsidR="00ED3011" w:rsidRDefault="00BB2223" w:rsidP="00ED3011">
      <w:pPr>
        <w:jc w:val="center"/>
        <w:rPr>
          <w:b/>
          <w:lang w:val="en-US"/>
        </w:rPr>
      </w:pPr>
      <w:r>
        <w:rPr>
          <w:noProof/>
          <w:lang w:eastAsia="sv-SE"/>
        </w:rPr>
        <w:drawing>
          <wp:inline distT="0" distB="0" distL="0" distR="0" wp14:anchorId="4140BB01" wp14:editId="6B52E4B6">
            <wp:extent cx="4584700" cy="27559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3A48430" w14:textId="77777777" w:rsidR="005B25E4" w:rsidRDefault="005B25E4" w:rsidP="005B25E4">
      <w:pPr>
        <w:rPr>
          <w:lang w:val="en-US"/>
        </w:rPr>
      </w:pPr>
    </w:p>
    <w:p w14:paraId="0A0F7005" w14:textId="77777777" w:rsidR="00292CF2" w:rsidRDefault="00292CF2">
      <w:pPr>
        <w:rPr>
          <w:lang w:val="en-US"/>
        </w:rPr>
      </w:pPr>
      <w:r>
        <w:rPr>
          <w:lang w:val="en-US"/>
        </w:rPr>
        <w:br w:type="page"/>
      </w:r>
    </w:p>
    <w:p w14:paraId="4C096CD4" w14:textId="77777777" w:rsidR="00292CF2" w:rsidRDefault="00292CF2" w:rsidP="00ED3011">
      <w:pPr>
        <w:jc w:val="center"/>
        <w:rPr>
          <w:lang w:val="en-US"/>
        </w:rPr>
        <w:sectPr w:rsidR="00292CF2" w:rsidSect="00ED3011">
          <w:pgSz w:w="11906" w:h="16838"/>
          <w:pgMar w:top="1411" w:right="1411" w:bottom="1411" w:left="1411" w:header="706" w:footer="706" w:gutter="0"/>
          <w:cols w:space="708"/>
          <w:docGrid w:linePitch="360"/>
        </w:sectPr>
      </w:pPr>
    </w:p>
    <w:p w14:paraId="48DCBC86" w14:textId="5D5E0048" w:rsidR="00ED3011" w:rsidRDefault="00ED3011" w:rsidP="00ED3011">
      <w:pPr>
        <w:jc w:val="center"/>
        <w:rPr>
          <w:lang w:val="en-US"/>
        </w:rPr>
      </w:pPr>
      <w:r>
        <w:rPr>
          <w:lang w:val="en-US"/>
        </w:rPr>
        <w:lastRenderedPageBreak/>
        <w:t xml:space="preserve">Figure </w:t>
      </w:r>
      <w:r w:rsidR="00BB2223">
        <w:rPr>
          <w:lang w:val="en-US"/>
        </w:rPr>
        <w:t>2</w:t>
      </w:r>
      <w:r>
        <w:rPr>
          <w:lang w:val="en-US"/>
        </w:rPr>
        <w:t xml:space="preserve"> – Age at First Registration for ADHD</w:t>
      </w:r>
    </w:p>
    <w:p w14:paraId="0AD57C4A" w14:textId="3B0DE618" w:rsidR="00ED3011" w:rsidRDefault="00ED3011" w:rsidP="00ED3011">
      <w:pPr>
        <w:jc w:val="center"/>
        <w:rPr>
          <w:lang w:val="en-US"/>
        </w:rPr>
      </w:pPr>
      <w:r>
        <w:rPr>
          <w:noProof/>
          <w:lang w:eastAsia="sv-SE"/>
        </w:rPr>
        <w:drawing>
          <wp:inline distT="0" distB="0" distL="0" distR="0" wp14:anchorId="1F40FDF0" wp14:editId="532C379C">
            <wp:extent cx="8891270" cy="48031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1270" cy="4803140"/>
                    </a:xfrm>
                    <a:prstGeom prst="rect">
                      <a:avLst/>
                    </a:prstGeom>
                    <a:noFill/>
                  </pic:spPr>
                </pic:pic>
              </a:graphicData>
            </a:graphic>
          </wp:inline>
        </w:drawing>
      </w:r>
    </w:p>
    <w:p w14:paraId="2780A4EF" w14:textId="72A8E850" w:rsidR="005B25E4" w:rsidRDefault="005B25E4" w:rsidP="005B25E4">
      <w:pPr>
        <w:jc w:val="center"/>
        <w:rPr>
          <w:lang w:val="en-US"/>
        </w:rPr>
      </w:pPr>
    </w:p>
    <w:p w14:paraId="40AFC74A" w14:textId="77777777" w:rsidR="00236C03" w:rsidRDefault="00236C03">
      <w:pPr>
        <w:rPr>
          <w:lang w:val="en-US"/>
        </w:rPr>
      </w:pPr>
      <w:r>
        <w:rPr>
          <w:lang w:val="en-US"/>
        </w:rPr>
        <w:br w:type="page"/>
      </w:r>
    </w:p>
    <w:p w14:paraId="0D4420FF" w14:textId="7CED026E" w:rsidR="005B25E4" w:rsidRDefault="003940D7" w:rsidP="005B25E4">
      <w:pPr>
        <w:jc w:val="center"/>
        <w:rPr>
          <w:lang w:val="en-US"/>
        </w:rPr>
      </w:pPr>
      <w:r>
        <w:rPr>
          <w:lang w:val="en-US"/>
        </w:rPr>
        <w:lastRenderedPageBreak/>
        <w:t xml:space="preserve">Figure </w:t>
      </w:r>
      <w:r w:rsidR="00BB2223">
        <w:rPr>
          <w:lang w:val="en-US"/>
        </w:rPr>
        <w:t>3</w:t>
      </w:r>
      <w:r>
        <w:rPr>
          <w:lang w:val="en-US"/>
        </w:rPr>
        <w:t xml:space="preserve">- </w:t>
      </w:r>
      <w:r w:rsidR="005B25E4">
        <w:rPr>
          <w:lang w:val="en-US"/>
        </w:rPr>
        <w:t xml:space="preserve">Stability of FGRS Scores for MD, </w:t>
      </w:r>
      <w:r w:rsidR="00EA6EA4">
        <w:rPr>
          <w:lang w:val="en-US"/>
        </w:rPr>
        <w:t>DUD</w:t>
      </w:r>
      <w:r w:rsidR="005B25E4">
        <w:rPr>
          <w:lang w:val="en-US"/>
        </w:rPr>
        <w:t xml:space="preserve"> and </w:t>
      </w:r>
      <w:r w:rsidR="00EA6EA4">
        <w:rPr>
          <w:lang w:val="en-US"/>
        </w:rPr>
        <w:t>ADHD</w:t>
      </w:r>
      <w:r w:rsidR="005B25E4">
        <w:rPr>
          <w:lang w:val="en-US"/>
        </w:rPr>
        <w:t xml:space="preserve"> by Median Splits for Cohort and Geographical Region within Sweden</w:t>
      </w:r>
    </w:p>
    <w:p w14:paraId="0D03D8EE" w14:textId="67A5CB55" w:rsidR="002923F5" w:rsidRDefault="002923F5" w:rsidP="005B25E4">
      <w:pPr>
        <w:jc w:val="center"/>
        <w:rPr>
          <w:lang w:val="en-US"/>
        </w:rPr>
      </w:pPr>
    </w:p>
    <w:p w14:paraId="5E766C28" w14:textId="2CF19455" w:rsidR="002923F5" w:rsidRDefault="002923F5" w:rsidP="005B25E4">
      <w:pPr>
        <w:jc w:val="center"/>
        <w:rPr>
          <w:lang w:val="en-US"/>
        </w:rPr>
      </w:pPr>
      <w:r>
        <w:rPr>
          <w:noProof/>
          <w:lang w:eastAsia="sv-SE"/>
        </w:rPr>
        <w:drawing>
          <wp:inline distT="0" distB="0" distL="0" distR="0" wp14:anchorId="4781F25B" wp14:editId="326D4B61">
            <wp:extent cx="8891270" cy="46675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1270" cy="4667505"/>
                    </a:xfrm>
                    <a:prstGeom prst="rect">
                      <a:avLst/>
                    </a:prstGeom>
                    <a:noFill/>
                  </pic:spPr>
                </pic:pic>
              </a:graphicData>
            </a:graphic>
          </wp:inline>
        </w:drawing>
      </w:r>
    </w:p>
    <w:p w14:paraId="4AD450E7" w14:textId="4E308775" w:rsidR="001A25B8" w:rsidRDefault="001A25B8">
      <w:pPr>
        <w:rPr>
          <w:lang w:val="en-US"/>
        </w:rPr>
      </w:pPr>
      <w:r>
        <w:rPr>
          <w:lang w:val="en-US"/>
        </w:rPr>
        <w:br w:type="page"/>
      </w:r>
    </w:p>
    <w:p w14:paraId="6564946F" w14:textId="3F491A6B" w:rsidR="00312816" w:rsidRDefault="00312816">
      <w:pPr>
        <w:rPr>
          <w:rFonts w:ascii="Calibri" w:hAnsi="Calibri" w:cs="Calibri"/>
          <w:noProof/>
          <w:lang w:val="en-US"/>
        </w:rPr>
      </w:pPr>
    </w:p>
    <w:p w14:paraId="47661FFB" w14:textId="7DC86B28" w:rsidR="00BF058E" w:rsidRDefault="00BF058E" w:rsidP="00C06499">
      <w:pPr>
        <w:jc w:val="center"/>
      </w:pPr>
      <w:r>
        <w:t xml:space="preserve">Figure </w:t>
      </w:r>
      <w:r w:rsidR="00BB2223">
        <w:t xml:space="preserve">4a </w:t>
      </w:r>
      <w:r w:rsidR="008641F3">
        <w:t>–</w:t>
      </w:r>
      <w:r w:rsidR="00D531CE">
        <w:t xml:space="preserve"> Results of Simulations of Pedigrees Containing 1st-5th Degree Relatives Analyzed by FGRS as a Function of Heritability and Prevalence</w:t>
      </w:r>
    </w:p>
    <w:p w14:paraId="2EBFBD75" w14:textId="60B86871" w:rsidR="00D531CE" w:rsidRDefault="00D531CE" w:rsidP="00C06499">
      <w:pPr>
        <w:jc w:val="center"/>
      </w:pPr>
      <w:r>
        <w:t xml:space="preserve">For Figures </w:t>
      </w:r>
      <w:r w:rsidR="00BB2223">
        <w:t>4a-4d</w:t>
      </w:r>
      <w:r>
        <w:t xml:space="preserve"> – see above for simulation methods</w:t>
      </w:r>
    </w:p>
    <w:p w14:paraId="17528768" w14:textId="6F622F65" w:rsidR="008641F3" w:rsidRDefault="008641F3" w:rsidP="00C06499">
      <w:pPr>
        <w:jc w:val="center"/>
        <w:rPr>
          <w:rFonts w:ascii="Calibri" w:hAnsi="Calibri" w:cs="Calibri"/>
          <w:noProof/>
          <w:lang w:val="en-US"/>
        </w:rPr>
      </w:pPr>
    </w:p>
    <w:p w14:paraId="0C4AB64A" w14:textId="24C116A7" w:rsidR="00C06499" w:rsidRDefault="008641F3">
      <w:pPr>
        <w:rPr>
          <w:rFonts w:ascii="Calibri" w:hAnsi="Calibri" w:cs="Calibri"/>
          <w:noProof/>
          <w:lang w:val="en-US"/>
        </w:rPr>
      </w:pPr>
      <w:r>
        <w:rPr>
          <w:noProof/>
          <w:lang w:eastAsia="sv-SE"/>
        </w:rPr>
        <w:drawing>
          <wp:anchor distT="0" distB="0" distL="114300" distR="114300" simplePos="0" relativeHeight="251689984" behindDoc="0" locked="0" layoutInCell="1" allowOverlap="1" wp14:anchorId="41F1CC69" wp14:editId="1DD5F375">
            <wp:simplePos x="0" y="0"/>
            <wp:positionH relativeFrom="column">
              <wp:posOffset>1247775</wp:posOffset>
            </wp:positionH>
            <wp:positionV relativeFrom="paragraph">
              <wp:posOffset>275590</wp:posOffset>
            </wp:positionV>
            <wp:extent cx="6211570" cy="36753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1570" cy="3675380"/>
                    </a:xfrm>
                    <a:prstGeom prst="rect">
                      <a:avLst/>
                    </a:prstGeom>
                    <a:noFill/>
                  </pic:spPr>
                </pic:pic>
              </a:graphicData>
            </a:graphic>
            <wp14:sizeRelH relativeFrom="margin">
              <wp14:pctWidth>0</wp14:pctWidth>
            </wp14:sizeRelH>
            <wp14:sizeRelV relativeFrom="margin">
              <wp14:pctHeight>0</wp14:pctHeight>
            </wp14:sizeRelV>
          </wp:anchor>
        </w:drawing>
      </w:r>
      <w:r w:rsidR="00C06499">
        <w:br w:type="page"/>
      </w:r>
    </w:p>
    <w:p w14:paraId="6AA20532" w14:textId="73AC0532" w:rsidR="0010693B" w:rsidRDefault="00C06499" w:rsidP="00C06499">
      <w:pPr>
        <w:jc w:val="center"/>
      </w:pPr>
      <w:r>
        <w:lastRenderedPageBreak/>
        <w:t xml:space="preserve">Figure </w:t>
      </w:r>
      <w:r w:rsidR="00BB2223">
        <w:t>4b</w:t>
      </w:r>
      <w:r w:rsidR="0010693B">
        <w:t xml:space="preserve"> </w:t>
      </w:r>
    </w:p>
    <w:p w14:paraId="1BF699F7" w14:textId="675A6D2E" w:rsidR="00C06499" w:rsidRDefault="0010693B" w:rsidP="00C06499">
      <w:pPr>
        <w:jc w:val="center"/>
      </w:pPr>
      <w:r>
        <w:t xml:space="preserve">For Figures </w:t>
      </w:r>
      <w:r w:rsidR="00BD06A0">
        <w:t>3</w:t>
      </w:r>
      <w:r w:rsidR="00BB2223">
        <w:t>s-e</w:t>
      </w:r>
      <w:r>
        <w:t>, we</w:t>
      </w:r>
      <w:r w:rsidRPr="0010693B">
        <w:t xml:space="preserve"> include</w:t>
      </w:r>
      <w:r>
        <w:t xml:space="preserve">d in our simulations, estimates of shared environment for siblings with c2 equal to, respectively, 2.5, 5 and 10%. The thick colored lines are the estimates with the addition of the shared environment. The dotted line are those calculaed with the c2 parameter added. We then ”correct” for that sibling effect with 4 values of ”down-weighting”: </w:t>
      </w:r>
      <w:r w:rsidRPr="0010693B">
        <w:t xml:space="preserve">0.8, 0.6, 0.4, 0.2, which are represented by the thinner lines in the figures. </w:t>
      </w:r>
      <w:r w:rsidR="00BE7397">
        <w:t>The down-w</w:t>
      </w:r>
      <w:r w:rsidR="00BD06A0">
        <w:t>e</w:t>
      </w:r>
      <w:r w:rsidR="00BE7397">
        <w:t xml:space="preserve">ighting values used in this paper are seen above in table </w:t>
      </w:r>
      <w:r w:rsidR="00BD06A0">
        <w:t>6</w:t>
      </w:r>
      <w:r w:rsidR="00BE7397">
        <w:t xml:space="preserve"> step </w:t>
      </w:r>
      <w:r w:rsidR="00E6164A">
        <w:t>3</w:t>
      </w:r>
      <w:r w:rsidR="00BE7397">
        <w:t xml:space="preserve">. </w:t>
      </w:r>
    </w:p>
    <w:p w14:paraId="4E73E103" w14:textId="37D3EDCE" w:rsidR="008641F3" w:rsidRDefault="008641F3" w:rsidP="00C06499">
      <w:pPr>
        <w:jc w:val="center"/>
      </w:pPr>
    </w:p>
    <w:p w14:paraId="0C8D2921" w14:textId="5856CBFB" w:rsidR="00C06499" w:rsidRDefault="008641F3">
      <w:r>
        <w:rPr>
          <w:noProof/>
          <w:lang w:eastAsia="sv-SE"/>
        </w:rPr>
        <w:drawing>
          <wp:anchor distT="0" distB="0" distL="114300" distR="114300" simplePos="0" relativeHeight="251692032" behindDoc="0" locked="0" layoutInCell="1" allowOverlap="1" wp14:anchorId="6F70E998" wp14:editId="14DC355A">
            <wp:simplePos x="0" y="0"/>
            <wp:positionH relativeFrom="margin">
              <wp:align>center</wp:align>
            </wp:positionH>
            <wp:positionV relativeFrom="paragraph">
              <wp:posOffset>304165</wp:posOffset>
            </wp:positionV>
            <wp:extent cx="6262370" cy="3533775"/>
            <wp:effectExtent l="0" t="0" r="508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2370" cy="3533775"/>
                    </a:xfrm>
                    <a:prstGeom prst="rect">
                      <a:avLst/>
                    </a:prstGeom>
                    <a:noFill/>
                  </pic:spPr>
                </pic:pic>
              </a:graphicData>
            </a:graphic>
            <wp14:sizeRelH relativeFrom="margin">
              <wp14:pctWidth>0</wp14:pctWidth>
            </wp14:sizeRelH>
            <wp14:sizeRelV relativeFrom="margin">
              <wp14:pctHeight>0</wp14:pctHeight>
            </wp14:sizeRelV>
          </wp:anchor>
        </w:drawing>
      </w:r>
      <w:r w:rsidR="00C06499">
        <w:br w:type="page"/>
      </w:r>
    </w:p>
    <w:p w14:paraId="155D9598" w14:textId="49FAC2E3" w:rsidR="00C06499" w:rsidRDefault="00C06499" w:rsidP="00C06499">
      <w:pPr>
        <w:jc w:val="center"/>
      </w:pPr>
      <w:r>
        <w:lastRenderedPageBreak/>
        <w:t xml:space="preserve">Figure </w:t>
      </w:r>
      <w:r w:rsidR="00BB2223">
        <w:t>4c</w:t>
      </w:r>
    </w:p>
    <w:p w14:paraId="569DAC91" w14:textId="79F227E4" w:rsidR="008641F3" w:rsidRDefault="008641F3" w:rsidP="00C06499">
      <w:pPr>
        <w:jc w:val="center"/>
      </w:pPr>
    </w:p>
    <w:p w14:paraId="59F14146" w14:textId="336864D6" w:rsidR="008641F3" w:rsidRDefault="008641F3" w:rsidP="00C06499">
      <w:pPr>
        <w:jc w:val="center"/>
      </w:pPr>
    </w:p>
    <w:p w14:paraId="46E22D31" w14:textId="3104017E" w:rsidR="00BD06A0" w:rsidRDefault="008641F3" w:rsidP="00BD06A0">
      <w:pPr>
        <w:jc w:val="center"/>
      </w:pPr>
      <w:r>
        <w:rPr>
          <w:noProof/>
          <w:lang w:eastAsia="sv-SE"/>
        </w:rPr>
        <w:drawing>
          <wp:anchor distT="0" distB="0" distL="114300" distR="114300" simplePos="0" relativeHeight="251694080" behindDoc="0" locked="0" layoutInCell="1" allowOverlap="1" wp14:anchorId="7FCB8A0D" wp14:editId="2F15B4D4">
            <wp:simplePos x="0" y="0"/>
            <wp:positionH relativeFrom="margin">
              <wp:align>center</wp:align>
            </wp:positionH>
            <wp:positionV relativeFrom="paragraph">
              <wp:posOffset>161925</wp:posOffset>
            </wp:positionV>
            <wp:extent cx="6038215" cy="3408045"/>
            <wp:effectExtent l="0" t="0" r="63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215" cy="3408045"/>
                    </a:xfrm>
                    <a:prstGeom prst="rect">
                      <a:avLst/>
                    </a:prstGeom>
                    <a:noFill/>
                  </pic:spPr>
                </pic:pic>
              </a:graphicData>
            </a:graphic>
            <wp14:sizeRelH relativeFrom="margin">
              <wp14:pctWidth>0</wp14:pctWidth>
            </wp14:sizeRelH>
            <wp14:sizeRelV relativeFrom="margin">
              <wp14:pctHeight>0</wp14:pctHeight>
            </wp14:sizeRelV>
          </wp:anchor>
        </w:drawing>
      </w:r>
      <w:r w:rsidR="00C06499">
        <w:br w:type="page"/>
      </w:r>
      <w:r w:rsidR="00BD06A0" w:rsidRPr="00BD06A0">
        <w:lastRenderedPageBreak/>
        <w:t xml:space="preserve">Figure </w:t>
      </w:r>
      <w:r w:rsidR="00BB2223">
        <w:t>4d</w:t>
      </w:r>
    </w:p>
    <w:p w14:paraId="453CDAD8" w14:textId="6DEC9D5F" w:rsidR="00292CF2" w:rsidRDefault="00BD06A0" w:rsidP="00BD06A0">
      <w:pPr>
        <w:jc w:val="center"/>
      </w:pPr>
      <w:r>
        <w:rPr>
          <w:noProof/>
          <w:lang w:eastAsia="sv-SE"/>
        </w:rPr>
        <w:drawing>
          <wp:anchor distT="0" distB="0" distL="114300" distR="114300" simplePos="0" relativeHeight="251696128" behindDoc="0" locked="0" layoutInCell="1" allowOverlap="1" wp14:anchorId="295E26EC" wp14:editId="198C3ED8">
            <wp:simplePos x="0" y="0"/>
            <wp:positionH relativeFrom="margin">
              <wp:align>center</wp:align>
            </wp:positionH>
            <wp:positionV relativeFrom="paragraph">
              <wp:posOffset>1002937</wp:posOffset>
            </wp:positionV>
            <wp:extent cx="6081395" cy="34321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1395" cy="3432175"/>
                    </a:xfrm>
                    <a:prstGeom prst="rect">
                      <a:avLst/>
                    </a:prstGeom>
                    <a:noFill/>
                  </pic:spPr>
                </pic:pic>
              </a:graphicData>
            </a:graphic>
            <wp14:sizeRelH relativeFrom="margin">
              <wp14:pctWidth>0</wp14:pctWidth>
            </wp14:sizeRelH>
            <wp14:sizeRelV relativeFrom="margin">
              <wp14:pctHeight>0</wp14:pctHeight>
            </wp14:sizeRelV>
          </wp:anchor>
        </w:drawing>
      </w:r>
      <w:r w:rsidR="00292CF2">
        <w:br w:type="page"/>
      </w:r>
    </w:p>
    <w:p w14:paraId="10F3CFAD" w14:textId="38C6310C" w:rsidR="00C06499" w:rsidRDefault="00BD06A0" w:rsidP="0002587B">
      <w:pPr>
        <w:ind w:firstLine="1304"/>
        <w:jc w:val="center"/>
      </w:pPr>
      <w:r>
        <w:lastRenderedPageBreak/>
        <w:t xml:space="preserve">Figure </w:t>
      </w:r>
      <w:r w:rsidR="002757B1">
        <w:t>5</w:t>
      </w:r>
      <w:r w:rsidR="0002587B">
        <w:t>-</w:t>
      </w:r>
      <w:r w:rsidR="002757B1">
        <w:t>9</w:t>
      </w:r>
      <w:r>
        <w:t xml:space="preserve"> – Results depicted in figures 1-5 reanalyzed controlling for the FGRS of the Primary Disorder – that is, </w:t>
      </w:r>
      <w:r w:rsidR="0002587B">
        <w:t>DUD, ADHD and MD.</w:t>
      </w:r>
    </w:p>
    <w:p w14:paraId="44E99CF1" w14:textId="22AA733E" w:rsidR="0002587B" w:rsidRDefault="0002587B" w:rsidP="0002587B">
      <w:pPr>
        <w:jc w:val="center"/>
      </w:pPr>
      <w:r>
        <w:t xml:space="preserve">Figure </w:t>
      </w:r>
      <w:r w:rsidR="00524F5D">
        <w:t>5</w:t>
      </w:r>
      <w:r>
        <w:t>a Sex DUD</w:t>
      </w:r>
    </w:p>
    <w:p w14:paraId="513691EE" w14:textId="77777777" w:rsidR="0002587B" w:rsidRPr="003F1574" w:rsidRDefault="0002587B" w:rsidP="0002587B">
      <w:pPr>
        <w:jc w:val="center"/>
      </w:pPr>
      <w:r>
        <w:rPr>
          <w:noProof/>
          <w:lang w:eastAsia="sv-SE"/>
        </w:rPr>
        <w:drawing>
          <wp:anchor distT="0" distB="0" distL="114300" distR="114300" simplePos="0" relativeHeight="251698176" behindDoc="0" locked="0" layoutInCell="1" allowOverlap="1" wp14:anchorId="6DE149DD" wp14:editId="76DB8D4E">
            <wp:simplePos x="0" y="0"/>
            <wp:positionH relativeFrom="column">
              <wp:posOffset>0</wp:posOffset>
            </wp:positionH>
            <wp:positionV relativeFrom="paragraph">
              <wp:posOffset>0</wp:posOffset>
            </wp:positionV>
            <wp:extent cx="8524240" cy="462260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24240" cy="4622605"/>
                    </a:xfrm>
                    <a:prstGeom prst="rect">
                      <a:avLst/>
                    </a:prstGeom>
                    <a:noFill/>
                  </pic:spPr>
                </pic:pic>
              </a:graphicData>
            </a:graphic>
          </wp:anchor>
        </w:drawing>
      </w:r>
    </w:p>
    <w:p w14:paraId="043D7622" w14:textId="35894322" w:rsidR="0002587B" w:rsidRDefault="0002587B" w:rsidP="0002587B">
      <w:pPr>
        <w:ind w:firstLine="1304"/>
        <w:jc w:val="center"/>
      </w:pPr>
      <w:r>
        <w:br w:type="page"/>
      </w:r>
    </w:p>
    <w:p w14:paraId="2101CB25" w14:textId="1492BEFB" w:rsidR="0002587B" w:rsidRDefault="0002587B" w:rsidP="0002587B">
      <w:pPr>
        <w:jc w:val="center"/>
      </w:pPr>
      <w:r>
        <w:lastRenderedPageBreak/>
        <w:t xml:space="preserve">Figure </w:t>
      </w:r>
      <w:r w:rsidR="00524F5D">
        <w:t>5</w:t>
      </w:r>
      <w:r>
        <w:t>b Sex MD</w:t>
      </w:r>
    </w:p>
    <w:p w14:paraId="5CDB0808" w14:textId="77777777" w:rsidR="0002587B" w:rsidRDefault="0002587B" w:rsidP="0002587B">
      <w:pPr>
        <w:jc w:val="center"/>
      </w:pPr>
      <w:r>
        <w:rPr>
          <w:noProof/>
          <w:lang w:eastAsia="sv-SE"/>
        </w:rPr>
        <w:drawing>
          <wp:anchor distT="0" distB="0" distL="114300" distR="114300" simplePos="0" relativeHeight="251700224" behindDoc="0" locked="0" layoutInCell="1" allowOverlap="1" wp14:anchorId="1BB340A1" wp14:editId="46C31490">
            <wp:simplePos x="0" y="0"/>
            <wp:positionH relativeFrom="column">
              <wp:posOffset>0</wp:posOffset>
            </wp:positionH>
            <wp:positionV relativeFrom="paragraph">
              <wp:posOffset>0</wp:posOffset>
            </wp:positionV>
            <wp:extent cx="8634929" cy="46386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34929" cy="4638675"/>
                    </a:xfrm>
                    <a:prstGeom prst="rect">
                      <a:avLst/>
                    </a:prstGeom>
                    <a:noFill/>
                  </pic:spPr>
                </pic:pic>
              </a:graphicData>
            </a:graphic>
          </wp:anchor>
        </w:drawing>
      </w:r>
    </w:p>
    <w:p w14:paraId="39F65E6B" w14:textId="35BE9A38" w:rsidR="0002587B" w:rsidRDefault="0002587B" w:rsidP="0002587B">
      <w:pPr>
        <w:jc w:val="center"/>
      </w:pPr>
      <w:r>
        <w:br w:type="page"/>
      </w:r>
      <w:r>
        <w:lastRenderedPageBreak/>
        <w:t xml:space="preserve">Figure </w:t>
      </w:r>
      <w:r w:rsidR="00524F5D">
        <w:t>5</w:t>
      </w:r>
      <w:r>
        <w:t>c – Sex ADHD</w:t>
      </w:r>
    </w:p>
    <w:p w14:paraId="3B90FFCB" w14:textId="77777777" w:rsidR="0002587B" w:rsidRDefault="0002587B" w:rsidP="0002587B">
      <w:pPr>
        <w:jc w:val="center"/>
      </w:pPr>
      <w:r>
        <w:rPr>
          <w:noProof/>
          <w:lang w:eastAsia="sv-SE"/>
        </w:rPr>
        <w:drawing>
          <wp:anchor distT="0" distB="0" distL="114300" distR="114300" simplePos="0" relativeHeight="251702272" behindDoc="0" locked="0" layoutInCell="1" allowOverlap="1" wp14:anchorId="1A42B967" wp14:editId="0CCF6695">
            <wp:simplePos x="0" y="0"/>
            <wp:positionH relativeFrom="column">
              <wp:posOffset>0</wp:posOffset>
            </wp:positionH>
            <wp:positionV relativeFrom="paragraph">
              <wp:posOffset>0</wp:posOffset>
            </wp:positionV>
            <wp:extent cx="8519795" cy="4573647"/>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19795" cy="4573647"/>
                    </a:xfrm>
                    <a:prstGeom prst="rect">
                      <a:avLst/>
                    </a:prstGeom>
                    <a:noFill/>
                  </pic:spPr>
                </pic:pic>
              </a:graphicData>
            </a:graphic>
          </wp:anchor>
        </w:drawing>
      </w:r>
    </w:p>
    <w:p w14:paraId="44B1EF2E" w14:textId="6A35A2C9" w:rsidR="0002587B" w:rsidRDefault="0002587B" w:rsidP="0002587B">
      <w:pPr>
        <w:jc w:val="center"/>
      </w:pPr>
      <w:r>
        <w:br w:type="page"/>
      </w:r>
      <w:r>
        <w:lastRenderedPageBreak/>
        <w:t xml:space="preserve">Figure </w:t>
      </w:r>
      <w:r w:rsidR="00524F5D">
        <w:t>6</w:t>
      </w:r>
      <w:r>
        <w:t>a - Age at Onset DUD</w:t>
      </w:r>
    </w:p>
    <w:p w14:paraId="793188C8" w14:textId="77777777" w:rsidR="0002587B" w:rsidRPr="00E7297F" w:rsidRDefault="0002587B" w:rsidP="0002587B">
      <w:pPr>
        <w:jc w:val="center"/>
      </w:pPr>
      <w:r>
        <w:rPr>
          <w:noProof/>
          <w:lang w:eastAsia="sv-SE"/>
        </w:rPr>
        <w:drawing>
          <wp:inline distT="0" distB="0" distL="0" distR="0" wp14:anchorId="0B9F2485" wp14:editId="7348B33E">
            <wp:extent cx="9236367" cy="4167963"/>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63443" cy="4180181"/>
                    </a:xfrm>
                    <a:prstGeom prst="rect">
                      <a:avLst/>
                    </a:prstGeom>
                    <a:noFill/>
                  </pic:spPr>
                </pic:pic>
              </a:graphicData>
            </a:graphic>
          </wp:inline>
        </w:drawing>
      </w:r>
    </w:p>
    <w:p w14:paraId="7C594F06" w14:textId="77777777" w:rsidR="0002587B" w:rsidRDefault="0002587B" w:rsidP="0002587B"/>
    <w:p w14:paraId="09398874" w14:textId="77777777" w:rsidR="0002587B" w:rsidRDefault="0002587B" w:rsidP="0002587B">
      <w:r>
        <w:br w:type="page"/>
      </w:r>
    </w:p>
    <w:p w14:paraId="4451660D" w14:textId="3971E401" w:rsidR="00BE68B9" w:rsidRDefault="00BE68B9" w:rsidP="00BE68B9">
      <w:pPr>
        <w:jc w:val="center"/>
      </w:pPr>
      <w:r>
        <w:lastRenderedPageBreak/>
        <w:t xml:space="preserve">Figure </w:t>
      </w:r>
      <w:r w:rsidR="00524F5D">
        <w:t>6</w:t>
      </w:r>
      <w:r>
        <w:t>b AAO MD</w:t>
      </w:r>
    </w:p>
    <w:p w14:paraId="01C4DDDD" w14:textId="77777777" w:rsidR="00BE68B9" w:rsidRDefault="00BE68B9" w:rsidP="00BE68B9">
      <w:pPr>
        <w:jc w:val="center"/>
      </w:pPr>
      <w:r>
        <w:rPr>
          <w:noProof/>
          <w:lang w:eastAsia="sv-SE"/>
        </w:rPr>
        <w:drawing>
          <wp:anchor distT="0" distB="0" distL="114300" distR="114300" simplePos="0" relativeHeight="251704320" behindDoc="0" locked="0" layoutInCell="1" allowOverlap="1" wp14:anchorId="67FD0B4D" wp14:editId="71A77BD6">
            <wp:simplePos x="0" y="0"/>
            <wp:positionH relativeFrom="column">
              <wp:posOffset>-181610</wp:posOffset>
            </wp:positionH>
            <wp:positionV relativeFrom="paragraph">
              <wp:posOffset>266700</wp:posOffset>
            </wp:positionV>
            <wp:extent cx="8979535" cy="38766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79535" cy="3876675"/>
                    </a:xfrm>
                    <a:prstGeom prst="rect">
                      <a:avLst/>
                    </a:prstGeom>
                    <a:noFill/>
                  </pic:spPr>
                </pic:pic>
              </a:graphicData>
            </a:graphic>
            <wp14:sizeRelH relativeFrom="margin">
              <wp14:pctWidth>0</wp14:pctWidth>
            </wp14:sizeRelH>
            <wp14:sizeRelV relativeFrom="margin">
              <wp14:pctHeight>0</wp14:pctHeight>
            </wp14:sizeRelV>
          </wp:anchor>
        </w:drawing>
      </w:r>
    </w:p>
    <w:p w14:paraId="7880124A" w14:textId="77777777" w:rsidR="00BE68B9" w:rsidRPr="00CE2573" w:rsidRDefault="00BE68B9" w:rsidP="00BE68B9">
      <w:pPr>
        <w:jc w:val="center"/>
        <w:rPr>
          <w:noProof/>
          <w:lang w:eastAsia="sv-SE"/>
        </w:rPr>
      </w:pPr>
    </w:p>
    <w:p w14:paraId="644AAB20" w14:textId="77777777" w:rsidR="00BE68B9" w:rsidRDefault="00BE68B9" w:rsidP="00BE68B9">
      <w:pPr>
        <w:jc w:val="center"/>
      </w:pPr>
    </w:p>
    <w:p w14:paraId="1F93E057" w14:textId="77777777" w:rsidR="00BE68B9" w:rsidRDefault="00BE68B9" w:rsidP="00BE68B9">
      <w:r>
        <w:br w:type="page"/>
      </w:r>
    </w:p>
    <w:p w14:paraId="07122ACC" w14:textId="256E8484" w:rsidR="00BE68B9" w:rsidRDefault="00BE68B9" w:rsidP="00BE68B9">
      <w:pPr>
        <w:jc w:val="center"/>
      </w:pPr>
      <w:r>
        <w:lastRenderedPageBreak/>
        <w:t xml:space="preserve">Figure </w:t>
      </w:r>
      <w:r w:rsidR="00524F5D">
        <w:t>6</w:t>
      </w:r>
      <w:r>
        <w:t>c – AAO - ADHD</w:t>
      </w:r>
    </w:p>
    <w:p w14:paraId="5F0088A2" w14:textId="77777777" w:rsidR="00BE68B9" w:rsidRDefault="00BE68B9" w:rsidP="00BE68B9">
      <w:pPr>
        <w:jc w:val="center"/>
      </w:pPr>
      <w:r>
        <w:rPr>
          <w:noProof/>
          <w:lang w:eastAsia="sv-SE"/>
        </w:rPr>
        <w:drawing>
          <wp:inline distT="0" distB="0" distL="0" distR="0" wp14:anchorId="4146AC0A" wp14:editId="4F42D9AB">
            <wp:extent cx="9477656" cy="411185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95650" cy="4119658"/>
                    </a:xfrm>
                    <a:prstGeom prst="rect">
                      <a:avLst/>
                    </a:prstGeom>
                    <a:noFill/>
                  </pic:spPr>
                </pic:pic>
              </a:graphicData>
            </a:graphic>
          </wp:inline>
        </w:drawing>
      </w:r>
    </w:p>
    <w:p w14:paraId="3286955B" w14:textId="77777777" w:rsidR="00BE68B9" w:rsidRDefault="00BE68B9" w:rsidP="00BE68B9">
      <w:r>
        <w:br w:type="page"/>
      </w:r>
    </w:p>
    <w:p w14:paraId="701C8A1D" w14:textId="444AE83F" w:rsidR="00BE68B9" w:rsidRDefault="00BE68B9" w:rsidP="00BE68B9">
      <w:pPr>
        <w:jc w:val="center"/>
      </w:pPr>
      <w:r>
        <w:lastRenderedPageBreak/>
        <w:t xml:space="preserve">Figure </w:t>
      </w:r>
      <w:r w:rsidR="00524F5D">
        <w:t>7</w:t>
      </w:r>
      <w:r>
        <w:t>a # Episodes DUD</w:t>
      </w:r>
    </w:p>
    <w:p w14:paraId="11EB745F" w14:textId="77777777" w:rsidR="00BE68B9" w:rsidRDefault="00BE68B9" w:rsidP="00BE68B9">
      <w:pPr>
        <w:jc w:val="center"/>
      </w:pPr>
      <w:r>
        <w:rPr>
          <w:noProof/>
          <w:lang w:eastAsia="sv-SE"/>
        </w:rPr>
        <w:drawing>
          <wp:anchor distT="0" distB="0" distL="114300" distR="114300" simplePos="0" relativeHeight="251705344" behindDoc="0" locked="0" layoutInCell="1" allowOverlap="1" wp14:anchorId="52A54D63" wp14:editId="2A96A7C2">
            <wp:simplePos x="0" y="0"/>
            <wp:positionH relativeFrom="column">
              <wp:posOffset>-219075</wp:posOffset>
            </wp:positionH>
            <wp:positionV relativeFrom="paragraph">
              <wp:posOffset>238125</wp:posOffset>
            </wp:positionV>
            <wp:extent cx="8961755" cy="38385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61755" cy="3838575"/>
                    </a:xfrm>
                    <a:prstGeom prst="rect">
                      <a:avLst/>
                    </a:prstGeom>
                    <a:noFill/>
                  </pic:spPr>
                </pic:pic>
              </a:graphicData>
            </a:graphic>
            <wp14:sizeRelH relativeFrom="margin">
              <wp14:pctWidth>0</wp14:pctWidth>
            </wp14:sizeRelH>
            <wp14:sizeRelV relativeFrom="margin">
              <wp14:pctHeight>0</wp14:pctHeight>
            </wp14:sizeRelV>
          </wp:anchor>
        </w:drawing>
      </w:r>
    </w:p>
    <w:p w14:paraId="69EBA475" w14:textId="4635F128" w:rsidR="00BE68B9" w:rsidRDefault="00BE68B9" w:rsidP="00BE68B9">
      <w:pPr>
        <w:jc w:val="center"/>
      </w:pPr>
      <w:r>
        <w:br w:type="page"/>
      </w:r>
      <w:r>
        <w:lastRenderedPageBreak/>
        <w:t xml:space="preserve">Figure </w:t>
      </w:r>
      <w:r w:rsidR="00524F5D">
        <w:t>7</w:t>
      </w:r>
      <w:r>
        <w:t>b # Episodes MD</w:t>
      </w:r>
    </w:p>
    <w:p w14:paraId="77C8AB6F" w14:textId="6865A62D" w:rsidR="00BE68B9" w:rsidRDefault="00BE68B9" w:rsidP="00BE68B9">
      <w:pPr>
        <w:jc w:val="center"/>
      </w:pPr>
      <w:r>
        <w:rPr>
          <w:noProof/>
          <w:lang w:eastAsia="sv-SE"/>
        </w:rPr>
        <w:drawing>
          <wp:anchor distT="0" distB="0" distL="114300" distR="114300" simplePos="0" relativeHeight="251707392" behindDoc="0" locked="0" layoutInCell="1" allowOverlap="1" wp14:anchorId="1EA4F912" wp14:editId="39F3F085">
            <wp:simplePos x="0" y="0"/>
            <wp:positionH relativeFrom="column">
              <wp:posOffset>0</wp:posOffset>
            </wp:positionH>
            <wp:positionV relativeFrom="paragraph">
              <wp:posOffset>284480</wp:posOffset>
            </wp:positionV>
            <wp:extent cx="9008201" cy="3648591"/>
            <wp:effectExtent l="0" t="0" r="254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8201" cy="3648591"/>
                    </a:xfrm>
                    <a:prstGeom prst="rect">
                      <a:avLst/>
                    </a:prstGeom>
                    <a:noFill/>
                  </pic:spPr>
                </pic:pic>
              </a:graphicData>
            </a:graphic>
          </wp:anchor>
        </w:drawing>
      </w:r>
    </w:p>
    <w:p w14:paraId="101108DA" w14:textId="77777777" w:rsidR="00BE68B9" w:rsidRDefault="00BE68B9" w:rsidP="00BE68B9">
      <w:pPr>
        <w:jc w:val="center"/>
      </w:pPr>
    </w:p>
    <w:p w14:paraId="788D5FB2" w14:textId="77777777" w:rsidR="00BE68B9" w:rsidRDefault="00BE68B9" w:rsidP="00BE68B9">
      <w:r>
        <w:br w:type="page"/>
      </w:r>
    </w:p>
    <w:p w14:paraId="245489BB" w14:textId="7D0BD90C" w:rsidR="00BE68B9" w:rsidRDefault="00BE68B9" w:rsidP="00BE68B9">
      <w:pPr>
        <w:jc w:val="center"/>
      </w:pPr>
      <w:r>
        <w:lastRenderedPageBreak/>
        <w:t xml:space="preserve">Figure </w:t>
      </w:r>
      <w:r w:rsidR="00524F5D">
        <w:t>7</w:t>
      </w:r>
      <w:r>
        <w:t>c # Episodes ADHD</w:t>
      </w:r>
    </w:p>
    <w:p w14:paraId="17F0379B" w14:textId="7592057B" w:rsidR="00BE68B9" w:rsidRDefault="00BE68B9" w:rsidP="00BE68B9">
      <w:pPr>
        <w:jc w:val="center"/>
      </w:pPr>
      <w:r>
        <w:rPr>
          <w:noProof/>
          <w:lang w:eastAsia="sv-SE"/>
        </w:rPr>
        <w:drawing>
          <wp:inline distT="0" distB="0" distL="0" distR="0" wp14:anchorId="7DE92728" wp14:editId="7D3069FB">
            <wp:extent cx="8900160" cy="3791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0160" cy="3791710"/>
                    </a:xfrm>
                    <a:prstGeom prst="rect">
                      <a:avLst/>
                    </a:prstGeom>
                    <a:noFill/>
                  </pic:spPr>
                </pic:pic>
              </a:graphicData>
            </a:graphic>
          </wp:inline>
        </w:drawing>
      </w:r>
    </w:p>
    <w:p w14:paraId="59D00095" w14:textId="629D1AF6" w:rsidR="0002587B" w:rsidRDefault="0002587B" w:rsidP="00BE68B9">
      <w:pPr>
        <w:jc w:val="center"/>
      </w:pPr>
      <w:r>
        <w:br w:type="page"/>
      </w:r>
    </w:p>
    <w:p w14:paraId="3947B2BB" w14:textId="7344C5F9" w:rsidR="00503BA6" w:rsidRDefault="00503BA6" w:rsidP="00503BA6">
      <w:pPr>
        <w:jc w:val="center"/>
        <w:rPr>
          <w:noProof/>
        </w:rPr>
      </w:pPr>
      <w:r>
        <w:rPr>
          <w:noProof/>
          <w:lang w:eastAsia="sv-SE"/>
        </w:rPr>
        <w:lastRenderedPageBreak/>
        <w:drawing>
          <wp:anchor distT="0" distB="0" distL="114300" distR="114300" simplePos="0" relativeHeight="251710464" behindDoc="0" locked="0" layoutInCell="1" allowOverlap="1" wp14:anchorId="0ABEBC09" wp14:editId="52404D5B">
            <wp:simplePos x="0" y="0"/>
            <wp:positionH relativeFrom="column">
              <wp:posOffset>-161925</wp:posOffset>
            </wp:positionH>
            <wp:positionV relativeFrom="paragraph">
              <wp:posOffset>400050</wp:posOffset>
            </wp:positionV>
            <wp:extent cx="9077960" cy="3848100"/>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77960" cy="3848100"/>
                    </a:xfrm>
                    <a:prstGeom prst="rect">
                      <a:avLst/>
                    </a:prstGeom>
                    <a:noFill/>
                  </pic:spPr>
                </pic:pic>
              </a:graphicData>
            </a:graphic>
            <wp14:sizeRelH relativeFrom="margin">
              <wp14:pctWidth>0</wp14:pctWidth>
            </wp14:sizeRelH>
            <wp14:sizeRelV relativeFrom="margin">
              <wp14:pctHeight>0</wp14:pctHeight>
            </wp14:sizeRelV>
          </wp:anchor>
        </w:drawing>
      </w:r>
      <w:r>
        <w:t xml:space="preserve">Figure </w:t>
      </w:r>
      <w:r w:rsidR="00524F5D">
        <w:t>8</w:t>
      </w:r>
      <w:r>
        <w:t>a – Source of Ascertainment DUD By Register</w:t>
      </w:r>
    </w:p>
    <w:p w14:paraId="0EA08295" w14:textId="77777777" w:rsidR="00503BA6" w:rsidRDefault="00503BA6" w:rsidP="00503BA6">
      <w:pPr>
        <w:jc w:val="center"/>
        <w:rPr>
          <w:noProof/>
        </w:rPr>
      </w:pPr>
    </w:p>
    <w:p w14:paraId="3EBE4F04" w14:textId="77777777" w:rsidR="00503BA6" w:rsidRDefault="00503BA6" w:rsidP="00503BA6">
      <w:pPr>
        <w:jc w:val="center"/>
      </w:pPr>
    </w:p>
    <w:p w14:paraId="25EA31D5" w14:textId="77777777" w:rsidR="00503BA6" w:rsidRDefault="00503BA6" w:rsidP="00503BA6">
      <w:pPr>
        <w:jc w:val="center"/>
      </w:pPr>
    </w:p>
    <w:p w14:paraId="24868901" w14:textId="77777777" w:rsidR="00503BA6" w:rsidRDefault="00503BA6" w:rsidP="00503BA6">
      <w:pPr>
        <w:jc w:val="center"/>
      </w:pPr>
    </w:p>
    <w:p w14:paraId="5842AFEC" w14:textId="36BCB68F" w:rsidR="00503BA6" w:rsidRDefault="00503BA6" w:rsidP="00503BA6">
      <w:pPr>
        <w:jc w:val="center"/>
      </w:pPr>
      <w:r>
        <w:br w:type="page"/>
      </w:r>
      <w:r>
        <w:rPr>
          <w:noProof/>
          <w:lang w:eastAsia="sv-SE"/>
        </w:rPr>
        <w:lastRenderedPageBreak/>
        <w:drawing>
          <wp:anchor distT="0" distB="0" distL="114300" distR="114300" simplePos="0" relativeHeight="251709440" behindDoc="0" locked="0" layoutInCell="1" allowOverlap="1" wp14:anchorId="07E47CB8" wp14:editId="63915E75">
            <wp:simplePos x="0" y="0"/>
            <wp:positionH relativeFrom="column">
              <wp:posOffset>-114300</wp:posOffset>
            </wp:positionH>
            <wp:positionV relativeFrom="paragraph">
              <wp:posOffset>371475</wp:posOffset>
            </wp:positionV>
            <wp:extent cx="8803005" cy="3726632"/>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03005" cy="3726632"/>
                    </a:xfrm>
                    <a:prstGeom prst="rect">
                      <a:avLst/>
                    </a:prstGeom>
                    <a:noFill/>
                  </pic:spPr>
                </pic:pic>
              </a:graphicData>
            </a:graphic>
          </wp:anchor>
        </w:drawing>
      </w:r>
      <w:r>
        <w:t xml:space="preserve">Figure </w:t>
      </w:r>
      <w:r w:rsidR="00524F5D">
        <w:t>8</w:t>
      </w:r>
      <w:r>
        <w:t>b Source of Ascertainment for DUD within Medical Register</w:t>
      </w:r>
    </w:p>
    <w:p w14:paraId="1163D24B" w14:textId="77777777" w:rsidR="00503BA6" w:rsidRDefault="00503BA6" w:rsidP="00503BA6">
      <w:pPr>
        <w:jc w:val="center"/>
      </w:pPr>
    </w:p>
    <w:p w14:paraId="3D874DC1" w14:textId="77777777" w:rsidR="00503BA6" w:rsidRDefault="00503BA6" w:rsidP="00503BA6">
      <w:r>
        <w:br w:type="page"/>
      </w:r>
    </w:p>
    <w:p w14:paraId="168411A9" w14:textId="20678DF3" w:rsidR="00503BA6" w:rsidRDefault="00503BA6" w:rsidP="00503BA6">
      <w:pPr>
        <w:jc w:val="center"/>
      </w:pPr>
      <w:r>
        <w:lastRenderedPageBreak/>
        <w:t xml:space="preserve">Figure </w:t>
      </w:r>
      <w:r w:rsidR="00524F5D">
        <w:t>8</w:t>
      </w:r>
      <w:r>
        <w:t>c – Source of Ascertainment MD</w:t>
      </w:r>
    </w:p>
    <w:p w14:paraId="63A644E1" w14:textId="77777777" w:rsidR="00503BA6" w:rsidRDefault="00503BA6" w:rsidP="00503BA6">
      <w:pPr>
        <w:jc w:val="center"/>
      </w:pPr>
      <w:r>
        <w:rPr>
          <w:noProof/>
          <w:lang w:eastAsia="sv-SE"/>
        </w:rPr>
        <w:drawing>
          <wp:anchor distT="0" distB="0" distL="114300" distR="114300" simplePos="0" relativeHeight="251713536" behindDoc="0" locked="0" layoutInCell="1" allowOverlap="1" wp14:anchorId="3B74AC16" wp14:editId="05FA953F">
            <wp:simplePos x="0" y="0"/>
            <wp:positionH relativeFrom="column">
              <wp:posOffset>-257175</wp:posOffset>
            </wp:positionH>
            <wp:positionV relativeFrom="paragraph">
              <wp:posOffset>189865</wp:posOffset>
            </wp:positionV>
            <wp:extent cx="9053830" cy="36671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53830" cy="3667125"/>
                    </a:xfrm>
                    <a:prstGeom prst="rect">
                      <a:avLst/>
                    </a:prstGeom>
                    <a:noFill/>
                  </pic:spPr>
                </pic:pic>
              </a:graphicData>
            </a:graphic>
            <wp14:sizeRelH relativeFrom="margin">
              <wp14:pctWidth>0</wp14:pctWidth>
            </wp14:sizeRelH>
            <wp14:sizeRelV relativeFrom="margin">
              <wp14:pctHeight>0</wp14:pctHeight>
            </wp14:sizeRelV>
          </wp:anchor>
        </w:drawing>
      </w:r>
    </w:p>
    <w:p w14:paraId="7CAD4653" w14:textId="77777777" w:rsidR="00503BA6" w:rsidRDefault="00503BA6" w:rsidP="00503BA6">
      <w:pPr>
        <w:jc w:val="center"/>
      </w:pPr>
      <w:r>
        <w:br w:type="page"/>
      </w:r>
    </w:p>
    <w:p w14:paraId="1E6FCF26" w14:textId="605F48A2" w:rsidR="00503BA6" w:rsidRDefault="00503BA6" w:rsidP="00503BA6">
      <w:pPr>
        <w:jc w:val="center"/>
      </w:pPr>
      <w:r>
        <w:rPr>
          <w:noProof/>
          <w:lang w:eastAsia="sv-SE"/>
        </w:rPr>
        <w:lastRenderedPageBreak/>
        <w:drawing>
          <wp:anchor distT="0" distB="0" distL="114300" distR="114300" simplePos="0" relativeHeight="251712512" behindDoc="0" locked="0" layoutInCell="1" allowOverlap="1" wp14:anchorId="793C4FC6" wp14:editId="19CD607C">
            <wp:simplePos x="0" y="0"/>
            <wp:positionH relativeFrom="column">
              <wp:posOffset>-228600</wp:posOffset>
            </wp:positionH>
            <wp:positionV relativeFrom="paragraph">
              <wp:posOffset>381000</wp:posOffset>
            </wp:positionV>
            <wp:extent cx="9152255" cy="39624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52255" cy="3962400"/>
                    </a:xfrm>
                    <a:prstGeom prst="rect">
                      <a:avLst/>
                    </a:prstGeom>
                    <a:noFill/>
                  </pic:spPr>
                </pic:pic>
              </a:graphicData>
            </a:graphic>
            <wp14:sizeRelH relativeFrom="margin">
              <wp14:pctWidth>0</wp14:pctWidth>
            </wp14:sizeRelH>
            <wp14:sizeRelV relativeFrom="margin">
              <wp14:pctHeight>0</wp14:pctHeight>
            </wp14:sizeRelV>
          </wp:anchor>
        </w:drawing>
      </w:r>
      <w:r>
        <w:t xml:space="preserve">Figure </w:t>
      </w:r>
      <w:r w:rsidR="00524F5D">
        <w:t>8</w:t>
      </w:r>
      <w:r>
        <w:t xml:space="preserve">d – ADHD </w:t>
      </w:r>
    </w:p>
    <w:p w14:paraId="426A94FC" w14:textId="77777777" w:rsidR="00503BA6" w:rsidRDefault="00503BA6" w:rsidP="00503BA6">
      <w:pPr>
        <w:jc w:val="center"/>
      </w:pPr>
    </w:p>
    <w:p w14:paraId="0DE25986" w14:textId="77777777" w:rsidR="00503BA6" w:rsidRDefault="00503BA6" w:rsidP="00503BA6">
      <w:pPr>
        <w:jc w:val="center"/>
      </w:pPr>
    </w:p>
    <w:p w14:paraId="3F911237" w14:textId="77777777" w:rsidR="00503BA6" w:rsidRDefault="00503BA6" w:rsidP="00503BA6">
      <w:r>
        <w:br w:type="page"/>
      </w:r>
    </w:p>
    <w:p w14:paraId="40A34CE3" w14:textId="3A99E394" w:rsidR="00503BA6" w:rsidRDefault="00503BA6" w:rsidP="00503BA6">
      <w:pPr>
        <w:jc w:val="center"/>
      </w:pPr>
      <w:r>
        <w:lastRenderedPageBreak/>
        <w:t xml:space="preserve">Figure </w:t>
      </w:r>
      <w:r w:rsidR="00524F5D">
        <w:t>9</w:t>
      </w:r>
      <w:r>
        <w:t>a MD – Clinical Severity by ICD-10 Code</w:t>
      </w:r>
    </w:p>
    <w:p w14:paraId="53C97E6D" w14:textId="77777777" w:rsidR="00503BA6" w:rsidRDefault="00503BA6" w:rsidP="00503BA6">
      <w:pPr>
        <w:jc w:val="center"/>
      </w:pPr>
      <w:r>
        <w:rPr>
          <w:noProof/>
          <w:lang w:eastAsia="sv-SE"/>
        </w:rPr>
        <w:drawing>
          <wp:anchor distT="0" distB="0" distL="114300" distR="114300" simplePos="0" relativeHeight="251716608" behindDoc="0" locked="0" layoutInCell="1" allowOverlap="1" wp14:anchorId="61AFD711" wp14:editId="31DAA25C">
            <wp:simplePos x="0" y="0"/>
            <wp:positionH relativeFrom="column">
              <wp:posOffset>-238125</wp:posOffset>
            </wp:positionH>
            <wp:positionV relativeFrom="paragraph">
              <wp:posOffset>200025</wp:posOffset>
            </wp:positionV>
            <wp:extent cx="8753475" cy="37052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53475" cy="3705225"/>
                    </a:xfrm>
                    <a:prstGeom prst="rect">
                      <a:avLst/>
                    </a:prstGeom>
                    <a:noFill/>
                  </pic:spPr>
                </pic:pic>
              </a:graphicData>
            </a:graphic>
            <wp14:sizeRelH relativeFrom="margin">
              <wp14:pctWidth>0</wp14:pctWidth>
            </wp14:sizeRelH>
            <wp14:sizeRelV relativeFrom="margin">
              <wp14:pctHeight>0</wp14:pctHeight>
            </wp14:sizeRelV>
          </wp:anchor>
        </w:drawing>
      </w:r>
    </w:p>
    <w:p w14:paraId="7403ECE4" w14:textId="77777777" w:rsidR="00503BA6" w:rsidRDefault="00503BA6" w:rsidP="00503BA6">
      <w:pPr>
        <w:jc w:val="center"/>
      </w:pPr>
    </w:p>
    <w:p w14:paraId="55A3EA1A" w14:textId="254C3DC0" w:rsidR="00503BA6" w:rsidRDefault="00503BA6" w:rsidP="00503BA6">
      <w:pPr>
        <w:jc w:val="center"/>
      </w:pPr>
      <w:r>
        <w:br w:type="page"/>
      </w:r>
      <w:r>
        <w:lastRenderedPageBreak/>
        <w:t xml:space="preserve">Figure </w:t>
      </w:r>
      <w:r w:rsidR="00524F5D">
        <w:t>9</w:t>
      </w:r>
      <w:r>
        <w:t xml:space="preserve">b MD by ECT </w:t>
      </w:r>
    </w:p>
    <w:p w14:paraId="0C58CA47" w14:textId="77777777" w:rsidR="00503BA6" w:rsidRDefault="00503BA6" w:rsidP="00503BA6">
      <w:pPr>
        <w:jc w:val="center"/>
      </w:pPr>
      <w:r>
        <w:rPr>
          <w:noProof/>
          <w:lang w:eastAsia="sv-SE"/>
        </w:rPr>
        <w:drawing>
          <wp:anchor distT="0" distB="0" distL="114300" distR="114300" simplePos="0" relativeHeight="251715584" behindDoc="0" locked="0" layoutInCell="1" allowOverlap="1" wp14:anchorId="2B936E94" wp14:editId="5205DE5C">
            <wp:simplePos x="0" y="0"/>
            <wp:positionH relativeFrom="column">
              <wp:posOffset>0</wp:posOffset>
            </wp:positionH>
            <wp:positionV relativeFrom="paragraph">
              <wp:posOffset>0</wp:posOffset>
            </wp:positionV>
            <wp:extent cx="8302625" cy="4492818"/>
            <wp:effectExtent l="0" t="0" r="317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02625" cy="4492818"/>
                    </a:xfrm>
                    <a:prstGeom prst="rect">
                      <a:avLst/>
                    </a:prstGeom>
                    <a:noFill/>
                  </pic:spPr>
                </pic:pic>
              </a:graphicData>
            </a:graphic>
          </wp:anchor>
        </w:drawing>
      </w:r>
    </w:p>
    <w:p w14:paraId="4554CFAC" w14:textId="77777777" w:rsidR="00503BA6" w:rsidRDefault="00503BA6" w:rsidP="00503BA6">
      <w:r>
        <w:br w:type="page"/>
      </w:r>
    </w:p>
    <w:p w14:paraId="4A61B96F" w14:textId="77777777" w:rsidR="004173B6" w:rsidRDefault="004173B6" w:rsidP="004173B6"/>
    <w:p w14:paraId="2213AD92" w14:textId="3A654A2D" w:rsidR="004173B6" w:rsidRDefault="004173B6" w:rsidP="004173B6">
      <w:pPr>
        <w:jc w:val="center"/>
      </w:pPr>
      <w:r>
        <w:rPr>
          <w:noProof/>
          <w:lang w:eastAsia="sv-SE"/>
        </w:rPr>
        <w:drawing>
          <wp:anchor distT="0" distB="0" distL="114300" distR="114300" simplePos="0" relativeHeight="251718656" behindDoc="0" locked="0" layoutInCell="1" allowOverlap="1" wp14:anchorId="67F67023" wp14:editId="7438CE18">
            <wp:simplePos x="0" y="0"/>
            <wp:positionH relativeFrom="column">
              <wp:posOffset>-28575</wp:posOffset>
            </wp:positionH>
            <wp:positionV relativeFrom="paragraph">
              <wp:posOffset>332740</wp:posOffset>
            </wp:positionV>
            <wp:extent cx="8629650" cy="46767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29650" cy="4676775"/>
                    </a:xfrm>
                    <a:prstGeom prst="rect">
                      <a:avLst/>
                    </a:prstGeom>
                    <a:noFill/>
                  </pic:spPr>
                </pic:pic>
              </a:graphicData>
            </a:graphic>
            <wp14:sizeRelH relativeFrom="margin">
              <wp14:pctWidth>0</wp14:pctWidth>
            </wp14:sizeRelH>
            <wp14:sizeRelV relativeFrom="margin">
              <wp14:pctHeight>0</wp14:pctHeight>
            </wp14:sizeRelV>
          </wp:anchor>
        </w:drawing>
      </w:r>
      <w:r>
        <w:t xml:space="preserve">Figure </w:t>
      </w:r>
      <w:r w:rsidR="00524F5D">
        <w:t>9</w:t>
      </w:r>
      <w:r>
        <w:t>c – ADHD - Treatment with Stimulants</w:t>
      </w:r>
    </w:p>
    <w:p w14:paraId="10BC323D" w14:textId="77777777" w:rsidR="00292CF2" w:rsidRDefault="00292CF2" w:rsidP="00337B9C">
      <w:pPr>
        <w:rPr>
          <w:rFonts w:ascii="Calibri" w:hAnsi="Calibri" w:cs="Calibri"/>
          <w:noProof/>
          <w:lang w:val="en-US"/>
        </w:rPr>
      </w:pPr>
    </w:p>
    <w:p w14:paraId="36C96FAB" w14:textId="53F43E56" w:rsidR="001A25B8" w:rsidRPr="00337B9C" w:rsidRDefault="001A25B8" w:rsidP="00337B9C">
      <w:pPr>
        <w:rPr>
          <w:rFonts w:ascii="Calibri" w:hAnsi="Calibri" w:cs="Calibri"/>
          <w:noProof/>
          <w:lang w:val="en-US"/>
        </w:rPr>
      </w:pPr>
    </w:p>
    <w:sectPr w:rsidR="001A25B8" w:rsidRPr="00337B9C" w:rsidSect="00292CF2">
      <w:pgSz w:w="16838" w:h="11906" w:orient="landscape"/>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9707E" w14:textId="77777777" w:rsidR="00DD2D3A" w:rsidRDefault="00DD2D3A" w:rsidP="00FA714F">
      <w:pPr>
        <w:spacing w:after="0" w:line="240" w:lineRule="auto"/>
      </w:pPr>
      <w:r>
        <w:separator/>
      </w:r>
    </w:p>
  </w:endnote>
  <w:endnote w:type="continuationSeparator" w:id="0">
    <w:p w14:paraId="2462C6A8" w14:textId="77777777" w:rsidR="00DD2D3A" w:rsidRDefault="00DD2D3A" w:rsidP="00FA7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38BA1" w14:textId="77777777" w:rsidR="00DD2D3A" w:rsidRDefault="00DD2D3A" w:rsidP="00FA714F">
      <w:pPr>
        <w:spacing w:after="0" w:line="240" w:lineRule="auto"/>
      </w:pPr>
      <w:r>
        <w:separator/>
      </w:r>
    </w:p>
  </w:footnote>
  <w:footnote w:type="continuationSeparator" w:id="0">
    <w:p w14:paraId="4EEE4D9C" w14:textId="77777777" w:rsidR="00DD2D3A" w:rsidRDefault="00DD2D3A" w:rsidP="00FA7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4C37FC"/>
    <w:multiLevelType w:val="hybridMultilevel"/>
    <w:tmpl w:val="90582B88"/>
    <w:lvl w:ilvl="0" w:tplc="E44CF626">
      <w:start w:val="1"/>
      <w:numFmt w:val="lowerRoman"/>
      <w:lvlText w:val="%1)"/>
      <w:lvlJc w:val="left"/>
      <w:pPr>
        <w:ind w:left="1125" w:hanging="720"/>
      </w:pPr>
      <w:rPr>
        <w:rFonts w:hint="default"/>
      </w:rPr>
    </w:lvl>
    <w:lvl w:ilvl="1" w:tplc="041D0019" w:tentative="1">
      <w:start w:val="1"/>
      <w:numFmt w:val="lowerLetter"/>
      <w:lvlText w:val="%2."/>
      <w:lvlJc w:val="left"/>
      <w:pPr>
        <w:ind w:left="1485" w:hanging="360"/>
      </w:pPr>
    </w:lvl>
    <w:lvl w:ilvl="2" w:tplc="041D001B" w:tentative="1">
      <w:start w:val="1"/>
      <w:numFmt w:val="lowerRoman"/>
      <w:lvlText w:val="%3."/>
      <w:lvlJc w:val="right"/>
      <w:pPr>
        <w:ind w:left="2205" w:hanging="180"/>
      </w:pPr>
    </w:lvl>
    <w:lvl w:ilvl="3" w:tplc="041D000F" w:tentative="1">
      <w:start w:val="1"/>
      <w:numFmt w:val="decimal"/>
      <w:lvlText w:val="%4."/>
      <w:lvlJc w:val="left"/>
      <w:pPr>
        <w:ind w:left="2925" w:hanging="360"/>
      </w:pPr>
    </w:lvl>
    <w:lvl w:ilvl="4" w:tplc="041D0019" w:tentative="1">
      <w:start w:val="1"/>
      <w:numFmt w:val="lowerLetter"/>
      <w:lvlText w:val="%5."/>
      <w:lvlJc w:val="left"/>
      <w:pPr>
        <w:ind w:left="3645" w:hanging="360"/>
      </w:pPr>
    </w:lvl>
    <w:lvl w:ilvl="5" w:tplc="041D001B" w:tentative="1">
      <w:start w:val="1"/>
      <w:numFmt w:val="lowerRoman"/>
      <w:lvlText w:val="%6."/>
      <w:lvlJc w:val="right"/>
      <w:pPr>
        <w:ind w:left="4365" w:hanging="180"/>
      </w:pPr>
    </w:lvl>
    <w:lvl w:ilvl="6" w:tplc="041D000F" w:tentative="1">
      <w:start w:val="1"/>
      <w:numFmt w:val="decimal"/>
      <w:lvlText w:val="%7."/>
      <w:lvlJc w:val="left"/>
      <w:pPr>
        <w:ind w:left="5085" w:hanging="360"/>
      </w:pPr>
    </w:lvl>
    <w:lvl w:ilvl="7" w:tplc="041D0019" w:tentative="1">
      <w:start w:val="1"/>
      <w:numFmt w:val="lowerLetter"/>
      <w:lvlText w:val="%8."/>
      <w:lvlJc w:val="left"/>
      <w:pPr>
        <w:ind w:left="5805" w:hanging="360"/>
      </w:pPr>
    </w:lvl>
    <w:lvl w:ilvl="8" w:tplc="041D001B" w:tentative="1">
      <w:start w:val="1"/>
      <w:numFmt w:val="lowerRoman"/>
      <w:lvlText w:val="%9."/>
      <w:lvlJc w:val="right"/>
      <w:pPr>
        <w:ind w:left="6525" w:hanging="180"/>
      </w:pPr>
    </w:lvl>
  </w:abstractNum>
  <w:abstractNum w:abstractNumId="1" w15:restartNumberingAfterBreak="0">
    <w:nsid w:val="343A4912"/>
    <w:multiLevelType w:val="hybridMultilevel"/>
    <w:tmpl w:val="B43AB4FE"/>
    <w:lvl w:ilvl="0" w:tplc="069ABA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05848D0"/>
    <w:multiLevelType w:val="hybridMultilevel"/>
    <w:tmpl w:val="A35C8D7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63C421F2"/>
    <w:multiLevelType w:val="hybridMultilevel"/>
    <w:tmpl w:val="60FC1FC4"/>
    <w:lvl w:ilvl="0" w:tplc="0AC43BFA">
      <w:start w:val="1"/>
      <w:numFmt w:val="upperLetter"/>
      <w:lvlText w:val="(%1)"/>
      <w:lvlJc w:val="left"/>
      <w:pPr>
        <w:ind w:left="765" w:hanging="360"/>
      </w:pPr>
      <w:rPr>
        <w:rFonts w:hint="default"/>
      </w:rPr>
    </w:lvl>
    <w:lvl w:ilvl="1" w:tplc="041D0019" w:tentative="1">
      <w:start w:val="1"/>
      <w:numFmt w:val="lowerLetter"/>
      <w:lvlText w:val="%2."/>
      <w:lvlJc w:val="left"/>
      <w:pPr>
        <w:ind w:left="1485" w:hanging="360"/>
      </w:pPr>
    </w:lvl>
    <w:lvl w:ilvl="2" w:tplc="041D001B" w:tentative="1">
      <w:start w:val="1"/>
      <w:numFmt w:val="lowerRoman"/>
      <w:lvlText w:val="%3."/>
      <w:lvlJc w:val="right"/>
      <w:pPr>
        <w:ind w:left="2205" w:hanging="180"/>
      </w:pPr>
    </w:lvl>
    <w:lvl w:ilvl="3" w:tplc="041D000F" w:tentative="1">
      <w:start w:val="1"/>
      <w:numFmt w:val="decimal"/>
      <w:lvlText w:val="%4."/>
      <w:lvlJc w:val="left"/>
      <w:pPr>
        <w:ind w:left="2925" w:hanging="360"/>
      </w:pPr>
    </w:lvl>
    <w:lvl w:ilvl="4" w:tplc="041D0019" w:tentative="1">
      <w:start w:val="1"/>
      <w:numFmt w:val="lowerLetter"/>
      <w:lvlText w:val="%5."/>
      <w:lvlJc w:val="left"/>
      <w:pPr>
        <w:ind w:left="3645" w:hanging="360"/>
      </w:pPr>
    </w:lvl>
    <w:lvl w:ilvl="5" w:tplc="041D001B" w:tentative="1">
      <w:start w:val="1"/>
      <w:numFmt w:val="lowerRoman"/>
      <w:lvlText w:val="%6."/>
      <w:lvlJc w:val="right"/>
      <w:pPr>
        <w:ind w:left="4365" w:hanging="180"/>
      </w:pPr>
    </w:lvl>
    <w:lvl w:ilvl="6" w:tplc="041D000F" w:tentative="1">
      <w:start w:val="1"/>
      <w:numFmt w:val="decimal"/>
      <w:lvlText w:val="%7."/>
      <w:lvlJc w:val="left"/>
      <w:pPr>
        <w:ind w:left="5085" w:hanging="360"/>
      </w:pPr>
    </w:lvl>
    <w:lvl w:ilvl="7" w:tplc="041D0019" w:tentative="1">
      <w:start w:val="1"/>
      <w:numFmt w:val="lowerLetter"/>
      <w:lvlText w:val="%8."/>
      <w:lvlJc w:val="left"/>
      <w:pPr>
        <w:ind w:left="5805" w:hanging="360"/>
      </w:pPr>
    </w:lvl>
    <w:lvl w:ilvl="8" w:tplc="041D001B" w:tentative="1">
      <w:start w:val="1"/>
      <w:numFmt w:val="lowerRoman"/>
      <w:lvlText w:val="%9."/>
      <w:lvlJc w:val="right"/>
      <w:pPr>
        <w:ind w:left="6525" w:hanging="180"/>
      </w:pPr>
    </w:lvl>
  </w:abstractNum>
  <w:abstractNum w:abstractNumId="4" w15:restartNumberingAfterBreak="0">
    <w:nsid w:val="739B3F8D"/>
    <w:multiLevelType w:val="hybridMultilevel"/>
    <w:tmpl w:val="B43AB4FE"/>
    <w:lvl w:ilvl="0" w:tplc="069ABA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C993AB0"/>
    <w:multiLevelType w:val="multilevel"/>
    <w:tmpl w:val="5862FF44"/>
    <w:lvl w:ilvl="0">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JAMA&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5dxz9e3sevzlee552p2ewe5dv2x0dp9wev&quot;&gt;ReprintsV12_10-DECEMBER-2019-Converted&lt;record-ids&gt;&lt;item&gt;17116&lt;/item&gt;&lt;/record-ids&gt;&lt;/item&gt;&lt;/Libraries&gt;"/>
  </w:docVars>
  <w:rsids>
    <w:rsidRoot w:val="0066654A"/>
    <w:rsid w:val="00013D42"/>
    <w:rsid w:val="00017DE6"/>
    <w:rsid w:val="00022853"/>
    <w:rsid w:val="00022D05"/>
    <w:rsid w:val="0002587B"/>
    <w:rsid w:val="00033CDB"/>
    <w:rsid w:val="00042044"/>
    <w:rsid w:val="00042932"/>
    <w:rsid w:val="0007040E"/>
    <w:rsid w:val="00076E24"/>
    <w:rsid w:val="0008174C"/>
    <w:rsid w:val="000A349A"/>
    <w:rsid w:val="000A7783"/>
    <w:rsid w:val="000E21FE"/>
    <w:rsid w:val="000E29C2"/>
    <w:rsid w:val="000F4F2B"/>
    <w:rsid w:val="001004DA"/>
    <w:rsid w:val="0010693B"/>
    <w:rsid w:val="001159A2"/>
    <w:rsid w:val="00116E5F"/>
    <w:rsid w:val="00117B34"/>
    <w:rsid w:val="00164C5D"/>
    <w:rsid w:val="00182B11"/>
    <w:rsid w:val="001847B3"/>
    <w:rsid w:val="00185F70"/>
    <w:rsid w:val="001A25B8"/>
    <w:rsid w:val="002124CC"/>
    <w:rsid w:val="0023048C"/>
    <w:rsid w:val="00230AD3"/>
    <w:rsid w:val="00236C03"/>
    <w:rsid w:val="002415B4"/>
    <w:rsid w:val="0025629C"/>
    <w:rsid w:val="00274AE7"/>
    <w:rsid w:val="002757B1"/>
    <w:rsid w:val="00283DE5"/>
    <w:rsid w:val="002923F5"/>
    <w:rsid w:val="00292CF2"/>
    <w:rsid w:val="0029744D"/>
    <w:rsid w:val="00297BB6"/>
    <w:rsid w:val="002A154F"/>
    <w:rsid w:val="002A20C9"/>
    <w:rsid w:val="002A75D9"/>
    <w:rsid w:val="002B314D"/>
    <w:rsid w:val="002B5627"/>
    <w:rsid w:val="002D5941"/>
    <w:rsid w:val="002E7C2B"/>
    <w:rsid w:val="00312816"/>
    <w:rsid w:val="00313D56"/>
    <w:rsid w:val="003267EF"/>
    <w:rsid w:val="00337B9C"/>
    <w:rsid w:val="003525CB"/>
    <w:rsid w:val="0038426C"/>
    <w:rsid w:val="003903CB"/>
    <w:rsid w:val="00391BBD"/>
    <w:rsid w:val="003940D7"/>
    <w:rsid w:val="003A20E4"/>
    <w:rsid w:val="003A3E1F"/>
    <w:rsid w:val="003B4EC8"/>
    <w:rsid w:val="003B6B7B"/>
    <w:rsid w:val="003D680D"/>
    <w:rsid w:val="003F408C"/>
    <w:rsid w:val="003F591F"/>
    <w:rsid w:val="0040326C"/>
    <w:rsid w:val="004173B6"/>
    <w:rsid w:val="004205DC"/>
    <w:rsid w:val="00427C37"/>
    <w:rsid w:val="00445E1B"/>
    <w:rsid w:val="00447B82"/>
    <w:rsid w:val="004B4465"/>
    <w:rsid w:val="004C6D5A"/>
    <w:rsid w:val="004E34D0"/>
    <w:rsid w:val="004F42B9"/>
    <w:rsid w:val="00503BA6"/>
    <w:rsid w:val="00524F5D"/>
    <w:rsid w:val="00532C45"/>
    <w:rsid w:val="0055392D"/>
    <w:rsid w:val="0058091B"/>
    <w:rsid w:val="005814F2"/>
    <w:rsid w:val="005A66A5"/>
    <w:rsid w:val="005A686D"/>
    <w:rsid w:val="005B0134"/>
    <w:rsid w:val="005B25E4"/>
    <w:rsid w:val="005B377A"/>
    <w:rsid w:val="005B6780"/>
    <w:rsid w:val="005C3D0F"/>
    <w:rsid w:val="005D44AE"/>
    <w:rsid w:val="005D4882"/>
    <w:rsid w:val="005D603F"/>
    <w:rsid w:val="006236B2"/>
    <w:rsid w:val="00635205"/>
    <w:rsid w:val="0066654A"/>
    <w:rsid w:val="0067136E"/>
    <w:rsid w:val="006725F7"/>
    <w:rsid w:val="006C60CE"/>
    <w:rsid w:val="006F48F6"/>
    <w:rsid w:val="006F4C96"/>
    <w:rsid w:val="0074773B"/>
    <w:rsid w:val="007509AE"/>
    <w:rsid w:val="00763574"/>
    <w:rsid w:val="007742CE"/>
    <w:rsid w:val="00776A16"/>
    <w:rsid w:val="007879DC"/>
    <w:rsid w:val="007A1AC7"/>
    <w:rsid w:val="007B083E"/>
    <w:rsid w:val="007C61E8"/>
    <w:rsid w:val="007D2E4A"/>
    <w:rsid w:val="007F0178"/>
    <w:rsid w:val="008232DA"/>
    <w:rsid w:val="008263D6"/>
    <w:rsid w:val="0083015C"/>
    <w:rsid w:val="00843404"/>
    <w:rsid w:val="008575F0"/>
    <w:rsid w:val="008641F3"/>
    <w:rsid w:val="008878B4"/>
    <w:rsid w:val="008C0B28"/>
    <w:rsid w:val="008C1799"/>
    <w:rsid w:val="008E7961"/>
    <w:rsid w:val="008F5969"/>
    <w:rsid w:val="00971974"/>
    <w:rsid w:val="009744A4"/>
    <w:rsid w:val="00983648"/>
    <w:rsid w:val="00991119"/>
    <w:rsid w:val="009935A4"/>
    <w:rsid w:val="009B0A28"/>
    <w:rsid w:val="009D2438"/>
    <w:rsid w:val="009E5594"/>
    <w:rsid w:val="009F1EFD"/>
    <w:rsid w:val="00A212B8"/>
    <w:rsid w:val="00A67430"/>
    <w:rsid w:val="00A8036A"/>
    <w:rsid w:val="00AA36F8"/>
    <w:rsid w:val="00AA3709"/>
    <w:rsid w:val="00AB36F6"/>
    <w:rsid w:val="00AB3C32"/>
    <w:rsid w:val="00B408BA"/>
    <w:rsid w:val="00B40FD8"/>
    <w:rsid w:val="00B530DC"/>
    <w:rsid w:val="00B56584"/>
    <w:rsid w:val="00B73857"/>
    <w:rsid w:val="00B808A0"/>
    <w:rsid w:val="00B87BB0"/>
    <w:rsid w:val="00B9074A"/>
    <w:rsid w:val="00BB2223"/>
    <w:rsid w:val="00BB5418"/>
    <w:rsid w:val="00BD06A0"/>
    <w:rsid w:val="00BD6975"/>
    <w:rsid w:val="00BE68B9"/>
    <w:rsid w:val="00BE7397"/>
    <w:rsid w:val="00BF058E"/>
    <w:rsid w:val="00BF0A23"/>
    <w:rsid w:val="00C06499"/>
    <w:rsid w:val="00C5256C"/>
    <w:rsid w:val="00C64D6E"/>
    <w:rsid w:val="00C97F00"/>
    <w:rsid w:val="00CC2F99"/>
    <w:rsid w:val="00CD04AE"/>
    <w:rsid w:val="00D15BE9"/>
    <w:rsid w:val="00D23ADB"/>
    <w:rsid w:val="00D26503"/>
    <w:rsid w:val="00D531CE"/>
    <w:rsid w:val="00D54907"/>
    <w:rsid w:val="00D668EC"/>
    <w:rsid w:val="00D735F9"/>
    <w:rsid w:val="00D7481F"/>
    <w:rsid w:val="00D76AA9"/>
    <w:rsid w:val="00DC1AD0"/>
    <w:rsid w:val="00DC4CAB"/>
    <w:rsid w:val="00DD2D3A"/>
    <w:rsid w:val="00DE2C58"/>
    <w:rsid w:val="00E14A9E"/>
    <w:rsid w:val="00E366FC"/>
    <w:rsid w:val="00E40233"/>
    <w:rsid w:val="00E56F2B"/>
    <w:rsid w:val="00E6160C"/>
    <w:rsid w:val="00E6164A"/>
    <w:rsid w:val="00E63281"/>
    <w:rsid w:val="00E75C64"/>
    <w:rsid w:val="00EA1A68"/>
    <w:rsid w:val="00EA436D"/>
    <w:rsid w:val="00EA6EA4"/>
    <w:rsid w:val="00EB4DE6"/>
    <w:rsid w:val="00EB685B"/>
    <w:rsid w:val="00EB7592"/>
    <w:rsid w:val="00ED3011"/>
    <w:rsid w:val="00ED532F"/>
    <w:rsid w:val="00F1392D"/>
    <w:rsid w:val="00F7665D"/>
    <w:rsid w:val="00F81620"/>
    <w:rsid w:val="00F962E6"/>
    <w:rsid w:val="00FA714F"/>
    <w:rsid w:val="00FB2117"/>
    <w:rsid w:val="00FB38DA"/>
    <w:rsid w:val="00FC638C"/>
    <w:rsid w:val="00FF00FC"/>
    <w:rsid w:val="00FF0F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10CC6"/>
  <w15:chartTrackingRefBased/>
  <w15:docId w15:val="{DC22FE5D-9A35-4D15-B5BE-0BB509AFD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E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654A"/>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leGrid">
    <w:name w:val="Table Grid"/>
    <w:basedOn w:val="TableNormal"/>
    <w:uiPriority w:val="39"/>
    <w:rsid w:val="00857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714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714F"/>
  </w:style>
  <w:style w:type="paragraph" w:styleId="Footer">
    <w:name w:val="footer"/>
    <w:basedOn w:val="Normal"/>
    <w:link w:val="FooterChar"/>
    <w:uiPriority w:val="99"/>
    <w:unhideWhenUsed/>
    <w:rsid w:val="00FA71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714F"/>
  </w:style>
  <w:style w:type="paragraph" w:styleId="NoSpacing">
    <w:name w:val="No Spacing"/>
    <w:uiPriority w:val="1"/>
    <w:qFormat/>
    <w:rsid w:val="00FA714F"/>
    <w:pPr>
      <w:spacing w:after="0" w:line="240" w:lineRule="auto"/>
    </w:pPr>
  </w:style>
  <w:style w:type="paragraph" w:styleId="ListParagraph">
    <w:name w:val="List Paragraph"/>
    <w:basedOn w:val="Normal"/>
    <w:uiPriority w:val="34"/>
    <w:qFormat/>
    <w:rsid w:val="00FA714F"/>
    <w:pPr>
      <w:ind w:left="720"/>
      <w:contextualSpacing/>
    </w:pPr>
  </w:style>
  <w:style w:type="character" w:styleId="CommentReference">
    <w:name w:val="annotation reference"/>
    <w:basedOn w:val="DefaultParagraphFont"/>
    <w:uiPriority w:val="99"/>
    <w:semiHidden/>
    <w:unhideWhenUsed/>
    <w:rsid w:val="00182B11"/>
    <w:rPr>
      <w:sz w:val="16"/>
      <w:szCs w:val="16"/>
    </w:rPr>
  </w:style>
  <w:style w:type="paragraph" w:styleId="CommentText">
    <w:name w:val="annotation text"/>
    <w:basedOn w:val="Normal"/>
    <w:link w:val="CommentTextChar"/>
    <w:uiPriority w:val="99"/>
    <w:semiHidden/>
    <w:unhideWhenUsed/>
    <w:rsid w:val="00182B11"/>
    <w:pPr>
      <w:spacing w:line="240" w:lineRule="auto"/>
    </w:pPr>
    <w:rPr>
      <w:sz w:val="20"/>
      <w:szCs w:val="20"/>
    </w:rPr>
  </w:style>
  <w:style w:type="character" w:customStyle="1" w:styleId="CommentTextChar">
    <w:name w:val="Comment Text Char"/>
    <w:basedOn w:val="DefaultParagraphFont"/>
    <w:link w:val="CommentText"/>
    <w:uiPriority w:val="99"/>
    <w:semiHidden/>
    <w:rsid w:val="00182B11"/>
    <w:rPr>
      <w:sz w:val="20"/>
      <w:szCs w:val="20"/>
    </w:rPr>
  </w:style>
  <w:style w:type="paragraph" w:styleId="CommentSubject">
    <w:name w:val="annotation subject"/>
    <w:basedOn w:val="CommentText"/>
    <w:next w:val="CommentText"/>
    <w:link w:val="CommentSubjectChar"/>
    <w:uiPriority w:val="99"/>
    <w:semiHidden/>
    <w:unhideWhenUsed/>
    <w:rsid w:val="00182B11"/>
    <w:rPr>
      <w:b/>
      <w:bCs/>
    </w:rPr>
  </w:style>
  <w:style w:type="character" w:customStyle="1" w:styleId="CommentSubjectChar">
    <w:name w:val="Comment Subject Char"/>
    <w:basedOn w:val="CommentTextChar"/>
    <w:link w:val="CommentSubject"/>
    <w:uiPriority w:val="99"/>
    <w:semiHidden/>
    <w:rsid w:val="00182B11"/>
    <w:rPr>
      <w:b/>
      <w:bCs/>
      <w:sz w:val="20"/>
      <w:szCs w:val="20"/>
    </w:rPr>
  </w:style>
  <w:style w:type="paragraph" w:styleId="BalloonText">
    <w:name w:val="Balloon Text"/>
    <w:basedOn w:val="Normal"/>
    <w:link w:val="BalloonTextChar"/>
    <w:uiPriority w:val="99"/>
    <w:semiHidden/>
    <w:unhideWhenUsed/>
    <w:rsid w:val="00182B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B11"/>
    <w:rPr>
      <w:rFonts w:ascii="Segoe UI" w:hAnsi="Segoe UI" w:cs="Segoe UI"/>
      <w:sz w:val="18"/>
      <w:szCs w:val="18"/>
    </w:rPr>
  </w:style>
  <w:style w:type="paragraph" w:customStyle="1" w:styleId="EndNoteBibliographyTitle">
    <w:name w:val="EndNote Bibliography Title"/>
    <w:basedOn w:val="Normal"/>
    <w:link w:val="EndNoteBibliographyTitleChar"/>
    <w:rsid w:val="001A25B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A25B8"/>
    <w:rPr>
      <w:rFonts w:ascii="Calibri" w:hAnsi="Calibri" w:cs="Calibri"/>
      <w:noProof/>
      <w:lang w:val="en-US"/>
    </w:rPr>
  </w:style>
  <w:style w:type="paragraph" w:customStyle="1" w:styleId="EndNoteBibliography">
    <w:name w:val="EndNote Bibliography"/>
    <w:basedOn w:val="Normal"/>
    <w:link w:val="EndNoteBibliographyChar"/>
    <w:rsid w:val="001A25B8"/>
    <w:pPr>
      <w:spacing w:line="240" w:lineRule="auto"/>
      <w:jc w:val="center"/>
    </w:pPr>
    <w:rPr>
      <w:rFonts w:ascii="Calibri" w:hAnsi="Calibri" w:cs="Calibri"/>
      <w:noProof/>
      <w:lang w:val="en-US"/>
    </w:rPr>
  </w:style>
  <w:style w:type="character" w:customStyle="1" w:styleId="EndNoteBibliographyChar">
    <w:name w:val="EndNote Bibliography Char"/>
    <w:basedOn w:val="DefaultParagraphFont"/>
    <w:link w:val="EndNoteBibliography"/>
    <w:rsid w:val="001A25B8"/>
    <w:rPr>
      <w:rFonts w:ascii="Calibri" w:hAnsi="Calibri" w:cs="Calibri"/>
      <w:noProof/>
      <w:lang w:val="en-US"/>
    </w:rPr>
  </w:style>
  <w:style w:type="paragraph" w:styleId="PlainText">
    <w:name w:val="Plain Text"/>
    <w:basedOn w:val="Normal"/>
    <w:link w:val="PlainTextChar"/>
    <w:uiPriority w:val="99"/>
    <w:unhideWhenUsed/>
    <w:rsid w:val="00042932"/>
    <w:pPr>
      <w:spacing w:after="0" w:line="240" w:lineRule="auto"/>
      <w:ind w:firstLine="288"/>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042932"/>
    <w:rPr>
      <w:rFonts w:ascii="Consolas" w:hAnsi="Consolas" w:cs="Consolas"/>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570608">
      <w:bodyDiv w:val="1"/>
      <w:marLeft w:val="0"/>
      <w:marRight w:val="0"/>
      <w:marTop w:val="0"/>
      <w:marBottom w:val="0"/>
      <w:divBdr>
        <w:top w:val="none" w:sz="0" w:space="0" w:color="auto"/>
        <w:left w:val="none" w:sz="0" w:space="0" w:color="auto"/>
        <w:bottom w:val="none" w:sz="0" w:space="0" w:color="auto"/>
        <w:right w:val="none" w:sz="0" w:space="0" w:color="auto"/>
      </w:divBdr>
      <w:divsChild>
        <w:div w:id="1226985202">
          <w:marLeft w:val="0"/>
          <w:marRight w:val="0"/>
          <w:marTop w:val="0"/>
          <w:marBottom w:val="0"/>
          <w:divBdr>
            <w:top w:val="none" w:sz="0" w:space="0" w:color="auto"/>
            <w:left w:val="none" w:sz="0" w:space="0" w:color="auto"/>
            <w:bottom w:val="none" w:sz="0" w:space="0" w:color="auto"/>
            <w:right w:val="none" w:sz="0" w:space="0" w:color="auto"/>
          </w:divBdr>
        </w:div>
        <w:div w:id="905914779">
          <w:marLeft w:val="0"/>
          <w:marRight w:val="0"/>
          <w:marTop w:val="0"/>
          <w:marBottom w:val="0"/>
          <w:divBdr>
            <w:top w:val="none" w:sz="0" w:space="0" w:color="auto"/>
            <w:left w:val="none" w:sz="0" w:space="0" w:color="auto"/>
            <w:bottom w:val="none" w:sz="0" w:space="0" w:color="auto"/>
            <w:right w:val="none" w:sz="0" w:space="0" w:color="auto"/>
          </w:divBdr>
        </w:div>
        <w:div w:id="1168253080">
          <w:marLeft w:val="0"/>
          <w:marRight w:val="0"/>
          <w:marTop w:val="0"/>
          <w:marBottom w:val="0"/>
          <w:divBdr>
            <w:top w:val="none" w:sz="0" w:space="0" w:color="auto"/>
            <w:left w:val="none" w:sz="0" w:space="0" w:color="auto"/>
            <w:bottom w:val="none" w:sz="0" w:space="0" w:color="auto"/>
            <w:right w:val="none" w:sz="0" w:space="0" w:color="auto"/>
          </w:divBdr>
        </w:div>
        <w:div w:id="1837770832">
          <w:marLeft w:val="0"/>
          <w:marRight w:val="0"/>
          <w:marTop w:val="0"/>
          <w:marBottom w:val="0"/>
          <w:divBdr>
            <w:top w:val="none" w:sz="0" w:space="0" w:color="auto"/>
            <w:left w:val="none" w:sz="0" w:space="0" w:color="auto"/>
            <w:bottom w:val="none" w:sz="0" w:space="0" w:color="auto"/>
            <w:right w:val="none" w:sz="0" w:space="0" w:color="auto"/>
          </w:divBdr>
        </w:div>
        <w:div w:id="660962202">
          <w:marLeft w:val="0"/>
          <w:marRight w:val="0"/>
          <w:marTop w:val="0"/>
          <w:marBottom w:val="0"/>
          <w:divBdr>
            <w:top w:val="none" w:sz="0" w:space="0" w:color="auto"/>
            <w:left w:val="none" w:sz="0" w:space="0" w:color="auto"/>
            <w:bottom w:val="none" w:sz="0" w:space="0" w:color="auto"/>
            <w:right w:val="none" w:sz="0" w:space="0" w:color="auto"/>
          </w:divBdr>
        </w:div>
        <w:div w:id="1582762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30</Pages>
  <Words>3097</Words>
  <Characters>17657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Ohlsson</dc:creator>
  <cp:keywords/>
  <dc:description/>
  <cp:lastModifiedBy>Kenneth Kendler</cp:lastModifiedBy>
  <cp:revision>14</cp:revision>
  <dcterms:created xsi:type="dcterms:W3CDTF">2021-10-04T20:09:00Z</dcterms:created>
  <dcterms:modified xsi:type="dcterms:W3CDTF">2021-12-19T16:34:00Z</dcterms:modified>
</cp:coreProperties>
</file>