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0D8A8" w14:textId="37E83FB0" w:rsidR="0002620A" w:rsidRDefault="0002620A" w:rsidP="0002620A">
      <w:pPr>
        <w:rPr>
          <w:b/>
          <w:bCs/>
        </w:rPr>
      </w:pPr>
      <w:r>
        <w:rPr>
          <w:b/>
          <w:bCs/>
        </w:rPr>
        <w:t>ACTMUS Supplementary Material</w:t>
      </w:r>
    </w:p>
    <w:p w14:paraId="1C224B86" w14:textId="6208C66B" w:rsidR="003103FF" w:rsidRPr="0002620A" w:rsidRDefault="003103FF" w:rsidP="0002620A">
      <w:pPr>
        <w:rPr>
          <w:b/>
          <w:bCs/>
        </w:rPr>
      </w:pPr>
      <w:r w:rsidRPr="0002620A">
        <w:rPr>
          <w:b/>
          <w:bCs/>
        </w:rPr>
        <w:t>Baseline data by loss to follow-up</w:t>
      </w:r>
    </w:p>
    <w:p w14:paraId="6AB812EB" w14:textId="4670FD4B" w:rsidR="003103FF" w:rsidRDefault="003103FF" w:rsidP="003103FF">
      <w:r>
        <w:t xml:space="preserve">Table </w:t>
      </w:r>
      <w:r w:rsidR="0002620A">
        <w:t>1</w:t>
      </w:r>
      <w:r>
        <w:t xml:space="preserve"> and </w:t>
      </w:r>
      <w:r w:rsidR="0002620A">
        <w:t>2</w:t>
      </w:r>
      <w:r>
        <w:t>, respectively, present baseline demographics for these either not completing any post-randomisation assessment (and thus not analysed) and those not completing the full 9 weeks of follow up compared to the rest of the sample. Those lost to follow-up tended to have lower educational attainment and were less likely to have had prior experience of any kind of psychological intervention. This is unlikely to have any biasing effect on the treatment effect analysis since the number of people lost to follow up was small with the analysis example excluding &lt;5% patients.</w:t>
      </w:r>
    </w:p>
    <w:p w14:paraId="3DA1A41D" w14:textId="59E3EA33" w:rsidR="003103FF" w:rsidRDefault="003103FF" w:rsidP="003103FF">
      <w:pPr>
        <w:pStyle w:val="Caption"/>
      </w:pPr>
      <w:r>
        <w:t xml:space="preserve">Table </w:t>
      </w:r>
      <w:r w:rsidR="0002620A">
        <w:rPr>
          <w:noProof/>
        </w:rPr>
        <w:t>1</w:t>
      </w:r>
      <w:r>
        <w:rPr>
          <w:noProof/>
        </w:rPr>
        <w:t xml:space="preserve">. Baseline variables for those completing at least one post-randomisation assessment </w:t>
      </w:r>
      <w:r w:rsidR="00770F91">
        <w:rPr>
          <w:noProof/>
        </w:rPr>
        <w:t>(and included in the intention-to-treat analysis) versus those not completing any post-randomisation assessments</w:t>
      </w:r>
    </w:p>
    <w:tbl>
      <w:tblPr>
        <w:tblW w:w="7745" w:type="dxa"/>
        <w:tblLook w:val="04A0" w:firstRow="1" w:lastRow="0" w:firstColumn="1" w:lastColumn="0" w:noHBand="0" w:noVBand="1"/>
      </w:tblPr>
      <w:tblGrid>
        <w:gridCol w:w="3540"/>
        <w:gridCol w:w="1586"/>
        <w:gridCol w:w="1684"/>
        <w:gridCol w:w="935"/>
      </w:tblGrid>
      <w:tr w:rsidR="003103FF" w:rsidRPr="002E7DBB" w14:paraId="17B1F2D8" w14:textId="77777777" w:rsidTr="006327AF">
        <w:trPr>
          <w:trHeight w:val="250"/>
        </w:trPr>
        <w:tc>
          <w:tcPr>
            <w:tcW w:w="3540" w:type="dxa"/>
            <w:tcBorders>
              <w:top w:val="single" w:sz="4" w:space="0" w:color="auto"/>
              <w:left w:val="nil"/>
              <w:bottom w:val="single" w:sz="4" w:space="0" w:color="auto"/>
              <w:right w:val="nil"/>
            </w:tcBorders>
            <w:shd w:val="clear" w:color="auto" w:fill="auto"/>
            <w:noWrap/>
            <w:vAlign w:val="bottom"/>
            <w:hideMark/>
          </w:tcPr>
          <w:p w14:paraId="7D21CF36" w14:textId="77777777" w:rsidR="003103FF" w:rsidRPr="002E7DBB" w:rsidRDefault="003103FF" w:rsidP="006327AF">
            <w:pPr>
              <w:pStyle w:val="NoSpacing"/>
            </w:pPr>
            <w:r w:rsidRPr="002E7DBB">
              <w:t>Factor</w:t>
            </w:r>
          </w:p>
        </w:tc>
        <w:tc>
          <w:tcPr>
            <w:tcW w:w="1586" w:type="dxa"/>
            <w:tcBorders>
              <w:top w:val="single" w:sz="4" w:space="0" w:color="auto"/>
              <w:left w:val="nil"/>
              <w:bottom w:val="single" w:sz="4" w:space="0" w:color="auto"/>
              <w:right w:val="nil"/>
            </w:tcBorders>
            <w:shd w:val="clear" w:color="auto" w:fill="auto"/>
            <w:noWrap/>
            <w:vAlign w:val="bottom"/>
            <w:hideMark/>
          </w:tcPr>
          <w:p w14:paraId="1517534A" w14:textId="77777777" w:rsidR="003103FF" w:rsidRPr="002E7DBB" w:rsidRDefault="003103FF" w:rsidP="006327AF">
            <w:pPr>
              <w:pStyle w:val="NoSpacing"/>
              <w:jc w:val="center"/>
            </w:pPr>
            <w:r>
              <w:t>Lost</w:t>
            </w:r>
            <w:r w:rsidRPr="002E7DBB">
              <w:t xml:space="preserve"> after baseline (n=7)</w:t>
            </w:r>
          </w:p>
        </w:tc>
        <w:tc>
          <w:tcPr>
            <w:tcW w:w="1684" w:type="dxa"/>
            <w:tcBorders>
              <w:top w:val="single" w:sz="4" w:space="0" w:color="auto"/>
              <w:left w:val="nil"/>
              <w:bottom w:val="single" w:sz="4" w:space="0" w:color="auto"/>
              <w:right w:val="nil"/>
            </w:tcBorders>
            <w:shd w:val="clear" w:color="auto" w:fill="auto"/>
            <w:noWrap/>
            <w:vAlign w:val="bottom"/>
            <w:hideMark/>
          </w:tcPr>
          <w:p w14:paraId="3AE2FD59" w14:textId="77777777" w:rsidR="003103FF" w:rsidRPr="002E7DBB" w:rsidRDefault="003103FF" w:rsidP="006327AF">
            <w:pPr>
              <w:pStyle w:val="NoSpacing"/>
              <w:jc w:val="center"/>
            </w:pPr>
            <w:r w:rsidRPr="002E7DBB">
              <w:t>Analysed</w:t>
            </w:r>
          </w:p>
          <w:p w14:paraId="311E1367" w14:textId="77777777" w:rsidR="003103FF" w:rsidRPr="002E7DBB" w:rsidRDefault="003103FF" w:rsidP="006327AF">
            <w:pPr>
              <w:pStyle w:val="NoSpacing"/>
              <w:jc w:val="center"/>
            </w:pPr>
            <w:r w:rsidRPr="002E7DBB">
              <w:t>(n=148)</w:t>
            </w:r>
          </w:p>
        </w:tc>
        <w:tc>
          <w:tcPr>
            <w:tcW w:w="935" w:type="dxa"/>
            <w:tcBorders>
              <w:top w:val="single" w:sz="4" w:space="0" w:color="auto"/>
              <w:left w:val="nil"/>
              <w:bottom w:val="single" w:sz="4" w:space="0" w:color="auto"/>
              <w:right w:val="nil"/>
            </w:tcBorders>
            <w:shd w:val="clear" w:color="auto" w:fill="auto"/>
            <w:noWrap/>
            <w:vAlign w:val="bottom"/>
            <w:hideMark/>
          </w:tcPr>
          <w:p w14:paraId="69DB289D" w14:textId="77777777" w:rsidR="003103FF" w:rsidRPr="002E7DBB" w:rsidRDefault="003103FF" w:rsidP="006327AF">
            <w:pPr>
              <w:pStyle w:val="NoSpacing"/>
              <w:jc w:val="center"/>
            </w:pPr>
            <w:r w:rsidRPr="002E7DBB">
              <w:t>p-value</w:t>
            </w:r>
          </w:p>
        </w:tc>
      </w:tr>
      <w:tr w:rsidR="003103FF" w:rsidRPr="002E7DBB" w14:paraId="3975CEF0" w14:textId="77777777" w:rsidTr="006327AF">
        <w:trPr>
          <w:trHeight w:val="250"/>
        </w:trPr>
        <w:tc>
          <w:tcPr>
            <w:tcW w:w="3540" w:type="dxa"/>
            <w:tcBorders>
              <w:top w:val="single" w:sz="4" w:space="0" w:color="auto"/>
              <w:left w:val="nil"/>
              <w:bottom w:val="nil"/>
              <w:right w:val="nil"/>
            </w:tcBorders>
            <w:shd w:val="clear" w:color="auto" w:fill="auto"/>
            <w:noWrap/>
            <w:vAlign w:val="bottom"/>
            <w:hideMark/>
          </w:tcPr>
          <w:p w14:paraId="20BDF9D9" w14:textId="77777777" w:rsidR="003103FF" w:rsidRPr="002E7DBB" w:rsidRDefault="003103FF" w:rsidP="006327AF">
            <w:pPr>
              <w:pStyle w:val="NoSpacing"/>
            </w:pPr>
            <w:r w:rsidRPr="002E7DBB">
              <w:t>Age, mean (SD)</w:t>
            </w:r>
          </w:p>
        </w:tc>
        <w:tc>
          <w:tcPr>
            <w:tcW w:w="1586" w:type="dxa"/>
            <w:tcBorders>
              <w:top w:val="single" w:sz="4" w:space="0" w:color="auto"/>
              <w:left w:val="nil"/>
              <w:bottom w:val="nil"/>
              <w:right w:val="nil"/>
            </w:tcBorders>
            <w:shd w:val="clear" w:color="auto" w:fill="auto"/>
            <w:noWrap/>
            <w:vAlign w:val="bottom"/>
            <w:hideMark/>
          </w:tcPr>
          <w:p w14:paraId="3326C835" w14:textId="77777777" w:rsidR="003103FF" w:rsidRPr="002E7DBB" w:rsidRDefault="003103FF" w:rsidP="006327AF">
            <w:pPr>
              <w:pStyle w:val="NoSpacing"/>
              <w:jc w:val="center"/>
            </w:pPr>
            <w:r w:rsidRPr="002E7DBB">
              <w:t>56.0 (18.9)</w:t>
            </w:r>
          </w:p>
        </w:tc>
        <w:tc>
          <w:tcPr>
            <w:tcW w:w="1684" w:type="dxa"/>
            <w:tcBorders>
              <w:top w:val="single" w:sz="4" w:space="0" w:color="auto"/>
              <w:left w:val="nil"/>
              <w:bottom w:val="nil"/>
              <w:right w:val="nil"/>
            </w:tcBorders>
            <w:shd w:val="clear" w:color="auto" w:fill="auto"/>
            <w:noWrap/>
            <w:vAlign w:val="bottom"/>
            <w:hideMark/>
          </w:tcPr>
          <w:p w14:paraId="71DB72F1" w14:textId="77777777" w:rsidR="003103FF" w:rsidRPr="002E7DBB" w:rsidRDefault="003103FF" w:rsidP="006327AF">
            <w:pPr>
              <w:pStyle w:val="NoSpacing"/>
              <w:jc w:val="center"/>
            </w:pPr>
            <w:r w:rsidRPr="002E7DBB">
              <w:t>52.7 (15.4)</w:t>
            </w:r>
          </w:p>
        </w:tc>
        <w:tc>
          <w:tcPr>
            <w:tcW w:w="935" w:type="dxa"/>
            <w:tcBorders>
              <w:top w:val="single" w:sz="4" w:space="0" w:color="auto"/>
              <w:left w:val="nil"/>
              <w:bottom w:val="nil"/>
              <w:right w:val="nil"/>
            </w:tcBorders>
            <w:shd w:val="clear" w:color="auto" w:fill="auto"/>
            <w:noWrap/>
            <w:vAlign w:val="bottom"/>
            <w:hideMark/>
          </w:tcPr>
          <w:p w14:paraId="0AD571A7" w14:textId="77777777" w:rsidR="003103FF" w:rsidRPr="002E7DBB" w:rsidRDefault="003103FF" w:rsidP="006327AF">
            <w:pPr>
              <w:pStyle w:val="NoSpacing"/>
              <w:jc w:val="center"/>
            </w:pPr>
            <w:r w:rsidRPr="002E7DBB">
              <w:t>0.58</w:t>
            </w:r>
          </w:p>
        </w:tc>
      </w:tr>
      <w:tr w:rsidR="003103FF" w:rsidRPr="002E7DBB" w14:paraId="259C21EC" w14:textId="77777777" w:rsidTr="006327AF">
        <w:trPr>
          <w:trHeight w:val="250"/>
        </w:trPr>
        <w:tc>
          <w:tcPr>
            <w:tcW w:w="3540" w:type="dxa"/>
            <w:tcBorders>
              <w:top w:val="nil"/>
              <w:left w:val="nil"/>
              <w:bottom w:val="nil"/>
              <w:right w:val="nil"/>
            </w:tcBorders>
            <w:shd w:val="clear" w:color="auto" w:fill="auto"/>
            <w:noWrap/>
            <w:vAlign w:val="bottom"/>
            <w:hideMark/>
          </w:tcPr>
          <w:p w14:paraId="77909AA9" w14:textId="77777777" w:rsidR="003103FF" w:rsidRPr="002E7DBB" w:rsidRDefault="003103FF" w:rsidP="006327AF">
            <w:pPr>
              <w:pStyle w:val="NoSpacing"/>
            </w:pPr>
            <w:r w:rsidRPr="002E7DBB">
              <w:t>Female</w:t>
            </w:r>
          </w:p>
        </w:tc>
        <w:tc>
          <w:tcPr>
            <w:tcW w:w="1586" w:type="dxa"/>
            <w:tcBorders>
              <w:top w:val="nil"/>
              <w:left w:val="nil"/>
              <w:bottom w:val="nil"/>
              <w:right w:val="nil"/>
            </w:tcBorders>
            <w:shd w:val="clear" w:color="auto" w:fill="auto"/>
            <w:noWrap/>
            <w:vAlign w:val="bottom"/>
            <w:hideMark/>
          </w:tcPr>
          <w:p w14:paraId="018A3E8F" w14:textId="77777777" w:rsidR="003103FF" w:rsidRPr="002E7DBB" w:rsidRDefault="003103FF" w:rsidP="006327AF">
            <w:pPr>
              <w:pStyle w:val="NoSpacing"/>
              <w:jc w:val="center"/>
            </w:pPr>
            <w:r w:rsidRPr="002E7DBB">
              <w:t>2 (28.6%)</w:t>
            </w:r>
          </w:p>
        </w:tc>
        <w:tc>
          <w:tcPr>
            <w:tcW w:w="1684" w:type="dxa"/>
            <w:tcBorders>
              <w:top w:val="nil"/>
              <w:left w:val="nil"/>
              <w:bottom w:val="nil"/>
              <w:right w:val="nil"/>
            </w:tcBorders>
            <w:shd w:val="clear" w:color="auto" w:fill="auto"/>
            <w:noWrap/>
            <w:vAlign w:val="bottom"/>
            <w:hideMark/>
          </w:tcPr>
          <w:p w14:paraId="2F8E9C7D" w14:textId="77777777" w:rsidR="003103FF" w:rsidRPr="002E7DBB" w:rsidRDefault="003103FF" w:rsidP="006327AF">
            <w:pPr>
              <w:pStyle w:val="NoSpacing"/>
              <w:jc w:val="center"/>
            </w:pPr>
            <w:r w:rsidRPr="002E7DBB">
              <w:t>73 (49.3%)</w:t>
            </w:r>
          </w:p>
        </w:tc>
        <w:tc>
          <w:tcPr>
            <w:tcW w:w="935" w:type="dxa"/>
            <w:tcBorders>
              <w:top w:val="nil"/>
              <w:left w:val="nil"/>
              <w:bottom w:val="nil"/>
              <w:right w:val="nil"/>
            </w:tcBorders>
            <w:shd w:val="clear" w:color="auto" w:fill="auto"/>
            <w:noWrap/>
            <w:vAlign w:val="bottom"/>
            <w:hideMark/>
          </w:tcPr>
          <w:p w14:paraId="0D162528" w14:textId="77777777" w:rsidR="003103FF" w:rsidRPr="002E7DBB" w:rsidRDefault="003103FF" w:rsidP="006327AF">
            <w:pPr>
              <w:pStyle w:val="NoSpacing"/>
              <w:jc w:val="center"/>
            </w:pPr>
            <w:r w:rsidRPr="002E7DBB">
              <w:t>0.44</w:t>
            </w:r>
          </w:p>
        </w:tc>
      </w:tr>
      <w:tr w:rsidR="003103FF" w:rsidRPr="002E7DBB" w14:paraId="3198AA8D" w14:textId="77777777" w:rsidTr="006327AF">
        <w:trPr>
          <w:trHeight w:val="250"/>
        </w:trPr>
        <w:tc>
          <w:tcPr>
            <w:tcW w:w="3540" w:type="dxa"/>
            <w:tcBorders>
              <w:top w:val="nil"/>
              <w:left w:val="nil"/>
              <w:bottom w:val="nil"/>
              <w:right w:val="nil"/>
            </w:tcBorders>
            <w:shd w:val="clear" w:color="auto" w:fill="auto"/>
            <w:noWrap/>
            <w:vAlign w:val="bottom"/>
            <w:hideMark/>
          </w:tcPr>
          <w:p w14:paraId="71CE2745" w14:textId="77777777" w:rsidR="003103FF" w:rsidRPr="002E7DBB" w:rsidRDefault="003103FF" w:rsidP="006327AF">
            <w:pPr>
              <w:pStyle w:val="NoSpacing"/>
            </w:pPr>
            <w:r w:rsidRPr="002E7DBB">
              <w:t>Years since d</w:t>
            </w:r>
            <w:r>
              <w:t>i</w:t>
            </w:r>
            <w:r w:rsidRPr="002E7DBB">
              <w:t>agnosis, median (IQR)</w:t>
            </w:r>
          </w:p>
        </w:tc>
        <w:tc>
          <w:tcPr>
            <w:tcW w:w="1586" w:type="dxa"/>
            <w:tcBorders>
              <w:top w:val="nil"/>
              <w:left w:val="nil"/>
              <w:bottom w:val="nil"/>
              <w:right w:val="nil"/>
            </w:tcBorders>
            <w:shd w:val="clear" w:color="auto" w:fill="auto"/>
            <w:noWrap/>
            <w:vAlign w:val="bottom"/>
            <w:hideMark/>
          </w:tcPr>
          <w:p w14:paraId="0CC58408" w14:textId="77777777" w:rsidR="003103FF" w:rsidRPr="002E7DBB" w:rsidRDefault="003103FF" w:rsidP="006327AF">
            <w:pPr>
              <w:pStyle w:val="NoSpacing"/>
              <w:jc w:val="center"/>
            </w:pPr>
            <w:r w:rsidRPr="002E7DBB">
              <w:t>10.0 (5.0, 15.0)</w:t>
            </w:r>
          </w:p>
        </w:tc>
        <w:tc>
          <w:tcPr>
            <w:tcW w:w="1684" w:type="dxa"/>
            <w:tcBorders>
              <w:top w:val="nil"/>
              <w:left w:val="nil"/>
              <w:bottom w:val="nil"/>
              <w:right w:val="nil"/>
            </w:tcBorders>
            <w:shd w:val="clear" w:color="auto" w:fill="auto"/>
            <w:noWrap/>
            <w:vAlign w:val="bottom"/>
            <w:hideMark/>
          </w:tcPr>
          <w:p w14:paraId="1066EFD1" w14:textId="77777777" w:rsidR="003103FF" w:rsidRPr="002E7DBB" w:rsidRDefault="003103FF" w:rsidP="006327AF">
            <w:pPr>
              <w:pStyle w:val="NoSpacing"/>
              <w:jc w:val="center"/>
            </w:pPr>
            <w:r w:rsidRPr="002E7DBB">
              <w:t>13.5 (6.0, 23.5)</w:t>
            </w:r>
          </w:p>
        </w:tc>
        <w:tc>
          <w:tcPr>
            <w:tcW w:w="935" w:type="dxa"/>
            <w:tcBorders>
              <w:top w:val="nil"/>
              <w:left w:val="nil"/>
              <w:bottom w:val="nil"/>
              <w:right w:val="nil"/>
            </w:tcBorders>
            <w:shd w:val="clear" w:color="auto" w:fill="auto"/>
            <w:noWrap/>
            <w:vAlign w:val="bottom"/>
            <w:hideMark/>
          </w:tcPr>
          <w:p w14:paraId="580ACE49" w14:textId="77777777" w:rsidR="003103FF" w:rsidRPr="002E7DBB" w:rsidRDefault="003103FF" w:rsidP="006327AF">
            <w:pPr>
              <w:pStyle w:val="NoSpacing"/>
              <w:jc w:val="center"/>
            </w:pPr>
            <w:r w:rsidRPr="002E7DBB">
              <w:t>0.25</w:t>
            </w:r>
          </w:p>
        </w:tc>
      </w:tr>
      <w:tr w:rsidR="003103FF" w:rsidRPr="002E7DBB" w14:paraId="2E478574" w14:textId="77777777" w:rsidTr="006327AF">
        <w:trPr>
          <w:trHeight w:val="250"/>
        </w:trPr>
        <w:tc>
          <w:tcPr>
            <w:tcW w:w="3540" w:type="dxa"/>
            <w:tcBorders>
              <w:top w:val="nil"/>
              <w:left w:val="nil"/>
              <w:bottom w:val="nil"/>
              <w:right w:val="nil"/>
            </w:tcBorders>
            <w:shd w:val="clear" w:color="auto" w:fill="auto"/>
            <w:noWrap/>
            <w:vAlign w:val="bottom"/>
            <w:hideMark/>
          </w:tcPr>
          <w:p w14:paraId="48D3A981" w14:textId="1B0A9448" w:rsidR="003103FF" w:rsidRPr="002E7DBB" w:rsidRDefault="003103FF" w:rsidP="006327AF">
            <w:pPr>
              <w:pStyle w:val="NoSpacing"/>
            </w:pPr>
            <w:r w:rsidRPr="002E7DBB">
              <w:t>MD type:</w:t>
            </w:r>
            <w:r>
              <w:t xml:space="preserve"> </w:t>
            </w:r>
            <w:r w:rsidR="00770F91">
              <w:t>L</w:t>
            </w:r>
            <w:r w:rsidRPr="002E7DBB">
              <w:t>imb Girdle</w:t>
            </w:r>
          </w:p>
        </w:tc>
        <w:tc>
          <w:tcPr>
            <w:tcW w:w="1586" w:type="dxa"/>
            <w:tcBorders>
              <w:top w:val="nil"/>
              <w:left w:val="nil"/>
              <w:bottom w:val="nil"/>
              <w:right w:val="nil"/>
            </w:tcBorders>
            <w:shd w:val="clear" w:color="auto" w:fill="auto"/>
            <w:noWrap/>
            <w:vAlign w:val="bottom"/>
            <w:hideMark/>
          </w:tcPr>
          <w:p w14:paraId="7B1AA23C" w14:textId="77777777" w:rsidR="003103FF" w:rsidRPr="002E7DBB" w:rsidRDefault="003103FF" w:rsidP="006327AF">
            <w:pPr>
              <w:pStyle w:val="NoSpacing"/>
              <w:jc w:val="center"/>
            </w:pPr>
            <w:r w:rsidRPr="002E7DBB">
              <w:t>2 (28.6%)</w:t>
            </w:r>
          </w:p>
        </w:tc>
        <w:tc>
          <w:tcPr>
            <w:tcW w:w="1684" w:type="dxa"/>
            <w:tcBorders>
              <w:top w:val="nil"/>
              <w:left w:val="nil"/>
              <w:bottom w:val="nil"/>
              <w:right w:val="nil"/>
            </w:tcBorders>
            <w:shd w:val="clear" w:color="auto" w:fill="auto"/>
            <w:noWrap/>
            <w:vAlign w:val="bottom"/>
            <w:hideMark/>
          </w:tcPr>
          <w:p w14:paraId="47CED8F9" w14:textId="77777777" w:rsidR="003103FF" w:rsidRPr="002E7DBB" w:rsidRDefault="003103FF" w:rsidP="006327AF">
            <w:pPr>
              <w:pStyle w:val="NoSpacing"/>
              <w:jc w:val="center"/>
            </w:pPr>
            <w:r w:rsidRPr="002E7DBB">
              <w:t>35 (23.6%)</w:t>
            </w:r>
          </w:p>
        </w:tc>
        <w:tc>
          <w:tcPr>
            <w:tcW w:w="935" w:type="dxa"/>
            <w:tcBorders>
              <w:top w:val="nil"/>
              <w:left w:val="nil"/>
              <w:bottom w:val="nil"/>
              <w:right w:val="nil"/>
            </w:tcBorders>
            <w:shd w:val="clear" w:color="auto" w:fill="auto"/>
            <w:noWrap/>
            <w:vAlign w:val="bottom"/>
            <w:hideMark/>
          </w:tcPr>
          <w:p w14:paraId="6566A7FD" w14:textId="77777777" w:rsidR="003103FF" w:rsidRPr="002E7DBB" w:rsidRDefault="003103FF" w:rsidP="006327AF">
            <w:pPr>
              <w:pStyle w:val="NoSpacing"/>
              <w:jc w:val="center"/>
            </w:pPr>
            <w:r w:rsidRPr="002E7DBB">
              <w:t>0.22</w:t>
            </w:r>
          </w:p>
        </w:tc>
      </w:tr>
      <w:tr w:rsidR="003103FF" w:rsidRPr="002E7DBB" w14:paraId="625BAD68" w14:textId="77777777" w:rsidTr="006327AF">
        <w:trPr>
          <w:trHeight w:val="250"/>
        </w:trPr>
        <w:tc>
          <w:tcPr>
            <w:tcW w:w="3540" w:type="dxa"/>
            <w:tcBorders>
              <w:top w:val="nil"/>
              <w:left w:val="nil"/>
              <w:bottom w:val="nil"/>
              <w:right w:val="nil"/>
            </w:tcBorders>
            <w:shd w:val="clear" w:color="auto" w:fill="auto"/>
            <w:noWrap/>
            <w:vAlign w:val="bottom"/>
            <w:hideMark/>
          </w:tcPr>
          <w:p w14:paraId="08D7863D" w14:textId="77777777" w:rsidR="003103FF" w:rsidRPr="002E7DBB" w:rsidRDefault="003103FF" w:rsidP="006327AF">
            <w:pPr>
              <w:pStyle w:val="NoSpacing"/>
            </w:pPr>
            <w:r w:rsidRPr="002E7DBB">
              <w:t xml:space="preserve">               </w:t>
            </w:r>
            <w:r>
              <w:t xml:space="preserve">   </w:t>
            </w:r>
            <w:r w:rsidRPr="002E7DBB">
              <w:t>Beckers</w:t>
            </w:r>
          </w:p>
        </w:tc>
        <w:tc>
          <w:tcPr>
            <w:tcW w:w="1586" w:type="dxa"/>
            <w:tcBorders>
              <w:top w:val="nil"/>
              <w:left w:val="nil"/>
              <w:bottom w:val="nil"/>
              <w:right w:val="nil"/>
            </w:tcBorders>
            <w:shd w:val="clear" w:color="auto" w:fill="auto"/>
            <w:noWrap/>
            <w:vAlign w:val="bottom"/>
            <w:hideMark/>
          </w:tcPr>
          <w:p w14:paraId="4F45967F" w14:textId="77777777" w:rsidR="003103FF" w:rsidRPr="002E7DBB" w:rsidRDefault="003103FF" w:rsidP="006327AF">
            <w:pPr>
              <w:pStyle w:val="NoSpacing"/>
              <w:jc w:val="center"/>
            </w:pPr>
            <w:r w:rsidRPr="002E7DBB">
              <w:t>1 (14.3%)</w:t>
            </w:r>
          </w:p>
        </w:tc>
        <w:tc>
          <w:tcPr>
            <w:tcW w:w="1684" w:type="dxa"/>
            <w:tcBorders>
              <w:top w:val="nil"/>
              <w:left w:val="nil"/>
              <w:bottom w:val="nil"/>
              <w:right w:val="nil"/>
            </w:tcBorders>
            <w:shd w:val="clear" w:color="auto" w:fill="auto"/>
            <w:noWrap/>
            <w:vAlign w:val="bottom"/>
            <w:hideMark/>
          </w:tcPr>
          <w:p w14:paraId="3BAB52CA" w14:textId="77777777" w:rsidR="003103FF" w:rsidRPr="002E7DBB" w:rsidRDefault="003103FF" w:rsidP="006327AF">
            <w:pPr>
              <w:pStyle w:val="NoSpacing"/>
              <w:jc w:val="center"/>
            </w:pPr>
            <w:r w:rsidRPr="002E7DBB">
              <w:t>4 (2.7%)</w:t>
            </w:r>
          </w:p>
        </w:tc>
        <w:tc>
          <w:tcPr>
            <w:tcW w:w="935" w:type="dxa"/>
            <w:tcBorders>
              <w:top w:val="nil"/>
              <w:left w:val="nil"/>
              <w:bottom w:val="nil"/>
              <w:right w:val="nil"/>
            </w:tcBorders>
            <w:shd w:val="clear" w:color="auto" w:fill="auto"/>
            <w:noWrap/>
            <w:vAlign w:val="bottom"/>
            <w:hideMark/>
          </w:tcPr>
          <w:p w14:paraId="3693E241" w14:textId="77777777" w:rsidR="003103FF" w:rsidRPr="002E7DBB" w:rsidRDefault="003103FF" w:rsidP="006327AF">
            <w:pPr>
              <w:pStyle w:val="NoSpacing"/>
              <w:jc w:val="center"/>
            </w:pPr>
          </w:p>
        </w:tc>
      </w:tr>
      <w:tr w:rsidR="003103FF" w:rsidRPr="002E7DBB" w14:paraId="7C1CBA56" w14:textId="77777777" w:rsidTr="006327AF">
        <w:trPr>
          <w:trHeight w:val="250"/>
        </w:trPr>
        <w:tc>
          <w:tcPr>
            <w:tcW w:w="3540" w:type="dxa"/>
            <w:tcBorders>
              <w:top w:val="nil"/>
              <w:left w:val="nil"/>
              <w:bottom w:val="nil"/>
              <w:right w:val="nil"/>
            </w:tcBorders>
            <w:shd w:val="clear" w:color="auto" w:fill="auto"/>
            <w:noWrap/>
            <w:vAlign w:val="bottom"/>
            <w:hideMark/>
          </w:tcPr>
          <w:p w14:paraId="721847CB" w14:textId="77777777" w:rsidR="003103FF" w:rsidRPr="002E7DBB" w:rsidRDefault="003103FF" w:rsidP="006327AF">
            <w:pPr>
              <w:pStyle w:val="NoSpacing"/>
            </w:pPr>
            <w:r w:rsidRPr="002E7DBB">
              <w:t xml:space="preserve">               </w:t>
            </w:r>
            <w:r>
              <w:t xml:space="preserve">   </w:t>
            </w:r>
            <w:r w:rsidRPr="002E7DBB">
              <w:t>FSHD</w:t>
            </w:r>
          </w:p>
        </w:tc>
        <w:tc>
          <w:tcPr>
            <w:tcW w:w="1586" w:type="dxa"/>
            <w:tcBorders>
              <w:top w:val="nil"/>
              <w:left w:val="nil"/>
              <w:bottom w:val="nil"/>
              <w:right w:val="nil"/>
            </w:tcBorders>
            <w:shd w:val="clear" w:color="auto" w:fill="auto"/>
            <w:noWrap/>
            <w:vAlign w:val="bottom"/>
            <w:hideMark/>
          </w:tcPr>
          <w:p w14:paraId="28872EDC" w14:textId="77777777" w:rsidR="003103FF" w:rsidRPr="002E7DBB" w:rsidRDefault="003103FF" w:rsidP="006327AF">
            <w:pPr>
              <w:pStyle w:val="NoSpacing"/>
              <w:jc w:val="center"/>
            </w:pPr>
            <w:r w:rsidRPr="002E7DBB">
              <w:t>2 (28.6%)</w:t>
            </w:r>
          </w:p>
        </w:tc>
        <w:tc>
          <w:tcPr>
            <w:tcW w:w="1684" w:type="dxa"/>
            <w:tcBorders>
              <w:top w:val="nil"/>
              <w:left w:val="nil"/>
              <w:bottom w:val="nil"/>
              <w:right w:val="nil"/>
            </w:tcBorders>
            <w:shd w:val="clear" w:color="auto" w:fill="auto"/>
            <w:noWrap/>
            <w:vAlign w:val="bottom"/>
            <w:hideMark/>
          </w:tcPr>
          <w:p w14:paraId="651D67FD" w14:textId="77777777" w:rsidR="003103FF" w:rsidRPr="002E7DBB" w:rsidRDefault="003103FF" w:rsidP="006327AF">
            <w:pPr>
              <w:pStyle w:val="NoSpacing"/>
              <w:jc w:val="center"/>
            </w:pPr>
            <w:r w:rsidRPr="002E7DBB">
              <w:t>74 (50.0%)</w:t>
            </w:r>
          </w:p>
        </w:tc>
        <w:tc>
          <w:tcPr>
            <w:tcW w:w="935" w:type="dxa"/>
            <w:tcBorders>
              <w:top w:val="nil"/>
              <w:left w:val="nil"/>
              <w:bottom w:val="nil"/>
              <w:right w:val="nil"/>
            </w:tcBorders>
            <w:shd w:val="clear" w:color="auto" w:fill="auto"/>
            <w:noWrap/>
            <w:vAlign w:val="bottom"/>
            <w:hideMark/>
          </w:tcPr>
          <w:p w14:paraId="342B4C59" w14:textId="77777777" w:rsidR="003103FF" w:rsidRPr="002E7DBB" w:rsidRDefault="003103FF" w:rsidP="006327AF">
            <w:pPr>
              <w:pStyle w:val="NoSpacing"/>
              <w:jc w:val="center"/>
            </w:pPr>
          </w:p>
        </w:tc>
      </w:tr>
      <w:tr w:rsidR="003103FF" w:rsidRPr="002E7DBB" w14:paraId="7B117FE5" w14:textId="77777777" w:rsidTr="006327AF">
        <w:trPr>
          <w:trHeight w:val="250"/>
        </w:trPr>
        <w:tc>
          <w:tcPr>
            <w:tcW w:w="3540" w:type="dxa"/>
            <w:tcBorders>
              <w:top w:val="nil"/>
              <w:left w:val="nil"/>
              <w:bottom w:val="nil"/>
              <w:right w:val="nil"/>
            </w:tcBorders>
            <w:shd w:val="clear" w:color="auto" w:fill="auto"/>
            <w:noWrap/>
            <w:vAlign w:val="bottom"/>
            <w:hideMark/>
          </w:tcPr>
          <w:p w14:paraId="7525646F" w14:textId="77777777" w:rsidR="003103FF" w:rsidRPr="002E7DBB" w:rsidRDefault="003103FF" w:rsidP="006327AF">
            <w:pPr>
              <w:pStyle w:val="NoSpacing"/>
            </w:pPr>
            <w:r w:rsidRPr="002E7DBB">
              <w:t xml:space="preserve">               </w:t>
            </w:r>
            <w:r>
              <w:t xml:space="preserve">   </w:t>
            </w:r>
            <w:r w:rsidRPr="002E7DBB">
              <w:t>IBM</w:t>
            </w:r>
          </w:p>
        </w:tc>
        <w:tc>
          <w:tcPr>
            <w:tcW w:w="1586" w:type="dxa"/>
            <w:tcBorders>
              <w:top w:val="nil"/>
              <w:left w:val="nil"/>
              <w:bottom w:val="nil"/>
              <w:right w:val="nil"/>
            </w:tcBorders>
            <w:shd w:val="clear" w:color="auto" w:fill="auto"/>
            <w:noWrap/>
            <w:vAlign w:val="bottom"/>
            <w:hideMark/>
          </w:tcPr>
          <w:p w14:paraId="368AE572" w14:textId="77777777" w:rsidR="003103FF" w:rsidRPr="002E7DBB" w:rsidRDefault="003103FF" w:rsidP="006327AF">
            <w:pPr>
              <w:pStyle w:val="NoSpacing"/>
              <w:jc w:val="center"/>
            </w:pPr>
            <w:r w:rsidRPr="002E7DBB">
              <w:t>2 (28.6%)</w:t>
            </w:r>
          </w:p>
        </w:tc>
        <w:tc>
          <w:tcPr>
            <w:tcW w:w="1684" w:type="dxa"/>
            <w:tcBorders>
              <w:top w:val="nil"/>
              <w:left w:val="nil"/>
              <w:bottom w:val="nil"/>
              <w:right w:val="nil"/>
            </w:tcBorders>
            <w:shd w:val="clear" w:color="auto" w:fill="auto"/>
            <w:noWrap/>
            <w:vAlign w:val="bottom"/>
            <w:hideMark/>
          </w:tcPr>
          <w:p w14:paraId="09910848" w14:textId="77777777" w:rsidR="003103FF" w:rsidRPr="002E7DBB" w:rsidRDefault="003103FF" w:rsidP="006327AF">
            <w:pPr>
              <w:pStyle w:val="NoSpacing"/>
              <w:jc w:val="center"/>
            </w:pPr>
            <w:r w:rsidRPr="002E7DBB">
              <w:t>35 (23.6%)</w:t>
            </w:r>
          </w:p>
        </w:tc>
        <w:tc>
          <w:tcPr>
            <w:tcW w:w="935" w:type="dxa"/>
            <w:tcBorders>
              <w:top w:val="nil"/>
              <w:left w:val="nil"/>
              <w:bottom w:val="nil"/>
              <w:right w:val="nil"/>
            </w:tcBorders>
            <w:shd w:val="clear" w:color="auto" w:fill="auto"/>
            <w:noWrap/>
            <w:vAlign w:val="bottom"/>
            <w:hideMark/>
          </w:tcPr>
          <w:p w14:paraId="1BF758AC" w14:textId="77777777" w:rsidR="003103FF" w:rsidRPr="002E7DBB" w:rsidRDefault="003103FF" w:rsidP="006327AF">
            <w:pPr>
              <w:pStyle w:val="NoSpacing"/>
              <w:jc w:val="center"/>
            </w:pPr>
          </w:p>
        </w:tc>
      </w:tr>
      <w:tr w:rsidR="003103FF" w:rsidRPr="002E7DBB" w14:paraId="21B3BA59" w14:textId="77777777" w:rsidTr="006327AF">
        <w:trPr>
          <w:trHeight w:val="250"/>
        </w:trPr>
        <w:tc>
          <w:tcPr>
            <w:tcW w:w="3540" w:type="dxa"/>
            <w:tcBorders>
              <w:top w:val="nil"/>
              <w:left w:val="nil"/>
              <w:bottom w:val="nil"/>
              <w:right w:val="nil"/>
            </w:tcBorders>
            <w:shd w:val="clear" w:color="auto" w:fill="auto"/>
            <w:noWrap/>
            <w:vAlign w:val="bottom"/>
            <w:hideMark/>
          </w:tcPr>
          <w:p w14:paraId="696463FB" w14:textId="263CF8D7" w:rsidR="003103FF" w:rsidRPr="002E7DBB" w:rsidRDefault="003103FF" w:rsidP="006327AF">
            <w:pPr>
              <w:pStyle w:val="NoSpacing"/>
            </w:pPr>
            <w:r w:rsidRPr="002E7DBB">
              <w:t xml:space="preserve">Age MD </w:t>
            </w:r>
            <w:r w:rsidR="001E7E5E">
              <w:t>o</w:t>
            </w:r>
            <w:r w:rsidRPr="002E7DBB">
              <w:t>nset, mean (SD)</w:t>
            </w:r>
          </w:p>
        </w:tc>
        <w:tc>
          <w:tcPr>
            <w:tcW w:w="1586" w:type="dxa"/>
            <w:tcBorders>
              <w:top w:val="nil"/>
              <w:left w:val="nil"/>
              <w:bottom w:val="nil"/>
              <w:right w:val="nil"/>
            </w:tcBorders>
            <w:shd w:val="clear" w:color="auto" w:fill="auto"/>
            <w:noWrap/>
            <w:vAlign w:val="bottom"/>
            <w:hideMark/>
          </w:tcPr>
          <w:p w14:paraId="4B5C94AF" w14:textId="77777777" w:rsidR="003103FF" w:rsidRPr="002E7DBB" w:rsidRDefault="003103FF" w:rsidP="006327AF">
            <w:pPr>
              <w:pStyle w:val="NoSpacing"/>
              <w:jc w:val="center"/>
            </w:pPr>
            <w:r w:rsidRPr="002E7DBB">
              <w:t>40.6 (22.0)</w:t>
            </w:r>
          </w:p>
        </w:tc>
        <w:tc>
          <w:tcPr>
            <w:tcW w:w="1684" w:type="dxa"/>
            <w:tcBorders>
              <w:top w:val="nil"/>
              <w:left w:val="nil"/>
              <w:bottom w:val="nil"/>
              <w:right w:val="nil"/>
            </w:tcBorders>
            <w:shd w:val="clear" w:color="auto" w:fill="auto"/>
            <w:noWrap/>
            <w:vAlign w:val="bottom"/>
            <w:hideMark/>
          </w:tcPr>
          <w:p w14:paraId="39C0EB1F" w14:textId="77777777" w:rsidR="003103FF" w:rsidRPr="002E7DBB" w:rsidRDefault="003103FF" w:rsidP="006327AF">
            <w:pPr>
              <w:pStyle w:val="NoSpacing"/>
              <w:jc w:val="center"/>
            </w:pPr>
            <w:r w:rsidRPr="002E7DBB">
              <w:t>34.1 (20.3)</w:t>
            </w:r>
          </w:p>
        </w:tc>
        <w:tc>
          <w:tcPr>
            <w:tcW w:w="935" w:type="dxa"/>
            <w:tcBorders>
              <w:top w:val="nil"/>
              <w:left w:val="nil"/>
              <w:bottom w:val="nil"/>
              <w:right w:val="nil"/>
            </w:tcBorders>
            <w:shd w:val="clear" w:color="auto" w:fill="auto"/>
            <w:noWrap/>
            <w:vAlign w:val="bottom"/>
            <w:hideMark/>
          </w:tcPr>
          <w:p w14:paraId="3908CD2B" w14:textId="77777777" w:rsidR="003103FF" w:rsidRPr="002E7DBB" w:rsidRDefault="003103FF" w:rsidP="006327AF">
            <w:pPr>
              <w:pStyle w:val="NoSpacing"/>
              <w:jc w:val="center"/>
            </w:pPr>
            <w:r w:rsidRPr="002E7DBB">
              <w:t>0.41</w:t>
            </w:r>
          </w:p>
        </w:tc>
      </w:tr>
      <w:tr w:rsidR="003103FF" w:rsidRPr="002E7DBB" w14:paraId="655635E0" w14:textId="77777777" w:rsidTr="006327AF">
        <w:trPr>
          <w:trHeight w:val="250"/>
        </w:trPr>
        <w:tc>
          <w:tcPr>
            <w:tcW w:w="3540" w:type="dxa"/>
            <w:tcBorders>
              <w:top w:val="nil"/>
              <w:left w:val="nil"/>
              <w:bottom w:val="nil"/>
              <w:right w:val="nil"/>
            </w:tcBorders>
            <w:shd w:val="clear" w:color="auto" w:fill="auto"/>
            <w:noWrap/>
            <w:vAlign w:val="bottom"/>
            <w:hideMark/>
          </w:tcPr>
          <w:p w14:paraId="0700A600" w14:textId="77777777" w:rsidR="003103FF" w:rsidRPr="002E7DBB" w:rsidRDefault="003103FF" w:rsidP="006327AF">
            <w:pPr>
              <w:pStyle w:val="NoSpacing"/>
            </w:pPr>
            <w:r w:rsidRPr="002E7DBB">
              <w:t>Other diagnoses?</w:t>
            </w:r>
          </w:p>
        </w:tc>
        <w:tc>
          <w:tcPr>
            <w:tcW w:w="1586" w:type="dxa"/>
            <w:tcBorders>
              <w:top w:val="nil"/>
              <w:left w:val="nil"/>
              <w:bottom w:val="nil"/>
              <w:right w:val="nil"/>
            </w:tcBorders>
            <w:shd w:val="clear" w:color="auto" w:fill="auto"/>
            <w:noWrap/>
            <w:vAlign w:val="bottom"/>
            <w:hideMark/>
          </w:tcPr>
          <w:p w14:paraId="3EED1448" w14:textId="77777777" w:rsidR="003103FF" w:rsidRPr="002E7DBB" w:rsidRDefault="003103FF" w:rsidP="006327AF">
            <w:pPr>
              <w:pStyle w:val="NoSpacing"/>
              <w:jc w:val="center"/>
            </w:pPr>
            <w:r w:rsidRPr="002E7DBB">
              <w:t>5 (83.3%)</w:t>
            </w:r>
          </w:p>
        </w:tc>
        <w:tc>
          <w:tcPr>
            <w:tcW w:w="1684" w:type="dxa"/>
            <w:tcBorders>
              <w:top w:val="nil"/>
              <w:left w:val="nil"/>
              <w:bottom w:val="nil"/>
              <w:right w:val="nil"/>
            </w:tcBorders>
            <w:shd w:val="clear" w:color="auto" w:fill="auto"/>
            <w:noWrap/>
            <w:vAlign w:val="bottom"/>
            <w:hideMark/>
          </w:tcPr>
          <w:p w14:paraId="282FF688" w14:textId="77777777" w:rsidR="003103FF" w:rsidRPr="002E7DBB" w:rsidRDefault="003103FF" w:rsidP="006327AF">
            <w:pPr>
              <w:pStyle w:val="NoSpacing"/>
              <w:jc w:val="center"/>
            </w:pPr>
            <w:r w:rsidRPr="002E7DBB">
              <w:t>80 (54.8%)</w:t>
            </w:r>
          </w:p>
        </w:tc>
        <w:tc>
          <w:tcPr>
            <w:tcW w:w="935" w:type="dxa"/>
            <w:tcBorders>
              <w:top w:val="nil"/>
              <w:left w:val="nil"/>
              <w:bottom w:val="nil"/>
              <w:right w:val="nil"/>
            </w:tcBorders>
            <w:shd w:val="clear" w:color="auto" w:fill="auto"/>
            <w:noWrap/>
            <w:vAlign w:val="bottom"/>
            <w:hideMark/>
          </w:tcPr>
          <w:p w14:paraId="53119A38" w14:textId="77777777" w:rsidR="003103FF" w:rsidRPr="002E7DBB" w:rsidRDefault="003103FF" w:rsidP="006327AF">
            <w:pPr>
              <w:pStyle w:val="NoSpacing"/>
              <w:jc w:val="center"/>
            </w:pPr>
            <w:r w:rsidRPr="002E7DBB">
              <w:t>0.23</w:t>
            </w:r>
          </w:p>
        </w:tc>
      </w:tr>
      <w:tr w:rsidR="003103FF" w:rsidRPr="002E7DBB" w14:paraId="26D6F168" w14:textId="77777777" w:rsidTr="006327AF">
        <w:trPr>
          <w:trHeight w:val="250"/>
        </w:trPr>
        <w:tc>
          <w:tcPr>
            <w:tcW w:w="3540" w:type="dxa"/>
            <w:tcBorders>
              <w:top w:val="nil"/>
              <w:left w:val="nil"/>
              <w:bottom w:val="nil"/>
              <w:right w:val="nil"/>
            </w:tcBorders>
            <w:shd w:val="clear" w:color="auto" w:fill="auto"/>
            <w:noWrap/>
            <w:vAlign w:val="bottom"/>
            <w:hideMark/>
          </w:tcPr>
          <w:p w14:paraId="375DC2EB" w14:textId="77777777" w:rsidR="003103FF" w:rsidRPr="002E7DBB" w:rsidRDefault="003103FF" w:rsidP="006327AF">
            <w:pPr>
              <w:pStyle w:val="NoSpacing"/>
            </w:pPr>
            <w:r w:rsidRPr="002E7DBB">
              <w:t>White ethnicity</w:t>
            </w:r>
          </w:p>
        </w:tc>
        <w:tc>
          <w:tcPr>
            <w:tcW w:w="1586" w:type="dxa"/>
            <w:tcBorders>
              <w:top w:val="nil"/>
              <w:left w:val="nil"/>
              <w:bottom w:val="nil"/>
              <w:right w:val="nil"/>
            </w:tcBorders>
            <w:shd w:val="clear" w:color="auto" w:fill="auto"/>
            <w:noWrap/>
            <w:vAlign w:val="bottom"/>
            <w:hideMark/>
          </w:tcPr>
          <w:p w14:paraId="230B8478" w14:textId="77777777" w:rsidR="003103FF" w:rsidRPr="002E7DBB" w:rsidRDefault="003103FF" w:rsidP="006327AF">
            <w:pPr>
              <w:pStyle w:val="NoSpacing"/>
              <w:jc w:val="center"/>
            </w:pPr>
            <w:r w:rsidRPr="002E7DBB">
              <w:t>6 (100.0%)</w:t>
            </w:r>
          </w:p>
        </w:tc>
        <w:tc>
          <w:tcPr>
            <w:tcW w:w="1684" w:type="dxa"/>
            <w:tcBorders>
              <w:top w:val="nil"/>
              <w:left w:val="nil"/>
              <w:bottom w:val="nil"/>
              <w:right w:val="nil"/>
            </w:tcBorders>
            <w:shd w:val="clear" w:color="auto" w:fill="auto"/>
            <w:noWrap/>
            <w:vAlign w:val="bottom"/>
            <w:hideMark/>
          </w:tcPr>
          <w:p w14:paraId="0BE5B3EF" w14:textId="77777777" w:rsidR="003103FF" w:rsidRPr="002E7DBB" w:rsidRDefault="003103FF" w:rsidP="006327AF">
            <w:pPr>
              <w:pStyle w:val="NoSpacing"/>
              <w:jc w:val="center"/>
            </w:pPr>
            <w:r w:rsidRPr="002E7DBB">
              <w:t>133 (89.9%)</w:t>
            </w:r>
          </w:p>
        </w:tc>
        <w:tc>
          <w:tcPr>
            <w:tcW w:w="935" w:type="dxa"/>
            <w:tcBorders>
              <w:top w:val="nil"/>
              <w:left w:val="nil"/>
              <w:bottom w:val="nil"/>
              <w:right w:val="nil"/>
            </w:tcBorders>
            <w:shd w:val="clear" w:color="auto" w:fill="auto"/>
            <w:noWrap/>
            <w:vAlign w:val="bottom"/>
            <w:hideMark/>
          </w:tcPr>
          <w:p w14:paraId="06347E1E" w14:textId="77777777" w:rsidR="003103FF" w:rsidRPr="002E7DBB" w:rsidRDefault="003103FF" w:rsidP="006327AF">
            <w:pPr>
              <w:pStyle w:val="NoSpacing"/>
              <w:jc w:val="center"/>
            </w:pPr>
            <w:r w:rsidRPr="002E7DBB">
              <w:t>1.00</w:t>
            </w:r>
          </w:p>
        </w:tc>
      </w:tr>
      <w:tr w:rsidR="003103FF" w:rsidRPr="002E7DBB" w14:paraId="14E01795" w14:textId="77777777" w:rsidTr="006327AF">
        <w:trPr>
          <w:trHeight w:val="250"/>
        </w:trPr>
        <w:tc>
          <w:tcPr>
            <w:tcW w:w="3540" w:type="dxa"/>
            <w:tcBorders>
              <w:top w:val="nil"/>
              <w:left w:val="nil"/>
              <w:bottom w:val="nil"/>
              <w:right w:val="nil"/>
            </w:tcBorders>
            <w:shd w:val="clear" w:color="auto" w:fill="auto"/>
            <w:noWrap/>
            <w:vAlign w:val="bottom"/>
            <w:hideMark/>
          </w:tcPr>
          <w:p w14:paraId="1EF7F894" w14:textId="77777777" w:rsidR="003103FF" w:rsidRPr="002E7DBB" w:rsidRDefault="003103FF" w:rsidP="006327AF">
            <w:pPr>
              <w:pStyle w:val="NoSpacing"/>
            </w:pPr>
            <w:r w:rsidRPr="002E7DBB">
              <w:t>In paid employment</w:t>
            </w:r>
          </w:p>
        </w:tc>
        <w:tc>
          <w:tcPr>
            <w:tcW w:w="1586" w:type="dxa"/>
            <w:tcBorders>
              <w:top w:val="nil"/>
              <w:left w:val="nil"/>
              <w:bottom w:val="nil"/>
              <w:right w:val="nil"/>
            </w:tcBorders>
            <w:shd w:val="clear" w:color="auto" w:fill="auto"/>
            <w:noWrap/>
            <w:vAlign w:val="bottom"/>
            <w:hideMark/>
          </w:tcPr>
          <w:p w14:paraId="2A07F86B" w14:textId="77777777" w:rsidR="003103FF" w:rsidRPr="002E7DBB" w:rsidRDefault="003103FF" w:rsidP="006327AF">
            <w:pPr>
              <w:pStyle w:val="NoSpacing"/>
              <w:jc w:val="center"/>
            </w:pPr>
            <w:r w:rsidRPr="002E7DBB">
              <w:t>0 (0.0%)</w:t>
            </w:r>
          </w:p>
        </w:tc>
        <w:tc>
          <w:tcPr>
            <w:tcW w:w="1684" w:type="dxa"/>
            <w:tcBorders>
              <w:top w:val="nil"/>
              <w:left w:val="nil"/>
              <w:bottom w:val="nil"/>
              <w:right w:val="nil"/>
            </w:tcBorders>
            <w:shd w:val="clear" w:color="auto" w:fill="auto"/>
            <w:noWrap/>
            <w:vAlign w:val="bottom"/>
            <w:hideMark/>
          </w:tcPr>
          <w:p w14:paraId="0ED1F29F" w14:textId="77777777" w:rsidR="003103FF" w:rsidRPr="002E7DBB" w:rsidRDefault="003103FF" w:rsidP="006327AF">
            <w:pPr>
              <w:pStyle w:val="NoSpacing"/>
              <w:jc w:val="center"/>
            </w:pPr>
            <w:r w:rsidRPr="002E7DBB">
              <w:t>63 (42.6%)</w:t>
            </w:r>
          </w:p>
        </w:tc>
        <w:tc>
          <w:tcPr>
            <w:tcW w:w="935" w:type="dxa"/>
            <w:tcBorders>
              <w:top w:val="nil"/>
              <w:left w:val="nil"/>
              <w:bottom w:val="nil"/>
              <w:right w:val="nil"/>
            </w:tcBorders>
            <w:shd w:val="clear" w:color="auto" w:fill="auto"/>
            <w:noWrap/>
            <w:vAlign w:val="bottom"/>
            <w:hideMark/>
          </w:tcPr>
          <w:p w14:paraId="275577C2" w14:textId="77777777" w:rsidR="003103FF" w:rsidRPr="002E7DBB" w:rsidRDefault="003103FF" w:rsidP="006327AF">
            <w:pPr>
              <w:pStyle w:val="NoSpacing"/>
              <w:jc w:val="center"/>
            </w:pPr>
            <w:r w:rsidRPr="002E7DBB">
              <w:t>0.082</w:t>
            </w:r>
          </w:p>
        </w:tc>
      </w:tr>
      <w:tr w:rsidR="003103FF" w:rsidRPr="002E7DBB" w14:paraId="22315E88" w14:textId="77777777" w:rsidTr="006327AF">
        <w:trPr>
          <w:trHeight w:val="250"/>
        </w:trPr>
        <w:tc>
          <w:tcPr>
            <w:tcW w:w="3540" w:type="dxa"/>
            <w:tcBorders>
              <w:top w:val="nil"/>
              <w:left w:val="nil"/>
              <w:bottom w:val="nil"/>
              <w:right w:val="nil"/>
            </w:tcBorders>
            <w:shd w:val="clear" w:color="auto" w:fill="auto"/>
            <w:noWrap/>
            <w:vAlign w:val="bottom"/>
            <w:hideMark/>
          </w:tcPr>
          <w:p w14:paraId="73F57B41" w14:textId="77777777" w:rsidR="003103FF" w:rsidRPr="002E7DBB" w:rsidRDefault="003103FF" w:rsidP="006327AF">
            <w:pPr>
              <w:pStyle w:val="NoSpacing"/>
            </w:pPr>
            <w:r w:rsidRPr="002E7DBB">
              <w:t>Low education</w:t>
            </w:r>
          </w:p>
        </w:tc>
        <w:tc>
          <w:tcPr>
            <w:tcW w:w="1586" w:type="dxa"/>
            <w:tcBorders>
              <w:top w:val="nil"/>
              <w:left w:val="nil"/>
              <w:bottom w:val="nil"/>
              <w:right w:val="nil"/>
            </w:tcBorders>
            <w:shd w:val="clear" w:color="auto" w:fill="auto"/>
            <w:noWrap/>
            <w:vAlign w:val="bottom"/>
            <w:hideMark/>
          </w:tcPr>
          <w:p w14:paraId="2B865B6F" w14:textId="77777777" w:rsidR="003103FF" w:rsidRPr="002E7DBB" w:rsidRDefault="003103FF" w:rsidP="006327AF">
            <w:pPr>
              <w:pStyle w:val="NoSpacing"/>
              <w:jc w:val="center"/>
            </w:pPr>
            <w:r w:rsidRPr="002E7DBB">
              <w:t>5 (83.3%)</w:t>
            </w:r>
          </w:p>
        </w:tc>
        <w:tc>
          <w:tcPr>
            <w:tcW w:w="1684" w:type="dxa"/>
            <w:tcBorders>
              <w:top w:val="nil"/>
              <w:left w:val="nil"/>
              <w:bottom w:val="nil"/>
              <w:right w:val="nil"/>
            </w:tcBorders>
            <w:shd w:val="clear" w:color="auto" w:fill="auto"/>
            <w:noWrap/>
            <w:vAlign w:val="bottom"/>
            <w:hideMark/>
          </w:tcPr>
          <w:p w14:paraId="5C6E7DAD" w14:textId="77777777" w:rsidR="003103FF" w:rsidRPr="002E7DBB" w:rsidRDefault="003103FF" w:rsidP="006327AF">
            <w:pPr>
              <w:pStyle w:val="NoSpacing"/>
              <w:jc w:val="center"/>
            </w:pPr>
            <w:r w:rsidRPr="002E7DBB">
              <w:t>55 (37.2%)</w:t>
            </w:r>
          </w:p>
        </w:tc>
        <w:tc>
          <w:tcPr>
            <w:tcW w:w="935" w:type="dxa"/>
            <w:tcBorders>
              <w:top w:val="nil"/>
              <w:left w:val="nil"/>
              <w:bottom w:val="nil"/>
              <w:right w:val="nil"/>
            </w:tcBorders>
            <w:shd w:val="clear" w:color="auto" w:fill="auto"/>
            <w:noWrap/>
            <w:vAlign w:val="bottom"/>
            <w:hideMark/>
          </w:tcPr>
          <w:p w14:paraId="15D83336" w14:textId="77777777" w:rsidR="003103FF" w:rsidRPr="002E7DBB" w:rsidRDefault="003103FF" w:rsidP="006327AF">
            <w:pPr>
              <w:pStyle w:val="NoSpacing"/>
              <w:jc w:val="center"/>
            </w:pPr>
            <w:r w:rsidRPr="002E7DBB">
              <w:t>0.034</w:t>
            </w:r>
          </w:p>
        </w:tc>
      </w:tr>
      <w:tr w:rsidR="003103FF" w:rsidRPr="002E7DBB" w14:paraId="13EDF7C5" w14:textId="77777777" w:rsidTr="006327AF">
        <w:trPr>
          <w:trHeight w:val="250"/>
        </w:trPr>
        <w:tc>
          <w:tcPr>
            <w:tcW w:w="3540" w:type="dxa"/>
            <w:tcBorders>
              <w:top w:val="nil"/>
              <w:left w:val="nil"/>
              <w:bottom w:val="nil"/>
              <w:right w:val="nil"/>
            </w:tcBorders>
            <w:shd w:val="clear" w:color="auto" w:fill="auto"/>
            <w:noWrap/>
            <w:vAlign w:val="bottom"/>
            <w:hideMark/>
          </w:tcPr>
          <w:p w14:paraId="5B045EEC" w14:textId="77777777" w:rsidR="003103FF" w:rsidRPr="002E7DBB" w:rsidRDefault="003103FF" w:rsidP="006327AF">
            <w:pPr>
              <w:pStyle w:val="NoSpacing"/>
            </w:pPr>
            <w:r w:rsidRPr="002E7DBB">
              <w:t>In a relationship</w:t>
            </w:r>
          </w:p>
        </w:tc>
        <w:tc>
          <w:tcPr>
            <w:tcW w:w="1586" w:type="dxa"/>
            <w:tcBorders>
              <w:top w:val="nil"/>
              <w:left w:val="nil"/>
              <w:bottom w:val="nil"/>
              <w:right w:val="nil"/>
            </w:tcBorders>
            <w:shd w:val="clear" w:color="auto" w:fill="auto"/>
            <w:noWrap/>
            <w:vAlign w:val="bottom"/>
            <w:hideMark/>
          </w:tcPr>
          <w:p w14:paraId="51BA6391" w14:textId="77777777" w:rsidR="003103FF" w:rsidRPr="002E7DBB" w:rsidRDefault="003103FF" w:rsidP="006327AF">
            <w:pPr>
              <w:pStyle w:val="NoSpacing"/>
              <w:jc w:val="center"/>
            </w:pPr>
            <w:r w:rsidRPr="002E7DBB">
              <w:t>2 (33.3%)</w:t>
            </w:r>
          </w:p>
        </w:tc>
        <w:tc>
          <w:tcPr>
            <w:tcW w:w="1684" w:type="dxa"/>
            <w:tcBorders>
              <w:top w:val="nil"/>
              <w:left w:val="nil"/>
              <w:bottom w:val="nil"/>
              <w:right w:val="nil"/>
            </w:tcBorders>
            <w:shd w:val="clear" w:color="auto" w:fill="auto"/>
            <w:noWrap/>
            <w:vAlign w:val="bottom"/>
            <w:hideMark/>
          </w:tcPr>
          <w:p w14:paraId="768A97BA" w14:textId="77777777" w:rsidR="003103FF" w:rsidRPr="002E7DBB" w:rsidRDefault="003103FF" w:rsidP="006327AF">
            <w:pPr>
              <w:pStyle w:val="NoSpacing"/>
              <w:jc w:val="center"/>
            </w:pPr>
            <w:r w:rsidRPr="002E7DBB">
              <w:t>98 (66.2%)</w:t>
            </w:r>
          </w:p>
        </w:tc>
        <w:tc>
          <w:tcPr>
            <w:tcW w:w="935" w:type="dxa"/>
            <w:tcBorders>
              <w:top w:val="nil"/>
              <w:left w:val="nil"/>
              <w:bottom w:val="nil"/>
              <w:right w:val="nil"/>
            </w:tcBorders>
            <w:shd w:val="clear" w:color="auto" w:fill="auto"/>
            <w:noWrap/>
            <w:vAlign w:val="bottom"/>
            <w:hideMark/>
          </w:tcPr>
          <w:p w14:paraId="3DEBA38C" w14:textId="77777777" w:rsidR="003103FF" w:rsidRPr="002E7DBB" w:rsidRDefault="003103FF" w:rsidP="006327AF">
            <w:pPr>
              <w:pStyle w:val="NoSpacing"/>
              <w:jc w:val="center"/>
            </w:pPr>
            <w:r w:rsidRPr="002E7DBB">
              <w:t>0.18</w:t>
            </w:r>
          </w:p>
        </w:tc>
      </w:tr>
      <w:tr w:rsidR="003103FF" w:rsidRPr="002E7DBB" w14:paraId="4DBCB89B" w14:textId="77777777" w:rsidTr="006327AF">
        <w:trPr>
          <w:trHeight w:val="250"/>
        </w:trPr>
        <w:tc>
          <w:tcPr>
            <w:tcW w:w="3540" w:type="dxa"/>
            <w:tcBorders>
              <w:top w:val="nil"/>
              <w:left w:val="nil"/>
              <w:bottom w:val="nil"/>
              <w:right w:val="nil"/>
            </w:tcBorders>
            <w:shd w:val="clear" w:color="auto" w:fill="auto"/>
            <w:noWrap/>
            <w:vAlign w:val="bottom"/>
            <w:hideMark/>
          </w:tcPr>
          <w:p w14:paraId="2B47061A" w14:textId="77777777" w:rsidR="003103FF" w:rsidRPr="002E7DBB" w:rsidRDefault="003103FF" w:rsidP="006327AF">
            <w:pPr>
              <w:pStyle w:val="NoSpacing"/>
            </w:pPr>
            <w:r w:rsidRPr="002E7DBB">
              <w:t>Lives alone</w:t>
            </w:r>
          </w:p>
        </w:tc>
        <w:tc>
          <w:tcPr>
            <w:tcW w:w="1586" w:type="dxa"/>
            <w:tcBorders>
              <w:top w:val="nil"/>
              <w:left w:val="nil"/>
              <w:bottom w:val="nil"/>
              <w:right w:val="nil"/>
            </w:tcBorders>
            <w:shd w:val="clear" w:color="auto" w:fill="auto"/>
            <w:noWrap/>
            <w:vAlign w:val="bottom"/>
            <w:hideMark/>
          </w:tcPr>
          <w:p w14:paraId="5EC1DC80" w14:textId="77777777" w:rsidR="003103FF" w:rsidRPr="002E7DBB" w:rsidRDefault="003103FF" w:rsidP="006327AF">
            <w:pPr>
              <w:pStyle w:val="NoSpacing"/>
              <w:jc w:val="center"/>
            </w:pPr>
            <w:r w:rsidRPr="002E7DBB">
              <w:t>2 (33.3%)</w:t>
            </w:r>
          </w:p>
        </w:tc>
        <w:tc>
          <w:tcPr>
            <w:tcW w:w="1684" w:type="dxa"/>
            <w:tcBorders>
              <w:top w:val="nil"/>
              <w:left w:val="nil"/>
              <w:bottom w:val="nil"/>
              <w:right w:val="nil"/>
            </w:tcBorders>
            <w:shd w:val="clear" w:color="auto" w:fill="auto"/>
            <w:noWrap/>
            <w:vAlign w:val="bottom"/>
            <w:hideMark/>
          </w:tcPr>
          <w:p w14:paraId="4E34F829" w14:textId="77777777" w:rsidR="003103FF" w:rsidRPr="002E7DBB" w:rsidRDefault="003103FF" w:rsidP="006327AF">
            <w:pPr>
              <w:pStyle w:val="NoSpacing"/>
              <w:jc w:val="center"/>
            </w:pPr>
            <w:r w:rsidRPr="002E7DBB">
              <w:t>25 (16.9%)</w:t>
            </w:r>
          </w:p>
        </w:tc>
        <w:tc>
          <w:tcPr>
            <w:tcW w:w="935" w:type="dxa"/>
            <w:tcBorders>
              <w:top w:val="nil"/>
              <w:left w:val="nil"/>
              <w:bottom w:val="nil"/>
              <w:right w:val="nil"/>
            </w:tcBorders>
            <w:shd w:val="clear" w:color="auto" w:fill="auto"/>
            <w:noWrap/>
            <w:vAlign w:val="bottom"/>
            <w:hideMark/>
          </w:tcPr>
          <w:p w14:paraId="612118AE" w14:textId="77777777" w:rsidR="003103FF" w:rsidRPr="002E7DBB" w:rsidRDefault="003103FF" w:rsidP="006327AF">
            <w:pPr>
              <w:pStyle w:val="NoSpacing"/>
              <w:jc w:val="center"/>
            </w:pPr>
            <w:r w:rsidRPr="002E7DBB">
              <w:t>0.28</w:t>
            </w:r>
          </w:p>
        </w:tc>
      </w:tr>
      <w:tr w:rsidR="003103FF" w:rsidRPr="002E7DBB" w14:paraId="2A51647E" w14:textId="77777777" w:rsidTr="006327AF">
        <w:trPr>
          <w:trHeight w:val="250"/>
        </w:trPr>
        <w:tc>
          <w:tcPr>
            <w:tcW w:w="3540" w:type="dxa"/>
            <w:tcBorders>
              <w:top w:val="nil"/>
              <w:left w:val="nil"/>
              <w:bottom w:val="nil"/>
              <w:right w:val="nil"/>
            </w:tcBorders>
            <w:shd w:val="clear" w:color="auto" w:fill="auto"/>
            <w:noWrap/>
            <w:vAlign w:val="bottom"/>
            <w:hideMark/>
          </w:tcPr>
          <w:p w14:paraId="5C02F3A4" w14:textId="77777777" w:rsidR="003103FF" w:rsidRPr="002E7DBB" w:rsidRDefault="003103FF" w:rsidP="006327AF">
            <w:pPr>
              <w:pStyle w:val="NoSpacing"/>
            </w:pPr>
            <w:r w:rsidRPr="002E7DBB">
              <w:t>Dependents</w:t>
            </w:r>
          </w:p>
        </w:tc>
        <w:tc>
          <w:tcPr>
            <w:tcW w:w="1586" w:type="dxa"/>
            <w:tcBorders>
              <w:top w:val="nil"/>
              <w:left w:val="nil"/>
              <w:bottom w:val="nil"/>
              <w:right w:val="nil"/>
            </w:tcBorders>
            <w:shd w:val="clear" w:color="auto" w:fill="auto"/>
            <w:noWrap/>
            <w:vAlign w:val="bottom"/>
            <w:hideMark/>
          </w:tcPr>
          <w:p w14:paraId="7849B28A" w14:textId="77777777" w:rsidR="003103FF" w:rsidRPr="002E7DBB" w:rsidRDefault="003103FF" w:rsidP="006327AF">
            <w:pPr>
              <w:pStyle w:val="NoSpacing"/>
              <w:jc w:val="center"/>
            </w:pPr>
            <w:r w:rsidRPr="002E7DBB">
              <w:t>3 (42.9%)</w:t>
            </w:r>
          </w:p>
        </w:tc>
        <w:tc>
          <w:tcPr>
            <w:tcW w:w="1684" w:type="dxa"/>
            <w:tcBorders>
              <w:top w:val="nil"/>
              <w:left w:val="nil"/>
              <w:bottom w:val="nil"/>
              <w:right w:val="nil"/>
            </w:tcBorders>
            <w:shd w:val="clear" w:color="auto" w:fill="auto"/>
            <w:noWrap/>
            <w:vAlign w:val="bottom"/>
            <w:hideMark/>
          </w:tcPr>
          <w:p w14:paraId="3E5361C7" w14:textId="77777777" w:rsidR="003103FF" w:rsidRPr="002E7DBB" w:rsidRDefault="003103FF" w:rsidP="006327AF">
            <w:pPr>
              <w:pStyle w:val="NoSpacing"/>
              <w:jc w:val="center"/>
            </w:pPr>
            <w:r w:rsidRPr="002E7DBB">
              <w:t>50 (33.8%)</w:t>
            </w:r>
          </w:p>
        </w:tc>
        <w:tc>
          <w:tcPr>
            <w:tcW w:w="935" w:type="dxa"/>
            <w:tcBorders>
              <w:top w:val="nil"/>
              <w:left w:val="nil"/>
              <w:bottom w:val="nil"/>
              <w:right w:val="nil"/>
            </w:tcBorders>
            <w:shd w:val="clear" w:color="auto" w:fill="auto"/>
            <w:noWrap/>
            <w:vAlign w:val="bottom"/>
            <w:hideMark/>
          </w:tcPr>
          <w:p w14:paraId="1FDADCB2" w14:textId="77777777" w:rsidR="003103FF" w:rsidRPr="002E7DBB" w:rsidRDefault="003103FF" w:rsidP="006327AF">
            <w:pPr>
              <w:pStyle w:val="NoSpacing"/>
              <w:jc w:val="center"/>
            </w:pPr>
            <w:r w:rsidRPr="002E7DBB">
              <w:t>0.69</w:t>
            </w:r>
          </w:p>
        </w:tc>
      </w:tr>
      <w:tr w:rsidR="003103FF" w:rsidRPr="002E7DBB" w14:paraId="0CD4D2EE" w14:textId="77777777" w:rsidTr="006327AF">
        <w:trPr>
          <w:trHeight w:val="250"/>
        </w:trPr>
        <w:tc>
          <w:tcPr>
            <w:tcW w:w="3540" w:type="dxa"/>
            <w:tcBorders>
              <w:top w:val="nil"/>
              <w:left w:val="nil"/>
              <w:bottom w:val="nil"/>
              <w:right w:val="nil"/>
            </w:tcBorders>
            <w:shd w:val="clear" w:color="auto" w:fill="auto"/>
            <w:noWrap/>
            <w:vAlign w:val="bottom"/>
            <w:hideMark/>
          </w:tcPr>
          <w:p w14:paraId="0F8908B9" w14:textId="77777777" w:rsidR="003103FF" w:rsidRPr="002E7DBB" w:rsidRDefault="003103FF" w:rsidP="006327AF">
            <w:pPr>
              <w:pStyle w:val="NoSpacing"/>
            </w:pPr>
            <w:r w:rsidRPr="002E7DBB">
              <w:t>Previous psychological experience</w:t>
            </w:r>
          </w:p>
        </w:tc>
        <w:tc>
          <w:tcPr>
            <w:tcW w:w="1586" w:type="dxa"/>
            <w:tcBorders>
              <w:top w:val="nil"/>
              <w:left w:val="nil"/>
              <w:bottom w:val="nil"/>
              <w:right w:val="nil"/>
            </w:tcBorders>
            <w:shd w:val="clear" w:color="auto" w:fill="auto"/>
            <w:noWrap/>
            <w:vAlign w:val="bottom"/>
            <w:hideMark/>
          </w:tcPr>
          <w:p w14:paraId="1720579C" w14:textId="77777777" w:rsidR="003103FF" w:rsidRPr="002E7DBB" w:rsidRDefault="003103FF" w:rsidP="006327AF">
            <w:pPr>
              <w:pStyle w:val="NoSpacing"/>
              <w:jc w:val="center"/>
            </w:pPr>
            <w:r w:rsidRPr="002E7DBB">
              <w:t>0 (0.0%)</w:t>
            </w:r>
          </w:p>
        </w:tc>
        <w:tc>
          <w:tcPr>
            <w:tcW w:w="1684" w:type="dxa"/>
            <w:tcBorders>
              <w:top w:val="nil"/>
              <w:left w:val="nil"/>
              <w:bottom w:val="nil"/>
              <w:right w:val="nil"/>
            </w:tcBorders>
            <w:shd w:val="clear" w:color="auto" w:fill="auto"/>
            <w:noWrap/>
            <w:vAlign w:val="bottom"/>
            <w:hideMark/>
          </w:tcPr>
          <w:p w14:paraId="4ECDAA34" w14:textId="77777777" w:rsidR="003103FF" w:rsidRPr="002E7DBB" w:rsidRDefault="003103FF" w:rsidP="006327AF">
            <w:pPr>
              <w:pStyle w:val="NoSpacing"/>
              <w:jc w:val="center"/>
            </w:pPr>
            <w:r w:rsidRPr="002E7DBB">
              <w:t>70 (47.3%)</w:t>
            </w:r>
          </w:p>
        </w:tc>
        <w:tc>
          <w:tcPr>
            <w:tcW w:w="935" w:type="dxa"/>
            <w:tcBorders>
              <w:top w:val="nil"/>
              <w:left w:val="nil"/>
              <w:bottom w:val="nil"/>
              <w:right w:val="nil"/>
            </w:tcBorders>
            <w:shd w:val="clear" w:color="auto" w:fill="auto"/>
            <w:noWrap/>
            <w:vAlign w:val="bottom"/>
            <w:hideMark/>
          </w:tcPr>
          <w:p w14:paraId="43075F03" w14:textId="77777777" w:rsidR="003103FF" w:rsidRPr="002E7DBB" w:rsidRDefault="003103FF" w:rsidP="006327AF">
            <w:pPr>
              <w:pStyle w:val="NoSpacing"/>
              <w:jc w:val="center"/>
            </w:pPr>
            <w:r w:rsidRPr="002E7DBB">
              <w:t>0.017</w:t>
            </w:r>
          </w:p>
        </w:tc>
      </w:tr>
      <w:tr w:rsidR="003103FF" w:rsidRPr="002E7DBB" w14:paraId="18D1B09A" w14:textId="77777777" w:rsidTr="006327AF">
        <w:trPr>
          <w:trHeight w:val="250"/>
        </w:trPr>
        <w:tc>
          <w:tcPr>
            <w:tcW w:w="3540" w:type="dxa"/>
            <w:tcBorders>
              <w:top w:val="nil"/>
              <w:left w:val="nil"/>
              <w:bottom w:val="nil"/>
              <w:right w:val="nil"/>
            </w:tcBorders>
            <w:shd w:val="clear" w:color="auto" w:fill="auto"/>
            <w:noWrap/>
            <w:vAlign w:val="bottom"/>
            <w:hideMark/>
          </w:tcPr>
          <w:p w14:paraId="5BACA9F5" w14:textId="77777777" w:rsidR="003103FF" w:rsidRPr="002E7DBB" w:rsidRDefault="003103FF" w:rsidP="006327AF">
            <w:pPr>
              <w:pStyle w:val="NoSpacing"/>
            </w:pPr>
            <w:r w:rsidRPr="002E7DBB">
              <w:t>Previous treatment Anx/Dep</w:t>
            </w:r>
          </w:p>
        </w:tc>
        <w:tc>
          <w:tcPr>
            <w:tcW w:w="1586" w:type="dxa"/>
            <w:tcBorders>
              <w:top w:val="nil"/>
              <w:left w:val="nil"/>
              <w:bottom w:val="nil"/>
              <w:right w:val="nil"/>
            </w:tcBorders>
            <w:shd w:val="clear" w:color="auto" w:fill="auto"/>
            <w:noWrap/>
            <w:vAlign w:val="bottom"/>
            <w:hideMark/>
          </w:tcPr>
          <w:p w14:paraId="0A01105F" w14:textId="77777777" w:rsidR="003103FF" w:rsidRPr="002E7DBB" w:rsidRDefault="003103FF" w:rsidP="006327AF">
            <w:pPr>
              <w:pStyle w:val="NoSpacing"/>
              <w:jc w:val="center"/>
            </w:pPr>
            <w:r w:rsidRPr="002E7DBB">
              <w:t>1 (14.3%)</w:t>
            </w:r>
          </w:p>
        </w:tc>
        <w:tc>
          <w:tcPr>
            <w:tcW w:w="1684" w:type="dxa"/>
            <w:tcBorders>
              <w:top w:val="nil"/>
              <w:left w:val="nil"/>
              <w:bottom w:val="nil"/>
              <w:right w:val="nil"/>
            </w:tcBorders>
            <w:shd w:val="clear" w:color="auto" w:fill="auto"/>
            <w:noWrap/>
            <w:vAlign w:val="bottom"/>
            <w:hideMark/>
          </w:tcPr>
          <w:p w14:paraId="65DDC35B" w14:textId="77777777" w:rsidR="003103FF" w:rsidRPr="002E7DBB" w:rsidRDefault="003103FF" w:rsidP="006327AF">
            <w:pPr>
              <w:pStyle w:val="NoSpacing"/>
              <w:jc w:val="center"/>
            </w:pPr>
            <w:r w:rsidRPr="002E7DBB">
              <w:t>73 (49.3%)</w:t>
            </w:r>
          </w:p>
        </w:tc>
        <w:tc>
          <w:tcPr>
            <w:tcW w:w="935" w:type="dxa"/>
            <w:tcBorders>
              <w:top w:val="nil"/>
              <w:left w:val="nil"/>
              <w:bottom w:val="nil"/>
              <w:right w:val="nil"/>
            </w:tcBorders>
            <w:shd w:val="clear" w:color="auto" w:fill="auto"/>
            <w:noWrap/>
            <w:vAlign w:val="bottom"/>
            <w:hideMark/>
          </w:tcPr>
          <w:p w14:paraId="079C78C4" w14:textId="77777777" w:rsidR="003103FF" w:rsidRPr="002E7DBB" w:rsidRDefault="003103FF" w:rsidP="006327AF">
            <w:pPr>
              <w:pStyle w:val="NoSpacing"/>
              <w:jc w:val="center"/>
            </w:pPr>
            <w:r w:rsidRPr="002E7DBB">
              <w:t>0.12</w:t>
            </w:r>
          </w:p>
        </w:tc>
      </w:tr>
      <w:tr w:rsidR="003103FF" w:rsidRPr="002E7DBB" w14:paraId="58A165D9" w14:textId="77777777" w:rsidTr="006327AF">
        <w:trPr>
          <w:trHeight w:val="250"/>
        </w:trPr>
        <w:tc>
          <w:tcPr>
            <w:tcW w:w="3540" w:type="dxa"/>
            <w:tcBorders>
              <w:top w:val="nil"/>
              <w:left w:val="nil"/>
              <w:bottom w:val="nil"/>
              <w:right w:val="nil"/>
            </w:tcBorders>
            <w:shd w:val="clear" w:color="auto" w:fill="auto"/>
            <w:noWrap/>
            <w:vAlign w:val="bottom"/>
            <w:hideMark/>
          </w:tcPr>
          <w:p w14:paraId="3F70BCAB" w14:textId="77777777" w:rsidR="003103FF" w:rsidRPr="002E7DBB" w:rsidRDefault="003103FF" w:rsidP="006327AF">
            <w:pPr>
              <w:pStyle w:val="NoSpacing"/>
            </w:pPr>
            <w:r w:rsidRPr="002E7DBB">
              <w:t>Possible Anx/Dep</w:t>
            </w:r>
          </w:p>
        </w:tc>
        <w:tc>
          <w:tcPr>
            <w:tcW w:w="1586" w:type="dxa"/>
            <w:tcBorders>
              <w:top w:val="nil"/>
              <w:left w:val="nil"/>
              <w:bottom w:val="nil"/>
              <w:right w:val="nil"/>
            </w:tcBorders>
            <w:shd w:val="clear" w:color="auto" w:fill="auto"/>
            <w:noWrap/>
            <w:vAlign w:val="bottom"/>
            <w:hideMark/>
          </w:tcPr>
          <w:p w14:paraId="6302B2DA" w14:textId="77777777" w:rsidR="003103FF" w:rsidRPr="002E7DBB" w:rsidRDefault="003103FF" w:rsidP="006327AF">
            <w:pPr>
              <w:pStyle w:val="NoSpacing"/>
              <w:jc w:val="center"/>
            </w:pPr>
            <w:r w:rsidRPr="002E7DBB">
              <w:t>5 (71.4%)</w:t>
            </w:r>
          </w:p>
        </w:tc>
        <w:tc>
          <w:tcPr>
            <w:tcW w:w="1684" w:type="dxa"/>
            <w:tcBorders>
              <w:top w:val="nil"/>
              <w:left w:val="nil"/>
              <w:bottom w:val="nil"/>
              <w:right w:val="nil"/>
            </w:tcBorders>
            <w:shd w:val="clear" w:color="auto" w:fill="auto"/>
            <w:noWrap/>
            <w:vAlign w:val="bottom"/>
            <w:hideMark/>
          </w:tcPr>
          <w:p w14:paraId="79944104" w14:textId="77777777" w:rsidR="003103FF" w:rsidRPr="002E7DBB" w:rsidRDefault="003103FF" w:rsidP="006327AF">
            <w:pPr>
              <w:pStyle w:val="NoSpacing"/>
              <w:jc w:val="center"/>
            </w:pPr>
            <w:r w:rsidRPr="002E7DBB">
              <w:t>123 (83.1%)</w:t>
            </w:r>
          </w:p>
        </w:tc>
        <w:tc>
          <w:tcPr>
            <w:tcW w:w="935" w:type="dxa"/>
            <w:tcBorders>
              <w:top w:val="nil"/>
              <w:left w:val="nil"/>
              <w:bottom w:val="nil"/>
              <w:right w:val="nil"/>
            </w:tcBorders>
            <w:shd w:val="clear" w:color="auto" w:fill="auto"/>
            <w:noWrap/>
            <w:vAlign w:val="bottom"/>
            <w:hideMark/>
          </w:tcPr>
          <w:p w14:paraId="478F1EE7" w14:textId="77777777" w:rsidR="003103FF" w:rsidRPr="002E7DBB" w:rsidRDefault="003103FF" w:rsidP="006327AF">
            <w:pPr>
              <w:pStyle w:val="NoSpacing"/>
              <w:jc w:val="center"/>
            </w:pPr>
            <w:r w:rsidRPr="002E7DBB">
              <w:t>0.35</w:t>
            </w:r>
          </w:p>
        </w:tc>
      </w:tr>
      <w:tr w:rsidR="003103FF" w:rsidRPr="002E7DBB" w14:paraId="729A7380" w14:textId="77777777" w:rsidTr="006327AF">
        <w:trPr>
          <w:trHeight w:val="250"/>
        </w:trPr>
        <w:tc>
          <w:tcPr>
            <w:tcW w:w="3540" w:type="dxa"/>
            <w:tcBorders>
              <w:top w:val="nil"/>
              <w:left w:val="nil"/>
              <w:bottom w:val="nil"/>
              <w:right w:val="nil"/>
            </w:tcBorders>
            <w:shd w:val="clear" w:color="auto" w:fill="auto"/>
            <w:noWrap/>
            <w:vAlign w:val="bottom"/>
            <w:hideMark/>
          </w:tcPr>
          <w:p w14:paraId="42CD1F2E" w14:textId="77777777" w:rsidR="003103FF" w:rsidRPr="002E7DBB" w:rsidRDefault="003103FF" w:rsidP="006327AF">
            <w:pPr>
              <w:pStyle w:val="NoSpacing"/>
            </w:pPr>
            <w:r w:rsidRPr="002E7DBB">
              <w:t>INQoL Total, baseline, mean (SD)</w:t>
            </w:r>
          </w:p>
        </w:tc>
        <w:tc>
          <w:tcPr>
            <w:tcW w:w="1586" w:type="dxa"/>
            <w:tcBorders>
              <w:top w:val="nil"/>
              <w:left w:val="nil"/>
              <w:bottom w:val="nil"/>
              <w:right w:val="nil"/>
            </w:tcBorders>
            <w:shd w:val="clear" w:color="auto" w:fill="auto"/>
            <w:noWrap/>
            <w:vAlign w:val="bottom"/>
            <w:hideMark/>
          </w:tcPr>
          <w:p w14:paraId="52321063" w14:textId="77777777" w:rsidR="003103FF" w:rsidRDefault="003103FF" w:rsidP="006327AF">
            <w:pPr>
              <w:pStyle w:val="NoSpacing"/>
              <w:jc w:val="center"/>
            </w:pPr>
            <w:r>
              <w:t>56.4 (24.0)</w:t>
            </w:r>
          </w:p>
        </w:tc>
        <w:tc>
          <w:tcPr>
            <w:tcW w:w="1684" w:type="dxa"/>
            <w:tcBorders>
              <w:top w:val="nil"/>
              <w:left w:val="nil"/>
              <w:bottom w:val="nil"/>
              <w:right w:val="nil"/>
            </w:tcBorders>
            <w:shd w:val="clear" w:color="auto" w:fill="auto"/>
            <w:noWrap/>
            <w:vAlign w:val="bottom"/>
            <w:hideMark/>
          </w:tcPr>
          <w:p w14:paraId="65AB7649" w14:textId="77777777" w:rsidR="003103FF" w:rsidRDefault="003103FF" w:rsidP="006327AF">
            <w:pPr>
              <w:pStyle w:val="NoSpacing"/>
              <w:jc w:val="center"/>
            </w:pPr>
            <w:r>
              <w:t>59.8 (17.4)</w:t>
            </w:r>
          </w:p>
        </w:tc>
        <w:tc>
          <w:tcPr>
            <w:tcW w:w="935" w:type="dxa"/>
            <w:tcBorders>
              <w:top w:val="nil"/>
              <w:left w:val="nil"/>
              <w:bottom w:val="nil"/>
              <w:right w:val="nil"/>
            </w:tcBorders>
            <w:shd w:val="clear" w:color="auto" w:fill="auto"/>
            <w:noWrap/>
            <w:vAlign w:val="bottom"/>
            <w:hideMark/>
          </w:tcPr>
          <w:p w14:paraId="7DE5C3EE" w14:textId="77777777" w:rsidR="003103FF" w:rsidRDefault="003103FF" w:rsidP="006327AF">
            <w:pPr>
              <w:pStyle w:val="NoSpacing"/>
              <w:jc w:val="center"/>
            </w:pPr>
            <w:r>
              <w:t>0.67</w:t>
            </w:r>
          </w:p>
        </w:tc>
      </w:tr>
      <w:tr w:rsidR="003103FF" w:rsidRPr="002E7DBB" w14:paraId="56397103" w14:textId="77777777" w:rsidTr="006327AF">
        <w:trPr>
          <w:trHeight w:val="250"/>
        </w:trPr>
        <w:tc>
          <w:tcPr>
            <w:tcW w:w="3540" w:type="dxa"/>
            <w:tcBorders>
              <w:top w:val="nil"/>
              <w:left w:val="nil"/>
              <w:bottom w:val="nil"/>
              <w:right w:val="nil"/>
            </w:tcBorders>
            <w:shd w:val="clear" w:color="auto" w:fill="auto"/>
            <w:noWrap/>
            <w:vAlign w:val="bottom"/>
            <w:hideMark/>
          </w:tcPr>
          <w:p w14:paraId="2A4DE106" w14:textId="77777777" w:rsidR="003103FF" w:rsidRPr="002E7DBB" w:rsidRDefault="003103FF" w:rsidP="006327AF">
            <w:pPr>
              <w:pStyle w:val="NoSpacing"/>
            </w:pPr>
            <w:r w:rsidRPr="002E7DBB">
              <w:t>WSAS, mean (SD)</w:t>
            </w:r>
          </w:p>
        </w:tc>
        <w:tc>
          <w:tcPr>
            <w:tcW w:w="1586" w:type="dxa"/>
            <w:tcBorders>
              <w:top w:val="nil"/>
              <w:left w:val="nil"/>
              <w:bottom w:val="nil"/>
              <w:right w:val="nil"/>
            </w:tcBorders>
            <w:shd w:val="clear" w:color="auto" w:fill="auto"/>
            <w:noWrap/>
            <w:vAlign w:val="bottom"/>
            <w:hideMark/>
          </w:tcPr>
          <w:p w14:paraId="08BE6FD6" w14:textId="77777777" w:rsidR="003103FF" w:rsidRPr="002E7DBB" w:rsidRDefault="003103FF" w:rsidP="006327AF">
            <w:pPr>
              <w:pStyle w:val="NoSpacing"/>
              <w:jc w:val="center"/>
            </w:pPr>
            <w:r w:rsidRPr="002E7DBB">
              <w:t>40.0 (12.4)</w:t>
            </w:r>
          </w:p>
        </w:tc>
        <w:tc>
          <w:tcPr>
            <w:tcW w:w="1684" w:type="dxa"/>
            <w:tcBorders>
              <w:top w:val="nil"/>
              <w:left w:val="nil"/>
              <w:bottom w:val="nil"/>
              <w:right w:val="nil"/>
            </w:tcBorders>
            <w:shd w:val="clear" w:color="auto" w:fill="auto"/>
            <w:noWrap/>
            <w:vAlign w:val="bottom"/>
            <w:hideMark/>
          </w:tcPr>
          <w:p w14:paraId="0CD51141" w14:textId="77777777" w:rsidR="003103FF" w:rsidRPr="002E7DBB" w:rsidRDefault="003103FF" w:rsidP="006327AF">
            <w:pPr>
              <w:pStyle w:val="NoSpacing"/>
              <w:jc w:val="center"/>
            </w:pPr>
            <w:r w:rsidRPr="002E7DBB">
              <w:t>36.9 (15.5)</w:t>
            </w:r>
          </w:p>
        </w:tc>
        <w:tc>
          <w:tcPr>
            <w:tcW w:w="935" w:type="dxa"/>
            <w:tcBorders>
              <w:top w:val="nil"/>
              <w:left w:val="nil"/>
              <w:bottom w:val="nil"/>
              <w:right w:val="nil"/>
            </w:tcBorders>
            <w:shd w:val="clear" w:color="auto" w:fill="auto"/>
            <w:noWrap/>
            <w:vAlign w:val="bottom"/>
            <w:hideMark/>
          </w:tcPr>
          <w:p w14:paraId="65039A0A" w14:textId="77777777" w:rsidR="003103FF" w:rsidRPr="002E7DBB" w:rsidRDefault="003103FF" w:rsidP="006327AF">
            <w:pPr>
              <w:pStyle w:val="NoSpacing"/>
              <w:jc w:val="center"/>
            </w:pPr>
            <w:r w:rsidRPr="002E7DBB">
              <w:t>0.63</w:t>
            </w:r>
          </w:p>
        </w:tc>
      </w:tr>
      <w:tr w:rsidR="003103FF" w:rsidRPr="002E7DBB" w14:paraId="55BF73EE" w14:textId="77777777" w:rsidTr="006327AF">
        <w:trPr>
          <w:trHeight w:val="250"/>
        </w:trPr>
        <w:tc>
          <w:tcPr>
            <w:tcW w:w="3540" w:type="dxa"/>
            <w:tcBorders>
              <w:top w:val="nil"/>
              <w:left w:val="nil"/>
              <w:bottom w:val="nil"/>
              <w:right w:val="nil"/>
            </w:tcBorders>
            <w:shd w:val="clear" w:color="auto" w:fill="auto"/>
            <w:noWrap/>
            <w:vAlign w:val="bottom"/>
            <w:hideMark/>
          </w:tcPr>
          <w:p w14:paraId="74B151D5" w14:textId="77777777" w:rsidR="003103FF" w:rsidRPr="002E7DBB" w:rsidRDefault="003103FF" w:rsidP="006327AF">
            <w:pPr>
              <w:pStyle w:val="NoSpacing"/>
            </w:pPr>
            <w:r w:rsidRPr="002E7DBB">
              <w:t>HADS Anxiety, mean (SD)</w:t>
            </w:r>
          </w:p>
        </w:tc>
        <w:tc>
          <w:tcPr>
            <w:tcW w:w="1586" w:type="dxa"/>
            <w:tcBorders>
              <w:top w:val="nil"/>
              <w:left w:val="nil"/>
              <w:bottom w:val="nil"/>
              <w:right w:val="nil"/>
            </w:tcBorders>
            <w:shd w:val="clear" w:color="auto" w:fill="auto"/>
            <w:noWrap/>
            <w:vAlign w:val="bottom"/>
            <w:hideMark/>
          </w:tcPr>
          <w:p w14:paraId="519D5F19" w14:textId="77777777" w:rsidR="003103FF" w:rsidRPr="002E7DBB" w:rsidRDefault="003103FF" w:rsidP="006327AF">
            <w:pPr>
              <w:pStyle w:val="NoSpacing"/>
              <w:jc w:val="center"/>
            </w:pPr>
            <w:r w:rsidRPr="002E7DBB">
              <w:t>9.2 (4.6)</w:t>
            </w:r>
          </w:p>
        </w:tc>
        <w:tc>
          <w:tcPr>
            <w:tcW w:w="1684" w:type="dxa"/>
            <w:tcBorders>
              <w:top w:val="nil"/>
              <w:left w:val="nil"/>
              <w:bottom w:val="nil"/>
              <w:right w:val="nil"/>
            </w:tcBorders>
            <w:shd w:val="clear" w:color="auto" w:fill="auto"/>
            <w:noWrap/>
            <w:vAlign w:val="bottom"/>
            <w:hideMark/>
          </w:tcPr>
          <w:p w14:paraId="1D5632B4" w14:textId="77777777" w:rsidR="003103FF" w:rsidRPr="002E7DBB" w:rsidRDefault="003103FF" w:rsidP="006327AF">
            <w:pPr>
              <w:pStyle w:val="NoSpacing"/>
              <w:jc w:val="center"/>
            </w:pPr>
            <w:r w:rsidRPr="002E7DBB">
              <w:t>9.7 (3.7)</w:t>
            </w:r>
          </w:p>
        </w:tc>
        <w:tc>
          <w:tcPr>
            <w:tcW w:w="935" w:type="dxa"/>
            <w:tcBorders>
              <w:top w:val="nil"/>
              <w:left w:val="nil"/>
              <w:bottom w:val="nil"/>
              <w:right w:val="nil"/>
            </w:tcBorders>
            <w:shd w:val="clear" w:color="auto" w:fill="auto"/>
            <w:noWrap/>
            <w:vAlign w:val="bottom"/>
            <w:hideMark/>
          </w:tcPr>
          <w:p w14:paraId="0EE3D718" w14:textId="77777777" w:rsidR="003103FF" w:rsidRPr="002E7DBB" w:rsidRDefault="003103FF" w:rsidP="006327AF">
            <w:pPr>
              <w:pStyle w:val="NoSpacing"/>
              <w:jc w:val="center"/>
            </w:pPr>
            <w:r w:rsidRPr="002E7DBB">
              <w:t>0.73</w:t>
            </w:r>
          </w:p>
        </w:tc>
      </w:tr>
      <w:tr w:rsidR="003103FF" w:rsidRPr="002E7DBB" w14:paraId="393BA464" w14:textId="77777777" w:rsidTr="006327AF">
        <w:trPr>
          <w:trHeight w:val="250"/>
        </w:trPr>
        <w:tc>
          <w:tcPr>
            <w:tcW w:w="3540" w:type="dxa"/>
            <w:tcBorders>
              <w:top w:val="nil"/>
              <w:left w:val="nil"/>
              <w:right w:val="nil"/>
            </w:tcBorders>
            <w:shd w:val="clear" w:color="auto" w:fill="auto"/>
            <w:noWrap/>
            <w:vAlign w:val="bottom"/>
            <w:hideMark/>
          </w:tcPr>
          <w:p w14:paraId="2CCF64DA" w14:textId="77777777" w:rsidR="003103FF" w:rsidRPr="002E7DBB" w:rsidRDefault="003103FF" w:rsidP="006327AF">
            <w:pPr>
              <w:pStyle w:val="NoSpacing"/>
            </w:pPr>
            <w:r w:rsidRPr="002E7DBB">
              <w:t>HADS Depression, mean (SD)</w:t>
            </w:r>
          </w:p>
        </w:tc>
        <w:tc>
          <w:tcPr>
            <w:tcW w:w="1586" w:type="dxa"/>
            <w:tcBorders>
              <w:top w:val="nil"/>
              <w:left w:val="nil"/>
              <w:right w:val="nil"/>
            </w:tcBorders>
            <w:shd w:val="clear" w:color="auto" w:fill="auto"/>
            <w:noWrap/>
            <w:vAlign w:val="bottom"/>
            <w:hideMark/>
          </w:tcPr>
          <w:p w14:paraId="2B5CCE8C" w14:textId="77777777" w:rsidR="003103FF" w:rsidRPr="002E7DBB" w:rsidRDefault="003103FF" w:rsidP="006327AF">
            <w:pPr>
              <w:pStyle w:val="NoSpacing"/>
              <w:jc w:val="center"/>
            </w:pPr>
            <w:r w:rsidRPr="002E7DBB">
              <w:t>9.8 (4.2)</w:t>
            </w:r>
          </w:p>
        </w:tc>
        <w:tc>
          <w:tcPr>
            <w:tcW w:w="1684" w:type="dxa"/>
            <w:tcBorders>
              <w:top w:val="nil"/>
              <w:left w:val="nil"/>
              <w:right w:val="nil"/>
            </w:tcBorders>
            <w:shd w:val="clear" w:color="auto" w:fill="auto"/>
            <w:noWrap/>
            <w:vAlign w:val="bottom"/>
            <w:hideMark/>
          </w:tcPr>
          <w:p w14:paraId="226C920D" w14:textId="77777777" w:rsidR="003103FF" w:rsidRPr="002E7DBB" w:rsidRDefault="003103FF" w:rsidP="006327AF">
            <w:pPr>
              <w:pStyle w:val="NoSpacing"/>
              <w:jc w:val="center"/>
            </w:pPr>
            <w:r w:rsidRPr="002E7DBB">
              <w:t>9.5 (3.1)</w:t>
            </w:r>
          </w:p>
        </w:tc>
        <w:tc>
          <w:tcPr>
            <w:tcW w:w="935" w:type="dxa"/>
            <w:tcBorders>
              <w:top w:val="nil"/>
              <w:left w:val="nil"/>
              <w:right w:val="nil"/>
            </w:tcBorders>
            <w:shd w:val="clear" w:color="auto" w:fill="auto"/>
            <w:noWrap/>
            <w:vAlign w:val="bottom"/>
            <w:hideMark/>
          </w:tcPr>
          <w:p w14:paraId="3A2BB140" w14:textId="77777777" w:rsidR="003103FF" w:rsidRPr="002E7DBB" w:rsidRDefault="003103FF" w:rsidP="006327AF">
            <w:pPr>
              <w:pStyle w:val="NoSpacing"/>
              <w:jc w:val="center"/>
            </w:pPr>
            <w:r w:rsidRPr="002E7DBB">
              <w:t>0.77</w:t>
            </w:r>
          </w:p>
        </w:tc>
      </w:tr>
      <w:tr w:rsidR="003103FF" w:rsidRPr="002E7DBB" w14:paraId="42E22F63" w14:textId="77777777" w:rsidTr="006327AF">
        <w:trPr>
          <w:trHeight w:val="250"/>
        </w:trPr>
        <w:tc>
          <w:tcPr>
            <w:tcW w:w="3540" w:type="dxa"/>
            <w:tcBorders>
              <w:top w:val="nil"/>
              <w:left w:val="nil"/>
              <w:bottom w:val="single" w:sz="4" w:space="0" w:color="auto"/>
              <w:right w:val="nil"/>
            </w:tcBorders>
            <w:shd w:val="clear" w:color="auto" w:fill="auto"/>
            <w:noWrap/>
            <w:vAlign w:val="bottom"/>
            <w:hideMark/>
          </w:tcPr>
          <w:p w14:paraId="401E5663" w14:textId="77777777" w:rsidR="003103FF" w:rsidRPr="002E7DBB" w:rsidRDefault="003103FF" w:rsidP="006327AF">
            <w:pPr>
              <w:pStyle w:val="NoSpacing"/>
            </w:pPr>
            <w:r w:rsidRPr="002E7DBB">
              <w:t>HAQ Disability, mean (SD)</w:t>
            </w:r>
          </w:p>
        </w:tc>
        <w:tc>
          <w:tcPr>
            <w:tcW w:w="1586" w:type="dxa"/>
            <w:tcBorders>
              <w:top w:val="nil"/>
              <w:left w:val="nil"/>
              <w:bottom w:val="single" w:sz="4" w:space="0" w:color="auto"/>
              <w:right w:val="nil"/>
            </w:tcBorders>
            <w:shd w:val="clear" w:color="auto" w:fill="auto"/>
            <w:noWrap/>
            <w:vAlign w:val="bottom"/>
            <w:hideMark/>
          </w:tcPr>
          <w:p w14:paraId="66E4E76F" w14:textId="77777777" w:rsidR="003103FF" w:rsidRPr="002E7DBB" w:rsidRDefault="003103FF" w:rsidP="006327AF">
            <w:pPr>
              <w:pStyle w:val="NoSpacing"/>
              <w:jc w:val="center"/>
            </w:pPr>
            <w:r w:rsidRPr="002E7DBB">
              <w:t>1.5 (0.8)</w:t>
            </w:r>
          </w:p>
        </w:tc>
        <w:tc>
          <w:tcPr>
            <w:tcW w:w="1684" w:type="dxa"/>
            <w:tcBorders>
              <w:top w:val="nil"/>
              <w:left w:val="nil"/>
              <w:bottom w:val="single" w:sz="4" w:space="0" w:color="auto"/>
              <w:right w:val="nil"/>
            </w:tcBorders>
            <w:shd w:val="clear" w:color="auto" w:fill="auto"/>
            <w:noWrap/>
            <w:vAlign w:val="bottom"/>
            <w:hideMark/>
          </w:tcPr>
          <w:p w14:paraId="768F747F" w14:textId="77777777" w:rsidR="003103FF" w:rsidRPr="002E7DBB" w:rsidRDefault="003103FF" w:rsidP="006327AF">
            <w:pPr>
              <w:pStyle w:val="NoSpacing"/>
              <w:jc w:val="center"/>
            </w:pPr>
            <w:r w:rsidRPr="002E7DBB">
              <w:t>1.8 (0.8)</w:t>
            </w:r>
          </w:p>
        </w:tc>
        <w:tc>
          <w:tcPr>
            <w:tcW w:w="935" w:type="dxa"/>
            <w:tcBorders>
              <w:top w:val="nil"/>
              <w:left w:val="nil"/>
              <w:bottom w:val="single" w:sz="4" w:space="0" w:color="auto"/>
              <w:right w:val="nil"/>
            </w:tcBorders>
            <w:shd w:val="clear" w:color="auto" w:fill="auto"/>
            <w:noWrap/>
            <w:vAlign w:val="bottom"/>
            <w:hideMark/>
          </w:tcPr>
          <w:p w14:paraId="787530E8" w14:textId="77777777" w:rsidR="003103FF" w:rsidRPr="002E7DBB" w:rsidRDefault="003103FF" w:rsidP="006327AF">
            <w:pPr>
              <w:pStyle w:val="NoSpacing"/>
              <w:jc w:val="center"/>
            </w:pPr>
            <w:r w:rsidRPr="002E7DBB">
              <w:t>0.38</w:t>
            </w:r>
          </w:p>
        </w:tc>
      </w:tr>
    </w:tbl>
    <w:p w14:paraId="7A40D396" w14:textId="77777777" w:rsidR="003103FF" w:rsidRDefault="003103FF" w:rsidP="003103FF">
      <w:pPr>
        <w:pStyle w:val="Caption"/>
      </w:pPr>
    </w:p>
    <w:p w14:paraId="24020D8A" w14:textId="77777777" w:rsidR="003103FF" w:rsidRDefault="003103FF" w:rsidP="003103FF">
      <w:pPr>
        <w:rPr>
          <w:b/>
          <w:iCs/>
          <w:sz w:val="20"/>
          <w:szCs w:val="18"/>
        </w:rPr>
      </w:pPr>
      <w:r>
        <w:br w:type="page"/>
      </w:r>
    </w:p>
    <w:p w14:paraId="7DCE3E45" w14:textId="28DBC008" w:rsidR="003103FF" w:rsidRDefault="003103FF" w:rsidP="003103FF">
      <w:pPr>
        <w:pStyle w:val="Caption"/>
      </w:pPr>
      <w:r>
        <w:lastRenderedPageBreak/>
        <w:t>Table</w:t>
      </w:r>
      <w:r w:rsidR="00BF14EC">
        <w:t xml:space="preserve"> 2</w:t>
      </w:r>
      <w:r>
        <w:rPr>
          <w:noProof/>
        </w:rPr>
        <w:t>. Baseline variables for those completing at least one post-randomisation assessment vs not</w:t>
      </w:r>
    </w:p>
    <w:tbl>
      <w:tblPr>
        <w:tblW w:w="7648" w:type="dxa"/>
        <w:tblLook w:val="04A0" w:firstRow="1" w:lastRow="0" w:firstColumn="1" w:lastColumn="0" w:noHBand="0" w:noVBand="1"/>
      </w:tblPr>
      <w:tblGrid>
        <w:gridCol w:w="3443"/>
        <w:gridCol w:w="1705"/>
        <w:gridCol w:w="1565"/>
        <w:gridCol w:w="935"/>
      </w:tblGrid>
      <w:tr w:rsidR="003103FF" w:rsidRPr="002E7DBB" w14:paraId="75C0992F" w14:textId="77777777" w:rsidTr="006327AF">
        <w:trPr>
          <w:trHeight w:val="250"/>
        </w:trPr>
        <w:tc>
          <w:tcPr>
            <w:tcW w:w="3443" w:type="dxa"/>
            <w:tcBorders>
              <w:top w:val="single" w:sz="4" w:space="0" w:color="auto"/>
              <w:left w:val="nil"/>
              <w:bottom w:val="single" w:sz="4" w:space="0" w:color="auto"/>
              <w:right w:val="nil"/>
            </w:tcBorders>
            <w:shd w:val="clear" w:color="auto" w:fill="auto"/>
            <w:noWrap/>
            <w:vAlign w:val="bottom"/>
            <w:hideMark/>
          </w:tcPr>
          <w:p w14:paraId="6C37E6C8" w14:textId="77777777" w:rsidR="003103FF" w:rsidRPr="002E7DBB" w:rsidRDefault="003103FF" w:rsidP="006327AF">
            <w:pPr>
              <w:pStyle w:val="NoSpacing"/>
            </w:pPr>
            <w:r w:rsidRPr="002E7DBB">
              <w:t>Factor</w:t>
            </w:r>
          </w:p>
        </w:tc>
        <w:tc>
          <w:tcPr>
            <w:tcW w:w="1705" w:type="dxa"/>
            <w:tcBorders>
              <w:top w:val="single" w:sz="4" w:space="0" w:color="auto"/>
              <w:left w:val="nil"/>
              <w:bottom w:val="single" w:sz="4" w:space="0" w:color="auto"/>
              <w:right w:val="nil"/>
            </w:tcBorders>
            <w:shd w:val="clear" w:color="auto" w:fill="auto"/>
            <w:noWrap/>
            <w:vAlign w:val="bottom"/>
            <w:hideMark/>
          </w:tcPr>
          <w:p w14:paraId="379D8177" w14:textId="77777777" w:rsidR="003103FF" w:rsidRPr="002E7DBB" w:rsidRDefault="003103FF" w:rsidP="006327AF">
            <w:pPr>
              <w:pStyle w:val="NoSpacing"/>
              <w:jc w:val="center"/>
            </w:pPr>
            <w:r w:rsidRPr="002E7DBB">
              <w:t xml:space="preserve">Loss </w:t>
            </w:r>
            <w:r>
              <w:t>by 9    weeks</w:t>
            </w:r>
            <w:r w:rsidRPr="002E7DBB">
              <w:t xml:space="preserve"> (n=17)</w:t>
            </w:r>
            <w:r>
              <w:t xml:space="preserve"> </w:t>
            </w:r>
          </w:p>
        </w:tc>
        <w:tc>
          <w:tcPr>
            <w:tcW w:w="1565" w:type="dxa"/>
            <w:tcBorders>
              <w:top w:val="single" w:sz="4" w:space="0" w:color="auto"/>
              <w:left w:val="nil"/>
              <w:bottom w:val="single" w:sz="4" w:space="0" w:color="auto"/>
              <w:right w:val="nil"/>
            </w:tcBorders>
            <w:shd w:val="clear" w:color="auto" w:fill="auto"/>
            <w:noWrap/>
            <w:vAlign w:val="bottom"/>
            <w:hideMark/>
          </w:tcPr>
          <w:p w14:paraId="307C80FB" w14:textId="77777777" w:rsidR="003103FF" w:rsidRPr="002E7DBB" w:rsidRDefault="003103FF" w:rsidP="006327AF">
            <w:pPr>
              <w:pStyle w:val="NoSpacing"/>
              <w:jc w:val="center"/>
            </w:pPr>
            <w:r>
              <w:t xml:space="preserve">Completed 9 weeks </w:t>
            </w:r>
            <w:r w:rsidRPr="002E7DBB">
              <w:t>(n=138)</w:t>
            </w:r>
          </w:p>
        </w:tc>
        <w:tc>
          <w:tcPr>
            <w:tcW w:w="935" w:type="dxa"/>
            <w:tcBorders>
              <w:top w:val="single" w:sz="4" w:space="0" w:color="auto"/>
              <w:left w:val="nil"/>
              <w:bottom w:val="single" w:sz="4" w:space="0" w:color="auto"/>
              <w:right w:val="nil"/>
            </w:tcBorders>
            <w:shd w:val="clear" w:color="auto" w:fill="auto"/>
            <w:noWrap/>
            <w:vAlign w:val="bottom"/>
            <w:hideMark/>
          </w:tcPr>
          <w:p w14:paraId="336CF35A" w14:textId="77777777" w:rsidR="003103FF" w:rsidRPr="002E7DBB" w:rsidRDefault="003103FF" w:rsidP="006327AF">
            <w:pPr>
              <w:pStyle w:val="NoSpacing"/>
              <w:jc w:val="center"/>
            </w:pPr>
            <w:r w:rsidRPr="002E7DBB">
              <w:t>p-value</w:t>
            </w:r>
          </w:p>
        </w:tc>
      </w:tr>
      <w:tr w:rsidR="003103FF" w:rsidRPr="002E7DBB" w14:paraId="3797AA28" w14:textId="77777777" w:rsidTr="006327AF">
        <w:trPr>
          <w:trHeight w:val="250"/>
        </w:trPr>
        <w:tc>
          <w:tcPr>
            <w:tcW w:w="3443" w:type="dxa"/>
            <w:tcBorders>
              <w:top w:val="single" w:sz="4" w:space="0" w:color="auto"/>
              <w:left w:val="nil"/>
              <w:bottom w:val="nil"/>
              <w:right w:val="nil"/>
            </w:tcBorders>
            <w:shd w:val="clear" w:color="auto" w:fill="auto"/>
            <w:noWrap/>
            <w:vAlign w:val="bottom"/>
            <w:hideMark/>
          </w:tcPr>
          <w:p w14:paraId="78C1A9F0" w14:textId="77777777" w:rsidR="003103FF" w:rsidRPr="002E7DBB" w:rsidRDefault="003103FF" w:rsidP="006327AF">
            <w:pPr>
              <w:pStyle w:val="NoSpacing"/>
            </w:pPr>
            <w:r w:rsidRPr="002E7DBB">
              <w:t>Age, mean (SD)</w:t>
            </w:r>
          </w:p>
        </w:tc>
        <w:tc>
          <w:tcPr>
            <w:tcW w:w="1705" w:type="dxa"/>
            <w:tcBorders>
              <w:top w:val="single" w:sz="4" w:space="0" w:color="auto"/>
              <w:left w:val="nil"/>
              <w:bottom w:val="nil"/>
              <w:right w:val="nil"/>
            </w:tcBorders>
            <w:shd w:val="clear" w:color="auto" w:fill="auto"/>
            <w:noWrap/>
            <w:vAlign w:val="bottom"/>
            <w:hideMark/>
          </w:tcPr>
          <w:p w14:paraId="38A164C8" w14:textId="77777777" w:rsidR="003103FF" w:rsidRPr="002E7DBB" w:rsidRDefault="003103FF" w:rsidP="006327AF">
            <w:pPr>
              <w:pStyle w:val="NoSpacing"/>
              <w:jc w:val="center"/>
            </w:pPr>
            <w:r w:rsidRPr="002E7DBB">
              <w:t>52.1 (14.7)</w:t>
            </w:r>
          </w:p>
        </w:tc>
        <w:tc>
          <w:tcPr>
            <w:tcW w:w="1565" w:type="dxa"/>
            <w:tcBorders>
              <w:top w:val="single" w:sz="4" w:space="0" w:color="auto"/>
              <w:left w:val="nil"/>
              <w:bottom w:val="nil"/>
              <w:right w:val="nil"/>
            </w:tcBorders>
            <w:shd w:val="clear" w:color="auto" w:fill="auto"/>
            <w:noWrap/>
            <w:vAlign w:val="bottom"/>
            <w:hideMark/>
          </w:tcPr>
          <w:p w14:paraId="22A42B98" w14:textId="77777777" w:rsidR="003103FF" w:rsidRPr="002E7DBB" w:rsidRDefault="003103FF" w:rsidP="006327AF">
            <w:pPr>
              <w:pStyle w:val="NoSpacing"/>
              <w:jc w:val="center"/>
            </w:pPr>
            <w:r w:rsidRPr="002E7DBB">
              <w:t>52.9 (15.6)</w:t>
            </w:r>
          </w:p>
        </w:tc>
        <w:tc>
          <w:tcPr>
            <w:tcW w:w="935" w:type="dxa"/>
            <w:tcBorders>
              <w:top w:val="single" w:sz="4" w:space="0" w:color="auto"/>
              <w:left w:val="nil"/>
              <w:bottom w:val="nil"/>
              <w:right w:val="nil"/>
            </w:tcBorders>
            <w:shd w:val="clear" w:color="auto" w:fill="auto"/>
            <w:noWrap/>
            <w:vAlign w:val="bottom"/>
            <w:hideMark/>
          </w:tcPr>
          <w:p w14:paraId="0F291F05" w14:textId="77777777" w:rsidR="003103FF" w:rsidRPr="002E7DBB" w:rsidRDefault="003103FF" w:rsidP="006327AF">
            <w:pPr>
              <w:pStyle w:val="NoSpacing"/>
              <w:jc w:val="center"/>
            </w:pPr>
            <w:r w:rsidRPr="002E7DBB">
              <w:t>0.84</w:t>
            </w:r>
          </w:p>
        </w:tc>
      </w:tr>
      <w:tr w:rsidR="003103FF" w:rsidRPr="002E7DBB" w14:paraId="5FF27598" w14:textId="77777777" w:rsidTr="006327AF">
        <w:trPr>
          <w:trHeight w:val="250"/>
        </w:trPr>
        <w:tc>
          <w:tcPr>
            <w:tcW w:w="3443" w:type="dxa"/>
            <w:tcBorders>
              <w:top w:val="nil"/>
              <w:left w:val="nil"/>
              <w:bottom w:val="nil"/>
              <w:right w:val="nil"/>
            </w:tcBorders>
            <w:shd w:val="clear" w:color="auto" w:fill="auto"/>
            <w:noWrap/>
            <w:vAlign w:val="bottom"/>
            <w:hideMark/>
          </w:tcPr>
          <w:p w14:paraId="506781DE" w14:textId="77777777" w:rsidR="003103FF" w:rsidRPr="002E7DBB" w:rsidRDefault="003103FF" w:rsidP="006327AF">
            <w:pPr>
              <w:pStyle w:val="NoSpacing"/>
            </w:pPr>
            <w:r w:rsidRPr="002E7DBB">
              <w:t>Female</w:t>
            </w:r>
          </w:p>
        </w:tc>
        <w:tc>
          <w:tcPr>
            <w:tcW w:w="1705" w:type="dxa"/>
            <w:tcBorders>
              <w:top w:val="nil"/>
              <w:left w:val="nil"/>
              <w:bottom w:val="nil"/>
              <w:right w:val="nil"/>
            </w:tcBorders>
            <w:shd w:val="clear" w:color="auto" w:fill="auto"/>
            <w:noWrap/>
            <w:vAlign w:val="bottom"/>
            <w:hideMark/>
          </w:tcPr>
          <w:p w14:paraId="2DEE0A79" w14:textId="77777777" w:rsidR="003103FF" w:rsidRPr="002E7DBB" w:rsidRDefault="003103FF" w:rsidP="006327AF">
            <w:pPr>
              <w:pStyle w:val="NoSpacing"/>
              <w:jc w:val="center"/>
            </w:pPr>
            <w:r w:rsidRPr="002E7DBB">
              <w:t>7 (41.2%)</w:t>
            </w:r>
          </w:p>
        </w:tc>
        <w:tc>
          <w:tcPr>
            <w:tcW w:w="1565" w:type="dxa"/>
            <w:tcBorders>
              <w:top w:val="nil"/>
              <w:left w:val="nil"/>
              <w:bottom w:val="nil"/>
              <w:right w:val="nil"/>
            </w:tcBorders>
            <w:shd w:val="clear" w:color="auto" w:fill="auto"/>
            <w:noWrap/>
            <w:vAlign w:val="bottom"/>
            <w:hideMark/>
          </w:tcPr>
          <w:p w14:paraId="2014A238" w14:textId="77777777" w:rsidR="003103FF" w:rsidRPr="002E7DBB" w:rsidRDefault="003103FF" w:rsidP="006327AF">
            <w:pPr>
              <w:pStyle w:val="NoSpacing"/>
              <w:jc w:val="center"/>
            </w:pPr>
            <w:r w:rsidRPr="002E7DBB">
              <w:t>68 (49.3%)</w:t>
            </w:r>
          </w:p>
        </w:tc>
        <w:tc>
          <w:tcPr>
            <w:tcW w:w="935" w:type="dxa"/>
            <w:tcBorders>
              <w:top w:val="nil"/>
              <w:left w:val="nil"/>
              <w:bottom w:val="nil"/>
              <w:right w:val="nil"/>
            </w:tcBorders>
            <w:shd w:val="clear" w:color="auto" w:fill="auto"/>
            <w:noWrap/>
            <w:vAlign w:val="bottom"/>
            <w:hideMark/>
          </w:tcPr>
          <w:p w14:paraId="52A00526" w14:textId="77777777" w:rsidR="003103FF" w:rsidRPr="002E7DBB" w:rsidRDefault="003103FF" w:rsidP="006327AF">
            <w:pPr>
              <w:pStyle w:val="NoSpacing"/>
              <w:jc w:val="center"/>
            </w:pPr>
            <w:r w:rsidRPr="002E7DBB">
              <w:t>0.61</w:t>
            </w:r>
          </w:p>
        </w:tc>
      </w:tr>
      <w:tr w:rsidR="003103FF" w:rsidRPr="002E7DBB" w14:paraId="137CC18A" w14:textId="77777777" w:rsidTr="006327AF">
        <w:trPr>
          <w:trHeight w:val="250"/>
        </w:trPr>
        <w:tc>
          <w:tcPr>
            <w:tcW w:w="3443" w:type="dxa"/>
            <w:tcBorders>
              <w:top w:val="nil"/>
              <w:left w:val="nil"/>
              <w:bottom w:val="nil"/>
              <w:right w:val="nil"/>
            </w:tcBorders>
            <w:shd w:val="clear" w:color="auto" w:fill="auto"/>
            <w:noWrap/>
            <w:vAlign w:val="bottom"/>
            <w:hideMark/>
          </w:tcPr>
          <w:p w14:paraId="73962C8B" w14:textId="6EA8BFD1" w:rsidR="003103FF" w:rsidRPr="002E7DBB" w:rsidRDefault="003103FF" w:rsidP="006327AF">
            <w:pPr>
              <w:pStyle w:val="NoSpacing"/>
            </w:pPr>
            <w:r w:rsidRPr="002E7DBB">
              <w:t>Years since d</w:t>
            </w:r>
            <w:r w:rsidR="00655775">
              <w:t>i</w:t>
            </w:r>
            <w:r w:rsidRPr="002E7DBB">
              <w:t>agnosis, median (IQR)</w:t>
            </w:r>
          </w:p>
        </w:tc>
        <w:tc>
          <w:tcPr>
            <w:tcW w:w="1705" w:type="dxa"/>
            <w:tcBorders>
              <w:top w:val="nil"/>
              <w:left w:val="nil"/>
              <w:bottom w:val="nil"/>
              <w:right w:val="nil"/>
            </w:tcBorders>
            <w:shd w:val="clear" w:color="auto" w:fill="auto"/>
            <w:noWrap/>
            <w:vAlign w:val="bottom"/>
            <w:hideMark/>
          </w:tcPr>
          <w:p w14:paraId="6337D903" w14:textId="77777777" w:rsidR="003103FF" w:rsidRPr="002E7DBB" w:rsidRDefault="003103FF" w:rsidP="006327AF">
            <w:pPr>
              <w:pStyle w:val="NoSpacing"/>
              <w:jc w:val="center"/>
            </w:pPr>
            <w:r w:rsidRPr="002E7DBB">
              <w:t>10.0 (8.0, 14.0)</w:t>
            </w:r>
          </w:p>
        </w:tc>
        <w:tc>
          <w:tcPr>
            <w:tcW w:w="1565" w:type="dxa"/>
            <w:tcBorders>
              <w:top w:val="nil"/>
              <w:left w:val="nil"/>
              <w:bottom w:val="nil"/>
              <w:right w:val="nil"/>
            </w:tcBorders>
            <w:shd w:val="clear" w:color="auto" w:fill="auto"/>
            <w:noWrap/>
            <w:vAlign w:val="bottom"/>
            <w:hideMark/>
          </w:tcPr>
          <w:p w14:paraId="708D467E" w14:textId="77777777" w:rsidR="003103FF" w:rsidRPr="002E7DBB" w:rsidRDefault="003103FF" w:rsidP="006327AF">
            <w:pPr>
              <w:pStyle w:val="NoSpacing"/>
              <w:jc w:val="center"/>
            </w:pPr>
            <w:r w:rsidRPr="002E7DBB">
              <w:t>14.0 (6.0, 24.0)</w:t>
            </w:r>
          </w:p>
        </w:tc>
        <w:tc>
          <w:tcPr>
            <w:tcW w:w="935" w:type="dxa"/>
            <w:tcBorders>
              <w:top w:val="nil"/>
              <w:left w:val="nil"/>
              <w:bottom w:val="nil"/>
              <w:right w:val="nil"/>
            </w:tcBorders>
            <w:shd w:val="clear" w:color="auto" w:fill="auto"/>
            <w:noWrap/>
            <w:vAlign w:val="bottom"/>
            <w:hideMark/>
          </w:tcPr>
          <w:p w14:paraId="76D63A05" w14:textId="77777777" w:rsidR="003103FF" w:rsidRPr="002E7DBB" w:rsidRDefault="003103FF" w:rsidP="006327AF">
            <w:pPr>
              <w:pStyle w:val="NoSpacing"/>
              <w:jc w:val="center"/>
            </w:pPr>
            <w:r w:rsidRPr="002E7DBB">
              <w:t>0.16</w:t>
            </w:r>
          </w:p>
        </w:tc>
      </w:tr>
      <w:tr w:rsidR="003103FF" w:rsidRPr="002E7DBB" w14:paraId="654B6795" w14:textId="77777777" w:rsidTr="006327AF">
        <w:trPr>
          <w:trHeight w:val="250"/>
        </w:trPr>
        <w:tc>
          <w:tcPr>
            <w:tcW w:w="3443" w:type="dxa"/>
            <w:tcBorders>
              <w:top w:val="nil"/>
              <w:left w:val="nil"/>
              <w:bottom w:val="nil"/>
              <w:right w:val="nil"/>
            </w:tcBorders>
            <w:shd w:val="clear" w:color="auto" w:fill="auto"/>
            <w:noWrap/>
            <w:vAlign w:val="bottom"/>
            <w:hideMark/>
          </w:tcPr>
          <w:p w14:paraId="34197804" w14:textId="77777777" w:rsidR="003103FF" w:rsidRPr="002E7DBB" w:rsidRDefault="003103FF" w:rsidP="006327AF">
            <w:pPr>
              <w:pStyle w:val="NoSpacing"/>
            </w:pPr>
            <w:r w:rsidRPr="002E7DBB">
              <w:t>MD type: Limb Girdle</w:t>
            </w:r>
          </w:p>
        </w:tc>
        <w:tc>
          <w:tcPr>
            <w:tcW w:w="1705" w:type="dxa"/>
            <w:tcBorders>
              <w:top w:val="nil"/>
              <w:left w:val="nil"/>
              <w:bottom w:val="nil"/>
              <w:right w:val="nil"/>
            </w:tcBorders>
            <w:shd w:val="clear" w:color="auto" w:fill="auto"/>
            <w:noWrap/>
            <w:vAlign w:val="bottom"/>
            <w:hideMark/>
          </w:tcPr>
          <w:p w14:paraId="501E03B9" w14:textId="77777777" w:rsidR="003103FF" w:rsidRPr="002E7DBB" w:rsidRDefault="003103FF" w:rsidP="006327AF">
            <w:pPr>
              <w:pStyle w:val="NoSpacing"/>
              <w:jc w:val="center"/>
            </w:pPr>
            <w:r w:rsidRPr="002E7DBB">
              <w:t>5 (29.4%)</w:t>
            </w:r>
          </w:p>
        </w:tc>
        <w:tc>
          <w:tcPr>
            <w:tcW w:w="1565" w:type="dxa"/>
            <w:tcBorders>
              <w:top w:val="nil"/>
              <w:left w:val="nil"/>
              <w:bottom w:val="nil"/>
              <w:right w:val="nil"/>
            </w:tcBorders>
            <w:shd w:val="clear" w:color="auto" w:fill="auto"/>
            <w:noWrap/>
            <w:vAlign w:val="bottom"/>
            <w:hideMark/>
          </w:tcPr>
          <w:p w14:paraId="2A81BAFB" w14:textId="77777777" w:rsidR="003103FF" w:rsidRPr="002E7DBB" w:rsidRDefault="003103FF" w:rsidP="006327AF">
            <w:pPr>
              <w:pStyle w:val="NoSpacing"/>
              <w:jc w:val="center"/>
            </w:pPr>
            <w:r w:rsidRPr="002E7DBB">
              <w:t>32 (23.2%)</w:t>
            </w:r>
          </w:p>
        </w:tc>
        <w:tc>
          <w:tcPr>
            <w:tcW w:w="935" w:type="dxa"/>
            <w:tcBorders>
              <w:top w:val="nil"/>
              <w:left w:val="nil"/>
              <w:bottom w:val="nil"/>
              <w:right w:val="nil"/>
            </w:tcBorders>
            <w:shd w:val="clear" w:color="auto" w:fill="auto"/>
            <w:noWrap/>
            <w:vAlign w:val="bottom"/>
            <w:hideMark/>
          </w:tcPr>
          <w:p w14:paraId="4DEF02CE" w14:textId="77777777" w:rsidR="003103FF" w:rsidRPr="002E7DBB" w:rsidRDefault="003103FF" w:rsidP="006327AF">
            <w:pPr>
              <w:pStyle w:val="NoSpacing"/>
              <w:jc w:val="center"/>
            </w:pPr>
            <w:r w:rsidRPr="002E7DBB">
              <w:t>0.19</w:t>
            </w:r>
          </w:p>
        </w:tc>
      </w:tr>
      <w:tr w:rsidR="003103FF" w:rsidRPr="002E7DBB" w14:paraId="0FE37D17" w14:textId="77777777" w:rsidTr="006327AF">
        <w:trPr>
          <w:trHeight w:val="250"/>
        </w:trPr>
        <w:tc>
          <w:tcPr>
            <w:tcW w:w="3443" w:type="dxa"/>
            <w:tcBorders>
              <w:top w:val="nil"/>
              <w:left w:val="nil"/>
              <w:bottom w:val="nil"/>
              <w:right w:val="nil"/>
            </w:tcBorders>
            <w:shd w:val="clear" w:color="auto" w:fill="auto"/>
            <w:noWrap/>
            <w:vAlign w:val="bottom"/>
            <w:hideMark/>
          </w:tcPr>
          <w:p w14:paraId="18D1BBAA" w14:textId="77777777" w:rsidR="003103FF" w:rsidRPr="002E7DBB" w:rsidRDefault="003103FF" w:rsidP="006327AF">
            <w:pPr>
              <w:pStyle w:val="NoSpacing"/>
            </w:pPr>
            <w:r w:rsidRPr="002E7DBB">
              <w:t xml:space="preserve">               </w:t>
            </w:r>
            <w:r>
              <w:t xml:space="preserve">   </w:t>
            </w:r>
            <w:r w:rsidRPr="002E7DBB">
              <w:t>Beckers</w:t>
            </w:r>
          </w:p>
        </w:tc>
        <w:tc>
          <w:tcPr>
            <w:tcW w:w="1705" w:type="dxa"/>
            <w:tcBorders>
              <w:top w:val="nil"/>
              <w:left w:val="nil"/>
              <w:bottom w:val="nil"/>
              <w:right w:val="nil"/>
            </w:tcBorders>
            <w:shd w:val="clear" w:color="auto" w:fill="auto"/>
            <w:noWrap/>
            <w:vAlign w:val="bottom"/>
            <w:hideMark/>
          </w:tcPr>
          <w:p w14:paraId="411917E3" w14:textId="77777777" w:rsidR="003103FF" w:rsidRPr="002E7DBB" w:rsidRDefault="003103FF" w:rsidP="006327AF">
            <w:pPr>
              <w:pStyle w:val="NoSpacing"/>
              <w:jc w:val="center"/>
            </w:pPr>
            <w:r w:rsidRPr="002E7DBB">
              <w:t>2 (11.8%)</w:t>
            </w:r>
          </w:p>
        </w:tc>
        <w:tc>
          <w:tcPr>
            <w:tcW w:w="1565" w:type="dxa"/>
            <w:tcBorders>
              <w:top w:val="nil"/>
              <w:left w:val="nil"/>
              <w:bottom w:val="nil"/>
              <w:right w:val="nil"/>
            </w:tcBorders>
            <w:shd w:val="clear" w:color="auto" w:fill="auto"/>
            <w:noWrap/>
            <w:vAlign w:val="bottom"/>
            <w:hideMark/>
          </w:tcPr>
          <w:p w14:paraId="7AB642F7" w14:textId="77777777" w:rsidR="003103FF" w:rsidRPr="002E7DBB" w:rsidRDefault="003103FF" w:rsidP="006327AF">
            <w:pPr>
              <w:pStyle w:val="NoSpacing"/>
              <w:jc w:val="center"/>
            </w:pPr>
            <w:r w:rsidRPr="002E7DBB">
              <w:t>3 (2.2%)</w:t>
            </w:r>
          </w:p>
        </w:tc>
        <w:tc>
          <w:tcPr>
            <w:tcW w:w="935" w:type="dxa"/>
            <w:tcBorders>
              <w:top w:val="nil"/>
              <w:left w:val="nil"/>
              <w:bottom w:val="nil"/>
              <w:right w:val="nil"/>
            </w:tcBorders>
            <w:shd w:val="clear" w:color="auto" w:fill="auto"/>
            <w:noWrap/>
            <w:vAlign w:val="bottom"/>
            <w:hideMark/>
          </w:tcPr>
          <w:p w14:paraId="3D340653" w14:textId="77777777" w:rsidR="003103FF" w:rsidRPr="002E7DBB" w:rsidRDefault="003103FF" w:rsidP="006327AF">
            <w:pPr>
              <w:pStyle w:val="NoSpacing"/>
              <w:jc w:val="center"/>
            </w:pPr>
          </w:p>
        </w:tc>
      </w:tr>
      <w:tr w:rsidR="003103FF" w:rsidRPr="002E7DBB" w14:paraId="66DE58CA" w14:textId="77777777" w:rsidTr="006327AF">
        <w:trPr>
          <w:trHeight w:val="250"/>
        </w:trPr>
        <w:tc>
          <w:tcPr>
            <w:tcW w:w="3443" w:type="dxa"/>
            <w:tcBorders>
              <w:top w:val="nil"/>
              <w:left w:val="nil"/>
              <w:bottom w:val="nil"/>
              <w:right w:val="nil"/>
            </w:tcBorders>
            <w:shd w:val="clear" w:color="auto" w:fill="auto"/>
            <w:noWrap/>
            <w:vAlign w:val="bottom"/>
            <w:hideMark/>
          </w:tcPr>
          <w:p w14:paraId="25429427" w14:textId="77777777" w:rsidR="003103FF" w:rsidRPr="002E7DBB" w:rsidRDefault="003103FF" w:rsidP="006327AF">
            <w:pPr>
              <w:pStyle w:val="NoSpacing"/>
            </w:pPr>
            <w:r w:rsidRPr="002E7DBB">
              <w:t xml:space="preserve">               </w:t>
            </w:r>
            <w:r>
              <w:t xml:space="preserve">   </w:t>
            </w:r>
            <w:r w:rsidRPr="002E7DBB">
              <w:t>FSHD</w:t>
            </w:r>
          </w:p>
        </w:tc>
        <w:tc>
          <w:tcPr>
            <w:tcW w:w="1705" w:type="dxa"/>
            <w:tcBorders>
              <w:top w:val="nil"/>
              <w:left w:val="nil"/>
              <w:bottom w:val="nil"/>
              <w:right w:val="nil"/>
            </w:tcBorders>
            <w:shd w:val="clear" w:color="auto" w:fill="auto"/>
            <w:noWrap/>
            <w:vAlign w:val="bottom"/>
            <w:hideMark/>
          </w:tcPr>
          <w:p w14:paraId="063A69DF" w14:textId="77777777" w:rsidR="003103FF" w:rsidRPr="002E7DBB" w:rsidRDefault="003103FF" w:rsidP="006327AF">
            <w:pPr>
              <w:pStyle w:val="NoSpacing"/>
              <w:jc w:val="center"/>
            </w:pPr>
            <w:r w:rsidRPr="002E7DBB">
              <w:t>7 (41.2%)</w:t>
            </w:r>
          </w:p>
        </w:tc>
        <w:tc>
          <w:tcPr>
            <w:tcW w:w="1565" w:type="dxa"/>
            <w:tcBorders>
              <w:top w:val="nil"/>
              <w:left w:val="nil"/>
              <w:bottom w:val="nil"/>
              <w:right w:val="nil"/>
            </w:tcBorders>
            <w:shd w:val="clear" w:color="auto" w:fill="auto"/>
            <w:noWrap/>
            <w:vAlign w:val="bottom"/>
            <w:hideMark/>
          </w:tcPr>
          <w:p w14:paraId="09FC515A" w14:textId="77777777" w:rsidR="003103FF" w:rsidRPr="002E7DBB" w:rsidRDefault="003103FF" w:rsidP="006327AF">
            <w:pPr>
              <w:pStyle w:val="NoSpacing"/>
              <w:jc w:val="center"/>
            </w:pPr>
            <w:r w:rsidRPr="002E7DBB">
              <w:t>69 (50.0%)</w:t>
            </w:r>
          </w:p>
        </w:tc>
        <w:tc>
          <w:tcPr>
            <w:tcW w:w="935" w:type="dxa"/>
            <w:tcBorders>
              <w:top w:val="nil"/>
              <w:left w:val="nil"/>
              <w:bottom w:val="nil"/>
              <w:right w:val="nil"/>
            </w:tcBorders>
            <w:shd w:val="clear" w:color="auto" w:fill="auto"/>
            <w:noWrap/>
            <w:vAlign w:val="bottom"/>
            <w:hideMark/>
          </w:tcPr>
          <w:p w14:paraId="2FC9AC28" w14:textId="77777777" w:rsidR="003103FF" w:rsidRPr="002E7DBB" w:rsidRDefault="003103FF" w:rsidP="006327AF">
            <w:pPr>
              <w:pStyle w:val="NoSpacing"/>
              <w:jc w:val="center"/>
            </w:pPr>
          </w:p>
        </w:tc>
      </w:tr>
      <w:tr w:rsidR="003103FF" w:rsidRPr="002E7DBB" w14:paraId="064C204F" w14:textId="77777777" w:rsidTr="006327AF">
        <w:trPr>
          <w:trHeight w:val="250"/>
        </w:trPr>
        <w:tc>
          <w:tcPr>
            <w:tcW w:w="3443" w:type="dxa"/>
            <w:tcBorders>
              <w:top w:val="nil"/>
              <w:left w:val="nil"/>
              <w:bottom w:val="nil"/>
              <w:right w:val="nil"/>
            </w:tcBorders>
            <w:shd w:val="clear" w:color="auto" w:fill="auto"/>
            <w:noWrap/>
            <w:vAlign w:val="bottom"/>
            <w:hideMark/>
          </w:tcPr>
          <w:p w14:paraId="7B012A8D" w14:textId="77777777" w:rsidR="003103FF" w:rsidRPr="002E7DBB" w:rsidRDefault="003103FF" w:rsidP="006327AF">
            <w:pPr>
              <w:pStyle w:val="NoSpacing"/>
            </w:pPr>
            <w:r w:rsidRPr="002E7DBB">
              <w:t xml:space="preserve">               </w:t>
            </w:r>
            <w:r>
              <w:t xml:space="preserve">   </w:t>
            </w:r>
            <w:r w:rsidRPr="002E7DBB">
              <w:t>IBM</w:t>
            </w:r>
          </w:p>
        </w:tc>
        <w:tc>
          <w:tcPr>
            <w:tcW w:w="1705" w:type="dxa"/>
            <w:tcBorders>
              <w:top w:val="nil"/>
              <w:left w:val="nil"/>
              <w:bottom w:val="nil"/>
              <w:right w:val="nil"/>
            </w:tcBorders>
            <w:shd w:val="clear" w:color="auto" w:fill="auto"/>
            <w:noWrap/>
            <w:vAlign w:val="bottom"/>
            <w:hideMark/>
          </w:tcPr>
          <w:p w14:paraId="76CA5603" w14:textId="77777777" w:rsidR="003103FF" w:rsidRPr="002E7DBB" w:rsidRDefault="003103FF" w:rsidP="006327AF">
            <w:pPr>
              <w:pStyle w:val="NoSpacing"/>
              <w:jc w:val="center"/>
            </w:pPr>
            <w:r w:rsidRPr="002E7DBB">
              <w:t>3 (17.6%)</w:t>
            </w:r>
          </w:p>
        </w:tc>
        <w:tc>
          <w:tcPr>
            <w:tcW w:w="1565" w:type="dxa"/>
            <w:tcBorders>
              <w:top w:val="nil"/>
              <w:left w:val="nil"/>
              <w:bottom w:val="nil"/>
              <w:right w:val="nil"/>
            </w:tcBorders>
            <w:shd w:val="clear" w:color="auto" w:fill="auto"/>
            <w:noWrap/>
            <w:vAlign w:val="bottom"/>
            <w:hideMark/>
          </w:tcPr>
          <w:p w14:paraId="4B52956B" w14:textId="77777777" w:rsidR="003103FF" w:rsidRPr="002E7DBB" w:rsidRDefault="003103FF" w:rsidP="006327AF">
            <w:pPr>
              <w:pStyle w:val="NoSpacing"/>
              <w:jc w:val="center"/>
            </w:pPr>
            <w:r w:rsidRPr="002E7DBB">
              <w:t>34 (24.6%)</w:t>
            </w:r>
          </w:p>
        </w:tc>
        <w:tc>
          <w:tcPr>
            <w:tcW w:w="935" w:type="dxa"/>
            <w:tcBorders>
              <w:top w:val="nil"/>
              <w:left w:val="nil"/>
              <w:bottom w:val="nil"/>
              <w:right w:val="nil"/>
            </w:tcBorders>
            <w:shd w:val="clear" w:color="auto" w:fill="auto"/>
            <w:noWrap/>
            <w:vAlign w:val="bottom"/>
            <w:hideMark/>
          </w:tcPr>
          <w:p w14:paraId="3A3B0C1A" w14:textId="77777777" w:rsidR="003103FF" w:rsidRPr="002E7DBB" w:rsidRDefault="003103FF" w:rsidP="006327AF">
            <w:pPr>
              <w:pStyle w:val="NoSpacing"/>
              <w:jc w:val="center"/>
            </w:pPr>
          </w:p>
        </w:tc>
      </w:tr>
      <w:tr w:rsidR="003103FF" w:rsidRPr="002E7DBB" w14:paraId="1D3C5652" w14:textId="77777777" w:rsidTr="006327AF">
        <w:trPr>
          <w:trHeight w:val="250"/>
        </w:trPr>
        <w:tc>
          <w:tcPr>
            <w:tcW w:w="3443" w:type="dxa"/>
            <w:tcBorders>
              <w:top w:val="nil"/>
              <w:left w:val="nil"/>
              <w:bottom w:val="nil"/>
              <w:right w:val="nil"/>
            </w:tcBorders>
            <w:shd w:val="clear" w:color="auto" w:fill="auto"/>
            <w:noWrap/>
            <w:vAlign w:val="bottom"/>
            <w:hideMark/>
          </w:tcPr>
          <w:p w14:paraId="31802887" w14:textId="77777777" w:rsidR="003103FF" w:rsidRPr="002E7DBB" w:rsidRDefault="003103FF" w:rsidP="006327AF">
            <w:pPr>
              <w:pStyle w:val="NoSpacing"/>
            </w:pPr>
            <w:r w:rsidRPr="002E7DBB">
              <w:t>Age MD Onset, mean (SD)</w:t>
            </w:r>
          </w:p>
        </w:tc>
        <w:tc>
          <w:tcPr>
            <w:tcW w:w="1705" w:type="dxa"/>
            <w:tcBorders>
              <w:top w:val="nil"/>
              <w:left w:val="nil"/>
              <w:bottom w:val="nil"/>
              <w:right w:val="nil"/>
            </w:tcBorders>
            <w:shd w:val="clear" w:color="auto" w:fill="auto"/>
            <w:noWrap/>
            <w:vAlign w:val="bottom"/>
            <w:hideMark/>
          </w:tcPr>
          <w:p w14:paraId="1C9F94DE" w14:textId="77777777" w:rsidR="003103FF" w:rsidRPr="002E7DBB" w:rsidRDefault="003103FF" w:rsidP="006327AF">
            <w:pPr>
              <w:pStyle w:val="NoSpacing"/>
              <w:jc w:val="center"/>
            </w:pPr>
            <w:r w:rsidRPr="002E7DBB">
              <w:t>35.5 (19.6)</w:t>
            </w:r>
          </w:p>
        </w:tc>
        <w:tc>
          <w:tcPr>
            <w:tcW w:w="1565" w:type="dxa"/>
            <w:tcBorders>
              <w:top w:val="nil"/>
              <w:left w:val="nil"/>
              <w:bottom w:val="nil"/>
              <w:right w:val="nil"/>
            </w:tcBorders>
            <w:shd w:val="clear" w:color="auto" w:fill="auto"/>
            <w:noWrap/>
            <w:vAlign w:val="bottom"/>
            <w:hideMark/>
          </w:tcPr>
          <w:p w14:paraId="311EC99D" w14:textId="77777777" w:rsidR="003103FF" w:rsidRPr="002E7DBB" w:rsidRDefault="003103FF" w:rsidP="006327AF">
            <w:pPr>
              <w:pStyle w:val="NoSpacing"/>
              <w:jc w:val="center"/>
            </w:pPr>
            <w:r w:rsidRPr="002E7DBB">
              <w:t>34.3 (20.5)</w:t>
            </w:r>
          </w:p>
        </w:tc>
        <w:tc>
          <w:tcPr>
            <w:tcW w:w="935" w:type="dxa"/>
            <w:tcBorders>
              <w:top w:val="nil"/>
              <w:left w:val="nil"/>
              <w:bottom w:val="nil"/>
              <w:right w:val="nil"/>
            </w:tcBorders>
            <w:shd w:val="clear" w:color="auto" w:fill="auto"/>
            <w:noWrap/>
            <w:vAlign w:val="bottom"/>
            <w:hideMark/>
          </w:tcPr>
          <w:p w14:paraId="05295206" w14:textId="77777777" w:rsidR="003103FF" w:rsidRPr="002E7DBB" w:rsidRDefault="003103FF" w:rsidP="006327AF">
            <w:pPr>
              <w:pStyle w:val="NoSpacing"/>
              <w:jc w:val="center"/>
            </w:pPr>
            <w:r w:rsidRPr="002E7DBB">
              <w:t>0.81</w:t>
            </w:r>
          </w:p>
        </w:tc>
      </w:tr>
      <w:tr w:rsidR="003103FF" w:rsidRPr="002E7DBB" w14:paraId="54891230" w14:textId="77777777" w:rsidTr="006327AF">
        <w:trPr>
          <w:trHeight w:val="250"/>
        </w:trPr>
        <w:tc>
          <w:tcPr>
            <w:tcW w:w="3443" w:type="dxa"/>
            <w:tcBorders>
              <w:top w:val="nil"/>
              <w:left w:val="nil"/>
              <w:bottom w:val="nil"/>
              <w:right w:val="nil"/>
            </w:tcBorders>
            <w:shd w:val="clear" w:color="auto" w:fill="auto"/>
            <w:noWrap/>
            <w:vAlign w:val="bottom"/>
            <w:hideMark/>
          </w:tcPr>
          <w:p w14:paraId="2EC84CB9" w14:textId="77777777" w:rsidR="003103FF" w:rsidRPr="002E7DBB" w:rsidRDefault="003103FF" w:rsidP="006327AF">
            <w:pPr>
              <w:pStyle w:val="NoSpacing"/>
            </w:pPr>
            <w:r w:rsidRPr="002E7DBB">
              <w:t>Other diagnoses?</w:t>
            </w:r>
          </w:p>
        </w:tc>
        <w:tc>
          <w:tcPr>
            <w:tcW w:w="1705" w:type="dxa"/>
            <w:tcBorders>
              <w:top w:val="nil"/>
              <w:left w:val="nil"/>
              <w:bottom w:val="nil"/>
              <w:right w:val="nil"/>
            </w:tcBorders>
            <w:shd w:val="clear" w:color="auto" w:fill="auto"/>
            <w:noWrap/>
            <w:vAlign w:val="bottom"/>
            <w:hideMark/>
          </w:tcPr>
          <w:p w14:paraId="5534333E" w14:textId="77777777" w:rsidR="003103FF" w:rsidRPr="002E7DBB" w:rsidRDefault="003103FF" w:rsidP="006327AF">
            <w:pPr>
              <w:pStyle w:val="NoSpacing"/>
              <w:jc w:val="center"/>
            </w:pPr>
            <w:r w:rsidRPr="002E7DBB">
              <w:t>11 (68.8%)</w:t>
            </w:r>
          </w:p>
        </w:tc>
        <w:tc>
          <w:tcPr>
            <w:tcW w:w="1565" w:type="dxa"/>
            <w:tcBorders>
              <w:top w:val="nil"/>
              <w:left w:val="nil"/>
              <w:bottom w:val="nil"/>
              <w:right w:val="nil"/>
            </w:tcBorders>
            <w:shd w:val="clear" w:color="auto" w:fill="auto"/>
            <w:noWrap/>
            <w:vAlign w:val="bottom"/>
            <w:hideMark/>
          </w:tcPr>
          <w:p w14:paraId="4E9EA9CA" w14:textId="77777777" w:rsidR="003103FF" w:rsidRPr="002E7DBB" w:rsidRDefault="003103FF" w:rsidP="006327AF">
            <w:pPr>
              <w:pStyle w:val="NoSpacing"/>
              <w:jc w:val="center"/>
            </w:pPr>
            <w:r w:rsidRPr="002E7DBB">
              <w:t>74 (54.4%)</w:t>
            </w:r>
          </w:p>
        </w:tc>
        <w:tc>
          <w:tcPr>
            <w:tcW w:w="935" w:type="dxa"/>
            <w:tcBorders>
              <w:top w:val="nil"/>
              <w:left w:val="nil"/>
              <w:bottom w:val="nil"/>
              <w:right w:val="nil"/>
            </w:tcBorders>
            <w:shd w:val="clear" w:color="auto" w:fill="auto"/>
            <w:noWrap/>
            <w:vAlign w:val="bottom"/>
            <w:hideMark/>
          </w:tcPr>
          <w:p w14:paraId="37E4832C" w14:textId="77777777" w:rsidR="003103FF" w:rsidRPr="002E7DBB" w:rsidRDefault="003103FF" w:rsidP="006327AF">
            <w:pPr>
              <w:pStyle w:val="NoSpacing"/>
              <w:jc w:val="center"/>
            </w:pPr>
            <w:r w:rsidRPr="002E7DBB">
              <w:t>0.30</w:t>
            </w:r>
          </w:p>
        </w:tc>
      </w:tr>
      <w:tr w:rsidR="003103FF" w:rsidRPr="002E7DBB" w14:paraId="2F0F9F86" w14:textId="77777777" w:rsidTr="006327AF">
        <w:trPr>
          <w:trHeight w:val="250"/>
        </w:trPr>
        <w:tc>
          <w:tcPr>
            <w:tcW w:w="3443" w:type="dxa"/>
            <w:tcBorders>
              <w:top w:val="nil"/>
              <w:left w:val="nil"/>
              <w:bottom w:val="nil"/>
              <w:right w:val="nil"/>
            </w:tcBorders>
            <w:shd w:val="clear" w:color="auto" w:fill="auto"/>
            <w:noWrap/>
            <w:vAlign w:val="bottom"/>
            <w:hideMark/>
          </w:tcPr>
          <w:p w14:paraId="298BA829" w14:textId="77777777" w:rsidR="003103FF" w:rsidRPr="002E7DBB" w:rsidRDefault="003103FF" w:rsidP="006327AF">
            <w:pPr>
              <w:pStyle w:val="NoSpacing"/>
            </w:pPr>
            <w:r w:rsidRPr="002E7DBB">
              <w:t>White ethnicity</w:t>
            </w:r>
          </w:p>
        </w:tc>
        <w:tc>
          <w:tcPr>
            <w:tcW w:w="1705" w:type="dxa"/>
            <w:tcBorders>
              <w:top w:val="nil"/>
              <w:left w:val="nil"/>
              <w:bottom w:val="nil"/>
              <w:right w:val="nil"/>
            </w:tcBorders>
            <w:shd w:val="clear" w:color="auto" w:fill="auto"/>
            <w:noWrap/>
            <w:vAlign w:val="bottom"/>
            <w:hideMark/>
          </w:tcPr>
          <w:p w14:paraId="6DBEF5DF" w14:textId="77777777" w:rsidR="003103FF" w:rsidRPr="002E7DBB" w:rsidRDefault="003103FF" w:rsidP="006327AF">
            <w:pPr>
              <w:pStyle w:val="NoSpacing"/>
              <w:jc w:val="center"/>
            </w:pPr>
            <w:r w:rsidRPr="002E7DBB">
              <w:t>14 (87.5%)</w:t>
            </w:r>
          </w:p>
        </w:tc>
        <w:tc>
          <w:tcPr>
            <w:tcW w:w="1565" w:type="dxa"/>
            <w:tcBorders>
              <w:top w:val="nil"/>
              <w:left w:val="nil"/>
              <w:bottom w:val="nil"/>
              <w:right w:val="nil"/>
            </w:tcBorders>
            <w:shd w:val="clear" w:color="auto" w:fill="auto"/>
            <w:noWrap/>
            <w:vAlign w:val="bottom"/>
            <w:hideMark/>
          </w:tcPr>
          <w:p w14:paraId="51EB6911" w14:textId="77777777" w:rsidR="003103FF" w:rsidRPr="002E7DBB" w:rsidRDefault="003103FF" w:rsidP="006327AF">
            <w:pPr>
              <w:pStyle w:val="NoSpacing"/>
              <w:jc w:val="center"/>
            </w:pPr>
            <w:r w:rsidRPr="002E7DBB">
              <w:t>125 (90.6%)</w:t>
            </w:r>
          </w:p>
        </w:tc>
        <w:tc>
          <w:tcPr>
            <w:tcW w:w="935" w:type="dxa"/>
            <w:tcBorders>
              <w:top w:val="nil"/>
              <w:left w:val="nil"/>
              <w:bottom w:val="nil"/>
              <w:right w:val="nil"/>
            </w:tcBorders>
            <w:shd w:val="clear" w:color="auto" w:fill="auto"/>
            <w:noWrap/>
            <w:vAlign w:val="bottom"/>
            <w:hideMark/>
          </w:tcPr>
          <w:p w14:paraId="4F2A9129" w14:textId="77777777" w:rsidR="003103FF" w:rsidRPr="002E7DBB" w:rsidRDefault="003103FF" w:rsidP="006327AF">
            <w:pPr>
              <w:pStyle w:val="NoSpacing"/>
              <w:jc w:val="center"/>
            </w:pPr>
            <w:r w:rsidRPr="002E7DBB">
              <w:t>0.66</w:t>
            </w:r>
          </w:p>
        </w:tc>
      </w:tr>
      <w:tr w:rsidR="003103FF" w:rsidRPr="002E7DBB" w14:paraId="4DAA482C" w14:textId="77777777" w:rsidTr="006327AF">
        <w:trPr>
          <w:trHeight w:val="250"/>
        </w:trPr>
        <w:tc>
          <w:tcPr>
            <w:tcW w:w="3443" w:type="dxa"/>
            <w:tcBorders>
              <w:top w:val="nil"/>
              <w:left w:val="nil"/>
              <w:bottom w:val="nil"/>
              <w:right w:val="nil"/>
            </w:tcBorders>
            <w:shd w:val="clear" w:color="auto" w:fill="auto"/>
            <w:noWrap/>
            <w:vAlign w:val="bottom"/>
            <w:hideMark/>
          </w:tcPr>
          <w:p w14:paraId="0567920D" w14:textId="77777777" w:rsidR="003103FF" w:rsidRPr="002E7DBB" w:rsidRDefault="003103FF" w:rsidP="006327AF">
            <w:pPr>
              <w:pStyle w:val="NoSpacing"/>
            </w:pPr>
            <w:r w:rsidRPr="002E7DBB">
              <w:t>In paid employment</w:t>
            </w:r>
          </w:p>
        </w:tc>
        <w:tc>
          <w:tcPr>
            <w:tcW w:w="1705" w:type="dxa"/>
            <w:tcBorders>
              <w:top w:val="nil"/>
              <w:left w:val="nil"/>
              <w:bottom w:val="nil"/>
              <w:right w:val="nil"/>
            </w:tcBorders>
            <w:shd w:val="clear" w:color="auto" w:fill="auto"/>
            <w:noWrap/>
            <w:vAlign w:val="bottom"/>
            <w:hideMark/>
          </w:tcPr>
          <w:p w14:paraId="715AC34D" w14:textId="77777777" w:rsidR="003103FF" w:rsidRPr="002E7DBB" w:rsidRDefault="003103FF" w:rsidP="006327AF">
            <w:pPr>
              <w:pStyle w:val="NoSpacing"/>
              <w:jc w:val="center"/>
            </w:pPr>
            <w:r w:rsidRPr="002E7DBB">
              <w:t>4 (25.0%)</w:t>
            </w:r>
          </w:p>
        </w:tc>
        <w:tc>
          <w:tcPr>
            <w:tcW w:w="1565" w:type="dxa"/>
            <w:tcBorders>
              <w:top w:val="nil"/>
              <w:left w:val="nil"/>
              <w:bottom w:val="nil"/>
              <w:right w:val="nil"/>
            </w:tcBorders>
            <w:shd w:val="clear" w:color="auto" w:fill="auto"/>
            <w:noWrap/>
            <w:vAlign w:val="bottom"/>
            <w:hideMark/>
          </w:tcPr>
          <w:p w14:paraId="42036539" w14:textId="77777777" w:rsidR="003103FF" w:rsidRPr="002E7DBB" w:rsidRDefault="003103FF" w:rsidP="006327AF">
            <w:pPr>
              <w:pStyle w:val="NoSpacing"/>
              <w:jc w:val="center"/>
            </w:pPr>
            <w:r w:rsidRPr="002E7DBB">
              <w:t>59 (42.8%)</w:t>
            </w:r>
          </w:p>
        </w:tc>
        <w:tc>
          <w:tcPr>
            <w:tcW w:w="935" w:type="dxa"/>
            <w:tcBorders>
              <w:top w:val="nil"/>
              <w:left w:val="nil"/>
              <w:bottom w:val="nil"/>
              <w:right w:val="nil"/>
            </w:tcBorders>
            <w:shd w:val="clear" w:color="auto" w:fill="auto"/>
            <w:noWrap/>
            <w:vAlign w:val="bottom"/>
            <w:hideMark/>
          </w:tcPr>
          <w:p w14:paraId="174F061D" w14:textId="77777777" w:rsidR="003103FF" w:rsidRPr="002E7DBB" w:rsidRDefault="003103FF" w:rsidP="006327AF">
            <w:pPr>
              <w:pStyle w:val="NoSpacing"/>
              <w:jc w:val="center"/>
            </w:pPr>
            <w:r w:rsidRPr="002E7DBB">
              <w:t>0.19</w:t>
            </w:r>
          </w:p>
        </w:tc>
      </w:tr>
      <w:tr w:rsidR="003103FF" w:rsidRPr="002E7DBB" w14:paraId="6B174319" w14:textId="77777777" w:rsidTr="006327AF">
        <w:trPr>
          <w:trHeight w:val="250"/>
        </w:trPr>
        <w:tc>
          <w:tcPr>
            <w:tcW w:w="3443" w:type="dxa"/>
            <w:tcBorders>
              <w:top w:val="nil"/>
              <w:left w:val="nil"/>
              <w:bottom w:val="nil"/>
              <w:right w:val="nil"/>
            </w:tcBorders>
            <w:shd w:val="clear" w:color="auto" w:fill="auto"/>
            <w:noWrap/>
            <w:vAlign w:val="bottom"/>
            <w:hideMark/>
          </w:tcPr>
          <w:p w14:paraId="189F9E52" w14:textId="77777777" w:rsidR="003103FF" w:rsidRPr="002E7DBB" w:rsidRDefault="003103FF" w:rsidP="006327AF">
            <w:pPr>
              <w:pStyle w:val="NoSpacing"/>
            </w:pPr>
            <w:r w:rsidRPr="002E7DBB">
              <w:t>Low education</w:t>
            </w:r>
          </w:p>
        </w:tc>
        <w:tc>
          <w:tcPr>
            <w:tcW w:w="1705" w:type="dxa"/>
            <w:tcBorders>
              <w:top w:val="nil"/>
              <w:left w:val="nil"/>
              <w:bottom w:val="nil"/>
              <w:right w:val="nil"/>
            </w:tcBorders>
            <w:shd w:val="clear" w:color="auto" w:fill="auto"/>
            <w:noWrap/>
            <w:vAlign w:val="bottom"/>
            <w:hideMark/>
          </w:tcPr>
          <w:p w14:paraId="3E897D91" w14:textId="77777777" w:rsidR="003103FF" w:rsidRPr="002E7DBB" w:rsidRDefault="003103FF" w:rsidP="006327AF">
            <w:pPr>
              <w:pStyle w:val="NoSpacing"/>
              <w:jc w:val="center"/>
            </w:pPr>
            <w:r w:rsidRPr="002E7DBB">
              <w:t>11 (68.8%)</w:t>
            </w:r>
          </w:p>
        </w:tc>
        <w:tc>
          <w:tcPr>
            <w:tcW w:w="1565" w:type="dxa"/>
            <w:tcBorders>
              <w:top w:val="nil"/>
              <w:left w:val="nil"/>
              <w:bottom w:val="nil"/>
              <w:right w:val="nil"/>
            </w:tcBorders>
            <w:shd w:val="clear" w:color="auto" w:fill="auto"/>
            <w:noWrap/>
            <w:vAlign w:val="bottom"/>
            <w:hideMark/>
          </w:tcPr>
          <w:p w14:paraId="3BA2EBFB" w14:textId="77777777" w:rsidR="003103FF" w:rsidRPr="002E7DBB" w:rsidRDefault="003103FF" w:rsidP="006327AF">
            <w:pPr>
              <w:pStyle w:val="NoSpacing"/>
              <w:jc w:val="center"/>
            </w:pPr>
            <w:r w:rsidRPr="002E7DBB">
              <w:t>49 (35.5%)</w:t>
            </w:r>
          </w:p>
        </w:tc>
        <w:tc>
          <w:tcPr>
            <w:tcW w:w="935" w:type="dxa"/>
            <w:tcBorders>
              <w:top w:val="nil"/>
              <w:left w:val="nil"/>
              <w:bottom w:val="nil"/>
              <w:right w:val="nil"/>
            </w:tcBorders>
            <w:shd w:val="clear" w:color="auto" w:fill="auto"/>
            <w:noWrap/>
            <w:vAlign w:val="bottom"/>
            <w:hideMark/>
          </w:tcPr>
          <w:p w14:paraId="7443E0E2" w14:textId="77777777" w:rsidR="003103FF" w:rsidRPr="002E7DBB" w:rsidRDefault="003103FF" w:rsidP="006327AF">
            <w:pPr>
              <w:pStyle w:val="NoSpacing"/>
              <w:jc w:val="center"/>
            </w:pPr>
            <w:r w:rsidRPr="002E7DBB">
              <w:t>0.014</w:t>
            </w:r>
          </w:p>
        </w:tc>
      </w:tr>
      <w:tr w:rsidR="003103FF" w:rsidRPr="002E7DBB" w14:paraId="4C6A36B1" w14:textId="77777777" w:rsidTr="006327AF">
        <w:trPr>
          <w:trHeight w:val="250"/>
        </w:trPr>
        <w:tc>
          <w:tcPr>
            <w:tcW w:w="3443" w:type="dxa"/>
            <w:tcBorders>
              <w:top w:val="nil"/>
              <w:left w:val="nil"/>
              <w:bottom w:val="nil"/>
              <w:right w:val="nil"/>
            </w:tcBorders>
            <w:shd w:val="clear" w:color="auto" w:fill="auto"/>
            <w:noWrap/>
            <w:vAlign w:val="bottom"/>
            <w:hideMark/>
          </w:tcPr>
          <w:p w14:paraId="7675FFCE" w14:textId="77777777" w:rsidR="003103FF" w:rsidRPr="002E7DBB" w:rsidRDefault="003103FF" w:rsidP="006327AF">
            <w:pPr>
              <w:pStyle w:val="NoSpacing"/>
            </w:pPr>
            <w:r w:rsidRPr="002E7DBB">
              <w:t>In a relationship</w:t>
            </w:r>
          </w:p>
        </w:tc>
        <w:tc>
          <w:tcPr>
            <w:tcW w:w="1705" w:type="dxa"/>
            <w:tcBorders>
              <w:top w:val="nil"/>
              <w:left w:val="nil"/>
              <w:bottom w:val="nil"/>
              <w:right w:val="nil"/>
            </w:tcBorders>
            <w:shd w:val="clear" w:color="auto" w:fill="auto"/>
            <w:noWrap/>
            <w:vAlign w:val="bottom"/>
            <w:hideMark/>
          </w:tcPr>
          <w:p w14:paraId="27E36711" w14:textId="77777777" w:rsidR="003103FF" w:rsidRPr="002E7DBB" w:rsidRDefault="003103FF" w:rsidP="006327AF">
            <w:pPr>
              <w:pStyle w:val="NoSpacing"/>
              <w:jc w:val="center"/>
            </w:pPr>
            <w:r w:rsidRPr="002E7DBB">
              <w:t>10 (62.5%)</w:t>
            </w:r>
          </w:p>
        </w:tc>
        <w:tc>
          <w:tcPr>
            <w:tcW w:w="1565" w:type="dxa"/>
            <w:tcBorders>
              <w:top w:val="nil"/>
              <w:left w:val="nil"/>
              <w:bottom w:val="nil"/>
              <w:right w:val="nil"/>
            </w:tcBorders>
            <w:shd w:val="clear" w:color="auto" w:fill="auto"/>
            <w:noWrap/>
            <w:vAlign w:val="bottom"/>
            <w:hideMark/>
          </w:tcPr>
          <w:p w14:paraId="59F5B9F0" w14:textId="77777777" w:rsidR="003103FF" w:rsidRPr="002E7DBB" w:rsidRDefault="003103FF" w:rsidP="006327AF">
            <w:pPr>
              <w:pStyle w:val="NoSpacing"/>
              <w:jc w:val="center"/>
            </w:pPr>
            <w:r w:rsidRPr="002E7DBB">
              <w:t>90 (65.2%)</w:t>
            </w:r>
          </w:p>
        </w:tc>
        <w:tc>
          <w:tcPr>
            <w:tcW w:w="935" w:type="dxa"/>
            <w:tcBorders>
              <w:top w:val="nil"/>
              <w:left w:val="nil"/>
              <w:bottom w:val="nil"/>
              <w:right w:val="nil"/>
            </w:tcBorders>
            <w:shd w:val="clear" w:color="auto" w:fill="auto"/>
            <w:noWrap/>
            <w:vAlign w:val="bottom"/>
            <w:hideMark/>
          </w:tcPr>
          <w:p w14:paraId="42EAFFF5" w14:textId="77777777" w:rsidR="003103FF" w:rsidRPr="002E7DBB" w:rsidRDefault="003103FF" w:rsidP="006327AF">
            <w:pPr>
              <w:pStyle w:val="NoSpacing"/>
              <w:jc w:val="center"/>
            </w:pPr>
            <w:r w:rsidRPr="002E7DBB">
              <w:t>0.79</w:t>
            </w:r>
          </w:p>
        </w:tc>
      </w:tr>
      <w:tr w:rsidR="003103FF" w:rsidRPr="002E7DBB" w14:paraId="6DBE996B" w14:textId="77777777" w:rsidTr="006327AF">
        <w:trPr>
          <w:trHeight w:val="250"/>
        </w:trPr>
        <w:tc>
          <w:tcPr>
            <w:tcW w:w="3443" w:type="dxa"/>
            <w:tcBorders>
              <w:top w:val="nil"/>
              <w:left w:val="nil"/>
              <w:bottom w:val="nil"/>
              <w:right w:val="nil"/>
            </w:tcBorders>
            <w:shd w:val="clear" w:color="auto" w:fill="auto"/>
            <w:noWrap/>
            <w:vAlign w:val="bottom"/>
            <w:hideMark/>
          </w:tcPr>
          <w:p w14:paraId="21C0F23A" w14:textId="77777777" w:rsidR="003103FF" w:rsidRPr="002E7DBB" w:rsidRDefault="003103FF" w:rsidP="006327AF">
            <w:pPr>
              <w:pStyle w:val="NoSpacing"/>
            </w:pPr>
            <w:r w:rsidRPr="002E7DBB">
              <w:t>Lives alone</w:t>
            </w:r>
          </w:p>
        </w:tc>
        <w:tc>
          <w:tcPr>
            <w:tcW w:w="1705" w:type="dxa"/>
            <w:tcBorders>
              <w:top w:val="nil"/>
              <w:left w:val="nil"/>
              <w:bottom w:val="nil"/>
              <w:right w:val="nil"/>
            </w:tcBorders>
            <w:shd w:val="clear" w:color="auto" w:fill="auto"/>
            <w:noWrap/>
            <w:vAlign w:val="bottom"/>
            <w:hideMark/>
          </w:tcPr>
          <w:p w14:paraId="02197151" w14:textId="77777777" w:rsidR="003103FF" w:rsidRPr="002E7DBB" w:rsidRDefault="003103FF" w:rsidP="006327AF">
            <w:pPr>
              <w:pStyle w:val="NoSpacing"/>
              <w:jc w:val="center"/>
            </w:pPr>
            <w:r w:rsidRPr="002E7DBB">
              <w:t>3 (18.8%)</w:t>
            </w:r>
          </w:p>
        </w:tc>
        <w:tc>
          <w:tcPr>
            <w:tcW w:w="1565" w:type="dxa"/>
            <w:tcBorders>
              <w:top w:val="nil"/>
              <w:left w:val="nil"/>
              <w:bottom w:val="nil"/>
              <w:right w:val="nil"/>
            </w:tcBorders>
            <w:shd w:val="clear" w:color="auto" w:fill="auto"/>
            <w:noWrap/>
            <w:vAlign w:val="bottom"/>
            <w:hideMark/>
          </w:tcPr>
          <w:p w14:paraId="251CE687" w14:textId="77777777" w:rsidR="003103FF" w:rsidRPr="002E7DBB" w:rsidRDefault="003103FF" w:rsidP="006327AF">
            <w:pPr>
              <w:pStyle w:val="NoSpacing"/>
              <w:jc w:val="center"/>
            </w:pPr>
            <w:r w:rsidRPr="002E7DBB">
              <w:t>24 (17.4%)</w:t>
            </w:r>
          </w:p>
        </w:tc>
        <w:tc>
          <w:tcPr>
            <w:tcW w:w="935" w:type="dxa"/>
            <w:tcBorders>
              <w:top w:val="nil"/>
              <w:left w:val="nil"/>
              <w:bottom w:val="nil"/>
              <w:right w:val="nil"/>
            </w:tcBorders>
            <w:shd w:val="clear" w:color="auto" w:fill="auto"/>
            <w:noWrap/>
            <w:vAlign w:val="bottom"/>
            <w:hideMark/>
          </w:tcPr>
          <w:p w14:paraId="60C48210" w14:textId="77777777" w:rsidR="003103FF" w:rsidRPr="002E7DBB" w:rsidRDefault="003103FF" w:rsidP="006327AF">
            <w:pPr>
              <w:pStyle w:val="NoSpacing"/>
              <w:jc w:val="center"/>
            </w:pPr>
            <w:r w:rsidRPr="002E7DBB">
              <w:t>1.00</w:t>
            </w:r>
          </w:p>
        </w:tc>
      </w:tr>
      <w:tr w:rsidR="003103FF" w:rsidRPr="002E7DBB" w14:paraId="5E82A958" w14:textId="77777777" w:rsidTr="006327AF">
        <w:trPr>
          <w:trHeight w:val="250"/>
        </w:trPr>
        <w:tc>
          <w:tcPr>
            <w:tcW w:w="3443" w:type="dxa"/>
            <w:tcBorders>
              <w:top w:val="nil"/>
              <w:left w:val="nil"/>
              <w:bottom w:val="nil"/>
              <w:right w:val="nil"/>
            </w:tcBorders>
            <w:shd w:val="clear" w:color="auto" w:fill="auto"/>
            <w:noWrap/>
            <w:vAlign w:val="bottom"/>
            <w:hideMark/>
          </w:tcPr>
          <w:p w14:paraId="44109681" w14:textId="77777777" w:rsidR="003103FF" w:rsidRPr="002E7DBB" w:rsidRDefault="003103FF" w:rsidP="006327AF">
            <w:pPr>
              <w:pStyle w:val="NoSpacing"/>
            </w:pPr>
            <w:r w:rsidRPr="002E7DBB">
              <w:t>Dependents</w:t>
            </w:r>
          </w:p>
        </w:tc>
        <w:tc>
          <w:tcPr>
            <w:tcW w:w="1705" w:type="dxa"/>
            <w:tcBorders>
              <w:top w:val="nil"/>
              <w:left w:val="nil"/>
              <w:bottom w:val="nil"/>
              <w:right w:val="nil"/>
            </w:tcBorders>
            <w:shd w:val="clear" w:color="auto" w:fill="auto"/>
            <w:noWrap/>
            <w:vAlign w:val="bottom"/>
            <w:hideMark/>
          </w:tcPr>
          <w:p w14:paraId="4B6ABDC9" w14:textId="77777777" w:rsidR="003103FF" w:rsidRPr="002E7DBB" w:rsidRDefault="003103FF" w:rsidP="006327AF">
            <w:pPr>
              <w:pStyle w:val="NoSpacing"/>
              <w:jc w:val="center"/>
            </w:pPr>
            <w:r w:rsidRPr="002E7DBB">
              <w:t>8 (47.1%)</w:t>
            </w:r>
          </w:p>
        </w:tc>
        <w:tc>
          <w:tcPr>
            <w:tcW w:w="1565" w:type="dxa"/>
            <w:tcBorders>
              <w:top w:val="nil"/>
              <w:left w:val="nil"/>
              <w:bottom w:val="nil"/>
              <w:right w:val="nil"/>
            </w:tcBorders>
            <w:shd w:val="clear" w:color="auto" w:fill="auto"/>
            <w:noWrap/>
            <w:vAlign w:val="bottom"/>
            <w:hideMark/>
          </w:tcPr>
          <w:p w14:paraId="58FFA993" w14:textId="77777777" w:rsidR="003103FF" w:rsidRPr="002E7DBB" w:rsidRDefault="003103FF" w:rsidP="006327AF">
            <w:pPr>
              <w:pStyle w:val="NoSpacing"/>
              <w:jc w:val="center"/>
            </w:pPr>
            <w:r w:rsidRPr="002E7DBB">
              <w:t>45 (32.6%)</w:t>
            </w:r>
          </w:p>
        </w:tc>
        <w:tc>
          <w:tcPr>
            <w:tcW w:w="935" w:type="dxa"/>
            <w:tcBorders>
              <w:top w:val="nil"/>
              <w:left w:val="nil"/>
              <w:bottom w:val="nil"/>
              <w:right w:val="nil"/>
            </w:tcBorders>
            <w:shd w:val="clear" w:color="auto" w:fill="auto"/>
            <w:noWrap/>
            <w:vAlign w:val="bottom"/>
            <w:hideMark/>
          </w:tcPr>
          <w:p w14:paraId="63195945" w14:textId="77777777" w:rsidR="003103FF" w:rsidRPr="002E7DBB" w:rsidRDefault="003103FF" w:rsidP="006327AF">
            <w:pPr>
              <w:pStyle w:val="NoSpacing"/>
              <w:jc w:val="center"/>
            </w:pPr>
            <w:r w:rsidRPr="002E7DBB">
              <w:t>0.28</w:t>
            </w:r>
          </w:p>
        </w:tc>
      </w:tr>
      <w:tr w:rsidR="003103FF" w:rsidRPr="002E7DBB" w14:paraId="6729EB88" w14:textId="77777777" w:rsidTr="006327AF">
        <w:trPr>
          <w:trHeight w:val="250"/>
        </w:trPr>
        <w:tc>
          <w:tcPr>
            <w:tcW w:w="3443" w:type="dxa"/>
            <w:tcBorders>
              <w:top w:val="nil"/>
              <w:left w:val="nil"/>
              <w:bottom w:val="nil"/>
              <w:right w:val="nil"/>
            </w:tcBorders>
            <w:shd w:val="clear" w:color="auto" w:fill="auto"/>
            <w:noWrap/>
            <w:vAlign w:val="bottom"/>
            <w:hideMark/>
          </w:tcPr>
          <w:p w14:paraId="55A789C8" w14:textId="77777777" w:rsidR="003103FF" w:rsidRPr="002E7DBB" w:rsidRDefault="003103FF" w:rsidP="006327AF">
            <w:pPr>
              <w:pStyle w:val="NoSpacing"/>
            </w:pPr>
            <w:r w:rsidRPr="002E7DBB">
              <w:t>Previous psychological experience</w:t>
            </w:r>
          </w:p>
        </w:tc>
        <w:tc>
          <w:tcPr>
            <w:tcW w:w="1705" w:type="dxa"/>
            <w:tcBorders>
              <w:top w:val="nil"/>
              <w:left w:val="nil"/>
              <w:bottom w:val="nil"/>
              <w:right w:val="nil"/>
            </w:tcBorders>
            <w:shd w:val="clear" w:color="auto" w:fill="auto"/>
            <w:noWrap/>
            <w:vAlign w:val="bottom"/>
            <w:hideMark/>
          </w:tcPr>
          <w:p w14:paraId="175D9E51" w14:textId="77777777" w:rsidR="003103FF" w:rsidRPr="002E7DBB" w:rsidRDefault="003103FF" w:rsidP="006327AF">
            <w:pPr>
              <w:pStyle w:val="NoSpacing"/>
              <w:jc w:val="center"/>
            </w:pPr>
            <w:r w:rsidRPr="002E7DBB">
              <w:t>6 (35.3%)</w:t>
            </w:r>
          </w:p>
        </w:tc>
        <w:tc>
          <w:tcPr>
            <w:tcW w:w="1565" w:type="dxa"/>
            <w:tcBorders>
              <w:top w:val="nil"/>
              <w:left w:val="nil"/>
              <w:bottom w:val="nil"/>
              <w:right w:val="nil"/>
            </w:tcBorders>
            <w:shd w:val="clear" w:color="auto" w:fill="auto"/>
            <w:noWrap/>
            <w:vAlign w:val="bottom"/>
            <w:hideMark/>
          </w:tcPr>
          <w:p w14:paraId="7D8F4909" w14:textId="77777777" w:rsidR="003103FF" w:rsidRPr="002E7DBB" w:rsidRDefault="003103FF" w:rsidP="006327AF">
            <w:pPr>
              <w:pStyle w:val="NoSpacing"/>
              <w:jc w:val="center"/>
            </w:pPr>
            <w:r w:rsidRPr="002E7DBB">
              <w:t>64 (46.4%)</w:t>
            </w:r>
          </w:p>
        </w:tc>
        <w:tc>
          <w:tcPr>
            <w:tcW w:w="935" w:type="dxa"/>
            <w:tcBorders>
              <w:top w:val="nil"/>
              <w:left w:val="nil"/>
              <w:bottom w:val="nil"/>
              <w:right w:val="nil"/>
            </w:tcBorders>
            <w:shd w:val="clear" w:color="auto" w:fill="auto"/>
            <w:noWrap/>
            <w:vAlign w:val="bottom"/>
            <w:hideMark/>
          </w:tcPr>
          <w:p w14:paraId="7CF1E6A3" w14:textId="77777777" w:rsidR="003103FF" w:rsidRPr="002E7DBB" w:rsidRDefault="003103FF" w:rsidP="006327AF">
            <w:pPr>
              <w:pStyle w:val="NoSpacing"/>
              <w:jc w:val="center"/>
            </w:pPr>
            <w:r w:rsidRPr="002E7DBB">
              <w:t>0.45</w:t>
            </w:r>
          </w:p>
        </w:tc>
      </w:tr>
      <w:tr w:rsidR="003103FF" w:rsidRPr="002E7DBB" w14:paraId="5387BA44" w14:textId="77777777" w:rsidTr="006327AF">
        <w:trPr>
          <w:trHeight w:val="250"/>
        </w:trPr>
        <w:tc>
          <w:tcPr>
            <w:tcW w:w="3443" w:type="dxa"/>
            <w:tcBorders>
              <w:top w:val="nil"/>
              <w:left w:val="nil"/>
              <w:bottom w:val="nil"/>
              <w:right w:val="nil"/>
            </w:tcBorders>
            <w:shd w:val="clear" w:color="auto" w:fill="auto"/>
            <w:noWrap/>
            <w:vAlign w:val="bottom"/>
            <w:hideMark/>
          </w:tcPr>
          <w:p w14:paraId="4E3DA509" w14:textId="77777777" w:rsidR="003103FF" w:rsidRPr="002E7DBB" w:rsidRDefault="003103FF" w:rsidP="006327AF">
            <w:pPr>
              <w:pStyle w:val="NoSpacing"/>
            </w:pPr>
            <w:r w:rsidRPr="002E7DBB">
              <w:t>Previous treatment Anx/Dep</w:t>
            </w:r>
          </w:p>
        </w:tc>
        <w:tc>
          <w:tcPr>
            <w:tcW w:w="1705" w:type="dxa"/>
            <w:tcBorders>
              <w:top w:val="nil"/>
              <w:left w:val="nil"/>
              <w:bottom w:val="nil"/>
              <w:right w:val="nil"/>
            </w:tcBorders>
            <w:shd w:val="clear" w:color="auto" w:fill="auto"/>
            <w:noWrap/>
            <w:vAlign w:val="bottom"/>
            <w:hideMark/>
          </w:tcPr>
          <w:p w14:paraId="2DF121F0" w14:textId="77777777" w:rsidR="003103FF" w:rsidRPr="002E7DBB" w:rsidRDefault="003103FF" w:rsidP="006327AF">
            <w:pPr>
              <w:pStyle w:val="NoSpacing"/>
              <w:jc w:val="center"/>
            </w:pPr>
            <w:r w:rsidRPr="002E7DBB">
              <w:t>7 (41.2%)</w:t>
            </w:r>
          </w:p>
        </w:tc>
        <w:tc>
          <w:tcPr>
            <w:tcW w:w="1565" w:type="dxa"/>
            <w:tcBorders>
              <w:top w:val="nil"/>
              <w:left w:val="nil"/>
              <w:bottom w:val="nil"/>
              <w:right w:val="nil"/>
            </w:tcBorders>
            <w:shd w:val="clear" w:color="auto" w:fill="auto"/>
            <w:noWrap/>
            <w:vAlign w:val="bottom"/>
            <w:hideMark/>
          </w:tcPr>
          <w:p w14:paraId="16AFBB99" w14:textId="77777777" w:rsidR="003103FF" w:rsidRPr="002E7DBB" w:rsidRDefault="003103FF" w:rsidP="006327AF">
            <w:pPr>
              <w:pStyle w:val="NoSpacing"/>
              <w:jc w:val="center"/>
            </w:pPr>
            <w:r w:rsidRPr="002E7DBB">
              <w:t>67 (48.6%)</w:t>
            </w:r>
          </w:p>
        </w:tc>
        <w:tc>
          <w:tcPr>
            <w:tcW w:w="935" w:type="dxa"/>
            <w:tcBorders>
              <w:top w:val="nil"/>
              <w:left w:val="nil"/>
              <w:bottom w:val="nil"/>
              <w:right w:val="nil"/>
            </w:tcBorders>
            <w:shd w:val="clear" w:color="auto" w:fill="auto"/>
            <w:noWrap/>
            <w:vAlign w:val="bottom"/>
            <w:hideMark/>
          </w:tcPr>
          <w:p w14:paraId="6EBC9407" w14:textId="77777777" w:rsidR="003103FF" w:rsidRPr="002E7DBB" w:rsidRDefault="003103FF" w:rsidP="006327AF">
            <w:pPr>
              <w:pStyle w:val="NoSpacing"/>
              <w:jc w:val="center"/>
            </w:pPr>
            <w:r w:rsidRPr="002E7DBB">
              <w:t>0.62</w:t>
            </w:r>
          </w:p>
        </w:tc>
      </w:tr>
      <w:tr w:rsidR="003103FF" w:rsidRPr="002E7DBB" w14:paraId="7F03C922" w14:textId="77777777" w:rsidTr="006327AF">
        <w:trPr>
          <w:trHeight w:val="250"/>
        </w:trPr>
        <w:tc>
          <w:tcPr>
            <w:tcW w:w="3443" w:type="dxa"/>
            <w:tcBorders>
              <w:top w:val="nil"/>
              <w:left w:val="nil"/>
              <w:bottom w:val="nil"/>
              <w:right w:val="nil"/>
            </w:tcBorders>
            <w:shd w:val="clear" w:color="auto" w:fill="auto"/>
            <w:noWrap/>
            <w:vAlign w:val="bottom"/>
            <w:hideMark/>
          </w:tcPr>
          <w:p w14:paraId="1901A7EF" w14:textId="77777777" w:rsidR="003103FF" w:rsidRPr="002E7DBB" w:rsidRDefault="003103FF" w:rsidP="006327AF">
            <w:pPr>
              <w:pStyle w:val="NoSpacing"/>
            </w:pPr>
            <w:r w:rsidRPr="002E7DBB">
              <w:t>Possible Anx/Dep</w:t>
            </w:r>
          </w:p>
        </w:tc>
        <w:tc>
          <w:tcPr>
            <w:tcW w:w="1705" w:type="dxa"/>
            <w:tcBorders>
              <w:top w:val="nil"/>
              <w:left w:val="nil"/>
              <w:bottom w:val="nil"/>
              <w:right w:val="nil"/>
            </w:tcBorders>
            <w:shd w:val="clear" w:color="auto" w:fill="auto"/>
            <w:noWrap/>
            <w:vAlign w:val="bottom"/>
            <w:hideMark/>
          </w:tcPr>
          <w:p w14:paraId="6F943E82" w14:textId="77777777" w:rsidR="003103FF" w:rsidRPr="002E7DBB" w:rsidRDefault="003103FF" w:rsidP="006327AF">
            <w:pPr>
              <w:pStyle w:val="NoSpacing"/>
              <w:jc w:val="center"/>
            </w:pPr>
            <w:r w:rsidRPr="002E7DBB">
              <w:t>12 (70.6%)</w:t>
            </w:r>
          </w:p>
        </w:tc>
        <w:tc>
          <w:tcPr>
            <w:tcW w:w="1565" w:type="dxa"/>
            <w:tcBorders>
              <w:top w:val="nil"/>
              <w:left w:val="nil"/>
              <w:bottom w:val="nil"/>
              <w:right w:val="nil"/>
            </w:tcBorders>
            <w:shd w:val="clear" w:color="auto" w:fill="auto"/>
            <w:noWrap/>
            <w:vAlign w:val="bottom"/>
            <w:hideMark/>
          </w:tcPr>
          <w:p w14:paraId="252EF465" w14:textId="77777777" w:rsidR="003103FF" w:rsidRPr="002E7DBB" w:rsidRDefault="003103FF" w:rsidP="006327AF">
            <w:pPr>
              <w:pStyle w:val="NoSpacing"/>
              <w:jc w:val="center"/>
            </w:pPr>
            <w:r w:rsidRPr="002E7DBB">
              <w:t>116 (84.1%)</w:t>
            </w:r>
          </w:p>
        </w:tc>
        <w:tc>
          <w:tcPr>
            <w:tcW w:w="935" w:type="dxa"/>
            <w:tcBorders>
              <w:top w:val="nil"/>
              <w:left w:val="nil"/>
              <w:bottom w:val="nil"/>
              <w:right w:val="nil"/>
            </w:tcBorders>
            <w:shd w:val="clear" w:color="auto" w:fill="auto"/>
            <w:noWrap/>
            <w:vAlign w:val="bottom"/>
            <w:hideMark/>
          </w:tcPr>
          <w:p w14:paraId="15628137" w14:textId="77777777" w:rsidR="003103FF" w:rsidRPr="002E7DBB" w:rsidRDefault="003103FF" w:rsidP="006327AF">
            <w:pPr>
              <w:pStyle w:val="NoSpacing"/>
              <w:jc w:val="center"/>
            </w:pPr>
            <w:r w:rsidRPr="002E7DBB">
              <w:t>0.18</w:t>
            </w:r>
          </w:p>
        </w:tc>
      </w:tr>
      <w:tr w:rsidR="003103FF" w:rsidRPr="002E7DBB" w14:paraId="36F5C52B" w14:textId="77777777" w:rsidTr="006327AF">
        <w:trPr>
          <w:trHeight w:val="250"/>
        </w:trPr>
        <w:tc>
          <w:tcPr>
            <w:tcW w:w="3443" w:type="dxa"/>
            <w:tcBorders>
              <w:top w:val="nil"/>
              <w:left w:val="nil"/>
              <w:bottom w:val="nil"/>
              <w:right w:val="nil"/>
            </w:tcBorders>
            <w:shd w:val="clear" w:color="auto" w:fill="auto"/>
            <w:noWrap/>
            <w:vAlign w:val="bottom"/>
            <w:hideMark/>
          </w:tcPr>
          <w:p w14:paraId="4F48195B" w14:textId="77777777" w:rsidR="003103FF" w:rsidRPr="002E7DBB" w:rsidRDefault="003103FF" w:rsidP="006327AF">
            <w:pPr>
              <w:pStyle w:val="NoSpacing"/>
            </w:pPr>
            <w:r w:rsidRPr="002E7DBB">
              <w:t>INQoL Total, baseline, mean (SD)</w:t>
            </w:r>
          </w:p>
        </w:tc>
        <w:tc>
          <w:tcPr>
            <w:tcW w:w="1705" w:type="dxa"/>
            <w:tcBorders>
              <w:top w:val="nil"/>
              <w:left w:val="nil"/>
              <w:bottom w:val="nil"/>
              <w:right w:val="nil"/>
            </w:tcBorders>
            <w:shd w:val="clear" w:color="auto" w:fill="auto"/>
            <w:noWrap/>
            <w:vAlign w:val="bottom"/>
            <w:hideMark/>
          </w:tcPr>
          <w:p w14:paraId="1C01A994" w14:textId="77777777" w:rsidR="003103FF" w:rsidRDefault="003103FF" w:rsidP="006327AF">
            <w:pPr>
              <w:pStyle w:val="NoSpacing"/>
              <w:jc w:val="center"/>
            </w:pPr>
            <w:r>
              <w:t>61.3 (21.0)</w:t>
            </w:r>
          </w:p>
        </w:tc>
        <w:tc>
          <w:tcPr>
            <w:tcW w:w="1565" w:type="dxa"/>
            <w:tcBorders>
              <w:top w:val="nil"/>
              <w:left w:val="nil"/>
              <w:bottom w:val="nil"/>
              <w:right w:val="nil"/>
            </w:tcBorders>
            <w:shd w:val="clear" w:color="auto" w:fill="auto"/>
            <w:noWrap/>
            <w:vAlign w:val="bottom"/>
            <w:hideMark/>
          </w:tcPr>
          <w:p w14:paraId="06D34D5D" w14:textId="77777777" w:rsidR="003103FF" w:rsidRDefault="003103FF" w:rsidP="006327AF">
            <w:pPr>
              <w:pStyle w:val="NoSpacing"/>
              <w:jc w:val="center"/>
            </w:pPr>
            <w:r>
              <w:t>59.5 (17.2)</w:t>
            </w:r>
          </w:p>
        </w:tc>
        <w:tc>
          <w:tcPr>
            <w:tcW w:w="935" w:type="dxa"/>
            <w:tcBorders>
              <w:top w:val="nil"/>
              <w:left w:val="nil"/>
              <w:bottom w:val="nil"/>
              <w:right w:val="nil"/>
            </w:tcBorders>
            <w:shd w:val="clear" w:color="auto" w:fill="auto"/>
            <w:noWrap/>
            <w:vAlign w:val="bottom"/>
            <w:hideMark/>
          </w:tcPr>
          <w:p w14:paraId="734B9DE8" w14:textId="77777777" w:rsidR="003103FF" w:rsidRDefault="003103FF" w:rsidP="006327AF">
            <w:pPr>
              <w:pStyle w:val="NoSpacing"/>
              <w:jc w:val="center"/>
            </w:pPr>
            <w:r>
              <w:t>0.71</w:t>
            </w:r>
          </w:p>
        </w:tc>
      </w:tr>
      <w:tr w:rsidR="003103FF" w:rsidRPr="002E7DBB" w14:paraId="03C33E31" w14:textId="77777777" w:rsidTr="006327AF">
        <w:trPr>
          <w:trHeight w:val="250"/>
        </w:trPr>
        <w:tc>
          <w:tcPr>
            <w:tcW w:w="3443" w:type="dxa"/>
            <w:tcBorders>
              <w:top w:val="nil"/>
              <w:left w:val="nil"/>
              <w:bottom w:val="nil"/>
              <w:right w:val="nil"/>
            </w:tcBorders>
            <w:shd w:val="clear" w:color="auto" w:fill="auto"/>
            <w:noWrap/>
            <w:vAlign w:val="bottom"/>
            <w:hideMark/>
          </w:tcPr>
          <w:p w14:paraId="0D99CE14" w14:textId="77777777" w:rsidR="003103FF" w:rsidRPr="002E7DBB" w:rsidRDefault="003103FF" w:rsidP="006327AF">
            <w:pPr>
              <w:pStyle w:val="NoSpacing"/>
            </w:pPr>
            <w:r w:rsidRPr="002E7DBB">
              <w:t>WSAS, mean (SD)</w:t>
            </w:r>
          </w:p>
        </w:tc>
        <w:tc>
          <w:tcPr>
            <w:tcW w:w="1705" w:type="dxa"/>
            <w:tcBorders>
              <w:top w:val="nil"/>
              <w:left w:val="nil"/>
              <w:bottom w:val="nil"/>
              <w:right w:val="nil"/>
            </w:tcBorders>
            <w:shd w:val="clear" w:color="auto" w:fill="auto"/>
            <w:noWrap/>
            <w:vAlign w:val="bottom"/>
            <w:hideMark/>
          </w:tcPr>
          <w:p w14:paraId="6083855E" w14:textId="77777777" w:rsidR="003103FF" w:rsidRPr="002E7DBB" w:rsidRDefault="003103FF" w:rsidP="006327AF">
            <w:pPr>
              <w:pStyle w:val="NoSpacing"/>
              <w:jc w:val="center"/>
            </w:pPr>
            <w:r w:rsidRPr="002E7DBB">
              <w:t>35.1 (17.1)</w:t>
            </w:r>
          </w:p>
        </w:tc>
        <w:tc>
          <w:tcPr>
            <w:tcW w:w="1565" w:type="dxa"/>
            <w:tcBorders>
              <w:top w:val="nil"/>
              <w:left w:val="nil"/>
              <w:bottom w:val="nil"/>
              <w:right w:val="nil"/>
            </w:tcBorders>
            <w:shd w:val="clear" w:color="auto" w:fill="auto"/>
            <w:noWrap/>
            <w:vAlign w:val="bottom"/>
            <w:hideMark/>
          </w:tcPr>
          <w:p w14:paraId="30A05884" w14:textId="77777777" w:rsidR="003103FF" w:rsidRPr="002E7DBB" w:rsidRDefault="003103FF" w:rsidP="006327AF">
            <w:pPr>
              <w:pStyle w:val="NoSpacing"/>
              <w:jc w:val="center"/>
            </w:pPr>
            <w:r w:rsidRPr="002E7DBB">
              <w:t>37.2 (15.2)</w:t>
            </w:r>
          </w:p>
        </w:tc>
        <w:tc>
          <w:tcPr>
            <w:tcW w:w="935" w:type="dxa"/>
            <w:tcBorders>
              <w:top w:val="nil"/>
              <w:left w:val="nil"/>
              <w:bottom w:val="nil"/>
              <w:right w:val="nil"/>
            </w:tcBorders>
            <w:shd w:val="clear" w:color="auto" w:fill="auto"/>
            <w:noWrap/>
            <w:vAlign w:val="bottom"/>
            <w:hideMark/>
          </w:tcPr>
          <w:p w14:paraId="127092FA" w14:textId="77777777" w:rsidR="003103FF" w:rsidRPr="002E7DBB" w:rsidRDefault="003103FF" w:rsidP="006327AF">
            <w:pPr>
              <w:pStyle w:val="NoSpacing"/>
              <w:jc w:val="center"/>
            </w:pPr>
            <w:r w:rsidRPr="002E7DBB">
              <w:t>0.61</w:t>
            </w:r>
          </w:p>
        </w:tc>
      </w:tr>
      <w:tr w:rsidR="003103FF" w:rsidRPr="002E7DBB" w14:paraId="4E2418E8" w14:textId="77777777" w:rsidTr="006327AF">
        <w:trPr>
          <w:trHeight w:val="250"/>
        </w:trPr>
        <w:tc>
          <w:tcPr>
            <w:tcW w:w="3443" w:type="dxa"/>
            <w:tcBorders>
              <w:top w:val="nil"/>
              <w:left w:val="nil"/>
              <w:bottom w:val="nil"/>
              <w:right w:val="nil"/>
            </w:tcBorders>
            <w:shd w:val="clear" w:color="auto" w:fill="auto"/>
            <w:noWrap/>
            <w:vAlign w:val="bottom"/>
            <w:hideMark/>
          </w:tcPr>
          <w:p w14:paraId="74358835" w14:textId="77777777" w:rsidR="003103FF" w:rsidRPr="002E7DBB" w:rsidRDefault="003103FF" w:rsidP="006327AF">
            <w:pPr>
              <w:pStyle w:val="NoSpacing"/>
            </w:pPr>
            <w:r w:rsidRPr="002E7DBB">
              <w:t>HADS Anxiety, mean (SD)</w:t>
            </w:r>
          </w:p>
        </w:tc>
        <w:tc>
          <w:tcPr>
            <w:tcW w:w="1705" w:type="dxa"/>
            <w:tcBorders>
              <w:top w:val="nil"/>
              <w:left w:val="nil"/>
              <w:bottom w:val="nil"/>
              <w:right w:val="nil"/>
            </w:tcBorders>
            <w:shd w:val="clear" w:color="auto" w:fill="auto"/>
            <w:noWrap/>
            <w:vAlign w:val="bottom"/>
            <w:hideMark/>
          </w:tcPr>
          <w:p w14:paraId="44B7521D" w14:textId="77777777" w:rsidR="003103FF" w:rsidRPr="002E7DBB" w:rsidRDefault="003103FF" w:rsidP="006327AF">
            <w:pPr>
              <w:pStyle w:val="NoSpacing"/>
              <w:jc w:val="center"/>
            </w:pPr>
            <w:r w:rsidRPr="002E7DBB">
              <w:t>9.8 (4.5)</w:t>
            </w:r>
          </w:p>
        </w:tc>
        <w:tc>
          <w:tcPr>
            <w:tcW w:w="1565" w:type="dxa"/>
            <w:tcBorders>
              <w:top w:val="nil"/>
              <w:left w:val="nil"/>
              <w:bottom w:val="nil"/>
              <w:right w:val="nil"/>
            </w:tcBorders>
            <w:shd w:val="clear" w:color="auto" w:fill="auto"/>
            <w:noWrap/>
            <w:vAlign w:val="bottom"/>
            <w:hideMark/>
          </w:tcPr>
          <w:p w14:paraId="47D5FBED" w14:textId="77777777" w:rsidR="003103FF" w:rsidRPr="002E7DBB" w:rsidRDefault="003103FF" w:rsidP="006327AF">
            <w:pPr>
              <w:pStyle w:val="NoSpacing"/>
              <w:jc w:val="center"/>
            </w:pPr>
            <w:r w:rsidRPr="002E7DBB">
              <w:t>9.7 (3.6)</w:t>
            </w:r>
          </w:p>
        </w:tc>
        <w:tc>
          <w:tcPr>
            <w:tcW w:w="935" w:type="dxa"/>
            <w:tcBorders>
              <w:top w:val="nil"/>
              <w:left w:val="nil"/>
              <w:bottom w:val="nil"/>
              <w:right w:val="nil"/>
            </w:tcBorders>
            <w:shd w:val="clear" w:color="auto" w:fill="auto"/>
            <w:noWrap/>
            <w:vAlign w:val="bottom"/>
            <w:hideMark/>
          </w:tcPr>
          <w:p w14:paraId="772E8152" w14:textId="77777777" w:rsidR="003103FF" w:rsidRPr="002E7DBB" w:rsidRDefault="003103FF" w:rsidP="006327AF">
            <w:pPr>
              <w:pStyle w:val="NoSpacing"/>
              <w:jc w:val="center"/>
            </w:pPr>
            <w:r w:rsidRPr="002E7DBB">
              <w:t>0.94</w:t>
            </w:r>
          </w:p>
        </w:tc>
      </w:tr>
      <w:tr w:rsidR="003103FF" w:rsidRPr="002E7DBB" w14:paraId="1BA52AFC" w14:textId="77777777" w:rsidTr="006327AF">
        <w:trPr>
          <w:trHeight w:val="250"/>
        </w:trPr>
        <w:tc>
          <w:tcPr>
            <w:tcW w:w="3443" w:type="dxa"/>
            <w:tcBorders>
              <w:top w:val="nil"/>
              <w:left w:val="nil"/>
              <w:right w:val="nil"/>
            </w:tcBorders>
            <w:shd w:val="clear" w:color="auto" w:fill="auto"/>
            <w:noWrap/>
            <w:vAlign w:val="bottom"/>
            <w:hideMark/>
          </w:tcPr>
          <w:p w14:paraId="59DC4855" w14:textId="77777777" w:rsidR="003103FF" w:rsidRPr="002E7DBB" w:rsidRDefault="003103FF" w:rsidP="006327AF">
            <w:pPr>
              <w:pStyle w:val="NoSpacing"/>
            </w:pPr>
            <w:r w:rsidRPr="002E7DBB">
              <w:t>HADS Depression, mean (SD)</w:t>
            </w:r>
          </w:p>
        </w:tc>
        <w:tc>
          <w:tcPr>
            <w:tcW w:w="1705" w:type="dxa"/>
            <w:tcBorders>
              <w:top w:val="nil"/>
              <w:left w:val="nil"/>
              <w:right w:val="nil"/>
            </w:tcBorders>
            <w:shd w:val="clear" w:color="auto" w:fill="auto"/>
            <w:noWrap/>
            <w:vAlign w:val="bottom"/>
            <w:hideMark/>
          </w:tcPr>
          <w:p w14:paraId="72CFCCBA" w14:textId="77777777" w:rsidR="003103FF" w:rsidRPr="002E7DBB" w:rsidRDefault="003103FF" w:rsidP="006327AF">
            <w:pPr>
              <w:pStyle w:val="NoSpacing"/>
              <w:jc w:val="center"/>
            </w:pPr>
            <w:r w:rsidRPr="002E7DBB">
              <w:t>10.1 (4.1)</w:t>
            </w:r>
          </w:p>
        </w:tc>
        <w:tc>
          <w:tcPr>
            <w:tcW w:w="1565" w:type="dxa"/>
            <w:tcBorders>
              <w:top w:val="nil"/>
              <w:left w:val="nil"/>
              <w:right w:val="nil"/>
            </w:tcBorders>
            <w:shd w:val="clear" w:color="auto" w:fill="auto"/>
            <w:noWrap/>
            <w:vAlign w:val="bottom"/>
            <w:hideMark/>
          </w:tcPr>
          <w:p w14:paraId="28EDF255" w14:textId="77777777" w:rsidR="003103FF" w:rsidRPr="002E7DBB" w:rsidRDefault="003103FF" w:rsidP="006327AF">
            <w:pPr>
              <w:pStyle w:val="NoSpacing"/>
              <w:jc w:val="center"/>
            </w:pPr>
            <w:r w:rsidRPr="002E7DBB">
              <w:t>9.4 (3.1)</w:t>
            </w:r>
          </w:p>
        </w:tc>
        <w:tc>
          <w:tcPr>
            <w:tcW w:w="935" w:type="dxa"/>
            <w:tcBorders>
              <w:top w:val="nil"/>
              <w:left w:val="nil"/>
              <w:right w:val="nil"/>
            </w:tcBorders>
            <w:shd w:val="clear" w:color="auto" w:fill="auto"/>
            <w:noWrap/>
            <w:vAlign w:val="bottom"/>
            <w:hideMark/>
          </w:tcPr>
          <w:p w14:paraId="4B767CF9" w14:textId="77777777" w:rsidR="003103FF" w:rsidRPr="002E7DBB" w:rsidRDefault="003103FF" w:rsidP="006327AF">
            <w:pPr>
              <w:pStyle w:val="NoSpacing"/>
              <w:jc w:val="center"/>
            </w:pPr>
            <w:r w:rsidRPr="002E7DBB">
              <w:t>0.38</w:t>
            </w:r>
          </w:p>
        </w:tc>
      </w:tr>
      <w:tr w:rsidR="003103FF" w:rsidRPr="002E7DBB" w14:paraId="4888725D" w14:textId="77777777" w:rsidTr="006327AF">
        <w:trPr>
          <w:trHeight w:val="250"/>
        </w:trPr>
        <w:tc>
          <w:tcPr>
            <w:tcW w:w="3443" w:type="dxa"/>
            <w:tcBorders>
              <w:top w:val="nil"/>
              <w:left w:val="nil"/>
              <w:bottom w:val="single" w:sz="4" w:space="0" w:color="auto"/>
              <w:right w:val="nil"/>
            </w:tcBorders>
            <w:shd w:val="clear" w:color="auto" w:fill="auto"/>
            <w:noWrap/>
            <w:vAlign w:val="bottom"/>
            <w:hideMark/>
          </w:tcPr>
          <w:p w14:paraId="2A6EC6D0" w14:textId="77777777" w:rsidR="003103FF" w:rsidRPr="002E7DBB" w:rsidRDefault="003103FF" w:rsidP="006327AF">
            <w:pPr>
              <w:pStyle w:val="NoSpacing"/>
            </w:pPr>
            <w:r w:rsidRPr="002E7DBB">
              <w:t>HAQ Disability, mean (SD)</w:t>
            </w:r>
          </w:p>
        </w:tc>
        <w:tc>
          <w:tcPr>
            <w:tcW w:w="1705" w:type="dxa"/>
            <w:tcBorders>
              <w:top w:val="nil"/>
              <w:left w:val="nil"/>
              <w:bottom w:val="single" w:sz="4" w:space="0" w:color="auto"/>
              <w:right w:val="nil"/>
            </w:tcBorders>
            <w:shd w:val="clear" w:color="auto" w:fill="auto"/>
            <w:noWrap/>
            <w:vAlign w:val="bottom"/>
            <w:hideMark/>
          </w:tcPr>
          <w:p w14:paraId="76CDD50D" w14:textId="77777777" w:rsidR="003103FF" w:rsidRPr="002E7DBB" w:rsidRDefault="003103FF" w:rsidP="006327AF">
            <w:pPr>
              <w:pStyle w:val="NoSpacing"/>
              <w:jc w:val="center"/>
            </w:pPr>
            <w:r w:rsidRPr="002E7DBB">
              <w:t>1.6 (0.9)</w:t>
            </w:r>
          </w:p>
        </w:tc>
        <w:tc>
          <w:tcPr>
            <w:tcW w:w="1565" w:type="dxa"/>
            <w:tcBorders>
              <w:top w:val="nil"/>
              <w:left w:val="nil"/>
              <w:bottom w:val="single" w:sz="4" w:space="0" w:color="auto"/>
              <w:right w:val="nil"/>
            </w:tcBorders>
            <w:shd w:val="clear" w:color="auto" w:fill="auto"/>
            <w:noWrap/>
            <w:vAlign w:val="bottom"/>
            <w:hideMark/>
          </w:tcPr>
          <w:p w14:paraId="51735C77" w14:textId="77777777" w:rsidR="003103FF" w:rsidRPr="002E7DBB" w:rsidRDefault="003103FF" w:rsidP="006327AF">
            <w:pPr>
              <w:pStyle w:val="NoSpacing"/>
              <w:jc w:val="center"/>
            </w:pPr>
            <w:r w:rsidRPr="002E7DBB">
              <w:t>1.8 (0.8)</w:t>
            </w:r>
          </w:p>
        </w:tc>
        <w:tc>
          <w:tcPr>
            <w:tcW w:w="935" w:type="dxa"/>
            <w:tcBorders>
              <w:top w:val="nil"/>
              <w:left w:val="nil"/>
              <w:bottom w:val="single" w:sz="4" w:space="0" w:color="auto"/>
              <w:right w:val="nil"/>
            </w:tcBorders>
            <w:shd w:val="clear" w:color="auto" w:fill="auto"/>
            <w:noWrap/>
            <w:vAlign w:val="bottom"/>
            <w:hideMark/>
          </w:tcPr>
          <w:p w14:paraId="51AF2E1A" w14:textId="77777777" w:rsidR="003103FF" w:rsidRPr="002E7DBB" w:rsidRDefault="003103FF" w:rsidP="006327AF">
            <w:pPr>
              <w:pStyle w:val="NoSpacing"/>
              <w:jc w:val="center"/>
            </w:pPr>
            <w:r w:rsidRPr="002E7DBB">
              <w:t>0.24</w:t>
            </w:r>
          </w:p>
        </w:tc>
      </w:tr>
    </w:tbl>
    <w:p w14:paraId="6CF48F6B" w14:textId="0E4EE09A" w:rsidR="006752EB" w:rsidRDefault="006752EB"/>
    <w:p w14:paraId="5824C0D4" w14:textId="77777777" w:rsidR="00FF2C31" w:rsidRDefault="00FF2C31">
      <w:pPr>
        <w:rPr>
          <w:b/>
          <w:bCs/>
        </w:rPr>
      </w:pPr>
    </w:p>
    <w:p w14:paraId="54A927AC" w14:textId="06A3E214" w:rsidR="00DD6600" w:rsidRDefault="00DD6600">
      <w:pPr>
        <w:rPr>
          <w:b/>
          <w:bCs/>
        </w:rPr>
      </w:pPr>
      <w:r w:rsidRPr="00DD6600">
        <w:rPr>
          <w:b/>
          <w:bCs/>
        </w:rPr>
        <w:t xml:space="preserve">Primary outcome efficacy sensitivity analysis </w:t>
      </w:r>
    </w:p>
    <w:p w14:paraId="71A3AB3E" w14:textId="4B6D0980" w:rsidR="00DD6600" w:rsidRDefault="00DD6600">
      <w:r w:rsidRPr="00DD6600">
        <w:t>Table 3 indicates that the adjusted group differences</w:t>
      </w:r>
      <w:r w:rsidRPr="00DD6600">
        <w:rPr>
          <w:b/>
          <w:bCs/>
        </w:rPr>
        <w:t xml:space="preserve"> </w:t>
      </w:r>
      <w:r>
        <w:t>favour the intervention group and were significant with moderate to large effect sizes at all three time points irrespective of the method used to handle missing data. The intention to treat analysis sample includes all individuals in the group to which they were randomised where post-randomisation data were available. Sensitivity analysis where missing data were imputed using the baseline</w:t>
      </w:r>
      <w:r w:rsidR="002F1ACE">
        <w:t xml:space="preserve"> </w:t>
      </w:r>
      <w:r w:rsidR="002F1ACE">
        <w:t>observation carried forward approach indicated negligible difference in the interpretation of the treatment effect. Further sensitivity analyses using the per-protocol sample, excluding eight individuals who were assumed not to have received a sufficient dose of the treatment, also indicated no substantive difference in the treatment effect</w:t>
      </w:r>
      <w:r w:rsidR="006C1273">
        <w:t xml:space="preserve">. </w:t>
      </w:r>
    </w:p>
    <w:p w14:paraId="31125967" w14:textId="27FC9F75" w:rsidR="00356965" w:rsidRDefault="00356965"/>
    <w:p w14:paraId="217E1995" w14:textId="7DA826F1" w:rsidR="00356965" w:rsidRDefault="00356965"/>
    <w:p w14:paraId="36EAE622" w14:textId="6C8B867B" w:rsidR="00356965" w:rsidRDefault="00356965"/>
    <w:p w14:paraId="3FB31E9C" w14:textId="55AA1F50" w:rsidR="00356965" w:rsidRDefault="00356965"/>
    <w:p w14:paraId="7A801554" w14:textId="1EBF2C7B" w:rsidR="00356965" w:rsidRDefault="00356965"/>
    <w:p w14:paraId="271A32FE" w14:textId="3322F89D" w:rsidR="00356965" w:rsidRDefault="00356965"/>
    <w:p w14:paraId="5FA87DAB" w14:textId="5DE9F2C5" w:rsidR="00356965" w:rsidRDefault="00356965"/>
    <w:p w14:paraId="2DD4D3E0" w14:textId="7A32FAC8" w:rsidR="00437733" w:rsidRPr="00F82C45" w:rsidRDefault="00CF3069">
      <w:pPr>
        <w:rPr>
          <w:b/>
          <w:bCs/>
          <w:sz w:val="20"/>
          <w:szCs w:val="20"/>
        </w:rPr>
      </w:pPr>
      <w:r w:rsidRPr="00F82C45">
        <w:rPr>
          <w:b/>
          <w:bCs/>
          <w:sz w:val="20"/>
          <w:szCs w:val="20"/>
        </w:rPr>
        <w:lastRenderedPageBreak/>
        <w:t>Table 3. Treatment effects on primary outcome by analysis sample</w:t>
      </w:r>
    </w:p>
    <w:tbl>
      <w:tblPr>
        <w:tblW w:w="9838" w:type="dxa"/>
        <w:tblLook w:val="04A0" w:firstRow="1" w:lastRow="0" w:firstColumn="1" w:lastColumn="0" w:noHBand="0" w:noVBand="1"/>
      </w:tblPr>
      <w:tblGrid>
        <w:gridCol w:w="1601"/>
        <w:gridCol w:w="974"/>
        <w:gridCol w:w="680"/>
        <w:gridCol w:w="735"/>
        <w:gridCol w:w="718"/>
        <w:gridCol w:w="680"/>
        <w:gridCol w:w="735"/>
        <w:gridCol w:w="718"/>
        <w:gridCol w:w="888"/>
        <w:gridCol w:w="680"/>
        <w:gridCol w:w="720"/>
        <w:gridCol w:w="709"/>
      </w:tblGrid>
      <w:tr w:rsidR="00D92F4B" w:rsidRPr="00F5085E" w14:paraId="6561D82E" w14:textId="77777777" w:rsidTr="006327AF">
        <w:trPr>
          <w:trHeight w:val="290"/>
        </w:trPr>
        <w:tc>
          <w:tcPr>
            <w:tcW w:w="1601" w:type="dxa"/>
            <w:tcBorders>
              <w:top w:val="single" w:sz="4" w:space="0" w:color="auto"/>
              <w:left w:val="nil"/>
              <w:bottom w:val="nil"/>
              <w:right w:val="nil"/>
            </w:tcBorders>
            <w:shd w:val="clear" w:color="auto" w:fill="auto"/>
            <w:noWrap/>
            <w:vAlign w:val="center"/>
            <w:hideMark/>
          </w:tcPr>
          <w:p w14:paraId="7271EB6D"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Analysis sample</w:t>
            </w:r>
          </w:p>
        </w:tc>
        <w:tc>
          <w:tcPr>
            <w:tcW w:w="974" w:type="dxa"/>
            <w:tcBorders>
              <w:top w:val="single" w:sz="4" w:space="0" w:color="auto"/>
              <w:left w:val="nil"/>
              <w:bottom w:val="nil"/>
              <w:right w:val="nil"/>
            </w:tcBorders>
            <w:shd w:val="clear" w:color="auto" w:fill="auto"/>
            <w:noWrap/>
            <w:vAlign w:val="center"/>
            <w:hideMark/>
          </w:tcPr>
          <w:p w14:paraId="1761A824"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Time</w:t>
            </w:r>
          </w:p>
        </w:tc>
        <w:tc>
          <w:tcPr>
            <w:tcW w:w="2133" w:type="dxa"/>
            <w:gridSpan w:val="3"/>
            <w:tcBorders>
              <w:top w:val="single" w:sz="4" w:space="0" w:color="auto"/>
              <w:left w:val="nil"/>
              <w:bottom w:val="nil"/>
              <w:right w:val="nil"/>
            </w:tcBorders>
            <w:shd w:val="clear" w:color="auto" w:fill="auto"/>
            <w:noWrap/>
            <w:vAlign w:val="center"/>
            <w:hideMark/>
          </w:tcPr>
          <w:p w14:paraId="187C2427"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Control</w:t>
            </w:r>
          </w:p>
        </w:tc>
        <w:tc>
          <w:tcPr>
            <w:tcW w:w="2133" w:type="dxa"/>
            <w:gridSpan w:val="3"/>
            <w:tcBorders>
              <w:top w:val="single" w:sz="4" w:space="0" w:color="auto"/>
              <w:left w:val="nil"/>
              <w:bottom w:val="nil"/>
              <w:right w:val="nil"/>
            </w:tcBorders>
            <w:shd w:val="clear" w:color="auto" w:fill="auto"/>
            <w:noWrap/>
            <w:vAlign w:val="center"/>
            <w:hideMark/>
          </w:tcPr>
          <w:p w14:paraId="6D83B30C"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Intervention</w:t>
            </w:r>
          </w:p>
        </w:tc>
        <w:tc>
          <w:tcPr>
            <w:tcW w:w="2997" w:type="dxa"/>
            <w:gridSpan w:val="4"/>
            <w:tcBorders>
              <w:top w:val="single" w:sz="4" w:space="0" w:color="auto"/>
              <w:left w:val="nil"/>
              <w:bottom w:val="nil"/>
              <w:right w:val="nil"/>
            </w:tcBorders>
            <w:shd w:val="clear" w:color="auto" w:fill="auto"/>
            <w:noWrap/>
            <w:vAlign w:val="center"/>
            <w:hideMark/>
          </w:tcPr>
          <w:p w14:paraId="7078CD1D"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Adjusted mean difference</w:t>
            </w:r>
          </w:p>
        </w:tc>
      </w:tr>
      <w:tr w:rsidR="00D92F4B" w:rsidRPr="00F5085E" w14:paraId="5B1447EE" w14:textId="77777777" w:rsidTr="006327AF">
        <w:trPr>
          <w:trHeight w:val="290"/>
        </w:trPr>
        <w:tc>
          <w:tcPr>
            <w:tcW w:w="1601" w:type="dxa"/>
            <w:tcBorders>
              <w:top w:val="nil"/>
              <w:left w:val="nil"/>
              <w:bottom w:val="single" w:sz="4" w:space="0" w:color="auto"/>
              <w:right w:val="nil"/>
            </w:tcBorders>
            <w:shd w:val="clear" w:color="auto" w:fill="auto"/>
            <w:noWrap/>
            <w:vAlign w:val="center"/>
            <w:hideMark/>
          </w:tcPr>
          <w:p w14:paraId="75AF4648"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p>
        </w:tc>
        <w:tc>
          <w:tcPr>
            <w:tcW w:w="974" w:type="dxa"/>
            <w:tcBorders>
              <w:top w:val="nil"/>
              <w:left w:val="nil"/>
              <w:bottom w:val="single" w:sz="4" w:space="0" w:color="auto"/>
              <w:right w:val="nil"/>
            </w:tcBorders>
            <w:shd w:val="clear" w:color="auto" w:fill="auto"/>
            <w:noWrap/>
            <w:vAlign w:val="center"/>
            <w:hideMark/>
          </w:tcPr>
          <w:p w14:paraId="602835BC"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p>
        </w:tc>
        <w:tc>
          <w:tcPr>
            <w:tcW w:w="680" w:type="dxa"/>
            <w:tcBorders>
              <w:top w:val="nil"/>
              <w:left w:val="nil"/>
              <w:bottom w:val="single" w:sz="4" w:space="0" w:color="auto"/>
              <w:right w:val="nil"/>
            </w:tcBorders>
            <w:shd w:val="clear" w:color="auto" w:fill="auto"/>
            <w:noWrap/>
            <w:vAlign w:val="center"/>
            <w:hideMark/>
          </w:tcPr>
          <w:p w14:paraId="01A257A0"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N</w:t>
            </w:r>
          </w:p>
        </w:tc>
        <w:tc>
          <w:tcPr>
            <w:tcW w:w="735" w:type="dxa"/>
            <w:tcBorders>
              <w:top w:val="nil"/>
              <w:left w:val="nil"/>
              <w:bottom w:val="single" w:sz="4" w:space="0" w:color="auto"/>
              <w:right w:val="nil"/>
            </w:tcBorders>
            <w:shd w:val="clear" w:color="auto" w:fill="auto"/>
            <w:noWrap/>
            <w:vAlign w:val="center"/>
            <w:hideMark/>
          </w:tcPr>
          <w:p w14:paraId="4C083EEF"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Mean</w:t>
            </w:r>
          </w:p>
        </w:tc>
        <w:tc>
          <w:tcPr>
            <w:tcW w:w="718" w:type="dxa"/>
            <w:tcBorders>
              <w:top w:val="nil"/>
              <w:left w:val="nil"/>
              <w:bottom w:val="single" w:sz="4" w:space="0" w:color="auto"/>
              <w:right w:val="nil"/>
            </w:tcBorders>
            <w:shd w:val="clear" w:color="auto" w:fill="auto"/>
            <w:noWrap/>
            <w:vAlign w:val="center"/>
            <w:hideMark/>
          </w:tcPr>
          <w:p w14:paraId="73633E4C"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SD</w:t>
            </w:r>
          </w:p>
        </w:tc>
        <w:tc>
          <w:tcPr>
            <w:tcW w:w="680" w:type="dxa"/>
            <w:tcBorders>
              <w:top w:val="nil"/>
              <w:left w:val="nil"/>
              <w:bottom w:val="single" w:sz="4" w:space="0" w:color="auto"/>
              <w:right w:val="nil"/>
            </w:tcBorders>
            <w:shd w:val="clear" w:color="auto" w:fill="auto"/>
            <w:noWrap/>
            <w:vAlign w:val="center"/>
            <w:hideMark/>
          </w:tcPr>
          <w:p w14:paraId="4159EF5B"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N</w:t>
            </w:r>
          </w:p>
        </w:tc>
        <w:tc>
          <w:tcPr>
            <w:tcW w:w="735" w:type="dxa"/>
            <w:tcBorders>
              <w:top w:val="nil"/>
              <w:left w:val="nil"/>
              <w:bottom w:val="single" w:sz="4" w:space="0" w:color="auto"/>
              <w:right w:val="nil"/>
            </w:tcBorders>
            <w:shd w:val="clear" w:color="auto" w:fill="auto"/>
            <w:noWrap/>
            <w:vAlign w:val="center"/>
            <w:hideMark/>
          </w:tcPr>
          <w:p w14:paraId="324058BE"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Mean</w:t>
            </w:r>
          </w:p>
        </w:tc>
        <w:tc>
          <w:tcPr>
            <w:tcW w:w="718" w:type="dxa"/>
            <w:tcBorders>
              <w:top w:val="nil"/>
              <w:left w:val="nil"/>
              <w:bottom w:val="single" w:sz="4" w:space="0" w:color="auto"/>
              <w:right w:val="nil"/>
            </w:tcBorders>
            <w:shd w:val="clear" w:color="auto" w:fill="auto"/>
            <w:noWrap/>
            <w:vAlign w:val="center"/>
            <w:hideMark/>
          </w:tcPr>
          <w:p w14:paraId="69992CF7"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SD</w:t>
            </w:r>
          </w:p>
        </w:tc>
        <w:tc>
          <w:tcPr>
            <w:tcW w:w="888" w:type="dxa"/>
            <w:tcBorders>
              <w:top w:val="nil"/>
              <w:left w:val="nil"/>
              <w:bottom w:val="single" w:sz="4" w:space="0" w:color="auto"/>
              <w:right w:val="nil"/>
            </w:tcBorders>
            <w:shd w:val="clear" w:color="auto" w:fill="auto"/>
            <w:noWrap/>
            <w:vAlign w:val="center"/>
            <w:hideMark/>
          </w:tcPr>
          <w:p w14:paraId="345EE58F"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Diff</w:t>
            </w:r>
          </w:p>
        </w:tc>
        <w:tc>
          <w:tcPr>
            <w:tcW w:w="680" w:type="dxa"/>
            <w:tcBorders>
              <w:top w:val="nil"/>
              <w:left w:val="nil"/>
              <w:bottom w:val="single" w:sz="4" w:space="0" w:color="auto"/>
              <w:right w:val="nil"/>
            </w:tcBorders>
            <w:shd w:val="clear" w:color="auto" w:fill="auto"/>
            <w:noWrap/>
            <w:vAlign w:val="center"/>
            <w:hideMark/>
          </w:tcPr>
          <w:p w14:paraId="37997305"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SE</w:t>
            </w:r>
          </w:p>
        </w:tc>
        <w:tc>
          <w:tcPr>
            <w:tcW w:w="720" w:type="dxa"/>
            <w:tcBorders>
              <w:top w:val="nil"/>
              <w:left w:val="nil"/>
              <w:bottom w:val="single" w:sz="4" w:space="0" w:color="auto"/>
              <w:right w:val="nil"/>
            </w:tcBorders>
            <w:shd w:val="clear" w:color="auto" w:fill="auto"/>
            <w:noWrap/>
            <w:vAlign w:val="center"/>
            <w:hideMark/>
          </w:tcPr>
          <w:p w14:paraId="14DE5904"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p</w:t>
            </w:r>
          </w:p>
        </w:tc>
        <w:tc>
          <w:tcPr>
            <w:tcW w:w="709" w:type="dxa"/>
            <w:tcBorders>
              <w:top w:val="nil"/>
              <w:left w:val="nil"/>
              <w:bottom w:val="single" w:sz="4" w:space="0" w:color="auto"/>
              <w:right w:val="nil"/>
            </w:tcBorders>
            <w:shd w:val="clear" w:color="auto" w:fill="auto"/>
            <w:noWrap/>
            <w:vAlign w:val="center"/>
            <w:hideMark/>
          </w:tcPr>
          <w:p w14:paraId="3109ABE5"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SMD</w:t>
            </w:r>
          </w:p>
        </w:tc>
      </w:tr>
      <w:tr w:rsidR="00D92F4B" w:rsidRPr="00F5085E" w14:paraId="38A0F0D6" w14:textId="77777777" w:rsidTr="006327AF">
        <w:trPr>
          <w:trHeight w:val="290"/>
        </w:trPr>
        <w:tc>
          <w:tcPr>
            <w:tcW w:w="1601" w:type="dxa"/>
            <w:tcBorders>
              <w:top w:val="single" w:sz="4" w:space="0" w:color="auto"/>
              <w:left w:val="nil"/>
              <w:bottom w:val="nil"/>
              <w:right w:val="nil"/>
            </w:tcBorders>
            <w:shd w:val="clear" w:color="auto" w:fill="auto"/>
            <w:noWrap/>
            <w:vAlign w:val="center"/>
            <w:hideMark/>
          </w:tcPr>
          <w:p w14:paraId="34186A33"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ITT</w:t>
            </w:r>
          </w:p>
        </w:tc>
        <w:tc>
          <w:tcPr>
            <w:tcW w:w="974" w:type="dxa"/>
            <w:tcBorders>
              <w:top w:val="single" w:sz="4" w:space="0" w:color="auto"/>
              <w:left w:val="nil"/>
              <w:bottom w:val="nil"/>
              <w:right w:val="nil"/>
            </w:tcBorders>
            <w:shd w:val="clear" w:color="auto" w:fill="auto"/>
            <w:noWrap/>
            <w:vAlign w:val="center"/>
          </w:tcPr>
          <w:p w14:paraId="27AF0038"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Baseline</w:t>
            </w:r>
          </w:p>
        </w:tc>
        <w:tc>
          <w:tcPr>
            <w:tcW w:w="680" w:type="dxa"/>
            <w:tcBorders>
              <w:top w:val="single" w:sz="4" w:space="0" w:color="auto"/>
              <w:left w:val="nil"/>
              <w:bottom w:val="nil"/>
              <w:right w:val="nil"/>
            </w:tcBorders>
            <w:shd w:val="clear" w:color="auto" w:fill="auto"/>
            <w:noWrap/>
            <w:vAlign w:val="bottom"/>
          </w:tcPr>
          <w:p w14:paraId="7FA82813"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75</w:t>
            </w:r>
          </w:p>
        </w:tc>
        <w:tc>
          <w:tcPr>
            <w:tcW w:w="735" w:type="dxa"/>
            <w:tcBorders>
              <w:top w:val="single" w:sz="4" w:space="0" w:color="auto"/>
              <w:left w:val="nil"/>
              <w:bottom w:val="nil"/>
              <w:right w:val="nil"/>
            </w:tcBorders>
            <w:shd w:val="clear" w:color="auto" w:fill="auto"/>
            <w:noWrap/>
            <w:vAlign w:val="bottom"/>
          </w:tcPr>
          <w:p w14:paraId="711668E5"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58.69</w:t>
            </w:r>
          </w:p>
        </w:tc>
        <w:tc>
          <w:tcPr>
            <w:tcW w:w="718" w:type="dxa"/>
            <w:tcBorders>
              <w:top w:val="single" w:sz="4" w:space="0" w:color="auto"/>
              <w:left w:val="nil"/>
              <w:bottom w:val="nil"/>
              <w:right w:val="nil"/>
            </w:tcBorders>
            <w:shd w:val="clear" w:color="auto" w:fill="auto"/>
            <w:noWrap/>
            <w:vAlign w:val="bottom"/>
          </w:tcPr>
          <w:p w14:paraId="03C30D1C"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16.94</w:t>
            </w:r>
          </w:p>
        </w:tc>
        <w:tc>
          <w:tcPr>
            <w:tcW w:w="680" w:type="dxa"/>
            <w:tcBorders>
              <w:top w:val="single" w:sz="4" w:space="0" w:color="auto"/>
              <w:left w:val="nil"/>
              <w:bottom w:val="nil"/>
              <w:right w:val="nil"/>
            </w:tcBorders>
            <w:shd w:val="clear" w:color="auto" w:fill="auto"/>
            <w:noWrap/>
            <w:vAlign w:val="bottom"/>
          </w:tcPr>
          <w:p w14:paraId="6CDA9EA5"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73</w:t>
            </w:r>
          </w:p>
        </w:tc>
        <w:tc>
          <w:tcPr>
            <w:tcW w:w="735" w:type="dxa"/>
            <w:tcBorders>
              <w:top w:val="single" w:sz="4" w:space="0" w:color="auto"/>
              <w:left w:val="nil"/>
              <w:bottom w:val="nil"/>
              <w:right w:val="nil"/>
            </w:tcBorders>
            <w:shd w:val="clear" w:color="auto" w:fill="auto"/>
            <w:noWrap/>
            <w:vAlign w:val="bottom"/>
          </w:tcPr>
          <w:p w14:paraId="1A0517FB"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60.92</w:t>
            </w:r>
          </w:p>
        </w:tc>
        <w:tc>
          <w:tcPr>
            <w:tcW w:w="718" w:type="dxa"/>
            <w:tcBorders>
              <w:top w:val="single" w:sz="4" w:space="0" w:color="auto"/>
              <w:left w:val="nil"/>
              <w:bottom w:val="nil"/>
              <w:right w:val="nil"/>
            </w:tcBorders>
            <w:shd w:val="clear" w:color="auto" w:fill="auto"/>
            <w:noWrap/>
            <w:vAlign w:val="bottom"/>
          </w:tcPr>
          <w:p w14:paraId="5075AB5C"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17.91</w:t>
            </w:r>
          </w:p>
        </w:tc>
        <w:tc>
          <w:tcPr>
            <w:tcW w:w="888" w:type="dxa"/>
            <w:tcBorders>
              <w:top w:val="single" w:sz="4" w:space="0" w:color="auto"/>
              <w:left w:val="nil"/>
              <w:bottom w:val="nil"/>
              <w:right w:val="nil"/>
            </w:tcBorders>
            <w:shd w:val="clear" w:color="auto" w:fill="auto"/>
            <w:noWrap/>
            <w:vAlign w:val="bottom"/>
          </w:tcPr>
          <w:p w14:paraId="4D3BC495"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p>
        </w:tc>
        <w:tc>
          <w:tcPr>
            <w:tcW w:w="680" w:type="dxa"/>
            <w:tcBorders>
              <w:top w:val="single" w:sz="4" w:space="0" w:color="auto"/>
              <w:left w:val="nil"/>
              <w:bottom w:val="nil"/>
              <w:right w:val="nil"/>
            </w:tcBorders>
            <w:shd w:val="clear" w:color="auto" w:fill="auto"/>
            <w:noWrap/>
            <w:vAlign w:val="bottom"/>
          </w:tcPr>
          <w:p w14:paraId="08F17202"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p>
        </w:tc>
        <w:tc>
          <w:tcPr>
            <w:tcW w:w="720" w:type="dxa"/>
            <w:tcBorders>
              <w:top w:val="single" w:sz="4" w:space="0" w:color="auto"/>
              <w:left w:val="nil"/>
              <w:bottom w:val="nil"/>
              <w:right w:val="nil"/>
            </w:tcBorders>
            <w:shd w:val="clear" w:color="auto" w:fill="auto"/>
            <w:noWrap/>
            <w:vAlign w:val="bottom"/>
          </w:tcPr>
          <w:p w14:paraId="31AF5D17"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p>
        </w:tc>
        <w:tc>
          <w:tcPr>
            <w:tcW w:w="709" w:type="dxa"/>
            <w:tcBorders>
              <w:top w:val="single" w:sz="4" w:space="0" w:color="auto"/>
              <w:left w:val="nil"/>
              <w:bottom w:val="nil"/>
              <w:right w:val="nil"/>
            </w:tcBorders>
            <w:shd w:val="clear" w:color="auto" w:fill="auto"/>
            <w:noWrap/>
            <w:vAlign w:val="bottom"/>
          </w:tcPr>
          <w:p w14:paraId="2F931532"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p>
        </w:tc>
      </w:tr>
      <w:tr w:rsidR="00D92F4B" w:rsidRPr="00F5085E" w14:paraId="42D622BB" w14:textId="77777777" w:rsidTr="006327AF">
        <w:trPr>
          <w:trHeight w:val="290"/>
        </w:trPr>
        <w:tc>
          <w:tcPr>
            <w:tcW w:w="1601" w:type="dxa"/>
            <w:tcBorders>
              <w:top w:val="nil"/>
              <w:left w:val="nil"/>
              <w:bottom w:val="nil"/>
              <w:right w:val="nil"/>
            </w:tcBorders>
            <w:shd w:val="clear" w:color="auto" w:fill="auto"/>
            <w:noWrap/>
            <w:vAlign w:val="center"/>
          </w:tcPr>
          <w:p w14:paraId="11441B23"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p>
        </w:tc>
        <w:tc>
          <w:tcPr>
            <w:tcW w:w="974" w:type="dxa"/>
            <w:tcBorders>
              <w:top w:val="nil"/>
              <w:left w:val="nil"/>
              <w:right w:val="nil"/>
            </w:tcBorders>
            <w:shd w:val="clear" w:color="auto" w:fill="auto"/>
            <w:noWrap/>
            <w:vAlign w:val="center"/>
          </w:tcPr>
          <w:p w14:paraId="7CD1B593"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3 weeks</w:t>
            </w:r>
          </w:p>
        </w:tc>
        <w:tc>
          <w:tcPr>
            <w:tcW w:w="680" w:type="dxa"/>
            <w:tcBorders>
              <w:top w:val="nil"/>
              <w:left w:val="nil"/>
              <w:right w:val="nil"/>
            </w:tcBorders>
            <w:shd w:val="clear" w:color="auto" w:fill="auto"/>
            <w:noWrap/>
            <w:vAlign w:val="bottom"/>
          </w:tcPr>
          <w:p w14:paraId="142FBA85"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74</w:t>
            </w:r>
          </w:p>
        </w:tc>
        <w:tc>
          <w:tcPr>
            <w:tcW w:w="735" w:type="dxa"/>
            <w:tcBorders>
              <w:top w:val="nil"/>
              <w:left w:val="nil"/>
              <w:right w:val="nil"/>
            </w:tcBorders>
            <w:shd w:val="clear" w:color="auto" w:fill="auto"/>
            <w:noWrap/>
            <w:vAlign w:val="bottom"/>
          </w:tcPr>
          <w:p w14:paraId="06134C5F"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60.18</w:t>
            </w:r>
          </w:p>
        </w:tc>
        <w:tc>
          <w:tcPr>
            <w:tcW w:w="718" w:type="dxa"/>
            <w:tcBorders>
              <w:top w:val="nil"/>
              <w:left w:val="nil"/>
              <w:right w:val="nil"/>
            </w:tcBorders>
            <w:shd w:val="clear" w:color="auto" w:fill="auto"/>
            <w:noWrap/>
            <w:vAlign w:val="bottom"/>
          </w:tcPr>
          <w:p w14:paraId="2D659A00"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19.13</w:t>
            </w:r>
          </w:p>
        </w:tc>
        <w:tc>
          <w:tcPr>
            <w:tcW w:w="680" w:type="dxa"/>
            <w:tcBorders>
              <w:top w:val="nil"/>
              <w:left w:val="nil"/>
              <w:right w:val="nil"/>
            </w:tcBorders>
            <w:shd w:val="clear" w:color="auto" w:fill="auto"/>
            <w:noWrap/>
            <w:vAlign w:val="bottom"/>
          </w:tcPr>
          <w:p w14:paraId="2DD1C266"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72</w:t>
            </w:r>
          </w:p>
        </w:tc>
        <w:tc>
          <w:tcPr>
            <w:tcW w:w="735" w:type="dxa"/>
            <w:tcBorders>
              <w:top w:val="nil"/>
              <w:left w:val="nil"/>
              <w:right w:val="nil"/>
            </w:tcBorders>
            <w:shd w:val="clear" w:color="auto" w:fill="auto"/>
            <w:noWrap/>
            <w:vAlign w:val="bottom"/>
          </w:tcPr>
          <w:p w14:paraId="631B9912"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54.19</w:t>
            </w:r>
          </w:p>
        </w:tc>
        <w:tc>
          <w:tcPr>
            <w:tcW w:w="718" w:type="dxa"/>
            <w:tcBorders>
              <w:top w:val="nil"/>
              <w:left w:val="nil"/>
              <w:right w:val="nil"/>
            </w:tcBorders>
            <w:shd w:val="clear" w:color="auto" w:fill="auto"/>
            <w:noWrap/>
            <w:vAlign w:val="bottom"/>
          </w:tcPr>
          <w:p w14:paraId="34CC3576"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18.29</w:t>
            </w:r>
          </w:p>
        </w:tc>
        <w:tc>
          <w:tcPr>
            <w:tcW w:w="888" w:type="dxa"/>
            <w:tcBorders>
              <w:top w:val="nil"/>
              <w:left w:val="nil"/>
              <w:right w:val="nil"/>
            </w:tcBorders>
            <w:shd w:val="clear" w:color="auto" w:fill="auto"/>
            <w:noWrap/>
            <w:vAlign w:val="bottom"/>
          </w:tcPr>
          <w:p w14:paraId="192BB541"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-7.81</w:t>
            </w:r>
          </w:p>
        </w:tc>
        <w:tc>
          <w:tcPr>
            <w:tcW w:w="680" w:type="dxa"/>
            <w:tcBorders>
              <w:top w:val="nil"/>
              <w:left w:val="nil"/>
              <w:right w:val="nil"/>
            </w:tcBorders>
            <w:shd w:val="clear" w:color="auto" w:fill="auto"/>
            <w:noWrap/>
            <w:vAlign w:val="bottom"/>
          </w:tcPr>
          <w:p w14:paraId="3CD539BB"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1.64</w:t>
            </w:r>
          </w:p>
        </w:tc>
        <w:tc>
          <w:tcPr>
            <w:tcW w:w="720" w:type="dxa"/>
            <w:tcBorders>
              <w:top w:val="nil"/>
              <w:left w:val="nil"/>
              <w:right w:val="nil"/>
            </w:tcBorders>
            <w:shd w:val="clear" w:color="auto" w:fill="auto"/>
            <w:noWrap/>
            <w:vAlign w:val="bottom"/>
          </w:tcPr>
          <w:p w14:paraId="5B14A0D6"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0.000</w:t>
            </w:r>
          </w:p>
        </w:tc>
        <w:tc>
          <w:tcPr>
            <w:tcW w:w="709" w:type="dxa"/>
            <w:tcBorders>
              <w:top w:val="nil"/>
              <w:left w:val="nil"/>
              <w:right w:val="nil"/>
            </w:tcBorders>
            <w:shd w:val="clear" w:color="auto" w:fill="auto"/>
            <w:noWrap/>
            <w:vAlign w:val="bottom"/>
          </w:tcPr>
          <w:p w14:paraId="416B0CC8"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-0.45</w:t>
            </w:r>
          </w:p>
        </w:tc>
      </w:tr>
      <w:tr w:rsidR="00D92F4B" w:rsidRPr="00F5085E" w14:paraId="4A0D1901" w14:textId="77777777" w:rsidTr="006327AF">
        <w:trPr>
          <w:trHeight w:val="290"/>
        </w:trPr>
        <w:tc>
          <w:tcPr>
            <w:tcW w:w="1601" w:type="dxa"/>
            <w:tcBorders>
              <w:top w:val="nil"/>
              <w:left w:val="nil"/>
              <w:bottom w:val="nil"/>
              <w:right w:val="nil"/>
            </w:tcBorders>
            <w:shd w:val="clear" w:color="auto" w:fill="auto"/>
            <w:noWrap/>
            <w:vAlign w:val="center"/>
          </w:tcPr>
          <w:p w14:paraId="2BFF441D"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p>
        </w:tc>
        <w:tc>
          <w:tcPr>
            <w:tcW w:w="974" w:type="dxa"/>
            <w:tcBorders>
              <w:top w:val="nil"/>
              <w:left w:val="nil"/>
              <w:right w:val="nil"/>
            </w:tcBorders>
            <w:shd w:val="clear" w:color="auto" w:fill="auto"/>
            <w:noWrap/>
            <w:vAlign w:val="center"/>
          </w:tcPr>
          <w:p w14:paraId="7AE4E0C0"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6 weeks</w:t>
            </w:r>
          </w:p>
        </w:tc>
        <w:tc>
          <w:tcPr>
            <w:tcW w:w="680" w:type="dxa"/>
            <w:tcBorders>
              <w:top w:val="nil"/>
              <w:left w:val="nil"/>
              <w:right w:val="nil"/>
            </w:tcBorders>
            <w:shd w:val="clear" w:color="auto" w:fill="auto"/>
            <w:noWrap/>
            <w:vAlign w:val="bottom"/>
          </w:tcPr>
          <w:p w14:paraId="398F2C3F"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70</w:t>
            </w:r>
          </w:p>
        </w:tc>
        <w:tc>
          <w:tcPr>
            <w:tcW w:w="735" w:type="dxa"/>
            <w:tcBorders>
              <w:top w:val="nil"/>
              <w:left w:val="nil"/>
              <w:right w:val="nil"/>
            </w:tcBorders>
            <w:shd w:val="clear" w:color="auto" w:fill="auto"/>
            <w:noWrap/>
            <w:vAlign w:val="bottom"/>
          </w:tcPr>
          <w:p w14:paraId="44A14886"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58.43</w:t>
            </w:r>
          </w:p>
        </w:tc>
        <w:tc>
          <w:tcPr>
            <w:tcW w:w="718" w:type="dxa"/>
            <w:tcBorders>
              <w:top w:val="nil"/>
              <w:left w:val="nil"/>
              <w:right w:val="nil"/>
            </w:tcBorders>
            <w:shd w:val="clear" w:color="auto" w:fill="auto"/>
            <w:noWrap/>
            <w:vAlign w:val="bottom"/>
          </w:tcPr>
          <w:p w14:paraId="7A681C23"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19.16</w:t>
            </w:r>
          </w:p>
        </w:tc>
        <w:tc>
          <w:tcPr>
            <w:tcW w:w="680" w:type="dxa"/>
            <w:tcBorders>
              <w:top w:val="nil"/>
              <w:left w:val="nil"/>
              <w:right w:val="nil"/>
            </w:tcBorders>
            <w:shd w:val="clear" w:color="auto" w:fill="auto"/>
            <w:noWrap/>
            <w:vAlign w:val="bottom"/>
          </w:tcPr>
          <w:p w14:paraId="070C544B"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66</w:t>
            </w:r>
          </w:p>
        </w:tc>
        <w:tc>
          <w:tcPr>
            <w:tcW w:w="735" w:type="dxa"/>
            <w:tcBorders>
              <w:top w:val="nil"/>
              <w:left w:val="nil"/>
              <w:right w:val="nil"/>
            </w:tcBorders>
            <w:shd w:val="clear" w:color="auto" w:fill="auto"/>
            <w:noWrap/>
            <w:vAlign w:val="bottom"/>
          </w:tcPr>
          <w:p w14:paraId="7F0A722C"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50.30</w:t>
            </w:r>
          </w:p>
        </w:tc>
        <w:tc>
          <w:tcPr>
            <w:tcW w:w="718" w:type="dxa"/>
            <w:tcBorders>
              <w:top w:val="nil"/>
              <w:left w:val="nil"/>
              <w:right w:val="nil"/>
            </w:tcBorders>
            <w:shd w:val="clear" w:color="auto" w:fill="auto"/>
            <w:noWrap/>
            <w:vAlign w:val="bottom"/>
          </w:tcPr>
          <w:p w14:paraId="4ECAF346"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19.37</w:t>
            </w:r>
          </w:p>
        </w:tc>
        <w:tc>
          <w:tcPr>
            <w:tcW w:w="888" w:type="dxa"/>
            <w:tcBorders>
              <w:top w:val="nil"/>
              <w:left w:val="nil"/>
              <w:right w:val="nil"/>
            </w:tcBorders>
            <w:shd w:val="clear" w:color="auto" w:fill="auto"/>
            <w:noWrap/>
            <w:vAlign w:val="bottom"/>
          </w:tcPr>
          <w:p w14:paraId="5AE3B6D8"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-9.36</w:t>
            </w:r>
          </w:p>
        </w:tc>
        <w:tc>
          <w:tcPr>
            <w:tcW w:w="680" w:type="dxa"/>
            <w:tcBorders>
              <w:top w:val="nil"/>
              <w:left w:val="nil"/>
              <w:right w:val="nil"/>
            </w:tcBorders>
            <w:shd w:val="clear" w:color="auto" w:fill="auto"/>
            <w:noWrap/>
            <w:vAlign w:val="bottom"/>
          </w:tcPr>
          <w:p w14:paraId="6CEA6451"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1.90</w:t>
            </w:r>
          </w:p>
        </w:tc>
        <w:tc>
          <w:tcPr>
            <w:tcW w:w="720" w:type="dxa"/>
            <w:tcBorders>
              <w:top w:val="nil"/>
              <w:left w:val="nil"/>
              <w:right w:val="nil"/>
            </w:tcBorders>
            <w:shd w:val="clear" w:color="auto" w:fill="auto"/>
            <w:noWrap/>
            <w:vAlign w:val="bottom"/>
          </w:tcPr>
          <w:p w14:paraId="77176E2F"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0.000</w:t>
            </w:r>
          </w:p>
        </w:tc>
        <w:tc>
          <w:tcPr>
            <w:tcW w:w="709" w:type="dxa"/>
            <w:tcBorders>
              <w:top w:val="nil"/>
              <w:left w:val="nil"/>
              <w:right w:val="nil"/>
            </w:tcBorders>
            <w:shd w:val="clear" w:color="auto" w:fill="auto"/>
            <w:noWrap/>
            <w:vAlign w:val="bottom"/>
          </w:tcPr>
          <w:p w14:paraId="58EAFD87"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-0.54</w:t>
            </w:r>
          </w:p>
        </w:tc>
      </w:tr>
      <w:tr w:rsidR="00D92F4B" w:rsidRPr="00F5085E" w14:paraId="1257BCD8" w14:textId="77777777" w:rsidTr="006327AF">
        <w:trPr>
          <w:trHeight w:val="290"/>
        </w:trPr>
        <w:tc>
          <w:tcPr>
            <w:tcW w:w="1601" w:type="dxa"/>
            <w:tcBorders>
              <w:top w:val="nil"/>
              <w:left w:val="nil"/>
              <w:bottom w:val="nil"/>
              <w:right w:val="nil"/>
            </w:tcBorders>
            <w:shd w:val="clear" w:color="auto" w:fill="auto"/>
            <w:noWrap/>
            <w:vAlign w:val="center"/>
          </w:tcPr>
          <w:p w14:paraId="738529F4"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p>
        </w:tc>
        <w:tc>
          <w:tcPr>
            <w:tcW w:w="974" w:type="dxa"/>
            <w:tcBorders>
              <w:top w:val="nil"/>
              <w:left w:val="nil"/>
              <w:bottom w:val="single" w:sz="4" w:space="0" w:color="auto"/>
              <w:right w:val="nil"/>
            </w:tcBorders>
            <w:shd w:val="clear" w:color="auto" w:fill="auto"/>
            <w:noWrap/>
            <w:vAlign w:val="center"/>
          </w:tcPr>
          <w:p w14:paraId="56A779BD"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9 weeks</w:t>
            </w:r>
          </w:p>
        </w:tc>
        <w:tc>
          <w:tcPr>
            <w:tcW w:w="680" w:type="dxa"/>
            <w:tcBorders>
              <w:top w:val="nil"/>
              <w:left w:val="nil"/>
              <w:bottom w:val="single" w:sz="4" w:space="0" w:color="auto"/>
              <w:right w:val="nil"/>
            </w:tcBorders>
            <w:shd w:val="clear" w:color="auto" w:fill="auto"/>
            <w:noWrap/>
            <w:vAlign w:val="bottom"/>
          </w:tcPr>
          <w:p w14:paraId="71F62A7D"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72</w:t>
            </w:r>
          </w:p>
        </w:tc>
        <w:tc>
          <w:tcPr>
            <w:tcW w:w="735" w:type="dxa"/>
            <w:tcBorders>
              <w:top w:val="nil"/>
              <w:left w:val="nil"/>
              <w:bottom w:val="single" w:sz="4" w:space="0" w:color="auto"/>
              <w:right w:val="nil"/>
            </w:tcBorders>
            <w:shd w:val="clear" w:color="auto" w:fill="auto"/>
            <w:noWrap/>
            <w:vAlign w:val="bottom"/>
          </w:tcPr>
          <w:p w14:paraId="0BC8EDA8"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58.86</w:t>
            </w:r>
          </w:p>
        </w:tc>
        <w:tc>
          <w:tcPr>
            <w:tcW w:w="718" w:type="dxa"/>
            <w:tcBorders>
              <w:top w:val="nil"/>
              <w:left w:val="nil"/>
              <w:bottom w:val="single" w:sz="4" w:space="0" w:color="auto"/>
              <w:right w:val="nil"/>
            </w:tcBorders>
            <w:shd w:val="clear" w:color="auto" w:fill="auto"/>
            <w:noWrap/>
            <w:vAlign w:val="bottom"/>
          </w:tcPr>
          <w:p w14:paraId="3651FD67"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19.57</w:t>
            </w:r>
          </w:p>
        </w:tc>
        <w:tc>
          <w:tcPr>
            <w:tcW w:w="680" w:type="dxa"/>
            <w:tcBorders>
              <w:top w:val="nil"/>
              <w:left w:val="nil"/>
              <w:bottom w:val="single" w:sz="4" w:space="0" w:color="auto"/>
              <w:right w:val="nil"/>
            </w:tcBorders>
            <w:shd w:val="clear" w:color="auto" w:fill="auto"/>
            <w:noWrap/>
            <w:vAlign w:val="bottom"/>
          </w:tcPr>
          <w:p w14:paraId="02733B2D"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66</w:t>
            </w:r>
          </w:p>
        </w:tc>
        <w:tc>
          <w:tcPr>
            <w:tcW w:w="735" w:type="dxa"/>
            <w:tcBorders>
              <w:top w:val="nil"/>
              <w:left w:val="nil"/>
              <w:bottom w:val="single" w:sz="4" w:space="0" w:color="auto"/>
              <w:right w:val="nil"/>
            </w:tcBorders>
            <w:shd w:val="clear" w:color="auto" w:fill="auto"/>
            <w:noWrap/>
            <w:vAlign w:val="bottom"/>
          </w:tcPr>
          <w:p w14:paraId="19B1F043"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47.77</w:t>
            </w:r>
          </w:p>
        </w:tc>
        <w:tc>
          <w:tcPr>
            <w:tcW w:w="718" w:type="dxa"/>
            <w:tcBorders>
              <w:top w:val="nil"/>
              <w:left w:val="nil"/>
              <w:bottom w:val="single" w:sz="4" w:space="0" w:color="auto"/>
              <w:right w:val="nil"/>
            </w:tcBorders>
            <w:shd w:val="clear" w:color="auto" w:fill="auto"/>
            <w:noWrap/>
            <w:vAlign w:val="bottom"/>
          </w:tcPr>
          <w:p w14:paraId="5A5AF5AF"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21.18</w:t>
            </w:r>
          </w:p>
        </w:tc>
        <w:tc>
          <w:tcPr>
            <w:tcW w:w="888" w:type="dxa"/>
            <w:tcBorders>
              <w:top w:val="nil"/>
              <w:left w:val="nil"/>
              <w:bottom w:val="single" w:sz="4" w:space="0" w:color="auto"/>
              <w:right w:val="nil"/>
            </w:tcBorders>
            <w:shd w:val="clear" w:color="auto" w:fill="auto"/>
            <w:noWrap/>
            <w:vAlign w:val="bottom"/>
          </w:tcPr>
          <w:p w14:paraId="6E902605"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-12.22</w:t>
            </w:r>
          </w:p>
        </w:tc>
        <w:tc>
          <w:tcPr>
            <w:tcW w:w="680" w:type="dxa"/>
            <w:tcBorders>
              <w:top w:val="nil"/>
              <w:left w:val="nil"/>
              <w:bottom w:val="single" w:sz="4" w:space="0" w:color="auto"/>
              <w:right w:val="nil"/>
            </w:tcBorders>
            <w:shd w:val="clear" w:color="auto" w:fill="auto"/>
            <w:noWrap/>
            <w:vAlign w:val="bottom"/>
          </w:tcPr>
          <w:p w14:paraId="2B0F79CA"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2.17</w:t>
            </w:r>
          </w:p>
        </w:tc>
        <w:tc>
          <w:tcPr>
            <w:tcW w:w="720" w:type="dxa"/>
            <w:tcBorders>
              <w:top w:val="nil"/>
              <w:left w:val="nil"/>
              <w:bottom w:val="single" w:sz="4" w:space="0" w:color="auto"/>
              <w:right w:val="nil"/>
            </w:tcBorders>
            <w:shd w:val="clear" w:color="auto" w:fill="auto"/>
            <w:noWrap/>
            <w:vAlign w:val="bottom"/>
          </w:tcPr>
          <w:p w14:paraId="0BC00A7C"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0.000</w:t>
            </w:r>
          </w:p>
        </w:tc>
        <w:tc>
          <w:tcPr>
            <w:tcW w:w="709" w:type="dxa"/>
            <w:tcBorders>
              <w:top w:val="nil"/>
              <w:left w:val="nil"/>
              <w:bottom w:val="single" w:sz="4" w:space="0" w:color="auto"/>
              <w:right w:val="nil"/>
            </w:tcBorders>
            <w:shd w:val="clear" w:color="auto" w:fill="auto"/>
            <w:noWrap/>
            <w:vAlign w:val="bottom"/>
          </w:tcPr>
          <w:p w14:paraId="615EF131"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-0.71</w:t>
            </w:r>
          </w:p>
        </w:tc>
      </w:tr>
      <w:tr w:rsidR="00D92F4B" w:rsidRPr="00F5085E" w14:paraId="13B1D367" w14:textId="77777777" w:rsidTr="006327AF">
        <w:trPr>
          <w:trHeight w:val="290"/>
        </w:trPr>
        <w:tc>
          <w:tcPr>
            <w:tcW w:w="1601" w:type="dxa"/>
            <w:tcBorders>
              <w:top w:val="nil"/>
              <w:left w:val="nil"/>
              <w:bottom w:val="nil"/>
              <w:right w:val="nil"/>
            </w:tcBorders>
            <w:shd w:val="clear" w:color="auto" w:fill="auto"/>
            <w:noWrap/>
            <w:vAlign w:val="center"/>
          </w:tcPr>
          <w:p w14:paraId="4AF46E5A"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LOCF</w:t>
            </w:r>
          </w:p>
        </w:tc>
        <w:tc>
          <w:tcPr>
            <w:tcW w:w="974" w:type="dxa"/>
            <w:tcBorders>
              <w:top w:val="single" w:sz="4" w:space="0" w:color="auto"/>
              <w:left w:val="nil"/>
              <w:bottom w:val="nil"/>
              <w:right w:val="nil"/>
            </w:tcBorders>
            <w:shd w:val="clear" w:color="auto" w:fill="auto"/>
            <w:noWrap/>
            <w:vAlign w:val="center"/>
          </w:tcPr>
          <w:p w14:paraId="1E3A6244"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Baseline</w:t>
            </w:r>
          </w:p>
        </w:tc>
        <w:tc>
          <w:tcPr>
            <w:tcW w:w="680" w:type="dxa"/>
            <w:tcBorders>
              <w:top w:val="single" w:sz="4" w:space="0" w:color="auto"/>
              <w:left w:val="nil"/>
              <w:bottom w:val="nil"/>
              <w:right w:val="nil"/>
            </w:tcBorders>
            <w:shd w:val="clear" w:color="auto" w:fill="auto"/>
            <w:noWrap/>
            <w:vAlign w:val="bottom"/>
          </w:tcPr>
          <w:p w14:paraId="40D88FF0"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78</w:t>
            </w:r>
          </w:p>
        </w:tc>
        <w:tc>
          <w:tcPr>
            <w:tcW w:w="735" w:type="dxa"/>
            <w:tcBorders>
              <w:top w:val="single" w:sz="4" w:space="0" w:color="auto"/>
              <w:left w:val="nil"/>
              <w:bottom w:val="nil"/>
              <w:right w:val="nil"/>
            </w:tcBorders>
            <w:shd w:val="clear" w:color="auto" w:fill="auto"/>
            <w:noWrap/>
            <w:vAlign w:val="bottom"/>
          </w:tcPr>
          <w:p w14:paraId="4F16BDBB"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59.08</w:t>
            </w:r>
          </w:p>
        </w:tc>
        <w:tc>
          <w:tcPr>
            <w:tcW w:w="718" w:type="dxa"/>
            <w:tcBorders>
              <w:top w:val="single" w:sz="4" w:space="0" w:color="auto"/>
              <w:left w:val="nil"/>
              <w:bottom w:val="nil"/>
              <w:right w:val="nil"/>
            </w:tcBorders>
            <w:shd w:val="clear" w:color="auto" w:fill="auto"/>
            <w:noWrap/>
            <w:vAlign w:val="bottom"/>
          </w:tcPr>
          <w:p w14:paraId="36799D14"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16.94</w:t>
            </w:r>
          </w:p>
        </w:tc>
        <w:tc>
          <w:tcPr>
            <w:tcW w:w="680" w:type="dxa"/>
            <w:tcBorders>
              <w:top w:val="single" w:sz="4" w:space="0" w:color="auto"/>
              <w:left w:val="nil"/>
              <w:bottom w:val="nil"/>
              <w:right w:val="nil"/>
            </w:tcBorders>
            <w:shd w:val="clear" w:color="auto" w:fill="auto"/>
            <w:noWrap/>
            <w:vAlign w:val="bottom"/>
          </w:tcPr>
          <w:p w14:paraId="728BE28D"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77</w:t>
            </w:r>
          </w:p>
        </w:tc>
        <w:tc>
          <w:tcPr>
            <w:tcW w:w="735" w:type="dxa"/>
            <w:tcBorders>
              <w:top w:val="single" w:sz="4" w:space="0" w:color="auto"/>
              <w:left w:val="nil"/>
              <w:bottom w:val="nil"/>
              <w:right w:val="nil"/>
            </w:tcBorders>
            <w:shd w:val="clear" w:color="auto" w:fill="auto"/>
            <w:noWrap/>
            <w:vAlign w:val="bottom"/>
          </w:tcPr>
          <w:p w14:paraId="7B7F36B4"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60.29</w:t>
            </w:r>
          </w:p>
        </w:tc>
        <w:tc>
          <w:tcPr>
            <w:tcW w:w="718" w:type="dxa"/>
            <w:tcBorders>
              <w:top w:val="single" w:sz="4" w:space="0" w:color="auto"/>
              <w:left w:val="nil"/>
              <w:bottom w:val="nil"/>
              <w:right w:val="nil"/>
            </w:tcBorders>
            <w:shd w:val="clear" w:color="auto" w:fill="auto"/>
            <w:noWrap/>
            <w:vAlign w:val="bottom"/>
          </w:tcPr>
          <w:p w14:paraId="5A627E6A"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18.04</w:t>
            </w:r>
          </w:p>
        </w:tc>
        <w:tc>
          <w:tcPr>
            <w:tcW w:w="888" w:type="dxa"/>
            <w:tcBorders>
              <w:top w:val="single" w:sz="4" w:space="0" w:color="auto"/>
              <w:left w:val="nil"/>
              <w:bottom w:val="nil"/>
              <w:right w:val="nil"/>
            </w:tcBorders>
            <w:shd w:val="clear" w:color="auto" w:fill="auto"/>
            <w:noWrap/>
            <w:vAlign w:val="center"/>
          </w:tcPr>
          <w:p w14:paraId="0F989F6C"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w:t>
            </w:r>
          </w:p>
        </w:tc>
        <w:tc>
          <w:tcPr>
            <w:tcW w:w="680" w:type="dxa"/>
            <w:tcBorders>
              <w:top w:val="single" w:sz="4" w:space="0" w:color="auto"/>
              <w:left w:val="nil"/>
              <w:bottom w:val="nil"/>
              <w:right w:val="nil"/>
            </w:tcBorders>
            <w:shd w:val="clear" w:color="auto" w:fill="auto"/>
            <w:noWrap/>
            <w:vAlign w:val="center"/>
          </w:tcPr>
          <w:p w14:paraId="6D28AFD3"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w:t>
            </w:r>
          </w:p>
        </w:tc>
        <w:tc>
          <w:tcPr>
            <w:tcW w:w="720" w:type="dxa"/>
            <w:tcBorders>
              <w:top w:val="single" w:sz="4" w:space="0" w:color="auto"/>
              <w:left w:val="nil"/>
              <w:bottom w:val="nil"/>
              <w:right w:val="nil"/>
            </w:tcBorders>
            <w:shd w:val="clear" w:color="auto" w:fill="auto"/>
            <w:noWrap/>
            <w:vAlign w:val="center"/>
          </w:tcPr>
          <w:p w14:paraId="4CEE1754"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w:t>
            </w:r>
          </w:p>
        </w:tc>
        <w:tc>
          <w:tcPr>
            <w:tcW w:w="709" w:type="dxa"/>
            <w:tcBorders>
              <w:top w:val="single" w:sz="4" w:space="0" w:color="auto"/>
              <w:left w:val="nil"/>
              <w:bottom w:val="nil"/>
              <w:right w:val="nil"/>
            </w:tcBorders>
            <w:shd w:val="clear" w:color="auto" w:fill="auto"/>
            <w:noWrap/>
            <w:vAlign w:val="center"/>
          </w:tcPr>
          <w:p w14:paraId="6501DE16"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w:t>
            </w:r>
          </w:p>
        </w:tc>
      </w:tr>
      <w:tr w:rsidR="00D92F4B" w:rsidRPr="00F5085E" w14:paraId="5AE0797F" w14:textId="77777777" w:rsidTr="006327AF">
        <w:trPr>
          <w:trHeight w:val="290"/>
        </w:trPr>
        <w:tc>
          <w:tcPr>
            <w:tcW w:w="1601" w:type="dxa"/>
            <w:tcBorders>
              <w:top w:val="nil"/>
              <w:left w:val="nil"/>
              <w:bottom w:val="nil"/>
              <w:right w:val="nil"/>
            </w:tcBorders>
            <w:shd w:val="clear" w:color="auto" w:fill="auto"/>
            <w:noWrap/>
            <w:vAlign w:val="center"/>
          </w:tcPr>
          <w:p w14:paraId="2807CEFE"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p>
        </w:tc>
        <w:tc>
          <w:tcPr>
            <w:tcW w:w="974" w:type="dxa"/>
            <w:tcBorders>
              <w:top w:val="nil"/>
              <w:left w:val="nil"/>
              <w:right w:val="nil"/>
            </w:tcBorders>
            <w:shd w:val="clear" w:color="auto" w:fill="auto"/>
            <w:noWrap/>
            <w:vAlign w:val="center"/>
          </w:tcPr>
          <w:p w14:paraId="4E9C9F12"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3 weeks</w:t>
            </w:r>
          </w:p>
        </w:tc>
        <w:tc>
          <w:tcPr>
            <w:tcW w:w="680" w:type="dxa"/>
            <w:tcBorders>
              <w:top w:val="nil"/>
              <w:left w:val="nil"/>
              <w:right w:val="nil"/>
            </w:tcBorders>
            <w:shd w:val="clear" w:color="auto" w:fill="auto"/>
            <w:noWrap/>
            <w:vAlign w:val="bottom"/>
          </w:tcPr>
          <w:p w14:paraId="698F433D"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78</w:t>
            </w:r>
          </w:p>
        </w:tc>
        <w:tc>
          <w:tcPr>
            <w:tcW w:w="735" w:type="dxa"/>
            <w:tcBorders>
              <w:top w:val="nil"/>
              <w:left w:val="nil"/>
              <w:right w:val="nil"/>
            </w:tcBorders>
            <w:shd w:val="clear" w:color="auto" w:fill="auto"/>
            <w:noWrap/>
            <w:vAlign w:val="bottom"/>
          </w:tcPr>
          <w:p w14:paraId="381362DD"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60.55</w:t>
            </w:r>
          </w:p>
        </w:tc>
        <w:tc>
          <w:tcPr>
            <w:tcW w:w="718" w:type="dxa"/>
            <w:tcBorders>
              <w:top w:val="nil"/>
              <w:left w:val="nil"/>
              <w:right w:val="nil"/>
            </w:tcBorders>
            <w:shd w:val="clear" w:color="auto" w:fill="auto"/>
            <w:noWrap/>
            <w:vAlign w:val="bottom"/>
          </w:tcPr>
          <w:p w14:paraId="5AC47ABF"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18.90</w:t>
            </w:r>
          </w:p>
        </w:tc>
        <w:tc>
          <w:tcPr>
            <w:tcW w:w="680" w:type="dxa"/>
            <w:tcBorders>
              <w:top w:val="nil"/>
              <w:left w:val="nil"/>
              <w:right w:val="nil"/>
            </w:tcBorders>
            <w:shd w:val="clear" w:color="auto" w:fill="auto"/>
            <w:noWrap/>
            <w:vAlign w:val="bottom"/>
          </w:tcPr>
          <w:p w14:paraId="3EA5CFA6"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77</w:t>
            </w:r>
          </w:p>
        </w:tc>
        <w:tc>
          <w:tcPr>
            <w:tcW w:w="735" w:type="dxa"/>
            <w:tcBorders>
              <w:top w:val="nil"/>
              <w:left w:val="nil"/>
              <w:right w:val="nil"/>
            </w:tcBorders>
            <w:shd w:val="clear" w:color="auto" w:fill="auto"/>
            <w:noWrap/>
            <w:vAlign w:val="bottom"/>
          </w:tcPr>
          <w:p w14:paraId="7A1BDA1C"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54.42</w:t>
            </w:r>
          </w:p>
        </w:tc>
        <w:tc>
          <w:tcPr>
            <w:tcW w:w="718" w:type="dxa"/>
            <w:tcBorders>
              <w:top w:val="nil"/>
              <w:left w:val="nil"/>
              <w:right w:val="nil"/>
            </w:tcBorders>
            <w:shd w:val="clear" w:color="auto" w:fill="auto"/>
            <w:noWrap/>
            <w:vAlign w:val="bottom"/>
          </w:tcPr>
          <w:p w14:paraId="198B56F7"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18.66</w:t>
            </w:r>
          </w:p>
        </w:tc>
        <w:tc>
          <w:tcPr>
            <w:tcW w:w="888" w:type="dxa"/>
            <w:tcBorders>
              <w:top w:val="nil"/>
              <w:left w:val="nil"/>
              <w:right w:val="nil"/>
            </w:tcBorders>
            <w:shd w:val="clear" w:color="auto" w:fill="auto"/>
            <w:noWrap/>
            <w:vAlign w:val="bottom"/>
          </w:tcPr>
          <w:p w14:paraId="1193FFB3"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-7.44</w:t>
            </w:r>
          </w:p>
        </w:tc>
        <w:tc>
          <w:tcPr>
            <w:tcW w:w="680" w:type="dxa"/>
            <w:tcBorders>
              <w:top w:val="nil"/>
              <w:left w:val="nil"/>
              <w:right w:val="nil"/>
            </w:tcBorders>
            <w:shd w:val="clear" w:color="auto" w:fill="auto"/>
            <w:noWrap/>
            <w:vAlign w:val="bottom"/>
          </w:tcPr>
          <w:p w14:paraId="75C531D1"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1.58</w:t>
            </w:r>
          </w:p>
        </w:tc>
        <w:tc>
          <w:tcPr>
            <w:tcW w:w="720" w:type="dxa"/>
            <w:tcBorders>
              <w:top w:val="nil"/>
              <w:left w:val="nil"/>
              <w:right w:val="nil"/>
            </w:tcBorders>
            <w:shd w:val="clear" w:color="auto" w:fill="auto"/>
            <w:noWrap/>
            <w:vAlign w:val="bottom"/>
          </w:tcPr>
          <w:p w14:paraId="29151D2F"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0.000</w:t>
            </w:r>
          </w:p>
        </w:tc>
        <w:tc>
          <w:tcPr>
            <w:tcW w:w="709" w:type="dxa"/>
            <w:tcBorders>
              <w:top w:val="nil"/>
              <w:left w:val="nil"/>
              <w:right w:val="nil"/>
            </w:tcBorders>
            <w:shd w:val="clear" w:color="auto" w:fill="auto"/>
            <w:noWrap/>
            <w:vAlign w:val="bottom"/>
          </w:tcPr>
          <w:p w14:paraId="2A0D4A19"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-0.43</w:t>
            </w:r>
          </w:p>
        </w:tc>
      </w:tr>
      <w:tr w:rsidR="00D92F4B" w:rsidRPr="00F5085E" w14:paraId="4BC578BF" w14:textId="77777777" w:rsidTr="006327AF">
        <w:trPr>
          <w:trHeight w:val="290"/>
        </w:trPr>
        <w:tc>
          <w:tcPr>
            <w:tcW w:w="1601" w:type="dxa"/>
            <w:tcBorders>
              <w:top w:val="nil"/>
              <w:left w:val="nil"/>
              <w:right w:val="nil"/>
            </w:tcBorders>
            <w:shd w:val="clear" w:color="auto" w:fill="auto"/>
            <w:noWrap/>
            <w:vAlign w:val="center"/>
          </w:tcPr>
          <w:p w14:paraId="70A1E3DC"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p>
        </w:tc>
        <w:tc>
          <w:tcPr>
            <w:tcW w:w="974" w:type="dxa"/>
            <w:tcBorders>
              <w:top w:val="nil"/>
              <w:left w:val="nil"/>
              <w:right w:val="nil"/>
            </w:tcBorders>
            <w:shd w:val="clear" w:color="auto" w:fill="auto"/>
            <w:noWrap/>
            <w:vAlign w:val="center"/>
          </w:tcPr>
          <w:p w14:paraId="0DAF7040"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6 weeks</w:t>
            </w:r>
          </w:p>
        </w:tc>
        <w:tc>
          <w:tcPr>
            <w:tcW w:w="680" w:type="dxa"/>
            <w:tcBorders>
              <w:top w:val="nil"/>
              <w:left w:val="nil"/>
              <w:right w:val="nil"/>
            </w:tcBorders>
            <w:shd w:val="clear" w:color="auto" w:fill="auto"/>
            <w:noWrap/>
            <w:vAlign w:val="bottom"/>
          </w:tcPr>
          <w:p w14:paraId="1E720E82"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78</w:t>
            </w:r>
          </w:p>
        </w:tc>
        <w:tc>
          <w:tcPr>
            <w:tcW w:w="735" w:type="dxa"/>
            <w:tcBorders>
              <w:top w:val="nil"/>
              <w:left w:val="nil"/>
              <w:right w:val="nil"/>
            </w:tcBorders>
            <w:shd w:val="clear" w:color="auto" w:fill="auto"/>
            <w:noWrap/>
            <w:vAlign w:val="bottom"/>
          </w:tcPr>
          <w:p w14:paraId="18A3611A"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58.54</w:t>
            </w:r>
          </w:p>
        </w:tc>
        <w:tc>
          <w:tcPr>
            <w:tcW w:w="718" w:type="dxa"/>
            <w:tcBorders>
              <w:top w:val="nil"/>
              <w:left w:val="nil"/>
              <w:right w:val="nil"/>
            </w:tcBorders>
            <w:shd w:val="clear" w:color="auto" w:fill="auto"/>
            <w:noWrap/>
            <w:vAlign w:val="bottom"/>
          </w:tcPr>
          <w:p w14:paraId="4ED0EE0C"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19.60</w:t>
            </w:r>
          </w:p>
        </w:tc>
        <w:tc>
          <w:tcPr>
            <w:tcW w:w="680" w:type="dxa"/>
            <w:tcBorders>
              <w:top w:val="nil"/>
              <w:left w:val="nil"/>
              <w:right w:val="nil"/>
            </w:tcBorders>
            <w:shd w:val="clear" w:color="auto" w:fill="auto"/>
            <w:noWrap/>
            <w:vAlign w:val="bottom"/>
          </w:tcPr>
          <w:p w14:paraId="404926C3"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77</w:t>
            </w:r>
          </w:p>
        </w:tc>
        <w:tc>
          <w:tcPr>
            <w:tcW w:w="735" w:type="dxa"/>
            <w:tcBorders>
              <w:top w:val="nil"/>
              <w:left w:val="nil"/>
              <w:right w:val="nil"/>
            </w:tcBorders>
            <w:shd w:val="clear" w:color="auto" w:fill="auto"/>
            <w:noWrap/>
            <w:vAlign w:val="bottom"/>
          </w:tcPr>
          <w:p w14:paraId="5160EFF7"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51.17</w:t>
            </w:r>
          </w:p>
        </w:tc>
        <w:tc>
          <w:tcPr>
            <w:tcW w:w="718" w:type="dxa"/>
            <w:tcBorders>
              <w:top w:val="nil"/>
              <w:left w:val="nil"/>
              <w:right w:val="nil"/>
            </w:tcBorders>
            <w:shd w:val="clear" w:color="auto" w:fill="auto"/>
            <w:noWrap/>
            <w:vAlign w:val="bottom"/>
          </w:tcPr>
          <w:p w14:paraId="0EE2AA81"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19.75</w:t>
            </w:r>
          </w:p>
        </w:tc>
        <w:tc>
          <w:tcPr>
            <w:tcW w:w="888" w:type="dxa"/>
            <w:tcBorders>
              <w:top w:val="nil"/>
              <w:left w:val="nil"/>
              <w:right w:val="nil"/>
            </w:tcBorders>
            <w:shd w:val="clear" w:color="auto" w:fill="auto"/>
            <w:noWrap/>
            <w:vAlign w:val="bottom"/>
          </w:tcPr>
          <w:p w14:paraId="28B3CD30"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-8.69</w:t>
            </w:r>
          </w:p>
        </w:tc>
        <w:tc>
          <w:tcPr>
            <w:tcW w:w="680" w:type="dxa"/>
            <w:tcBorders>
              <w:top w:val="nil"/>
              <w:left w:val="nil"/>
              <w:right w:val="nil"/>
            </w:tcBorders>
            <w:shd w:val="clear" w:color="auto" w:fill="auto"/>
            <w:noWrap/>
            <w:vAlign w:val="bottom"/>
          </w:tcPr>
          <w:p w14:paraId="14D3785E"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1.79</w:t>
            </w:r>
          </w:p>
        </w:tc>
        <w:tc>
          <w:tcPr>
            <w:tcW w:w="720" w:type="dxa"/>
            <w:tcBorders>
              <w:top w:val="nil"/>
              <w:left w:val="nil"/>
              <w:right w:val="nil"/>
            </w:tcBorders>
            <w:shd w:val="clear" w:color="auto" w:fill="auto"/>
            <w:noWrap/>
            <w:vAlign w:val="bottom"/>
          </w:tcPr>
          <w:p w14:paraId="0FBD5E08"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0.000</w:t>
            </w:r>
          </w:p>
        </w:tc>
        <w:tc>
          <w:tcPr>
            <w:tcW w:w="709" w:type="dxa"/>
            <w:tcBorders>
              <w:top w:val="nil"/>
              <w:left w:val="nil"/>
              <w:right w:val="nil"/>
            </w:tcBorders>
            <w:shd w:val="clear" w:color="auto" w:fill="auto"/>
            <w:noWrap/>
            <w:vAlign w:val="bottom"/>
          </w:tcPr>
          <w:p w14:paraId="6ECD0F00"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-0.50</w:t>
            </w:r>
          </w:p>
        </w:tc>
      </w:tr>
      <w:tr w:rsidR="00D92F4B" w:rsidRPr="00F5085E" w14:paraId="1C41C96A" w14:textId="77777777" w:rsidTr="006327AF">
        <w:trPr>
          <w:trHeight w:val="290"/>
        </w:trPr>
        <w:tc>
          <w:tcPr>
            <w:tcW w:w="1601" w:type="dxa"/>
            <w:tcBorders>
              <w:top w:val="nil"/>
              <w:left w:val="nil"/>
              <w:right w:val="nil"/>
            </w:tcBorders>
            <w:shd w:val="clear" w:color="auto" w:fill="auto"/>
            <w:noWrap/>
            <w:vAlign w:val="center"/>
          </w:tcPr>
          <w:p w14:paraId="71B61A11"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p>
        </w:tc>
        <w:tc>
          <w:tcPr>
            <w:tcW w:w="974" w:type="dxa"/>
            <w:tcBorders>
              <w:top w:val="nil"/>
              <w:left w:val="nil"/>
              <w:bottom w:val="single" w:sz="4" w:space="0" w:color="auto"/>
              <w:right w:val="nil"/>
            </w:tcBorders>
            <w:shd w:val="clear" w:color="auto" w:fill="auto"/>
            <w:noWrap/>
            <w:vAlign w:val="center"/>
          </w:tcPr>
          <w:p w14:paraId="7212E07B"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9 weeks</w:t>
            </w:r>
          </w:p>
        </w:tc>
        <w:tc>
          <w:tcPr>
            <w:tcW w:w="680" w:type="dxa"/>
            <w:tcBorders>
              <w:top w:val="nil"/>
              <w:left w:val="nil"/>
              <w:bottom w:val="single" w:sz="4" w:space="0" w:color="auto"/>
              <w:right w:val="nil"/>
            </w:tcBorders>
            <w:shd w:val="clear" w:color="auto" w:fill="auto"/>
            <w:noWrap/>
            <w:vAlign w:val="bottom"/>
          </w:tcPr>
          <w:p w14:paraId="593AB483"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78</w:t>
            </w:r>
          </w:p>
        </w:tc>
        <w:tc>
          <w:tcPr>
            <w:tcW w:w="735" w:type="dxa"/>
            <w:tcBorders>
              <w:top w:val="nil"/>
              <w:left w:val="nil"/>
              <w:bottom w:val="single" w:sz="4" w:space="0" w:color="auto"/>
              <w:right w:val="nil"/>
            </w:tcBorders>
            <w:shd w:val="clear" w:color="auto" w:fill="auto"/>
            <w:noWrap/>
            <w:vAlign w:val="bottom"/>
          </w:tcPr>
          <w:p w14:paraId="3C2BD9BC"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58.65</w:t>
            </w:r>
          </w:p>
        </w:tc>
        <w:tc>
          <w:tcPr>
            <w:tcW w:w="718" w:type="dxa"/>
            <w:tcBorders>
              <w:top w:val="nil"/>
              <w:left w:val="nil"/>
              <w:bottom w:val="single" w:sz="4" w:space="0" w:color="auto"/>
              <w:right w:val="nil"/>
            </w:tcBorders>
            <w:shd w:val="clear" w:color="auto" w:fill="auto"/>
            <w:noWrap/>
            <w:vAlign w:val="bottom"/>
          </w:tcPr>
          <w:p w14:paraId="794CDA75"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20.10</w:t>
            </w:r>
          </w:p>
        </w:tc>
        <w:tc>
          <w:tcPr>
            <w:tcW w:w="680" w:type="dxa"/>
            <w:tcBorders>
              <w:top w:val="nil"/>
              <w:left w:val="nil"/>
              <w:bottom w:val="single" w:sz="4" w:space="0" w:color="auto"/>
              <w:right w:val="nil"/>
            </w:tcBorders>
            <w:shd w:val="clear" w:color="auto" w:fill="auto"/>
            <w:noWrap/>
            <w:vAlign w:val="bottom"/>
          </w:tcPr>
          <w:p w14:paraId="1465C08E"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77</w:t>
            </w:r>
          </w:p>
        </w:tc>
        <w:tc>
          <w:tcPr>
            <w:tcW w:w="735" w:type="dxa"/>
            <w:tcBorders>
              <w:top w:val="nil"/>
              <w:left w:val="nil"/>
              <w:bottom w:val="single" w:sz="4" w:space="0" w:color="auto"/>
              <w:right w:val="nil"/>
            </w:tcBorders>
            <w:shd w:val="clear" w:color="auto" w:fill="auto"/>
            <w:noWrap/>
            <w:vAlign w:val="bottom"/>
          </w:tcPr>
          <w:p w14:paraId="1E98B96A"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48.90</w:t>
            </w:r>
          </w:p>
        </w:tc>
        <w:tc>
          <w:tcPr>
            <w:tcW w:w="718" w:type="dxa"/>
            <w:tcBorders>
              <w:top w:val="nil"/>
              <w:left w:val="nil"/>
              <w:bottom w:val="single" w:sz="4" w:space="0" w:color="auto"/>
              <w:right w:val="nil"/>
            </w:tcBorders>
            <w:shd w:val="clear" w:color="auto" w:fill="auto"/>
            <w:noWrap/>
            <w:vAlign w:val="bottom"/>
          </w:tcPr>
          <w:p w14:paraId="640DE954"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21.29</w:t>
            </w:r>
          </w:p>
        </w:tc>
        <w:tc>
          <w:tcPr>
            <w:tcW w:w="888" w:type="dxa"/>
            <w:tcBorders>
              <w:top w:val="nil"/>
              <w:left w:val="nil"/>
              <w:bottom w:val="single" w:sz="4" w:space="0" w:color="auto"/>
              <w:right w:val="nil"/>
            </w:tcBorders>
            <w:shd w:val="clear" w:color="auto" w:fill="auto"/>
            <w:noWrap/>
            <w:vAlign w:val="bottom"/>
          </w:tcPr>
          <w:p w14:paraId="04BD22D8"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-11.11</w:t>
            </w:r>
          </w:p>
        </w:tc>
        <w:tc>
          <w:tcPr>
            <w:tcW w:w="680" w:type="dxa"/>
            <w:tcBorders>
              <w:top w:val="nil"/>
              <w:left w:val="nil"/>
              <w:bottom w:val="single" w:sz="4" w:space="0" w:color="auto"/>
              <w:right w:val="nil"/>
            </w:tcBorders>
            <w:shd w:val="clear" w:color="auto" w:fill="auto"/>
            <w:noWrap/>
            <w:vAlign w:val="bottom"/>
          </w:tcPr>
          <w:p w14:paraId="66EE7E73"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2.02</w:t>
            </w:r>
          </w:p>
        </w:tc>
        <w:tc>
          <w:tcPr>
            <w:tcW w:w="720" w:type="dxa"/>
            <w:tcBorders>
              <w:top w:val="nil"/>
              <w:left w:val="nil"/>
              <w:bottom w:val="single" w:sz="4" w:space="0" w:color="auto"/>
              <w:right w:val="nil"/>
            </w:tcBorders>
            <w:shd w:val="clear" w:color="auto" w:fill="auto"/>
            <w:noWrap/>
            <w:vAlign w:val="bottom"/>
          </w:tcPr>
          <w:p w14:paraId="6675F4A4"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0.000</w:t>
            </w:r>
          </w:p>
        </w:tc>
        <w:tc>
          <w:tcPr>
            <w:tcW w:w="709" w:type="dxa"/>
            <w:tcBorders>
              <w:top w:val="nil"/>
              <w:left w:val="nil"/>
              <w:bottom w:val="single" w:sz="4" w:space="0" w:color="auto"/>
              <w:right w:val="nil"/>
            </w:tcBorders>
            <w:shd w:val="clear" w:color="auto" w:fill="auto"/>
            <w:noWrap/>
            <w:vAlign w:val="bottom"/>
          </w:tcPr>
          <w:p w14:paraId="563722E0"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-0.64</w:t>
            </w:r>
          </w:p>
        </w:tc>
      </w:tr>
      <w:tr w:rsidR="00D92F4B" w:rsidRPr="00F5085E" w14:paraId="239DD78C" w14:textId="77777777" w:rsidTr="006327AF">
        <w:trPr>
          <w:trHeight w:val="290"/>
        </w:trPr>
        <w:tc>
          <w:tcPr>
            <w:tcW w:w="1601" w:type="dxa"/>
            <w:tcBorders>
              <w:left w:val="nil"/>
              <w:bottom w:val="nil"/>
              <w:right w:val="nil"/>
            </w:tcBorders>
            <w:shd w:val="clear" w:color="auto" w:fill="auto"/>
            <w:noWrap/>
            <w:vAlign w:val="center"/>
          </w:tcPr>
          <w:p w14:paraId="22D8996A"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Per-protocol</w:t>
            </w:r>
          </w:p>
        </w:tc>
        <w:tc>
          <w:tcPr>
            <w:tcW w:w="974" w:type="dxa"/>
            <w:tcBorders>
              <w:top w:val="single" w:sz="4" w:space="0" w:color="auto"/>
              <w:left w:val="nil"/>
              <w:bottom w:val="nil"/>
              <w:right w:val="nil"/>
            </w:tcBorders>
            <w:shd w:val="clear" w:color="auto" w:fill="auto"/>
            <w:noWrap/>
            <w:vAlign w:val="center"/>
          </w:tcPr>
          <w:p w14:paraId="6A8229EF"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Baseline</w:t>
            </w:r>
          </w:p>
        </w:tc>
        <w:tc>
          <w:tcPr>
            <w:tcW w:w="680" w:type="dxa"/>
            <w:tcBorders>
              <w:top w:val="single" w:sz="4" w:space="0" w:color="auto"/>
              <w:left w:val="nil"/>
              <w:bottom w:val="nil"/>
              <w:right w:val="nil"/>
            </w:tcBorders>
            <w:shd w:val="clear" w:color="auto" w:fill="auto"/>
            <w:noWrap/>
            <w:vAlign w:val="bottom"/>
          </w:tcPr>
          <w:p w14:paraId="1E8F9908"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75</w:t>
            </w:r>
          </w:p>
        </w:tc>
        <w:tc>
          <w:tcPr>
            <w:tcW w:w="735" w:type="dxa"/>
            <w:tcBorders>
              <w:top w:val="single" w:sz="4" w:space="0" w:color="auto"/>
              <w:left w:val="nil"/>
              <w:bottom w:val="nil"/>
              <w:right w:val="nil"/>
            </w:tcBorders>
            <w:shd w:val="clear" w:color="auto" w:fill="auto"/>
            <w:noWrap/>
            <w:vAlign w:val="bottom"/>
          </w:tcPr>
          <w:p w14:paraId="05EE8E45"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58.69</w:t>
            </w:r>
          </w:p>
        </w:tc>
        <w:tc>
          <w:tcPr>
            <w:tcW w:w="718" w:type="dxa"/>
            <w:tcBorders>
              <w:top w:val="single" w:sz="4" w:space="0" w:color="auto"/>
              <w:left w:val="nil"/>
              <w:bottom w:val="nil"/>
              <w:right w:val="nil"/>
            </w:tcBorders>
            <w:shd w:val="clear" w:color="auto" w:fill="auto"/>
            <w:noWrap/>
            <w:vAlign w:val="bottom"/>
          </w:tcPr>
          <w:p w14:paraId="2BD48FAF"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16.94</w:t>
            </w:r>
          </w:p>
        </w:tc>
        <w:tc>
          <w:tcPr>
            <w:tcW w:w="680" w:type="dxa"/>
            <w:tcBorders>
              <w:top w:val="single" w:sz="4" w:space="0" w:color="auto"/>
              <w:left w:val="nil"/>
              <w:bottom w:val="nil"/>
              <w:right w:val="nil"/>
            </w:tcBorders>
            <w:shd w:val="clear" w:color="auto" w:fill="auto"/>
            <w:noWrap/>
            <w:vAlign w:val="bottom"/>
          </w:tcPr>
          <w:p w14:paraId="14990345"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69</w:t>
            </w:r>
          </w:p>
        </w:tc>
        <w:tc>
          <w:tcPr>
            <w:tcW w:w="735" w:type="dxa"/>
            <w:tcBorders>
              <w:top w:val="single" w:sz="4" w:space="0" w:color="auto"/>
              <w:left w:val="nil"/>
              <w:bottom w:val="nil"/>
              <w:right w:val="nil"/>
            </w:tcBorders>
            <w:shd w:val="clear" w:color="auto" w:fill="auto"/>
            <w:noWrap/>
            <w:vAlign w:val="bottom"/>
          </w:tcPr>
          <w:p w14:paraId="4D1F279C"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60.72</w:t>
            </w:r>
          </w:p>
        </w:tc>
        <w:tc>
          <w:tcPr>
            <w:tcW w:w="718" w:type="dxa"/>
            <w:tcBorders>
              <w:top w:val="single" w:sz="4" w:space="0" w:color="auto"/>
              <w:left w:val="nil"/>
              <w:bottom w:val="nil"/>
              <w:right w:val="nil"/>
            </w:tcBorders>
            <w:shd w:val="clear" w:color="auto" w:fill="auto"/>
            <w:noWrap/>
            <w:vAlign w:val="bottom"/>
          </w:tcPr>
          <w:p w14:paraId="3F3F78B1"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18.25</w:t>
            </w:r>
          </w:p>
        </w:tc>
        <w:tc>
          <w:tcPr>
            <w:tcW w:w="888" w:type="dxa"/>
            <w:tcBorders>
              <w:top w:val="single" w:sz="4" w:space="0" w:color="auto"/>
              <w:left w:val="nil"/>
              <w:bottom w:val="nil"/>
              <w:right w:val="nil"/>
            </w:tcBorders>
            <w:shd w:val="clear" w:color="auto" w:fill="auto"/>
            <w:noWrap/>
            <w:vAlign w:val="center"/>
          </w:tcPr>
          <w:p w14:paraId="01060329"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w:t>
            </w:r>
          </w:p>
        </w:tc>
        <w:tc>
          <w:tcPr>
            <w:tcW w:w="680" w:type="dxa"/>
            <w:tcBorders>
              <w:top w:val="single" w:sz="4" w:space="0" w:color="auto"/>
              <w:left w:val="nil"/>
              <w:bottom w:val="nil"/>
              <w:right w:val="nil"/>
            </w:tcBorders>
            <w:shd w:val="clear" w:color="auto" w:fill="auto"/>
            <w:noWrap/>
            <w:vAlign w:val="center"/>
          </w:tcPr>
          <w:p w14:paraId="5EB3DBBD"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w:t>
            </w:r>
          </w:p>
        </w:tc>
        <w:tc>
          <w:tcPr>
            <w:tcW w:w="720" w:type="dxa"/>
            <w:tcBorders>
              <w:top w:val="single" w:sz="4" w:space="0" w:color="auto"/>
              <w:left w:val="nil"/>
              <w:bottom w:val="nil"/>
              <w:right w:val="nil"/>
            </w:tcBorders>
            <w:shd w:val="clear" w:color="auto" w:fill="auto"/>
            <w:noWrap/>
            <w:vAlign w:val="center"/>
          </w:tcPr>
          <w:p w14:paraId="3501C312"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w:t>
            </w:r>
          </w:p>
        </w:tc>
        <w:tc>
          <w:tcPr>
            <w:tcW w:w="709" w:type="dxa"/>
            <w:tcBorders>
              <w:top w:val="single" w:sz="4" w:space="0" w:color="auto"/>
              <w:left w:val="nil"/>
              <w:bottom w:val="nil"/>
              <w:right w:val="nil"/>
            </w:tcBorders>
            <w:shd w:val="clear" w:color="auto" w:fill="auto"/>
            <w:noWrap/>
            <w:vAlign w:val="center"/>
          </w:tcPr>
          <w:p w14:paraId="1FA54D94"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w:t>
            </w:r>
          </w:p>
        </w:tc>
      </w:tr>
      <w:tr w:rsidR="00D92F4B" w:rsidRPr="00F5085E" w14:paraId="1C1E0D5B" w14:textId="77777777" w:rsidTr="006327AF">
        <w:trPr>
          <w:trHeight w:val="290"/>
        </w:trPr>
        <w:tc>
          <w:tcPr>
            <w:tcW w:w="1601" w:type="dxa"/>
            <w:tcBorders>
              <w:top w:val="nil"/>
              <w:left w:val="nil"/>
              <w:bottom w:val="nil"/>
              <w:right w:val="nil"/>
            </w:tcBorders>
            <w:shd w:val="clear" w:color="auto" w:fill="auto"/>
            <w:noWrap/>
            <w:vAlign w:val="center"/>
          </w:tcPr>
          <w:p w14:paraId="7962D2D9"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p>
        </w:tc>
        <w:tc>
          <w:tcPr>
            <w:tcW w:w="974" w:type="dxa"/>
            <w:tcBorders>
              <w:top w:val="nil"/>
              <w:left w:val="nil"/>
              <w:right w:val="nil"/>
            </w:tcBorders>
            <w:shd w:val="clear" w:color="auto" w:fill="auto"/>
            <w:noWrap/>
            <w:vAlign w:val="center"/>
          </w:tcPr>
          <w:p w14:paraId="5F3FC97D"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3 weeks</w:t>
            </w:r>
          </w:p>
        </w:tc>
        <w:tc>
          <w:tcPr>
            <w:tcW w:w="680" w:type="dxa"/>
            <w:tcBorders>
              <w:top w:val="nil"/>
              <w:left w:val="nil"/>
              <w:right w:val="nil"/>
            </w:tcBorders>
            <w:shd w:val="clear" w:color="auto" w:fill="auto"/>
            <w:noWrap/>
            <w:vAlign w:val="bottom"/>
          </w:tcPr>
          <w:p w14:paraId="2D21A796"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74</w:t>
            </w:r>
          </w:p>
        </w:tc>
        <w:tc>
          <w:tcPr>
            <w:tcW w:w="735" w:type="dxa"/>
            <w:tcBorders>
              <w:top w:val="nil"/>
              <w:left w:val="nil"/>
              <w:right w:val="nil"/>
            </w:tcBorders>
            <w:shd w:val="clear" w:color="auto" w:fill="auto"/>
            <w:noWrap/>
            <w:vAlign w:val="bottom"/>
          </w:tcPr>
          <w:p w14:paraId="7F2703E6"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60.18</w:t>
            </w:r>
          </w:p>
        </w:tc>
        <w:tc>
          <w:tcPr>
            <w:tcW w:w="718" w:type="dxa"/>
            <w:tcBorders>
              <w:top w:val="nil"/>
              <w:left w:val="nil"/>
              <w:right w:val="nil"/>
            </w:tcBorders>
            <w:shd w:val="clear" w:color="auto" w:fill="auto"/>
            <w:noWrap/>
            <w:vAlign w:val="bottom"/>
          </w:tcPr>
          <w:p w14:paraId="16CD89AA"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19.13</w:t>
            </w:r>
          </w:p>
        </w:tc>
        <w:tc>
          <w:tcPr>
            <w:tcW w:w="680" w:type="dxa"/>
            <w:tcBorders>
              <w:top w:val="nil"/>
              <w:left w:val="nil"/>
              <w:right w:val="nil"/>
            </w:tcBorders>
            <w:shd w:val="clear" w:color="auto" w:fill="auto"/>
            <w:noWrap/>
            <w:vAlign w:val="bottom"/>
          </w:tcPr>
          <w:p w14:paraId="66270304"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68</w:t>
            </w:r>
          </w:p>
        </w:tc>
        <w:tc>
          <w:tcPr>
            <w:tcW w:w="735" w:type="dxa"/>
            <w:tcBorders>
              <w:top w:val="nil"/>
              <w:left w:val="nil"/>
              <w:right w:val="nil"/>
            </w:tcBorders>
            <w:shd w:val="clear" w:color="auto" w:fill="auto"/>
            <w:noWrap/>
            <w:vAlign w:val="bottom"/>
          </w:tcPr>
          <w:p w14:paraId="01AB9C81"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54.31</w:t>
            </w:r>
          </w:p>
        </w:tc>
        <w:tc>
          <w:tcPr>
            <w:tcW w:w="718" w:type="dxa"/>
            <w:tcBorders>
              <w:top w:val="nil"/>
              <w:left w:val="nil"/>
              <w:right w:val="nil"/>
            </w:tcBorders>
            <w:shd w:val="clear" w:color="auto" w:fill="auto"/>
            <w:noWrap/>
            <w:vAlign w:val="bottom"/>
          </w:tcPr>
          <w:p w14:paraId="2F9FB17E"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18.52</w:t>
            </w:r>
          </w:p>
        </w:tc>
        <w:tc>
          <w:tcPr>
            <w:tcW w:w="888" w:type="dxa"/>
            <w:tcBorders>
              <w:top w:val="nil"/>
              <w:left w:val="nil"/>
              <w:right w:val="nil"/>
            </w:tcBorders>
            <w:shd w:val="clear" w:color="auto" w:fill="auto"/>
            <w:noWrap/>
            <w:vAlign w:val="bottom"/>
          </w:tcPr>
          <w:p w14:paraId="1C690432"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-7.49</w:t>
            </w:r>
          </w:p>
        </w:tc>
        <w:tc>
          <w:tcPr>
            <w:tcW w:w="680" w:type="dxa"/>
            <w:tcBorders>
              <w:top w:val="nil"/>
              <w:left w:val="nil"/>
              <w:right w:val="nil"/>
            </w:tcBorders>
            <w:shd w:val="clear" w:color="auto" w:fill="auto"/>
            <w:noWrap/>
            <w:vAlign w:val="bottom"/>
          </w:tcPr>
          <w:p w14:paraId="03D2BF58"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1.66</w:t>
            </w:r>
          </w:p>
        </w:tc>
        <w:tc>
          <w:tcPr>
            <w:tcW w:w="720" w:type="dxa"/>
            <w:tcBorders>
              <w:top w:val="nil"/>
              <w:left w:val="nil"/>
              <w:right w:val="nil"/>
            </w:tcBorders>
            <w:shd w:val="clear" w:color="auto" w:fill="auto"/>
            <w:noWrap/>
            <w:vAlign w:val="bottom"/>
          </w:tcPr>
          <w:p w14:paraId="470349E4"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0.000</w:t>
            </w:r>
          </w:p>
        </w:tc>
        <w:tc>
          <w:tcPr>
            <w:tcW w:w="709" w:type="dxa"/>
            <w:tcBorders>
              <w:top w:val="nil"/>
              <w:left w:val="nil"/>
              <w:right w:val="nil"/>
            </w:tcBorders>
            <w:shd w:val="clear" w:color="auto" w:fill="auto"/>
            <w:noWrap/>
            <w:vAlign w:val="bottom"/>
          </w:tcPr>
          <w:p w14:paraId="64368F23"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-0.44</w:t>
            </w:r>
          </w:p>
        </w:tc>
      </w:tr>
      <w:tr w:rsidR="00D92F4B" w:rsidRPr="00F5085E" w14:paraId="49F2F494" w14:textId="77777777" w:rsidTr="006327AF">
        <w:trPr>
          <w:trHeight w:val="290"/>
        </w:trPr>
        <w:tc>
          <w:tcPr>
            <w:tcW w:w="1601" w:type="dxa"/>
            <w:tcBorders>
              <w:top w:val="nil"/>
              <w:left w:val="nil"/>
              <w:right w:val="nil"/>
            </w:tcBorders>
            <w:shd w:val="clear" w:color="auto" w:fill="auto"/>
            <w:noWrap/>
            <w:vAlign w:val="center"/>
          </w:tcPr>
          <w:p w14:paraId="47F31527"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p>
        </w:tc>
        <w:tc>
          <w:tcPr>
            <w:tcW w:w="974" w:type="dxa"/>
            <w:tcBorders>
              <w:top w:val="nil"/>
              <w:left w:val="nil"/>
              <w:right w:val="nil"/>
            </w:tcBorders>
            <w:shd w:val="clear" w:color="auto" w:fill="auto"/>
            <w:noWrap/>
            <w:vAlign w:val="center"/>
          </w:tcPr>
          <w:p w14:paraId="537F62BE"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6 weeks</w:t>
            </w:r>
          </w:p>
        </w:tc>
        <w:tc>
          <w:tcPr>
            <w:tcW w:w="680" w:type="dxa"/>
            <w:tcBorders>
              <w:top w:val="nil"/>
              <w:left w:val="nil"/>
              <w:right w:val="nil"/>
            </w:tcBorders>
            <w:shd w:val="clear" w:color="auto" w:fill="auto"/>
            <w:noWrap/>
            <w:vAlign w:val="bottom"/>
          </w:tcPr>
          <w:p w14:paraId="58FBEA3D"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70</w:t>
            </w:r>
          </w:p>
        </w:tc>
        <w:tc>
          <w:tcPr>
            <w:tcW w:w="735" w:type="dxa"/>
            <w:tcBorders>
              <w:top w:val="nil"/>
              <w:left w:val="nil"/>
              <w:right w:val="nil"/>
            </w:tcBorders>
            <w:shd w:val="clear" w:color="auto" w:fill="auto"/>
            <w:noWrap/>
            <w:vAlign w:val="bottom"/>
          </w:tcPr>
          <w:p w14:paraId="5356107C"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58.43</w:t>
            </w:r>
          </w:p>
        </w:tc>
        <w:tc>
          <w:tcPr>
            <w:tcW w:w="718" w:type="dxa"/>
            <w:tcBorders>
              <w:top w:val="nil"/>
              <w:left w:val="nil"/>
              <w:right w:val="nil"/>
            </w:tcBorders>
            <w:shd w:val="clear" w:color="auto" w:fill="auto"/>
            <w:noWrap/>
            <w:vAlign w:val="bottom"/>
          </w:tcPr>
          <w:p w14:paraId="27C33539"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19.16</w:t>
            </w:r>
          </w:p>
        </w:tc>
        <w:tc>
          <w:tcPr>
            <w:tcW w:w="680" w:type="dxa"/>
            <w:tcBorders>
              <w:top w:val="nil"/>
              <w:left w:val="nil"/>
              <w:right w:val="nil"/>
            </w:tcBorders>
            <w:shd w:val="clear" w:color="auto" w:fill="auto"/>
            <w:noWrap/>
            <w:vAlign w:val="bottom"/>
          </w:tcPr>
          <w:p w14:paraId="06DD8CD3"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63</w:t>
            </w:r>
          </w:p>
        </w:tc>
        <w:tc>
          <w:tcPr>
            <w:tcW w:w="735" w:type="dxa"/>
            <w:tcBorders>
              <w:top w:val="nil"/>
              <w:left w:val="nil"/>
              <w:right w:val="nil"/>
            </w:tcBorders>
            <w:shd w:val="clear" w:color="auto" w:fill="auto"/>
            <w:noWrap/>
            <w:vAlign w:val="bottom"/>
          </w:tcPr>
          <w:p w14:paraId="7C702835"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50.19</w:t>
            </w:r>
          </w:p>
        </w:tc>
        <w:tc>
          <w:tcPr>
            <w:tcW w:w="718" w:type="dxa"/>
            <w:tcBorders>
              <w:top w:val="nil"/>
              <w:left w:val="nil"/>
              <w:right w:val="nil"/>
            </w:tcBorders>
            <w:shd w:val="clear" w:color="auto" w:fill="auto"/>
            <w:noWrap/>
            <w:vAlign w:val="bottom"/>
          </w:tcPr>
          <w:p w14:paraId="75C363E0"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19.61</w:t>
            </w:r>
          </w:p>
        </w:tc>
        <w:tc>
          <w:tcPr>
            <w:tcW w:w="888" w:type="dxa"/>
            <w:tcBorders>
              <w:top w:val="nil"/>
              <w:left w:val="nil"/>
              <w:right w:val="nil"/>
            </w:tcBorders>
            <w:shd w:val="clear" w:color="auto" w:fill="auto"/>
            <w:noWrap/>
            <w:vAlign w:val="bottom"/>
          </w:tcPr>
          <w:p w14:paraId="63DB747F"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-9.43</w:t>
            </w:r>
          </w:p>
        </w:tc>
        <w:tc>
          <w:tcPr>
            <w:tcW w:w="680" w:type="dxa"/>
            <w:tcBorders>
              <w:top w:val="nil"/>
              <w:left w:val="nil"/>
              <w:right w:val="nil"/>
            </w:tcBorders>
            <w:shd w:val="clear" w:color="auto" w:fill="auto"/>
            <w:noWrap/>
            <w:vAlign w:val="bottom"/>
          </w:tcPr>
          <w:p w14:paraId="75110A2B"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1.98</w:t>
            </w:r>
          </w:p>
        </w:tc>
        <w:tc>
          <w:tcPr>
            <w:tcW w:w="720" w:type="dxa"/>
            <w:tcBorders>
              <w:top w:val="nil"/>
              <w:left w:val="nil"/>
              <w:right w:val="nil"/>
            </w:tcBorders>
            <w:shd w:val="clear" w:color="auto" w:fill="auto"/>
            <w:noWrap/>
            <w:vAlign w:val="bottom"/>
          </w:tcPr>
          <w:p w14:paraId="29C01240"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0.000</w:t>
            </w:r>
          </w:p>
        </w:tc>
        <w:tc>
          <w:tcPr>
            <w:tcW w:w="709" w:type="dxa"/>
            <w:tcBorders>
              <w:top w:val="nil"/>
              <w:left w:val="nil"/>
              <w:right w:val="nil"/>
            </w:tcBorders>
            <w:shd w:val="clear" w:color="auto" w:fill="auto"/>
            <w:noWrap/>
            <w:vAlign w:val="bottom"/>
          </w:tcPr>
          <w:p w14:paraId="4888FA31"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-0.55</w:t>
            </w:r>
          </w:p>
        </w:tc>
      </w:tr>
      <w:tr w:rsidR="00D92F4B" w:rsidRPr="00F5085E" w14:paraId="09E8694D" w14:textId="77777777" w:rsidTr="006327AF">
        <w:trPr>
          <w:trHeight w:val="290"/>
        </w:trPr>
        <w:tc>
          <w:tcPr>
            <w:tcW w:w="1601" w:type="dxa"/>
            <w:tcBorders>
              <w:top w:val="nil"/>
              <w:left w:val="nil"/>
              <w:bottom w:val="single" w:sz="4" w:space="0" w:color="auto"/>
              <w:right w:val="nil"/>
            </w:tcBorders>
            <w:shd w:val="clear" w:color="auto" w:fill="auto"/>
            <w:noWrap/>
            <w:vAlign w:val="center"/>
          </w:tcPr>
          <w:p w14:paraId="089DB640"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p>
        </w:tc>
        <w:tc>
          <w:tcPr>
            <w:tcW w:w="974" w:type="dxa"/>
            <w:tcBorders>
              <w:top w:val="nil"/>
              <w:left w:val="nil"/>
              <w:bottom w:val="single" w:sz="4" w:space="0" w:color="auto"/>
              <w:right w:val="nil"/>
            </w:tcBorders>
            <w:shd w:val="clear" w:color="auto" w:fill="auto"/>
            <w:noWrap/>
            <w:vAlign w:val="center"/>
          </w:tcPr>
          <w:p w14:paraId="2565589E" w14:textId="77777777" w:rsidR="00D92F4B" w:rsidRPr="006268D0" w:rsidRDefault="00D92F4B" w:rsidP="006327AF">
            <w:pPr>
              <w:spacing w:after="0" w:line="240" w:lineRule="auto"/>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9 weeks</w:t>
            </w:r>
          </w:p>
        </w:tc>
        <w:tc>
          <w:tcPr>
            <w:tcW w:w="680" w:type="dxa"/>
            <w:tcBorders>
              <w:top w:val="nil"/>
              <w:left w:val="nil"/>
              <w:bottom w:val="single" w:sz="4" w:space="0" w:color="auto"/>
              <w:right w:val="nil"/>
            </w:tcBorders>
            <w:shd w:val="clear" w:color="auto" w:fill="auto"/>
            <w:noWrap/>
            <w:vAlign w:val="bottom"/>
          </w:tcPr>
          <w:p w14:paraId="3C05750C"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72</w:t>
            </w:r>
          </w:p>
        </w:tc>
        <w:tc>
          <w:tcPr>
            <w:tcW w:w="735" w:type="dxa"/>
            <w:tcBorders>
              <w:top w:val="nil"/>
              <w:left w:val="nil"/>
              <w:bottom w:val="single" w:sz="4" w:space="0" w:color="auto"/>
              <w:right w:val="nil"/>
            </w:tcBorders>
            <w:shd w:val="clear" w:color="auto" w:fill="auto"/>
            <w:noWrap/>
            <w:vAlign w:val="bottom"/>
          </w:tcPr>
          <w:p w14:paraId="38682A6C"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58.86</w:t>
            </w:r>
          </w:p>
        </w:tc>
        <w:tc>
          <w:tcPr>
            <w:tcW w:w="718" w:type="dxa"/>
            <w:tcBorders>
              <w:top w:val="nil"/>
              <w:left w:val="nil"/>
              <w:bottom w:val="single" w:sz="4" w:space="0" w:color="auto"/>
              <w:right w:val="nil"/>
            </w:tcBorders>
            <w:shd w:val="clear" w:color="auto" w:fill="auto"/>
            <w:noWrap/>
            <w:vAlign w:val="bottom"/>
          </w:tcPr>
          <w:p w14:paraId="0F303BA4"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19.57</w:t>
            </w:r>
          </w:p>
        </w:tc>
        <w:tc>
          <w:tcPr>
            <w:tcW w:w="680" w:type="dxa"/>
            <w:tcBorders>
              <w:top w:val="nil"/>
              <w:left w:val="nil"/>
              <w:bottom w:val="single" w:sz="4" w:space="0" w:color="auto"/>
              <w:right w:val="nil"/>
            </w:tcBorders>
            <w:shd w:val="clear" w:color="auto" w:fill="auto"/>
            <w:noWrap/>
            <w:vAlign w:val="bottom"/>
          </w:tcPr>
          <w:p w14:paraId="486CC437"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63</w:t>
            </w:r>
          </w:p>
        </w:tc>
        <w:tc>
          <w:tcPr>
            <w:tcW w:w="735" w:type="dxa"/>
            <w:tcBorders>
              <w:top w:val="nil"/>
              <w:left w:val="nil"/>
              <w:bottom w:val="single" w:sz="4" w:space="0" w:color="auto"/>
              <w:right w:val="nil"/>
            </w:tcBorders>
            <w:shd w:val="clear" w:color="auto" w:fill="auto"/>
            <w:noWrap/>
            <w:vAlign w:val="bottom"/>
          </w:tcPr>
          <w:p w14:paraId="0FB05052"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47.08</w:t>
            </w:r>
          </w:p>
        </w:tc>
        <w:tc>
          <w:tcPr>
            <w:tcW w:w="718" w:type="dxa"/>
            <w:tcBorders>
              <w:top w:val="nil"/>
              <w:left w:val="nil"/>
              <w:bottom w:val="single" w:sz="4" w:space="0" w:color="auto"/>
              <w:right w:val="nil"/>
            </w:tcBorders>
            <w:shd w:val="clear" w:color="auto" w:fill="auto"/>
            <w:noWrap/>
            <w:vAlign w:val="bottom"/>
          </w:tcPr>
          <w:p w14:paraId="7A060133"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21.23</w:t>
            </w:r>
          </w:p>
        </w:tc>
        <w:tc>
          <w:tcPr>
            <w:tcW w:w="888" w:type="dxa"/>
            <w:tcBorders>
              <w:top w:val="nil"/>
              <w:left w:val="nil"/>
              <w:bottom w:val="single" w:sz="4" w:space="0" w:color="auto"/>
              <w:right w:val="nil"/>
            </w:tcBorders>
            <w:shd w:val="clear" w:color="auto" w:fill="auto"/>
            <w:noWrap/>
            <w:vAlign w:val="bottom"/>
          </w:tcPr>
          <w:p w14:paraId="5368F032"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-12.89</w:t>
            </w:r>
          </w:p>
        </w:tc>
        <w:tc>
          <w:tcPr>
            <w:tcW w:w="680" w:type="dxa"/>
            <w:tcBorders>
              <w:top w:val="nil"/>
              <w:left w:val="nil"/>
              <w:bottom w:val="single" w:sz="4" w:space="0" w:color="auto"/>
              <w:right w:val="nil"/>
            </w:tcBorders>
            <w:shd w:val="clear" w:color="auto" w:fill="auto"/>
            <w:noWrap/>
            <w:vAlign w:val="bottom"/>
          </w:tcPr>
          <w:p w14:paraId="7BD392F0"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color w:val="000000"/>
                <w:sz w:val="20"/>
                <w:szCs w:val="20"/>
                <w:lang w:eastAsia="en-GB"/>
              </w:rPr>
              <w:t>2.22</w:t>
            </w:r>
          </w:p>
        </w:tc>
        <w:tc>
          <w:tcPr>
            <w:tcW w:w="720" w:type="dxa"/>
            <w:tcBorders>
              <w:top w:val="nil"/>
              <w:left w:val="nil"/>
              <w:bottom w:val="single" w:sz="4" w:space="0" w:color="auto"/>
              <w:right w:val="nil"/>
            </w:tcBorders>
            <w:shd w:val="clear" w:color="auto" w:fill="auto"/>
            <w:noWrap/>
            <w:vAlign w:val="bottom"/>
          </w:tcPr>
          <w:p w14:paraId="7EB90D26"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0.000</w:t>
            </w:r>
          </w:p>
        </w:tc>
        <w:tc>
          <w:tcPr>
            <w:tcW w:w="709" w:type="dxa"/>
            <w:tcBorders>
              <w:top w:val="nil"/>
              <w:left w:val="nil"/>
              <w:bottom w:val="single" w:sz="4" w:space="0" w:color="auto"/>
              <w:right w:val="nil"/>
            </w:tcBorders>
            <w:shd w:val="clear" w:color="auto" w:fill="auto"/>
            <w:noWrap/>
            <w:vAlign w:val="bottom"/>
          </w:tcPr>
          <w:p w14:paraId="1C3A76B3" w14:textId="77777777" w:rsidR="00D92F4B" w:rsidRPr="006268D0" w:rsidRDefault="00D92F4B" w:rsidP="006327AF">
            <w:pPr>
              <w:spacing w:after="0" w:line="240" w:lineRule="auto"/>
              <w:jc w:val="center"/>
              <w:rPr>
                <w:rFonts w:asciiTheme="majorHAnsi" w:eastAsia="Trebuchet MS" w:hAnsiTheme="majorHAnsi" w:cstheme="majorHAnsi"/>
                <w:sz w:val="20"/>
                <w:szCs w:val="20"/>
                <w:lang w:eastAsia="en-GB"/>
              </w:rPr>
            </w:pPr>
            <w:r w:rsidRPr="006268D0">
              <w:rPr>
                <w:rFonts w:asciiTheme="majorHAnsi" w:eastAsia="Trebuchet MS" w:hAnsiTheme="majorHAnsi" w:cstheme="majorHAnsi"/>
                <w:sz w:val="20"/>
                <w:szCs w:val="20"/>
                <w:lang w:eastAsia="en-GB"/>
              </w:rPr>
              <w:t>-0.75</w:t>
            </w:r>
          </w:p>
        </w:tc>
      </w:tr>
    </w:tbl>
    <w:p w14:paraId="3D0F9F6D" w14:textId="77777777" w:rsidR="00BA5357" w:rsidRDefault="00BA5357"/>
    <w:p w14:paraId="3F94CBB1" w14:textId="02237025" w:rsidR="00BF2C53" w:rsidRDefault="00356965">
      <w:r>
        <w:t xml:space="preserve">Figure </w:t>
      </w:r>
      <w:r w:rsidR="003B2EAA">
        <w:t>1</w:t>
      </w:r>
      <w:r>
        <w:t xml:space="preserve"> is a sensitivity plot presenting estimates from a pattern-mixture modelling approach indicating that under any plausible missing data mechanism that the group differences remain significant. In this analysis, missing values are imputed using the estimate from an analysis assuming data are missing at random plus a fixed value (delta) in the raw units of the INQoL scale. Where delta is 0 the model produces results equivalent to the main analyses assuming data are missing at random. Where delta is approximately 12 the results are broadly equivalent to the baseline observation carried forward approach.</w:t>
      </w:r>
    </w:p>
    <w:p w14:paraId="2491F750" w14:textId="0EC97090" w:rsidR="00247115" w:rsidRDefault="00247115"/>
    <w:p w14:paraId="60F00D24" w14:textId="74350D32" w:rsidR="00247115" w:rsidRDefault="00247115"/>
    <w:p w14:paraId="32481F51" w14:textId="13E62C7D" w:rsidR="00247115" w:rsidRDefault="00247115"/>
    <w:p w14:paraId="00456485" w14:textId="77777777" w:rsidR="00247115" w:rsidRDefault="00247115"/>
    <w:p w14:paraId="5D02395E" w14:textId="77777777" w:rsidR="00BA5357" w:rsidRDefault="00BF2C53" w:rsidP="00BA5357">
      <w:pPr>
        <w:rPr>
          <w:b/>
          <w:bCs/>
        </w:rPr>
      </w:pPr>
      <w:r>
        <w:rPr>
          <w:noProof/>
        </w:rPr>
        <w:lastRenderedPageBreak/>
        <w:drawing>
          <wp:inline distT="0" distB="0" distL="0" distR="0" wp14:anchorId="106E4C6A" wp14:editId="33F89FEA">
            <wp:extent cx="5629275" cy="56069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78529" cy="5656039"/>
                    </a:xfrm>
                    <a:prstGeom prst="rect">
                      <a:avLst/>
                    </a:prstGeom>
                  </pic:spPr>
                </pic:pic>
              </a:graphicData>
            </a:graphic>
          </wp:inline>
        </w:drawing>
      </w:r>
    </w:p>
    <w:p w14:paraId="0D608216" w14:textId="538CD633" w:rsidR="00BF2C53" w:rsidRPr="00E8394D" w:rsidRDefault="00E8394D" w:rsidP="00BA5357">
      <w:pPr>
        <w:rPr>
          <w:b/>
          <w:bCs/>
        </w:rPr>
      </w:pPr>
      <w:r w:rsidRPr="00E8394D">
        <w:rPr>
          <w:b/>
          <w:bCs/>
        </w:rPr>
        <w:t xml:space="preserve">Figure </w:t>
      </w:r>
      <w:r w:rsidRPr="00E8394D">
        <w:rPr>
          <w:b/>
          <w:bCs/>
        </w:rPr>
        <w:t xml:space="preserve">1. </w:t>
      </w:r>
      <w:r w:rsidRPr="00E8394D">
        <w:rPr>
          <w:b/>
          <w:bCs/>
        </w:rPr>
        <w:t>Pattern-mixture model sensitivity analysis for non-random missingness</w:t>
      </w:r>
    </w:p>
    <w:sectPr w:rsidR="00BF2C53" w:rsidRPr="00E83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FF"/>
    <w:rsid w:val="0002620A"/>
    <w:rsid w:val="001E7E5E"/>
    <w:rsid w:val="00247115"/>
    <w:rsid w:val="002D74D7"/>
    <w:rsid w:val="002F1ACE"/>
    <w:rsid w:val="003103FF"/>
    <w:rsid w:val="00356965"/>
    <w:rsid w:val="003B2EAA"/>
    <w:rsid w:val="00437733"/>
    <w:rsid w:val="006268D0"/>
    <w:rsid w:val="00655775"/>
    <w:rsid w:val="006752EB"/>
    <w:rsid w:val="006C1273"/>
    <w:rsid w:val="00770F91"/>
    <w:rsid w:val="00911C75"/>
    <w:rsid w:val="00B73366"/>
    <w:rsid w:val="00BA5357"/>
    <w:rsid w:val="00BF14EC"/>
    <w:rsid w:val="00BF2C53"/>
    <w:rsid w:val="00CD2243"/>
    <w:rsid w:val="00CF3069"/>
    <w:rsid w:val="00D92F4B"/>
    <w:rsid w:val="00DD6600"/>
    <w:rsid w:val="00E8394D"/>
    <w:rsid w:val="00F5085E"/>
    <w:rsid w:val="00F82C45"/>
    <w:rsid w:val="00FF2C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76E9"/>
  <w15:chartTrackingRefBased/>
  <w15:docId w15:val="{CB19D7C7-DB65-4E1E-B84C-5654BD15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103FF"/>
    <w:pPr>
      <w:keepNext/>
      <w:keepLines/>
      <w:spacing w:before="40" w:after="0"/>
      <w:outlineLvl w:val="2"/>
    </w:pPr>
    <w:rPr>
      <w:rFonts w:asciiTheme="majorHAnsi" w:eastAsiaTheme="majorEastAsia" w:hAnsiTheme="majorHAnsi" w:cstheme="majorBidi"/>
      <w:color w:val="0D0D0D" w:themeColor="text1" w:themeTint="F2"/>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103FF"/>
    <w:rPr>
      <w:rFonts w:asciiTheme="majorHAnsi" w:eastAsiaTheme="majorEastAsia" w:hAnsiTheme="majorHAnsi" w:cstheme="majorBidi"/>
      <w:color w:val="0D0D0D" w:themeColor="text1" w:themeTint="F2"/>
      <w:sz w:val="24"/>
      <w:szCs w:val="24"/>
      <w:lang w:val="en-GB"/>
    </w:rPr>
  </w:style>
  <w:style w:type="paragraph" w:styleId="Caption">
    <w:name w:val="caption"/>
    <w:basedOn w:val="Normal"/>
    <w:next w:val="Normal"/>
    <w:uiPriority w:val="35"/>
    <w:unhideWhenUsed/>
    <w:qFormat/>
    <w:rsid w:val="003103FF"/>
    <w:pPr>
      <w:keepNext/>
      <w:spacing w:after="200" w:line="240" w:lineRule="auto"/>
    </w:pPr>
    <w:rPr>
      <w:b/>
      <w:iCs/>
      <w:sz w:val="20"/>
      <w:szCs w:val="18"/>
      <w:lang w:val="en-GB"/>
    </w:rPr>
  </w:style>
  <w:style w:type="paragraph" w:styleId="NoSpacing">
    <w:name w:val="No Spacing"/>
    <w:uiPriority w:val="1"/>
    <w:qFormat/>
    <w:rsid w:val="003103FF"/>
    <w:pPr>
      <w:spacing w:after="0" w:line="240" w:lineRule="auto"/>
    </w:pPr>
    <w:rPr>
      <w:rFonts w:asciiTheme="majorHAnsi" w:hAnsiTheme="majorHAnsi"/>
      <w:sz w:val="20"/>
      <w:szCs w:val="20"/>
      <w:lang w:val="en-GB" w:eastAsia="en-GB"/>
    </w:rPr>
  </w:style>
  <w:style w:type="paragraph" w:styleId="BalloonText">
    <w:name w:val="Balloon Text"/>
    <w:basedOn w:val="Normal"/>
    <w:link w:val="BalloonTextChar"/>
    <w:uiPriority w:val="99"/>
    <w:semiHidden/>
    <w:unhideWhenUsed/>
    <w:rsid w:val="00DD6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O'Connell</dc:creator>
  <cp:keywords/>
  <dc:description/>
  <cp:lastModifiedBy>Nicola O'Connell</cp:lastModifiedBy>
  <cp:revision>24</cp:revision>
  <dcterms:created xsi:type="dcterms:W3CDTF">2021-05-05T08:42:00Z</dcterms:created>
  <dcterms:modified xsi:type="dcterms:W3CDTF">2021-05-05T09:05:00Z</dcterms:modified>
</cp:coreProperties>
</file>