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728296" w14:textId="5B2A4E1C" w:rsidR="00183510" w:rsidRDefault="00183510" w:rsidP="0074654D">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t>Supplemental Appendix. PCL-5 Topological Overlap</w:t>
      </w:r>
    </w:p>
    <w:p w14:paraId="2B8F797C" w14:textId="11335B42" w:rsidR="00777ED1" w:rsidRDefault="00777ED1" w:rsidP="0074654D">
      <w:pPr>
        <w:spacing w:after="0" w:line="480" w:lineRule="auto"/>
        <w:rPr>
          <w:rFonts w:ascii="Times New Roman" w:hAnsi="Times New Roman" w:cs="Times New Roman"/>
          <w:sz w:val="24"/>
          <w:szCs w:val="24"/>
        </w:rPr>
      </w:pPr>
      <w:r>
        <w:rPr>
          <w:rFonts w:ascii="Times New Roman" w:hAnsi="Times New Roman" w:cs="Times New Roman"/>
          <w:b/>
          <w:bCs/>
          <w:sz w:val="24"/>
          <w:szCs w:val="24"/>
        </w:rPr>
        <w:t>Method</w:t>
      </w:r>
      <w:r w:rsidR="001E7AAD">
        <w:rPr>
          <w:rFonts w:ascii="Times New Roman" w:hAnsi="Times New Roman" w:cs="Times New Roman"/>
          <w:sz w:val="24"/>
          <w:szCs w:val="24"/>
        </w:rPr>
        <w:tab/>
      </w:r>
    </w:p>
    <w:p w14:paraId="56052CB7" w14:textId="69CFB5FD" w:rsidR="00183510" w:rsidRDefault="009424F5" w:rsidP="0074654D">
      <w:pPr>
        <w:spacing w:after="0"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 analysis of topological overlap was conducted for both the person-mean (i.e., intercept) network and slope network. </w:t>
      </w:r>
      <w:r w:rsidR="001E7AAD">
        <w:rPr>
          <w:rFonts w:ascii="Times New Roman" w:hAnsi="Times New Roman" w:cs="Times New Roman"/>
          <w:sz w:val="24"/>
          <w:szCs w:val="24"/>
        </w:rPr>
        <w:t xml:space="preserve">Topological overlap was empirically examined using the </w:t>
      </w:r>
      <w:r w:rsidR="001E7AAD">
        <w:rPr>
          <w:rFonts w:ascii="Times New Roman" w:hAnsi="Times New Roman" w:cs="Times New Roman"/>
          <w:i/>
          <w:iCs/>
          <w:sz w:val="24"/>
          <w:szCs w:val="24"/>
        </w:rPr>
        <w:t>goldbricker</w:t>
      </w:r>
      <w:r w:rsidR="001E7AAD">
        <w:rPr>
          <w:rFonts w:ascii="Times New Roman" w:hAnsi="Times New Roman" w:cs="Times New Roman"/>
          <w:sz w:val="24"/>
          <w:szCs w:val="24"/>
        </w:rPr>
        <w:t xml:space="preserve"> function, which is implemented in the </w:t>
      </w:r>
      <w:r w:rsidR="001E7AAD">
        <w:rPr>
          <w:rFonts w:ascii="Times New Roman" w:hAnsi="Times New Roman" w:cs="Times New Roman"/>
          <w:i/>
          <w:iCs/>
          <w:sz w:val="24"/>
          <w:szCs w:val="24"/>
        </w:rPr>
        <w:t>networktools</w:t>
      </w:r>
      <w:r w:rsidR="001E7AAD">
        <w:rPr>
          <w:rFonts w:ascii="Times New Roman" w:hAnsi="Times New Roman" w:cs="Times New Roman"/>
          <w:sz w:val="24"/>
          <w:szCs w:val="24"/>
        </w:rPr>
        <w:t xml:space="preserve"> package </w:t>
      </w:r>
      <w:r w:rsidR="001E7AAD">
        <w:rPr>
          <w:rFonts w:ascii="Times New Roman" w:hAnsi="Times New Roman" w:cs="Times New Roman"/>
          <w:sz w:val="24"/>
          <w:szCs w:val="24"/>
        </w:rPr>
        <w:fldChar w:fldCharType="begin"/>
      </w:r>
      <w:r w:rsidR="001E7AAD">
        <w:rPr>
          <w:rFonts w:ascii="Times New Roman" w:hAnsi="Times New Roman" w:cs="Times New Roman"/>
          <w:sz w:val="24"/>
          <w:szCs w:val="24"/>
        </w:rPr>
        <w:instrText xml:space="preserve"> ADDIN ZOTERO_ITEM CSL_CITATION {"citationID":"vV1kIdsb","properties":{"formattedCitation":"(Jones, 2021)","plainCitation":"(Jones, 2021)","noteIndex":0},"citationItems":[{"id":7319,"uris":["http://zotero.org/users/1098478/items/RP2C6TZ2"],"uri":["http://zotero.org/users/1098478/items/RP2C6TZ2"],"itemData":{"id":7319,"type":"book","abstract":"Includes assorted tools for network analysis. Bridge centrality; goldbricker; MDS, PCA, &amp; eigenmodel network plotting.","title":"Package 'networktools'","URL":"https://CRAN.R-project.org/package=networktools","version":"1.4.0","author":[{"family":"Jones","given":"Payton"}],"issued":{"date-parts":[["2021"]]}}}],"schema":"https://github.com/citation-style-language/schema/raw/master/csl-citation.json"} </w:instrText>
      </w:r>
      <w:r w:rsidR="001E7AAD">
        <w:rPr>
          <w:rFonts w:ascii="Times New Roman" w:hAnsi="Times New Roman" w:cs="Times New Roman"/>
          <w:sz w:val="24"/>
          <w:szCs w:val="24"/>
        </w:rPr>
        <w:fldChar w:fldCharType="separate"/>
      </w:r>
      <w:r w:rsidR="001E7AAD" w:rsidRPr="001E7AAD">
        <w:rPr>
          <w:rFonts w:ascii="Times New Roman" w:hAnsi="Times New Roman" w:cs="Times New Roman"/>
          <w:sz w:val="24"/>
        </w:rPr>
        <w:t>(Jones, 2021)</w:t>
      </w:r>
      <w:r w:rsidR="001E7AAD">
        <w:rPr>
          <w:rFonts w:ascii="Times New Roman" w:hAnsi="Times New Roman" w:cs="Times New Roman"/>
          <w:sz w:val="24"/>
          <w:szCs w:val="24"/>
        </w:rPr>
        <w:fldChar w:fldCharType="end"/>
      </w:r>
      <w:r w:rsidR="001E7AAD">
        <w:rPr>
          <w:rFonts w:ascii="Times New Roman" w:hAnsi="Times New Roman" w:cs="Times New Roman"/>
          <w:sz w:val="24"/>
          <w:szCs w:val="24"/>
        </w:rPr>
        <w:t xml:space="preserve">. Levinson and colleagues </w:t>
      </w:r>
      <w:r w:rsidR="001E7AAD">
        <w:rPr>
          <w:rFonts w:ascii="Times New Roman" w:hAnsi="Times New Roman" w:cs="Times New Roman"/>
          <w:sz w:val="24"/>
          <w:szCs w:val="24"/>
        </w:rPr>
        <w:fldChar w:fldCharType="begin"/>
      </w:r>
      <w:r w:rsidR="001E7AAD">
        <w:rPr>
          <w:rFonts w:ascii="Times New Roman" w:hAnsi="Times New Roman" w:cs="Times New Roman"/>
          <w:sz w:val="24"/>
          <w:szCs w:val="24"/>
        </w:rPr>
        <w:instrText xml:space="preserve"> ADDIN ZOTERO_ITEM CSL_CITATION {"citationID":"n4YOCnrw","properties":{"formattedCitation":"(2018)","plainCitation":"(2018)","noteIndex":0},"citationItems":[{"id":7316,"uris":["http://zotero.org/users/1098478/items/HFJWYHGT"],"uri":["http://zotero.org/users/1098478/items/HFJWYHGT"],"itemData":{"id":7316,"type":"article-journal","abstract":"Objective Eating disorders (EDs) and social anxiety disorder (SAD) are highly co-occurring. This comorbidity is extremely relevant, given that individuals with comorbid ED-SAD are less likely to seek and/or benefit from ED treatment. Method We used network analysis to conceptualize ED-SAD comorbidity in a sample of 2,215 participants with a primary diagnosis of ED, SAD, or no known diagnosis. We used novel network analyses methods to select symptoms for our models, identify potential illness pathways (i.e., bridge symptoms) between disorders and underlying vulnerabilities (e.g., perfectionism, social appearance anxiety), and to compare across sample types (e.g., clinical vs. nonclinical). We also tested several novel network analyses methods aimed at the following methodological concerns: (a) topological concerns (i.e., which items should be included in NA models), (b) how to use empirical indices to quantify bridge symptoms and (c) what differences in networks across samples mean. Results We found that difficulty with drinking beverages and eating in public were bridge symptoms between ED and SAD. We also found that feeling nervous about one's appearance was a bridge symptom. Conclusions We identified public eating and drinking as bridge symptoms between EDs and SAD. Future research is needed to test if interventions focused on public eating and drinking might decrease symptoms of both EDs and SAD. Researchers can use this study (code provided) as an exemplar for how to use network analysis, as well as to use network analysis to conceptualize ED comorbidity and compare network structure and density across samples.","container-title":"International Journal of Eating Disorders","DOI":"10.1002/eat.22890","ISSN":"1098-108X","issue":"7","language":"en","note":"_eprint: https://onlinelibrary.wiley.com/doi/pdf/10.1002/eat.22890","page":"693-709","source":"Wiley Online Library","title":"Social anxiety and eating disorder comorbidity and underlying vulnerabilities: Using network analysis to conceptualize comorbidity","title-short":"Social anxiety and eating disorder comorbidity and underlying vulnerabilities","volume":"51","author":[{"family":"Levinson","given":"Cheri A."},{"family":"Brosof","given":"Leigh C."},{"family":"Vanzhula","given":"Irina"},{"family":"Christian","given":"Caroline"},{"family":"Jones","given":"Payton"},{"family":"Rodebaugh","given":"Thomas L."},{"family":"Langer","given":"Julia K."},{"family":"White","given":"Emily K."},{"family":"Warren","given":"Cortney"},{"family":"Weeks","given":"Justin W."},{"family":"Menatti","given":"Andrew"},{"family":"Lim","given":"Michelle H."},{"family":"Fernandez","given":"Katya C."}],"issued":{"date-parts":[["2018"]]}},"suppress-author":true}],"schema":"https://github.com/citation-style-language/schema/raw/master/csl-citation.json"} </w:instrText>
      </w:r>
      <w:r w:rsidR="001E7AAD">
        <w:rPr>
          <w:rFonts w:ascii="Times New Roman" w:hAnsi="Times New Roman" w:cs="Times New Roman"/>
          <w:sz w:val="24"/>
          <w:szCs w:val="24"/>
        </w:rPr>
        <w:fldChar w:fldCharType="separate"/>
      </w:r>
      <w:r w:rsidR="001E7AAD" w:rsidRPr="001E7AAD">
        <w:rPr>
          <w:rFonts w:ascii="Times New Roman" w:hAnsi="Times New Roman" w:cs="Times New Roman"/>
          <w:sz w:val="24"/>
        </w:rPr>
        <w:t>(2018)</w:t>
      </w:r>
      <w:r w:rsidR="001E7AAD">
        <w:rPr>
          <w:rFonts w:ascii="Times New Roman" w:hAnsi="Times New Roman" w:cs="Times New Roman"/>
          <w:sz w:val="24"/>
          <w:szCs w:val="24"/>
        </w:rPr>
        <w:fldChar w:fldCharType="end"/>
      </w:r>
      <w:r w:rsidR="001E7AAD">
        <w:rPr>
          <w:rFonts w:ascii="Times New Roman" w:hAnsi="Times New Roman" w:cs="Times New Roman"/>
          <w:sz w:val="24"/>
          <w:szCs w:val="24"/>
        </w:rPr>
        <w:t xml:space="preserve"> provide an introduction to the goldbricker function and its use. In brief, the goldbricker approach </w:t>
      </w:r>
      <w:r w:rsidR="00C966F0">
        <w:rPr>
          <w:rFonts w:ascii="Times New Roman" w:hAnsi="Times New Roman" w:cs="Times New Roman"/>
          <w:sz w:val="24"/>
          <w:szCs w:val="24"/>
        </w:rPr>
        <w:t xml:space="preserve">identifies all nodes in the proposed network with zero-order correlations above a provided threshold as possible “bad pairs” (i.e., redundant content). Possible bad pairs are then evaluated by comparing their correlations with the rest of the nodes in the network. The rationale being that if identified “bad pairs” do represent the same underlying construct, they should have correlations of comparable magnitude with the other variables in the network. The proportion of </w:t>
      </w:r>
      <w:r w:rsidR="00C85A30">
        <w:rPr>
          <w:rFonts w:ascii="Times New Roman" w:hAnsi="Times New Roman" w:cs="Times New Roman"/>
          <w:sz w:val="24"/>
          <w:szCs w:val="24"/>
        </w:rPr>
        <w:t>significantly different</w:t>
      </w:r>
      <w:r w:rsidR="00C966F0">
        <w:rPr>
          <w:rFonts w:ascii="Times New Roman" w:hAnsi="Times New Roman" w:cs="Times New Roman"/>
          <w:sz w:val="24"/>
          <w:szCs w:val="24"/>
        </w:rPr>
        <w:t xml:space="preserve"> correlations</w:t>
      </w:r>
      <w:r w:rsidR="00C85A30">
        <w:rPr>
          <w:rFonts w:ascii="Times New Roman" w:hAnsi="Times New Roman" w:cs="Times New Roman"/>
          <w:sz w:val="24"/>
          <w:szCs w:val="24"/>
        </w:rPr>
        <w:t xml:space="preserve"> was used to determine if the amount of topological overlap was sufficient enough to require removal.</w:t>
      </w:r>
    </w:p>
    <w:p w14:paraId="51460E8A" w14:textId="377A4665" w:rsidR="00070347" w:rsidRDefault="00C85A30" w:rsidP="0074654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070347">
        <w:rPr>
          <w:rFonts w:ascii="Times New Roman" w:hAnsi="Times New Roman" w:cs="Times New Roman"/>
          <w:sz w:val="24"/>
          <w:szCs w:val="24"/>
        </w:rPr>
        <w:t>Z</w:t>
      </w:r>
      <w:r>
        <w:rPr>
          <w:rFonts w:ascii="Times New Roman" w:hAnsi="Times New Roman" w:cs="Times New Roman"/>
          <w:sz w:val="24"/>
          <w:szCs w:val="24"/>
        </w:rPr>
        <w:t>ero-order correlation</w:t>
      </w:r>
      <w:r w:rsidR="00070347">
        <w:rPr>
          <w:rFonts w:ascii="Times New Roman" w:hAnsi="Times New Roman" w:cs="Times New Roman"/>
          <w:sz w:val="24"/>
          <w:szCs w:val="24"/>
        </w:rPr>
        <w:t>s</w:t>
      </w:r>
      <w:r>
        <w:rPr>
          <w:rFonts w:ascii="Times New Roman" w:hAnsi="Times New Roman" w:cs="Times New Roman"/>
          <w:sz w:val="24"/>
          <w:szCs w:val="24"/>
        </w:rPr>
        <w:t xml:space="preserve"> greater than .7 (i.e., roughly 50% shared variance) </w:t>
      </w:r>
      <w:r w:rsidR="00070347">
        <w:rPr>
          <w:rFonts w:ascii="Times New Roman" w:hAnsi="Times New Roman" w:cs="Times New Roman"/>
          <w:sz w:val="24"/>
          <w:szCs w:val="24"/>
        </w:rPr>
        <w:t xml:space="preserve">were identified as possible </w:t>
      </w:r>
      <w:r>
        <w:rPr>
          <w:rFonts w:ascii="Times New Roman" w:hAnsi="Times New Roman" w:cs="Times New Roman"/>
          <w:sz w:val="24"/>
          <w:szCs w:val="24"/>
        </w:rPr>
        <w:t>“bad pairs”</w:t>
      </w:r>
      <w:r w:rsidR="00070347">
        <w:rPr>
          <w:rFonts w:ascii="Times New Roman" w:hAnsi="Times New Roman" w:cs="Times New Roman"/>
          <w:sz w:val="24"/>
          <w:szCs w:val="24"/>
        </w:rPr>
        <w:t xml:space="preserve"> for the current analyses.</w:t>
      </w:r>
      <w:r>
        <w:rPr>
          <w:rFonts w:ascii="Times New Roman" w:hAnsi="Times New Roman" w:cs="Times New Roman"/>
          <w:sz w:val="24"/>
          <w:szCs w:val="24"/>
        </w:rPr>
        <w:t xml:space="preserve"> </w:t>
      </w:r>
      <w:r w:rsidR="00070347">
        <w:rPr>
          <w:rFonts w:ascii="Times New Roman" w:hAnsi="Times New Roman" w:cs="Times New Roman"/>
          <w:sz w:val="24"/>
          <w:szCs w:val="24"/>
        </w:rPr>
        <w:t xml:space="preserve">A threshold of .25 and p-value of .01 was selected for item removal. </w:t>
      </w:r>
      <w:r w:rsidR="003546F5">
        <w:rPr>
          <w:rFonts w:ascii="Times New Roman" w:hAnsi="Times New Roman" w:cs="Times New Roman"/>
          <w:sz w:val="24"/>
          <w:szCs w:val="24"/>
        </w:rPr>
        <w:t xml:space="preserve">That is, </w:t>
      </w:r>
      <w:r w:rsidR="00070347">
        <w:rPr>
          <w:rFonts w:ascii="Times New Roman" w:hAnsi="Times New Roman" w:cs="Times New Roman"/>
          <w:sz w:val="24"/>
          <w:szCs w:val="24"/>
        </w:rPr>
        <w:t xml:space="preserve">possible “bad pairs” </w:t>
      </w:r>
      <w:r w:rsidR="003546F5">
        <w:rPr>
          <w:rFonts w:ascii="Times New Roman" w:hAnsi="Times New Roman" w:cs="Times New Roman"/>
          <w:sz w:val="24"/>
          <w:szCs w:val="24"/>
        </w:rPr>
        <w:t xml:space="preserve">of items </w:t>
      </w:r>
      <w:r w:rsidR="00524E5E">
        <w:rPr>
          <w:rFonts w:ascii="Times New Roman" w:hAnsi="Times New Roman" w:cs="Times New Roman"/>
          <w:sz w:val="24"/>
          <w:szCs w:val="24"/>
        </w:rPr>
        <w:t>had to have at least 25% of their correlations with third variables in the network be statistically different (at p &lt;  .01) in order to be considered non-redundant.</w:t>
      </w:r>
      <w:r w:rsidR="007468F8">
        <w:rPr>
          <w:rFonts w:ascii="Times New Roman" w:hAnsi="Times New Roman" w:cs="Times New Roman"/>
          <w:sz w:val="24"/>
          <w:szCs w:val="24"/>
        </w:rPr>
        <w:t xml:space="preserve"> In line with the recommendations of Hittner and colleagues </w:t>
      </w:r>
      <w:r w:rsidR="007468F8">
        <w:rPr>
          <w:rFonts w:ascii="Times New Roman" w:hAnsi="Times New Roman" w:cs="Times New Roman"/>
          <w:sz w:val="24"/>
          <w:szCs w:val="24"/>
        </w:rPr>
        <w:fldChar w:fldCharType="begin"/>
      </w:r>
      <w:r w:rsidR="007468F8">
        <w:rPr>
          <w:rFonts w:ascii="Times New Roman" w:hAnsi="Times New Roman" w:cs="Times New Roman"/>
          <w:sz w:val="24"/>
          <w:szCs w:val="24"/>
        </w:rPr>
        <w:instrText xml:space="preserve"> ADDIN ZOTERO_ITEM CSL_CITATION {"citationID":"mTAqZ3qK","properties":{"formattedCitation":"(2003)","plainCitation":"(2003)","noteIndex":0},"citationItems":[{"id":7323,"uris":["http://zotero.org/users/1098478/items/5XR3G36L"],"uri":["http://zotero.org/users/1098478/items/5XR3G36L"],"itemData":{"id":7323,"type":"article-journal","abstract":"The authors conducted a Monte Carlo simulation of 8 statistical tests for comparing dependent zero-order correlations. In particular, they evaluated the Type I error rates and power of a number of test statistics for sample sizes (Ns) of 20, 50, 100, and 300 under 3 different population distributions (normal, uniform, and exponential). For the Type I error rate analyses, the authors evaluated 3 different magnitudes of the predictor-criterion correlations (rho(y,x1) = rho(y,x2) = .1, .4, and .7). For the power analyses, they examined 3 different effect sizes or magnitudes of discrepancy between rho(y,x1) and rho(y,x2) (values of .1, .3, and .6). They conducted all of the simulations at 3 different levels of predictor intercorrelation (rho(x1,x2) = .1, .3, and .6). The results indicated that both Type I error rate and power depend not only on sample size and population distribution, but also on (a) the predictor intercorrelation and (b) the effect size (for power) or the magnitude of the predictor-criterion correlations (for Type I error rate). When the authors considered Type I error rate and power simultaneously, the findings suggested that O. J. Dunn and V. A. Clark's (1969) z and E. J. Williams's (1959) t have the best overall statistical properties. The findings extend and refine previous simulation research and as such, should have greater utility for applied researchers.","container-title":"The Journal of General Psychology","DOI":"10.1080/00221300309601282","ISSN":"0022-1309","issue":"2","journalAbbreviation":"J Gen Psychol","language":"eng","note":"PMID: 12773018","page":"149-168","source":"PubMed","title":"A Monte Carlo evaluation of tests for comparing dependent correlations","volume":"130","author":[{"family":"Hittner","given":"James B."},{"family":"May","given":"Kim"},{"family":"Silver","given":"N. Clayton"}],"issued":{"date-parts":[["2003",4]]}},"suppress-author":true}],"schema":"https://github.com/citation-style-language/schema/raw/master/csl-citation.json"} </w:instrText>
      </w:r>
      <w:r w:rsidR="007468F8">
        <w:rPr>
          <w:rFonts w:ascii="Times New Roman" w:hAnsi="Times New Roman" w:cs="Times New Roman"/>
          <w:sz w:val="24"/>
          <w:szCs w:val="24"/>
        </w:rPr>
        <w:fldChar w:fldCharType="separate"/>
      </w:r>
      <w:r w:rsidR="007468F8" w:rsidRPr="007468F8">
        <w:rPr>
          <w:rFonts w:ascii="Times New Roman" w:hAnsi="Times New Roman" w:cs="Times New Roman"/>
          <w:sz w:val="24"/>
        </w:rPr>
        <w:t>(2003)</w:t>
      </w:r>
      <w:r w:rsidR="007468F8">
        <w:rPr>
          <w:rFonts w:ascii="Times New Roman" w:hAnsi="Times New Roman" w:cs="Times New Roman"/>
          <w:sz w:val="24"/>
          <w:szCs w:val="24"/>
        </w:rPr>
        <w:fldChar w:fldCharType="end"/>
      </w:r>
      <w:r w:rsidR="007468F8">
        <w:rPr>
          <w:rFonts w:ascii="Times New Roman" w:hAnsi="Times New Roman" w:cs="Times New Roman"/>
          <w:sz w:val="24"/>
          <w:szCs w:val="24"/>
        </w:rPr>
        <w:t xml:space="preserve">, Williams’s </w:t>
      </w:r>
      <w:r w:rsidR="007468F8">
        <w:rPr>
          <w:rFonts w:ascii="Times New Roman" w:hAnsi="Times New Roman" w:cs="Times New Roman"/>
          <w:sz w:val="24"/>
          <w:szCs w:val="24"/>
        </w:rPr>
        <w:fldChar w:fldCharType="begin"/>
      </w:r>
      <w:r w:rsidR="007468F8">
        <w:rPr>
          <w:rFonts w:ascii="Times New Roman" w:hAnsi="Times New Roman" w:cs="Times New Roman"/>
          <w:sz w:val="24"/>
          <w:szCs w:val="24"/>
        </w:rPr>
        <w:instrText xml:space="preserve"> ADDIN ZOTERO_ITEM CSL_CITATION {"citationID":"SkydlG92","properties":{"formattedCitation":"(1959)","plainCitation":"(1959)","noteIndex":0},"citationItems":[{"id":7346,"uris":["http://zotero.org/users/1098478/items/2K3RV45P"],"uri":["http://zotero.org/users/1098478/items/2K3RV45P"],"itemData":{"id":7346,"type":"article-journal","abstract":"Hotelling's test of significance for difference in efficiency of predictors is reformulated in terms of regression analysis. A test proposed by Healy is shown to differ from Hotelling's test in general.","container-title":"Journal of the Royal Statistical Society. Series B (Methodological)","ISSN":"0035-9246","issue":"2","note":"publisher: [Royal Statistical Society, Wiley]","page":"396-399","source":"JSTOR","title":"The Comparison of Regression Variables","volume":"21","author":[{"family":"Williams","given":"E. J."}],"issued":{"date-parts":[["1959"]]}},"suppress-author":true}],"schema":"https://github.com/citation-style-language/schema/raw/master/csl-citation.json"} </w:instrText>
      </w:r>
      <w:r w:rsidR="007468F8">
        <w:rPr>
          <w:rFonts w:ascii="Times New Roman" w:hAnsi="Times New Roman" w:cs="Times New Roman"/>
          <w:sz w:val="24"/>
          <w:szCs w:val="24"/>
        </w:rPr>
        <w:fldChar w:fldCharType="separate"/>
      </w:r>
      <w:r w:rsidR="007468F8" w:rsidRPr="007468F8">
        <w:rPr>
          <w:rFonts w:ascii="Times New Roman" w:hAnsi="Times New Roman" w:cs="Times New Roman"/>
          <w:sz w:val="24"/>
        </w:rPr>
        <w:t>(1959)</w:t>
      </w:r>
      <w:r w:rsidR="007468F8">
        <w:rPr>
          <w:rFonts w:ascii="Times New Roman" w:hAnsi="Times New Roman" w:cs="Times New Roman"/>
          <w:sz w:val="24"/>
          <w:szCs w:val="24"/>
        </w:rPr>
        <w:fldChar w:fldCharType="end"/>
      </w:r>
      <w:r w:rsidR="007468F8">
        <w:rPr>
          <w:rFonts w:ascii="Times New Roman" w:hAnsi="Times New Roman" w:cs="Times New Roman"/>
          <w:sz w:val="24"/>
          <w:szCs w:val="24"/>
        </w:rPr>
        <w:t xml:space="preserve"> standard </w:t>
      </w:r>
      <w:r w:rsidR="007468F8">
        <w:rPr>
          <w:rFonts w:ascii="Times New Roman" w:hAnsi="Times New Roman" w:cs="Times New Roman"/>
          <w:i/>
          <w:iCs/>
          <w:sz w:val="24"/>
          <w:szCs w:val="24"/>
        </w:rPr>
        <w:t>t</w:t>
      </w:r>
      <w:r w:rsidR="007468F8">
        <w:rPr>
          <w:rFonts w:ascii="Times New Roman" w:hAnsi="Times New Roman" w:cs="Times New Roman"/>
          <w:sz w:val="24"/>
          <w:szCs w:val="24"/>
        </w:rPr>
        <w:t xml:space="preserve"> formula was used to compare the dependent correlations.</w:t>
      </w:r>
    </w:p>
    <w:p w14:paraId="4D223DD9" w14:textId="292A658A" w:rsidR="009424F5" w:rsidRPr="009424F5" w:rsidRDefault="009424F5" w:rsidP="0074654D">
      <w:pPr>
        <w:spacing w:after="0" w:line="480" w:lineRule="auto"/>
        <w:rPr>
          <w:rFonts w:ascii="Times New Roman" w:hAnsi="Times New Roman" w:cs="Times New Roman"/>
          <w:sz w:val="24"/>
          <w:szCs w:val="24"/>
        </w:rPr>
      </w:pPr>
      <w:r>
        <w:rPr>
          <w:rFonts w:ascii="Times New Roman" w:hAnsi="Times New Roman" w:cs="Times New Roman"/>
          <w:b/>
          <w:bCs/>
          <w:sz w:val="24"/>
          <w:szCs w:val="24"/>
        </w:rPr>
        <w:t>Results</w:t>
      </w:r>
    </w:p>
    <w:p w14:paraId="3BFDF582" w14:textId="0ECD9F64" w:rsidR="00BC1759" w:rsidRDefault="00524E5E" w:rsidP="0074654D">
      <w:pPr>
        <w:spacing w:after="0" w:line="480" w:lineRule="auto"/>
        <w:rPr>
          <w:rFonts w:ascii="Times New Roman" w:hAnsi="Times New Roman" w:cs="Times New Roman"/>
          <w:sz w:val="24"/>
          <w:szCs w:val="24"/>
        </w:rPr>
      </w:pPr>
      <w:r>
        <w:rPr>
          <w:rFonts w:ascii="Times New Roman" w:hAnsi="Times New Roman" w:cs="Times New Roman"/>
          <w:sz w:val="24"/>
          <w:szCs w:val="24"/>
        </w:rPr>
        <w:tab/>
      </w:r>
      <w:r w:rsidR="003A0EA4">
        <w:rPr>
          <w:rFonts w:ascii="Times New Roman" w:hAnsi="Times New Roman" w:cs="Times New Roman"/>
          <w:sz w:val="24"/>
          <w:szCs w:val="24"/>
        </w:rPr>
        <w:t>In the person-mean network 45 out of 190 item pairs were identified with zero-order correlations greater than .7. Of those, only one pair (i</w:t>
      </w:r>
      <w:r w:rsidR="006F4158">
        <w:rPr>
          <w:rFonts w:ascii="Times New Roman" w:hAnsi="Times New Roman" w:cs="Times New Roman"/>
          <w:sz w:val="24"/>
          <w:szCs w:val="24"/>
        </w:rPr>
        <w:t>tem</w:t>
      </w:r>
      <w:r w:rsidR="003A0EA4">
        <w:rPr>
          <w:rFonts w:ascii="Times New Roman" w:hAnsi="Times New Roman" w:cs="Times New Roman"/>
          <w:sz w:val="24"/>
          <w:szCs w:val="24"/>
        </w:rPr>
        <w:t>s</w:t>
      </w:r>
      <w:r w:rsidR="006F4158">
        <w:rPr>
          <w:rFonts w:ascii="Times New Roman" w:hAnsi="Times New Roman" w:cs="Times New Roman"/>
          <w:sz w:val="24"/>
          <w:szCs w:val="24"/>
        </w:rPr>
        <w:t xml:space="preserve"> 17 and 18</w:t>
      </w:r>
      <w:r w:rsidR="003A0EA4">
        <w:rPr>
          <w:rFonts w:ascii="Times New Roman" w:hAnsi="Times New Roman" w:cs="Times New Roman"/>
          <w:sz w:val="24"/>
          <w:szCs w:val="24"/>
        </w:rPr>
        <w:t>; hypervigilance and hyperstartle) had</w:t>
      </w:r>
      <w:r w:rsidR="00367647">
        <w:rPr>
          <w:rFonts w:ascii="Times New Roman" w:hAnsi="Times New Roman" w:cs="Times New Roman"/>
          <w:sz w:val="24"/>
          <w:szCs w:val="24"/>
        </w:rPr>
        <w:t xml:space="preserve"> comparable associations with at least 75% of the other nodes in the network. </w:t>
      </w:r>
      <w:r w:rsidR="00367647">
        <w:rPr>
          <w:rFonts w:ascii="Times New Roman" w:hAnsi="Times New Roman" w:cs="Times New Roman"/>
          <w:sz w:val="24"/>
          <w:szCs w:val="24"/>
        </w:rPr>
        <w:lastRenderedPageBreak/>
        <w:t>O</w:t>
      </w:r>
      <w:r w:rsidR="006F4158">
        <w:rPr>
          <w:rFonts w:ascii="Times New Roman" w:hAnsi="Times New Roman" w:cs="Times New Roman"/>
          <w:sz w:val="24"/>
          <w:szCs w:val="24"/>
        </w:rPr>
        <w:t>nly 15% of the correlations were statistically different</w:t>
      </w:r>
      <w:r w:rsidR="00367647">
        <w:rPr>
          <w:rFonts w:ascii="Times New Roman" w:hAnsi="Times New Roman" w:cs="Times New Roman"/>
          <w:sz w:val="24"/>
          <w:szCs w:val="24"/>
        </w:rPr>
        <w:t>. The first principal component of the two variables was estimated and used in place of the two overlapping variables</w:t>
      </w:r>
      <w:r w:rsidR="00BC1759">
        <w:rPr>
          <w:rFonts w:ascii="Times New Roman" w:hAnsi="Times New Roman" w:cs="Times New Roman"/>
          <w:sz w:val="24"/>
          <w:szCs w:val="24"/>
        </w:rPr>
        <w:t xml:space="preserve">. All primary analyses on the </w:t>
      </w:r>
      <w:r w:rsidR="00AC6FAF">
        <w:rPr>
          <w:rFonts w:ascii="Times New Roman" w:hAnsi="Times New Roman" w:cs="Times New Roman"/>
          <w:sz w:val="24"/>
          <w:szCs w:val="24"/>
        </w:rPr>
        <w:t xml:space="preserve">person-mean network </w:t>
      </w:r>
      <w:r w:rsidR="00BC1759">
        <w:rPr>
          <w:rFonts w:ascii="Times New Roman" w:hAnsi="Times New Roman" w:cs="Times New Roman"/>
          <w:sz w:val="24"/>
          <w:szCs w:val="24"/>
        </w:rPr>
        <w:t>were replicated using this</w:t>
      </w:r>
      <w:r w:rsidR="00AC6FAF">
        <w:rPr>
          <w:rFonts w:ascii="Times New Roman" w:hAnsi="Times New Roman" w:cs="Times New Roman"/>
          <w:sz w:val="24"/>
          <w:szCs w:val="24"/>
        </w:rPr>
        <w:t xml:space="preserve"> reduced item set. Results are provided in Supplemental Table S4 and Supplemental Figures S3 and S4. </w:t>
      </w:r>
    </w:p>
    <w:p w14:paraId="0498CCD6" w14:textId="5BEAB725" w:rsidR="00524E5E" w:rsidRDefault="0074654D" w:rsidP="0074654D">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goldbricker function indicated there were no redundant item pairs in the between-subject slopes network. </w:t>
      </w:r>
    </w:p>
    <w:p w14:paraId="5680DEA2" w14:textId="28E9BEAD" w:rsidR="0074654D" w:rsidRDefault="0074654D">
      <w:pPr>
        <w:rPr>
          <w:rFonts w:ascii="Times New Roman" w:hAnsi="Times New Roman" w:cs="Times New Roman"/>
          <w:sz w:val="24"/>
          <w:szCs w:val="24"/>
        </w:rPr>
      </w:pPr>
      <w:r>
        <w:rPr>
          <w:rFonts w:ascii="Times New Roman" w:hAnsi="Times New Roman" w:cs="Times New Roman"/>
          <w:sz w:val="24"/>
          <w:szCs w:val="24"/>
        </w:rPr>
        <w:br w:type="page"/>
      </w:r>
    </w:p>
    <w:p w14:paraId="2A44B3D0" w14:textId="59BEC2D5" w:rsidR="0074654D" w:rsidRDefault="0074654D" w:rsidP="0074654D">
      <w:pPr>
        <w:spacing w:after="0" w:line="480" w:lineRule="auto"/>
        <w:jc w:val="center"/>
        <w:rPr>
          <w:rFonts w:ascii="Times New Roman" w:hAnsi="Times New Roman" w:cs="Times New Roman"/>
          <w:b/>
          <w:bCs/>
          <w:sz w:val="24"/>
          <w:szCs w:val="24"/>
        </w:rPr>
      </w:pPr>
      <w:r>
        <w:rPr>
          <w:rFonts w:ascii="Times New Roman" w:hAnsi="Times New Roman" w:cs="Times New Roman"/>
          <w:b/>
          <w:bCs/>
          <w:sz w:val="24"/>
          <w:szCs w:val="24"/>
        </w:rPr>
        <w:lastRenderedPageBreak/>
        <w:t>References</w:t>
      </w:r>
    </w:p>
    <w:p w14:paraId="20441716" w14:textId="77777777" w:rsidR="0074654D" w:rsidRPr="0074654D" w:rsidRDefault="0074654D" w:rsidP="0074654D">
      <w:pPr>
        <w:pStyle w:val="Bibliography"/>
        <w:rPr>
          <w:rFonts w:ascii="Times New Roman" w:hAnsi="Times New Roman" w:cs="Times New Roman"/>
          <w:sz w:val="24"/>
        </w:rPr>
      </w:pPr>
      <w:r>
        <w:rPr>
          <w:b/>
          <w:bCs/>
        </w:rPr>
        <w:fldChar w:fldCharType="begin"/>
      </w:r>
      <w:r>
        <w:rPr>
          <w:b/>
          <w:bCs/>
        </w:rPr>
        <w:instrText xml:space="preserve"> ADDIN ZOTERO_BIBL {"uncited":[],"omitted":[],"custom":[]} CSL_BIBLIOGRAPHY </w:instrText>
      </w:r>
      <w:r>
        <w:rPr>
          <w:b/>
          <w:bCs/>
        </w:rPr>
        <w:fldChar w:fldCharType="separate"/>
      </w:r>
      <w:r w:rsidRPr="0074654D">
        <w:rPr>
          <w:rFonts w:ascii="Times New Roman" w:hAnsi="Times New Roman" w:cs="Times New Roman"/>
          <w:sz w:val="24"/>
        </w:rPr>
        <w:t xml:space="preserve">Hittner, J. B., May, K., &amp; Silver, N. C. (2003). A Monte Carlo evaluation of tests for comparing dependent correlations. </w:t>
      </w:r>
      <w:r w:rsidRPr="0074654D">
        <w:rPr>
          <w:rFonts w:ascii="Times New Roman" w:hAnsi="Times New Roman" w:cs="Times New Roman"/>
          <w:i/>
          <w:iCs/>
          <w:sz w:val="24"/>
        </w:rPr>
        <w:t>The Journal of General Psychology</w:t>
      </w:r>
      <w:r w:rsidRPr="0074654D">
        <w:rPr>
          <w:rFonts w:ascii="Times New Roman" w:hAnsi="Times New Roman" w:cs="Times New Roman"/>
          <w:sz w:val="24"/>
        </w:rPr>
        <w:t xml:space="preserve">, </w:t>
      </w:r>
      <w:r w:rsidRPr="0074654D">
        <w:rPr>
          <w:rFonts w:ascii="Times New Roman" w:hAnsi="Times New Roman" w:cs="Times New Roman"/>
          <w:i/>
          <w:iCs/>
          <w:sz w:val="24"/>
        </w:rPr>
        <w:t>130</w:t>
      </w:r>
      <w:r w:rsidRPr="0074654D">
        <w:rPr>
          <w:rFonts w:ascii="Times New Roman" w:hAnsi="Times New Roman" w:cs="Times New Roman"/>
          <w:sz w:val="24"/>
        </w:rPr>
        <w:t>(2), 149–168. https://doi.org/10.1080/00221300309601282</w:t>
      </w:r>
    </w:p>
    <w:p w14:paraId="6F36622F" w14:textId="77777777" w:rsidR="0074654D" w:rsidRPr="0074654D" w:rsidRDefault="0074654D" w:rsidP="0074654D">
      <w:pPr>
        <w:pStyle w:val="Bibliography"/>
        <w:rPr>
          <w:rFonts w:ascii="Times New Roman" w:hAnsi="Times New Roman" w:cs="Times New Roman"/>
          <w:sz w:val="24"/>
        </w:rPr>
      </w:pPr>
      <w:r w:rsidRPr="0074654D">
        <w:rPr>
          <w:rFonts w:ascii="Times New Roman" w:hAnsi="Times New Roman" w:cs="Times New Roman"/>
          <w:sz w:val="24"/>
        </w:rPr>
        <w:t xml:space="preserve">Jones, P. (2021). </w:t>
      </w:r>
      <w:r w:rsidRPr="0074654D">
        <w:rPr>
          <w:rFonts w:ascii="Times New Roman" w:hAnsi="Times New Roman" w:cs="Times New Roman"/>
          <w:i/>
          <w:iCs/>
          <w:sz w:val="24"/>
        </w:rPr>
        <w:t>Package “networktools”</w:t>
      </w:r>
      <w:r w:rsidRPr="0074654D">
        <w:rPr>
          <w:rFonts w:ascii="Times New Roman" w:hAnsi="Times New Roman" w:cs="Times New Roman"/>
          <w:sz w:val="24"/>
        </w:rPr>
        <w:t xml:space="preserve"> (1.4.0) [Computer software]. https://CRAN.R-project.org/package=networktools</w:t>
      </w:r>
    </w:p>
    <w:p w14:paraId="146191F3" w14:textId="77777777" w:rsidR="0074654D" w:rsidRPr="0074654D" w:rsidRDefault="0074654D" w:rsidP="0074654D">
      <w:pPr>
        <w:pStyle w:val="Bibliography"/>
        <w:rPr>
          <w:rFonts w:ascii="Times New Roman" w:hAnsi="Times New Roman" w:cs="Times New Roman"/>
          <w:sz w:val="24"/>
        </w:rPr>
      </w:pPr>
      <w:r w:rsidRPr="0074654D">
        <w:rPr>
          <w:rFonts w:ascii="Times New Roman" w:hAnsi="Times New Roman" w:cs="Times New Roman"/>
          <w:sz w:val="24"/>
        </w:rPr>
        <w:t xml:space="preserve">Levinson, C. A., Brosof, L. C., Vanzhula, I., Christian, C., Jones, P., Rodebaugh, T. L., Langer, J. K., White, E. K., Warren, C., Weeks, J. W., Menatti, A., Lim, M. H., &amp; Fernandez, K. C. (2018). Social anxiety and eating disorder comorbidity and underlying vulnerabilities: Using network analysis to conceptualize comorbidity. </w:t>
      </w:r>
      <w:r w:rsidRPr="0074654D">
        <w:rPr>
          <w:rFonts w:ascii="Times New Roman" w:hAnsi="Times New Roman" w:cs="Times New Roman"/>
          <w:i/>
          <w:iCs/>
          <w:sz w:val="24"/>
        </w:rPr>
        <w:t>International Journal of Eating Disorders</w:t>
      </w:r>
      <w:r w:rsidRPr="0074654D">
        <w:rPr>
          <w:rFonts w:ascii="Times New Roman" w:hAnsi="Times New Roman" w:cs="Times New Roman"/>
          <w:sz w:val="24"/>
        </w:rPr>
        <w:t xml:space="preserve">, </w:t>
      </w:r>
      <w:r w:rsidRPr="0074654D">
        <w:rPr>
          <w:rFonts w:ascii="Times New Roman" w:hAnsi="Times New Roman" w:cs="Times New Roman"/>
          <w:i/>
          <w:iCs/>
          <w:sz w:val="24"/>
        </w:rPr>
        <w:t>51</w:t>
      </w:r>
      <w:r w:rsidRPr="0074654D">
        <w:rPr>
          <w:rFonts w:ascii="Times New Roman" w:hAnsi="Times New Roman" w:cs="Times New Roman"/>
          <w:sz w:val="24"/>
        </w:rPr>
        <w:t>(7), 693–709. https://doi.org/10.1002/eat.22890</w:t>
      </w:r>
    </w:p>
    <w:p w14:paraId="7E28C7E7" w14:textId="77777777" w:rsidR="0074654D" w:rsidRPr="0074654D" w:rsidRDefault="0074654D" w:rsidP="0074654D">
      <w:pPr>
        <w:pStyle w:val="Bibliography"/>
        <w:rPr>
          <w:rFonts w:ascii="Times New Roman" w:hAnsi="Times New Roman" w:cs="Times New Roman"/>
          <w:sz w:val="24"/>
        </w:rPr>
      </w:pPr>
      <w:r w:rsidRPr="0074654D">
        <w:rPr>
          <w:rFonts w:ascii="Times New Roman" w:hAnsi="Times New Roman" w:cs="Times New Roman"/>
          <w:sz w:val="24"/>
        </w:rPr>
        <w:t xml:space="preserve">Williams, E. J. (1959). The Comparison of Regression Variables. </w:t>
      </w:r>
      <w:r w:rsidRPr="0074654D">
        <w:rPr>
          <w:rFonts w:ascii="Times New Roman" w:hAnsi="Times New Roman" w:cs="Times New Roman"/>
          <w:i/>
          <w:iCs/>
          <w:sz w:val="24"/>
        </w:rPr>
        <w:t>Journal of the Royal Statistical Society. Series B (Methodological)</w:t>
      </w:r>
      <w:r w:rsidRPr="0074654D">
        <w:rPr>
          <w:rFonts w:ascii="Times New Roman" w:hAnsi="Times New Roman" w:cs="Times New Roman"/>
          <w:sz w:val="24"/>
        </w:rPr>
        <w:t xml:space="preserve">, </w:t>
      </w:r>
      <w:r w:rsidRPr="0074654D">
        <w:rPr>
          <w:rFonts w:ascii="Times New Roman" w:hAnsi="Times New Roman" w:cs="Times New Roman"/>
          <w:i/>
          <w:iCs/>
          <w:sz w:val="24"/>
        </w:rPr>
        <w:t>21</w:t>
      </w:r>
      <w:r w:rsidRPr="0074654D">
        <w:rPr>
          <w:rFonts w:ascii="Times New Roman" w:hAnsi="Times New Roman" w:cs="Times New Roman"/>
          <w:sz w:val="24"/>
        </w:rPr>
        <w:t>(2), 396–399.</w:t>
      </w:r>
    </w:p>
    <w:p w14:paraId="06454571" w14:textId="571F11BD" w:rsidR="0074654D" w:rsidRPr="0074654D" w:rsidRDefault="0074654D" w:rsidP="0074654D">
      <w:pPr>
        <w:spacing w:after="0" w:line="480" w:lineRule="auto"/>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74654D" w:rsidRPr="0074654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510"/>
    <w:rsid w:val="00070347"/>
    <w:rsid w:val="00183510"/>
    <w:rsid w:val="001E7AAD"/>
    <w:rsid w:val="003546F5"/>
    <w:rsid w:val="00367647"/>
    <w:rsid w:val="003A0EA4"/>
    <w:rsid w:val="004C6AEF"/>
    <w:rsid w:val="004F440B"/>
    <w:rsid w:val="00524E5E"/>
    <w:rsid w:val="006F4158"/>
    <w:rsid w:val="0074654D"/>
    <w:rsid w:val="007468F8"/>
    <w:rsid w:val="00777ED1"/>
    <w:rsid w:val="007902C6"/>
    <w:rsid w:val="008C7F1B"/>
    <w:rsid w:val="009424F5"/>
    <w:rsid w:val="009B3550"/>
    <w:rsid w:val="00AC6FAF"/>
    <w:rsid w:val="00BC1759"/>
    <w:rsid w:val="00C85A30"/>
    <w:rsid w:val="00C966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96C46C"/>
  <w15:chartTrackingRefBased/>
  <w15:docId w15:val="{ACF2F68E-BB9D-4AE7-B226-3478D8F170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74654D"/>
    <w:pPr>
      <w:spacing w:after="0" w:line="480" w:lineRule="auto"/>
      <w:ind w:left="720" w:hanging="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264</TotalTime>
  <Pages>3</Pages>
  <Words>1591</Words>
  <Characters>9071</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Crowe, Michael L.</dc:creator>
  <cp:keywords/>
  <dc:description/>
  <cp:lastModifiedBy>Crowe, Michael L.</cp:lastModifiedBy>
  <cp:revision>7</cp:revision>
  <dcterms:created xsi:type="dcterms:W3CDTF">2021-12-10T19:20:00Z</dcterms:created>
  <dcterms:modified xsi:type="dcterms:W3CDTF">2021-12-15T16:49:00Z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zotero-version="5.0.89"&gt;&lt;session id="G9uDZO6q"/&gt;&lt;style id="http://www.zotero.org/styles/apa" locale="en-US" hasBibliography="1" bibliographyStyleHasBeenSet="1"/&gt;&lt;prefs&gt;&lt;pref name="fieldType" value="Field"/&gt;&lt;/prefs&gt;&lt;/data&gt;</vt:lpwstr>
  </property>
</Properties>
</file>