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371A" w14:textId="7E721BA4" w:rsidR="00553C83" w:rsidRPr="00E44F97" w:rsidRDefault="00E44F97" w:rsidP="00E44F97">
      <w:pPr>
        <w:jc w:val="center"/>
        <w:rPr>
          <w:b/>
          <w:bCs/>
        </w:rPr>
      </w:pPr>
      <w:r>
        <w:rPr>
          <w:b/>
          <w:bCs/>
        </w:rPr>
        <w:t>Supplemental Materials</w:t>
      </w:r>
    </w:p>
    <w:p w14:paraId="499C4515" w14:textId="571BE95B" w:rsidR="007D499C" w:rsidRPr="007D499C" w:rsidRDefault="00F4202F" w:rsidP="007D499C">
      <w:pPr>
        <w:rPr>
          <w:b/>
          <w:bCs/>
          <w:u w:val="single"/>
        </w:rPr>
      </w:pPr>
      <w:r w:rsidRPr="007D499C">
        <w:rPr>
          <w:b/>
          <w:bCs/>
          <w:u w:val="single"/>
        </w:rPr>
        <w:t xml:space="preserve">Psychometric Properties of 4-Item </w:t>
      </w:r>
      <w:r w:rsidR="00F62161" w:rsidRPr="007D499C">
        <w:rPr>
          <w:b/>
          <w:bCs/>
          <w:u w:val="single"/>
        </w:rPr>
        <w:t>Anxiety Measure</w:t>
      </w:r>
    </w:p>
    <w:p w14:paraId="0B131305" w14:textId="430A3061" w:rsidR="007D499C" w:rsidRDefault="007D499C" w:rsidP="007D499C">
      <w:pPr>
        <w:spacing w:line="240" w:lineRule="auto"/>
      </w:pPr>
      <w:r>
        <w:rPr>
          <w:b/>
          <w:bCs/>
        </w:rPr>
        <w:t xml:space="preserve">Exploratory Factor Analysis </w:t>
      </w:r>
    </w:p>
    <w:p w14:paraId="78EECC7B" w14:textId="77777777" w:rsidR="00F333E3" w:rsidRPr="00F333E3" w:rsidRDefault="00F333E3" w:rsidP="007D499C">
      <w:pPr>
        <w:spacing w:line="240" w:lineRule="auto"/>
      </w:pPr>
    </w:p>
    <w:p w14:paraId="2ED36E32" w14:textId="11B6F333" w:rsidR="009B2C7C" w:rsidRDefault="0036337C" w:rsidP="009B2C7C">
      <w:pPr>
        <w:spacing w:line="240" w:lineRule="auto"/>
      </w:pPr>
      <w:r>
        <w:t>Prior to</w:t>
      </w:r>
      <w:r w:rsidR="007D499C">
        <w:t xml:space="preserve"> conducting the EFA, we determined that the </w:t>
      </w:r>
      <w:r w:rsidR="007D499C" w:rsidRPr="007D499C">
        <w:t>Kaiser-Meyer-Olkin</w:t>
      </w:r>
      <w:r w:rsidR="007D499C">
        <w:t xml:space="preserve"> (KMO)</w:t>
      </w:r>
      <w:r w:rsidR="007D499C" w:rsidRPr="007D499C">
        <w:t xml:space="preserve"> </w:t>
      </w:r>
      <w:r w:rsidR="007D499C">
        <w:t>test</w:t>
      </w:r>
      <w:r w:rsidR="007D499C" w:rsidRPr="007D499C">
        <w:t xml:space="preserve"> of sampling adequacy</w:t>
      </w:r>
      <w:r w:rsidR="007D499C">
        <w:t xml:space="preserve"> (</w:t>
      </w:r>
      <w:r w:rsidR="001C2A7E">
        <w:t xml:space="preserve">Wave 1: </w:t>
      </w:r>
      <w:r w:rsidR="007D499C" w:rsidRPr="007D499C">
        <w:t>0.79</w:t>
      </w:r>
      <w:r w:rsidR="007D499C">
        <w:t xml:space="preserve">) indicated that there was enough proportion of common variance among </w:t>
      </w:r>
      <w:r w:rsidR="00ED5F54">
        <w:t>the items for EFA</w:t>
      </w:r>
      <w:r w:rsidR="005B0079">
        <w:t xml:space="preserve"> </w:t>
      </w:r>
      <w:r w:rsidR="007F3B96">
        <w:fldChar w:fldCharType="begin"/>
      </w:r>
      <w:r w:rsidR="007F3B96">
        <w:instrText xml:space="preserve"> ADDIN EN.CITE &lt;EndNote&gt;&lt;Cite&gt;&lt;Author&gt;Costello&lt;/Author&gt;&lt;Year&gt;2005&lt;/Year&gt;&lt;RecNum&gt;17298&lt;/RecNum&gt;&lt;DisplayText&gt;(Costello &amp;amp; Osborne, 2005)&lt;/DisplayText&gt;&lt;record&gt;&lt;rec-number&gt;17298&lt;/rec-number&gt;&lt;foreign-keys&gt;&lt;key app="EN" db-id="0swf99dwtf2z01e2025pzsdb2s5ws55500xw" timestamp="1641267928"&gt;17298&lt;/key&gt;&lt;/foreign-keys&gt;&lt;ref-type name="Journal Article"&gt;17&lt;/ref-type&gt;&lt;contributors&gt;&lt;authors&gt;&lt;author&gt;Costello, Anna B.&lt;/author&gt;&lt;author&gt;Osborne, Jason&lt;/author&gt;&lt;/authors&gt;&lt;/contributors&gt;&lt;titles&gt;&lt;title&gt;Best practices in exploratory factor analysis: Four recommendations for getting the most from your analysis&lt;/title&gt;&lt;secondary-title&gt;Practical Assessment, Research, and Evaluation&lt;/secondary-title&gt;&lt;/titles&gt;&lt;periodical&gt;&lt;full-title&gt;Practical Assessment, Research, and Evaluation&lt;/full-title&gt;&lt;/periodical&gt;&lt;pages&gt;1-10&lt;/pages&gt;&lt;volume&gt;10&lt;/volume&gt;&lt;num-vols&gt;7&lt;/num-vols&gt;&lt;dates&gt;&lt;year&gt;2005&lt;/year&gt;&lt;/dates&gt;&lt;urls&gt;&lt;/urls&gt;&lt;electronic-resource-num&gt;10.7275/jyj1-4868&lt;/electronic-resource-num&gt;&lt;/record&gt;&lt;/Cite&gt;&lt;/EndNote&gt;</w:instrText>
      </w:r>
      <w:r w:rsidR="007F3B96">
        <w:fldChar w:fldCharType="separate"/>
      </w:r>
      <w:r w:rsidR="007F3B96">
        <w:rPr>
          <w:noProof/>
        </w:rPr>
        <w:t>(Costello &amp; Osborne, 2005)</w:t>
      </w:r>
      <w:r w:rsidR="007F3B96">
        <w:fldChar w:fldCharType="end"/>
      </w:r>
      <w:r w:rsidR="00ED5F54">
        <w:t>. Furthermore, there was adequate covariances among the items for EFA, as indicated by the significant Bartlett’s test of sphericity (</w:t>
      </w:r>
      <w:r w:rsidR="005B0079">
        <w:t xml:space="preserve">Wave 1: </w:t>
      </w:r>
      <w:r w:rsidR="00220BAD" w:rsidRPr="003A695D">
        <w:t>χ</w:t>
      </w:r>
      <w:r w:rsidR="00220BAD">
        <w:rPr>
          <w:vertAlign w:val="superscript"/>
        </w:rPr>
        <w:t>2</w:t>
      </w:r>
      <w:r w:rsidR="00220BAD">
        <w:t>(</w:t>
      </w:r>
      <w:r w:rsidR="00220BAD">
        <w:rPr>
          <w:i/>
          <w:iCs/>
        </w:rPr>
        <w:t>df</w:t>
      </w:r>
      <w:r w:rsidR="00220BAD">
        <w:t xml:space="preserve"> = 60) = </w:t>
      </w:r>
      <w:r w:rsidR="00220BAD" w:rsidRPr="00220BAD">
        <w:t>6670</w:t>
      </w:r>
      <w:r w:rsidR="00220BAD">
        <w:t xml:space="preserve">.00, </w:t>
      </w:r>
      <w:r w:rsidR="00220BAD">
        <w:rPr>
          <w:i/>
          <w:iCs/>
        </w:rPr>
        <w:t>p</w:t>
      </w:r>
      <w:r w:rsidR="00220BAD">
        <w:t xml:space="preserve"> &lt; .001</w:t>
      </w:r>
      <w:r w:rsidR="00184AA8">
        <w:t xml:space="preserve">; Wave 2: </w:t>
      </w:r>
      <w:r w:rsidR="00284312" w:rsidRPr="003A695D">
        <w:t>χ</w:t>
      </w:r>
      <w:r w:rsidR="00284312">
        <w:rPr>
          <w:vertAlign w:val="superscript"/>
        </w:rPr>
        <w:t>2</w:t>
      </w:r>
      <w:r w:rsidR="00284312">
        <w:t>(</w:t>
      </w:r>
      <w:r w:rsidR="00284312">
        <w:rPr>
          <w:i/>
          <w:iCs/>
        </w:rPr>
        <w:t>df</w:t>
      </w:r>
      <w:r w:rsidR="00284312">
        <w:t xml:space="preserve"> = 60) = </w:t>
      </w:r>
      <w:r w:rsidR="00284312" w:rsidRPr="00220BAD">
        <w:t>6670</w:t>
      </w:r>
      <w:r w:rsidR="00284312">
        <w:t xml:space="preserve">.00, </w:t>
      </w:r>
      <w:r w:rsidR="00284312">
        <w:rPr>
          <w:i/>
          <w:iCs/>
        </w:rPr>
        <w:t>p</w:t>
      </w:r>
      <w:r w:rsidR="00284312">
        <w:t xml:space="preserve"> &lt; .001</w:t>
      </w:r>
      <w:r w:rsidR="00220BAD">
        <w:t xml:space="preserve">). Moreover, </w:t>
      </w:r>
      <w:r w:rsidR="007B432D">
        <w:t>the cases to item ratio (3302:4) with the original sample was sufficient</w:t>
      </w:r>
      <w:r w:rsidR="00220BAD">
        <w:t xml:space="preserve">. </w:t>
      </w:r>
      <w:r w:rsidR="009D0CA9">
        <w:t>Pearson’s correlations among items</w:t>
      </w:r>
      <w:r w:rsidR="005B0079">
        <w:t xml:space="preserve"> were high (Wave 1: </w:t>
      </w:r>
      <w:r w:rsidR="005B0079">
        <w:rPr>
          <w:i/>
          <w:iCs/>
        </w:rPr>
        <w:t>r</w:t>
      </w:r>
      <w:r w:rsidR="005B0079">
        <w:t xml:space="preserve"> = </w:t>
      </w:r>
      <w:r w:rsidR="00CD65F3" w:rsidRPr="00CD65F3">
        <w:t>0.543</w:t>
      </w:r>
      <w:r w:rsidR="00CD65F3">
        <w:t xml:space="preserve"> </w:t>
      </w:r>
      <w:r w:rsidR="00CA0115">
        <w:t xml:space="preserve">to </w:t>
      </w:r>
      <w:r w:rsidR="00CD65F3" w:rsidRPr="00CD65F3">
        <w:t>0.758</w:t>
      </w:r>
      <w:r w:rsidR="00101D97">
        <w:t xml:space="preserve">; Wave 2: </w:t>
      </w:r>
      <w:r w:rsidR="00101D97">
        <w:rPr>
          <w:i/>
          <w:iCs/>
        </w:rPr>
        <w:t>r</w:t>
      </w:r>
      <w:r w:rsidR="00101D97">
        <w:t xml:space="preserve"> = </w:t>
      </w:r>
      <w:r w:rsidR="00CD65F3" w:rsidRPr="00CD65F3">
        <w:t xml:space="preserve">0.517 </w:t>
      </w:r>
      <w:r w:rsidR="00CD65F3">
        <w:t xml:space="preserve">to </w:t>
      </w:r>
      <w:r w:rsidR="00CD65F3" w:rsidRPr="00CD65F3">
        <w:t>0.730</w:t>
      </w:r>
      <w:r w:rsidR="005B0079">
        <w:t xml:space="preserve">). </w:t>
      </w:r>
      <w:r w:rsidR="00231E62">
        <w:t>The number of factors to extract was determined via a scree plot and parallel analysis using optimized implementation on 1,000 correlation matrices in which eigenvalues at or above the 95</w:t>
      </w:r>
      <w:r w:rsidR="00231E62" w:rsidRPr="00231E62">
        <w:rPr>
          <w:vertAlign w:val="superscript"/>
        </w:rPr>
        <w:t>th</w:t>
      </w:r>
      <w:r w:rsidR="00231E62">
        <w:t xml:space="preserve"> percentile were </w:t>
      </w:r>
      <w:r w:rsidR="00AE34E7">
        <w:t xml:space="preserve">regarded as critical values </w:t>
      </w:r>
      <w:r w:rsidR="00AE34E7">
        <w:fldChar w:fldCharType="begin"/>
      </w:r>
      <w:r w:rsidR="00AE34E7">
        <w:instrText xml:space="preserve"> ADDIN EN.CITE &lt;EndNote&gt;&lt;Cite&gt;&lt;Author&gt;Timmerman&lt;/Author&gt;&lt;Year&gt;2011&lt;/Year&gt;&lt;RecNum&gt;12251&lt;/RecNum&gt;&lt;DisplayText&gt;(Timmerman &amp;amp; Lorenzo-Seva, 2011)&lt;/DisplayText&gt;&lt;record&gt;&lt;rec-number&gt;12251&lt;/rec-number&gt;&lt;foreign-keys&gt;&lt;key app="EN" db-id="0swf99dwtf2z01e2025pzsdb2s5ws55500xw" timestamp="1570448886"&gt;12251&lt;/key&gt;&lt;/foreign-keys&gt;&lt;ref-type name="Journal Article"&gt;17&lt;/ref-type&gt;&lt;contributors&gt;&lt;authors&gt;&lt;author&gt;Timmerman, Marieke E.&lt;/author&gt;&lt;author&gt;Lorenzo-Seva, Urbano&lt;/author&gt;&lt;/authors&gt;&lt;/contributors&gt;&lt;auth-address&gt;Timmerman, Marieke E.: Heymans Institute for Psychology, Psychometrics and Statistics, Grote Kruisstraat 2/1, Groningen, Netherlands, 9712TS, m.e.timmerman@rug.nl&lt;/auth-address&gt;&lt;titles&gt;&lt;title&gt;Dimensionality assessment of ordered polytomous items with parallel analysis&lt;/title&gt;&lt;secondary-title&gt;Psychological Methods&lt;/secondary-title&gt;&lt;/titles&gt;&lt;periodical&gt;&lt;full-title&gt;Psychological Methods&lt;/full-title&gt;&lt;/periodical&gt;&lt;pages&gt;209-220&lt;/pages&gt;&lt;volume&gt;16&lt;/volume&gt;&lt;number&gt;2&lt;/number&gt;&lt;keywords&gt;&lt;keyword&gt;*Factor Analysis&lt;/keyword&gt;&lt;keyword&gt;*Statistical Correlation&lt;/keyword&gt;&lt;keyword&gt;Common Factors&lt;/keyword&gt;&lt;/keywords&gt;&lt;dates&gt;&lt;year&gt;2011&lt;/year&gt;&lt;/dates&gt;&lt;pub-location&gt;US&lt;/pub-location&gt;&lt;publisher&gt;American Psychological Association&lt;/publisher&gt;&lt;isbn&gt;1939-1463(Electronic);1082-989X(Print)&lt;/isbn&gt;&lt;urls&gt;&lt;/urls&gt;&lt;electronic-resource-num&gt;10.1037/a0023353&lt;/electronic-resource-num&gt;&lt;/record&gt;&lt;/Cite&gt;&lt;/EndNote&gt;</w:instrText>
      </w:r>
      <w:r w:rsidR="00AE34E7">
        <w:fldChar w:fldCharType="separate"/>
      </w:r>
      <w:r w:rsidR="00AE34E7">
        <w:rPr>
          <w:noProof/>
        </w:rPr>
        <w:t>(Timmerman &amp; Lorenzo-Seva, 2011)</w:t>
      </w:r>
      <w:r w:rsidR="00AE34E7">
        <w:fldChar w:fldCharType="end"/>
      </w:r>
      <w:r w:rsidR="00AE34E7">
        <w:t xml:space="preserve">. Since parallel analysis showed that the first component in the principal component analysis had eigenvalues larger than their parallel components, only one factor was retained. The one factor accounted for </w:t>
      </w:r>
      <w:r w:rsidR="00606D35" w:rsidRPr="00606D35">
        <w:t>66</w:t>
      </w:r>
      <w:r w:rsidR="00606D35">
        <w:t>.</w:t>
      </w:r>
      <w:r w:rsidR="00606D35" w:rsidRPr="00606D35">
        <w:t>26</w:t>
      </w:r>
      <w:r w:rsidR="00AE34E7">
        <w:t xml:space="preserve">% of the total variance at Wave 1, and </w:t>
      </w:r>
      <w:r w:rsidR="006B148B" w:rsidRPr="006B148B">
        <w:t>62</w:t>
      </w:r>
      <w:r w:rsidR="006B148B">
        <w:t>.</w:t>
      </w:r>
      <w:r w:rsidR="006B148B" w:rsidRPr="006B148B">
        <w:t>61</w:t>
      </w:r>
      <w:r w:rsidR="00AE34E7">
        <w:t xml:space="preserve">% at Wave 2. </w:t>
      </w:r>
      <w:r w:rsidR="00184AA8">
        <w:t xml:space="preserve">Item communalities were high at Wave 1 </w:t>
      </w:r>
      <w:r w:rsidR="009B2C7C">
        <w:t>(</w:t>
      </w:r>
      <w:r w:rsidR="00606D35" w:rsidRPr="00606D35">
        <w:t>0.574</w:t>
      </w:r>
      <w:r w:rsidR="00606D35">
        <w:t xml:space="preserve"> </w:t>
      </w:r>
      <w:r w:rsidR="00CA0115">
        <w:t xml:space="preserve">to </w:t>
      </w:r>
      <w:r w:rsidR="00606D35" w:rsidRPr="00606D35">
        <w:t>0.77</w:t>
      </w:r>
      <w:r w:rsidR="00606D35">
        <w:t>2</w:t>
      </w:r>
      <w:r w:rsidR="009B2C7C">
        <w:t>) and Wave 2 (</w:t>
      </w:r>
      <w:r w:rsidR="00CF50FE" w:rsidRPr="00CF50FE">
        <w:t>0.50</w:t>
      </w:r>
      <w:r w:rsidR="00CF50FE">
        <w:t xml:space="preserve">7 </w:t>
      </w:r>
      <w:r w:rsidR="009B2C7C">
        <w:t xml:space="preserve">to </w:t>
      </w:r>
      <w:r w:rsidR="00CF50FE" w:rsidRPr="00CF50FE">
        <w:t>0.755</w:t>
      </w:r>
      <w:r w:rsidR="009B2C7C">
        <w:t>)</w:t>
      </w:r>
      <w:r w:rsidR="00453EAC">
        <w:t>, whereas item uniqueness values were low at Wave 1 (</w:t>
      </w:r>
      <w:r w:rsidR="00606D35" w:rsidRPr="00606D35">
        <w:t>0.22</w:t>
      </w:r>
      <w:r w:rsidR="00606D35">
        <w:t xml:space="preserve">8 </w:t>
      </w:r>
      <w:r w:rsidR="00453EAC">
        <w:t xml:space="preserve">to </w:t>
      </w:r>
      <w:r w:rsidR="00606D35" w:rsidRPr="00606D35">
        <w:t>0.42</w:t>
      </w:r>
      <w:r w:rsidR="00606D35">
        <w:t>6</w:t>
      </w:r>
      <w:r w:rsidR="00453EAC">
        <w:t>)</w:t>
      </w:r>
      <w:r w:rsidR="00453EAC" w:rsidRPr="00453EAC">
        <w:t xml:space="preserve"> </w:t>
      </w:r>
      <w:r w:rsidR="00453EAC">
        <w:t>and Wave 2 (</w:t>
      </w:r>
      <w:r w:rsidR="008F1BC4" w:rsidRPr="008F1BC4">
        <w:t>0.24</w:t>
      </w:r>
      <w:r w:rsidR="008F1BC4">
        <w:t xml:space="preserve">5 </w:t>
      </w:r>
      <w:r w:rsidR="00453EAC">
        <w:t xml:space="preserve">to </w:t>
      </w:r>
      <w:r w:rsidR="008F1BC4" w:rsidRPr="008F1BC4">
        <w:t>0.493</w:t>
      </w:r>
      <w:r w:rsidR="00453EAC">
        <w:t>). Likewise, item loadings were high at Wave 1 (</w:t>
      </w:r>
      <w:r w:rsidR="00606D35" w:rsidRPr="00606D35">
        <w:t>0.75</w:t>
      </w:r>
      <w:r w:rsidR="00606D35">
        <w:t xml:space="preserve">8 </w:t>
      </w:r>
      <w:r w:rsidR="00453EAC">
        <w:t xml:space="preserve">to </w:t>
      </w:r>
      <w:r w:rsidR="00606D35" w:rsidRPr="00606D35">
        <w:t>0.87</w:t>
      </w:r>
      <w:r w:rsidR="00606D35">
        <w:t>9</w:t>
      </w:r>
      <w:r w:rsidR="00453EAC">
        <w:t>)</w:t>
      </w:r>
      <w:r w:rsidR="00453EAC" w:rsidRPr="00453EAC">
        <w:t xml:space="preserve"> </w:t>
      </w:r>
      <w:r w:rsidR="00453EAC">
        <w:t>and Wave 2 (</w:t>
      </w:r>
      <w:r w:rsidR="008F1BC4" w:rsidRPr="008F1BC4">
        <w:t>0.71</w:t>
      </w:r>
      <w:r w:rsidR="008F1BC4">
        <w:t xml:space="preserve">2 </w:t>
      </w:r>
      <w:r w:rsidR="00453EAC">
        <w:t xml:space="preserve">to </w:t>
      </w:r>
      <w:r w:rsidR="008F1BC4" w:rsidRPr="008F1BC4">
        <w:t>0.869</w:t>
      </w:r>
      <w:r w:rsidR="00453EAC">
        <w:t>).</w:t>
      </w:r>
    </w:p>
    <w:p w14:paraId="1208FB11" w14:textId="77777777" w:rsidR="007D499C" w:rsidRDefault="007D499C" w:rsidP="007D499C">
      <w:pPr>
        <w:spacing w:line="240" w:lineRule="auto"/>
        <w:rPr>
          <w:b/>
          <w:bCs/>
        </w:rPr>
      </w:pPr>
    </w:p>
    <w:p w14:paraId="04A79DED" w14:textId="553D39EA" w:rsidR="00F62161" w:rsidRDefault="00F62161" w:rsidP="007D499C">
      <w:pPr>
        <w:spacing w:line="240" w:lineRule="auto"/>
      </w:pPr>
      <w:r>
        <w:rPr>
          <w:b/>
          <w:bCs/>
        </w:rPr>
        <w:t xml:space="preserve">Confirmatory Factor Analysis </w:t>
      </w:r>
    </w:p>
    <w:p w14:paraId="28E3B7AD" w14:textId="77777777" w:rsidR="00F333E3" w:rsidRPr="00F333E3" w:rsidRDefault="00F333E3" w:rsidP="007D499C">
      <w:pPr>
        <w:spacing w:line="240" w:lineRule="auto"/>
      </w:pPr>
    </w:p>
    <w:p w14:paraId="4FB91B55" w14:textId="7D2C9836" w:rsidR="00F62161" w:rsidRDefault="00F62161" w:rsidP="007D499C">
      <w:pPr>
        <w:spacing w:line="240" w:lineRule="auto"/>
      </w:pPr>
      <w:r>
        <w:t>CFA showed that the 4-item anxiety scale had good model fit at Wave 1 (</w:t>
      </w:r>
      <w:r w:rsidR="003A695D" w:rsidRPr="003A695D">
        <w:t>χ</w:t>
      </w:r>
      <w:r w:rsidR="003A695D">
        <w:rPr>
          <w:vertAlign w:val="superscript"/>
        </w:rPr>
        <w:t>2</w:t>
      </w:r>
      <w:r w:rsidR="003A695D">
        <w:t>(</w:t>
      </w:r>
      <w:r w:rsidR="003A695D">
        <w:rPr>
          <w:i/>
          <w:iCs/>
        </w:rPr>
        <w:t>df</w:t>
      </w:r>
      <w:r w:rsidR="00514D3C">
        <w:t xml:space="preserve"> = </w:t>
      </w:r>
      <w:r w:rsidR="004E18B0">
        <w:t>2</w:t>
      </w:r>
      <w:r w:rsidR="003A695D">
        <w:t xml:space="preserve">) = </w:t>
      </w:r>
      <w:r w:rsidR="00CD52FE" w:rsidRPr="00CD52FE">
        <w:t>27.183</w:t>
      </w:r>
      <w:r w:rsidR="003A695D">
        <w:t xml:space="preserve">, </w:t>
      </w:r>
      <w:r w:rsidR="003A695D">
        <w:rPr>
          <w:i/>
          <w:iCs/>
        </w:rPr>
        <w:t>p</w:t>
      </w:r>
      <w:r w:rsidR="003A695D">
        <w:t xml:space="preserve"> </w:t>
      </w:r>
      <w:r w:rsidR="00CD52FE">
        <w:t>&lt; .001</w:t>
      </w:r>
      <w:r w:rsidR="003A695D">
        <w:t xml:space="preserve">, confirmatory factor index (CFI) = </w:t>
      </w:r>
      <w:r w:rsidR="00CD52FE" w:rsidRPr="00CD52FE">
        <w:t>.992</w:t>
      </w:r>
      <w:r w:rsidR="003A695D">
        <w:t xml:space="preserve">, root mean square of approximation (RMSEA) = </w:t>
      </w:r>
      <w:r w:rsidR="00CD52FE" w:rsidRPr="00CD52FE">
        <w:t>.062</w:t>
      </w:r>
      <w:r w:rsidR="004E18B0">
        <w:t>, 95% confidence interval (CI) = [</w:t>
      </w:r>
      <w:r w:rsidR="004E18B0" w:rsidRPr="004E18B0">
        <w:t>.042</w:t>
      </w:r>
      <w:r w:rsidR="004E18B0">
        <w:t>–</w:t>
      </w:r>
      <w:r w:rsidR="004E18B0" w:rsidRPr="004E18B0">
        <w:t>.083</w:t>
      </w:r>
      <w:r w:rsidR="004E18B0">
        <w:t>]</w:t>
      </w:r>
      <w:r w:rsidR="00CD52FE">
        <w:t xml:space="preserve"> and Wave 2 </w:t>
      </w:r>
      <w:r w:rsidR="00286FE5">
        <w:t>(</w:t>
      </w:r>
      <w:r w:rsidR="00286FE5" w:rsidRPr="003A695D">
        <w:t>χ</w:t>
      </w:r>
      <w:r w:rsidR="00286FE5">
        <w:rPr>
          <w:vertAlign w:val="superscript"/>
        </w:rPr>
        <w:t>2</w:t>
      </w:r>
      <w:r w:rsidR="00286FE5">
        <w:t>(</w:t>
      </w:r>
      <w:r w:rsidR="00286FE5">
        <w:rPr>
          <w:i/>
          <w:iCs/>
        </w:rPr>
        <w:t>df</w:t>
      </w:r>
      <w:r w:rsidR="00514D3C">
        <w:t xml:space="preserve"> = </w:t>
      </w:r>
      <w:r w:rsidR="004E18B0">
        <w:t>2</w:t>
      </w:r>
      <w:r w:rsidR="00286FE5">
        <w:t xml:space="preserve">) = </w:t>
      </w:r>
      <w:r w:rsidR="00514D3C" w:rsidRPr="00514D3C">
        <w:t>14.024</w:t>
      </w:r>
      <w:r w:rsidR="00286FE5">
        <w:t xml:space="preserve">, </w:t>
      </w:r>
      <w:r w:rsidR="00286FE5">
        <w:rPr>
          <w:i/>
          <w:iCs/>
        </w:rPr>
        <w:t>p</w:t>
      </w:r>
      <w:r w:rsidR="00286FE5">
        <w:t xml:space="preserve"> = </w:t>
      </w:r>
      <w:r w:rsidR="004E18B0">
        <w:t>.001</w:t>
      </w:r>
      <w:r w:rsidR="00286FE5">
        <w:t xml:space="preserve">, CFI = </w:t>
      </w:r>
      <w:r w:rsidR="004E18B0" w:rsidRPr="004E18B0">
        <w:t>.995</w:t>
      </w:r>
      <w:r w:rsidR="00286FE5">
        <w:t xml:space="preserve">, RMSEA = </w:t>
      </w:r>
      <w:r w:rsidR="004E18B0" w:rsidRPr="004E18B0">
        <w:t>.043</w:t>
      </w:r>
      <w:r w:rsidR="004E18B0">
        <w:t xml:space="preserve"> [</w:t>
      </w:r>
      <w:r w:rsidR="004E18B0" w:rsidRPr="004E18B0">
        <w:t>.024</w:t>
      </w:r>
      <w:r w:rsidR="004E18B0">
        <w:t xml:space="preserve">, </w:t>
      </w:r>
      <w:r w:rsidR="004E18B0" w:rsidRPr="004E18B0">
        <w:t>.065</w:t>
      </w:r>
      <w:r w:rsidR="004E18B0">
        <w:t>]</w:t>
      </w:r>
      <w:r w:rsidR="00286FE5">
        <w:t xml:space="preserve">). </w:t>
      </w:r>
      <w:r w:rsidR="00986D59" w:rsidRPr="00356A49">
        <w:t xml:space="preserve">Tables </w:t>
      </w:r>
      <w:r w:rsidR="00986D59" w:rsidRPr="00356A49">
        <w:tab/>
        <w:t>S</w:t>
      </w:r>
      <w:r w:rsidR="00986D59">
        <w:t>2</w:t>
      </w:r>
      <w:r w:rsidR="00986D59" w:rsidRPr="00356A49">
        <w:t xml:space="preserve"> and S</w:t>
      </w:r>
      <w:r w:rsidR="00986D59">
        <w:t>3</w:t>
      </w:r>
      <w:r w:rsidR="00986D59" w:rsidRPr="00356A49">
        <w:t xml:space="preserve"> </w:t>
      </w:r>
      <w:r w:rsidR="0065664B">
        <w:t>presents the details of the CFAs</w:t>
      </w:r>
      <w:r w:rsidR="00101D97">
        <w:t xml:space="preserve">. All standardized factor loadings </w:t>
      </w:r>
      <w:r w:rsidR="00606D35">
        <w:t xml:space="preserve">were large and statistically significant. Likewise, all item intercepts and residual variances were statistically significant. </w:t>
      </w:r>
    </w:p>
    <w:p w14:paraId="518731E6" w14:textId="4A922942" w:rsidR="00387932" w:rsidRDefault="00387932" w:rsidP="007D499C">
      <w:pPr>
        <w:spacing w:line="240" w:lineRule="auto"/>
      </w:pPr>
    </w:p>
    <w:p w14:paraId="5F3BF552" w14:textId="77777777" w:rsidR="00387932" w:rsidRDefault="00387932" w:rsidP="007D499C">
      <w:pPr>
        <w:spacing w:line="240" w:lineRule="auto"/>
        <w:sectPr w:rsidR="00387932" w:rsidSect="00316B0B">
          <w:headerReference w:type="even" r:id="rId6"/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38F9E3" w14:textId="1463CCB9" w:rsidR="002E71AB" w:rsidRPr="002E71AB" w:rsidRDefault="002E71AB" w:rsidP="002E71AB">
      <w:pPr>
        <w:spacing w:line="240" w:lineRule="auto"/>
        <w:rPr>
          <w:b/>
          <w:bCs/>
          <w:u w:val="single"/>
        </w:rPr>
      </w:pPr>
      <w:r w:rsidRPr="002E71AB">
        <w:rPr>
          <w:b/>
          <w:bCs/>
          <w:u w:val="single"/>
        </w:rPr>
        <w:lastRenderedPageBreak/>
        <w:t>Measure of Menopausal Status</w:t>
      </w:r>
    </w:p>
    <w:p w14:paraId="4507AF60" w14:textId="072EB16D" w:rsidR="002E71AB" w:rsidRPr="001E7A01" w:rsidRDefault="002E71AB" w:rsidP="00C30913">
      <w:pPr>
        <w:spacing w:line="240" w:lineRule="auto"/>
      </w:pPr>
      <w:r w:rsidRPr="00356A49">
        <w:t xml:space="preserve">Menopausal status </w:t>
      </w:r>
      <w:r>
        <w:t>was defined using the</w:t>
      </w:r>
      <w:r w:rsidRPr="00356A49">
        <w:t xml:space="preserve"> following four </w:t>
      </w:r>
      <w:r>
        <w:t xml:space="preserve">self-reported </w:t>
      </w:r>
      <w:r w:rsidRPr="00356A49">
        <w:t>categories (</w:t>
      </w:r>
      <w:proofErr w:type="spellStart"/>
      <w:r w:rsidRPr="00356A49">
        <w:t>Luetters</w:t>
      </w:r>
      <w:proofErr w:type="spellEnd"/>
      <w:r w:rsidRPr="00356A49">
        <w:t xml:space="preserve"> et al., 2007): (1) Premenopausal: Presence of highly predictable menstrual cycles between two waves of assessment; (2) Early perimenopause: Reduced predictability of menstrual cycle in the past 3 months between two waves of assessment; (3) Late perimenopause: Cessation of menses for 3 to 11 months; (4) Postmenopausal: No menses for 12 months or more. </w:t>
      </w:r>
    </w:p>
    <w:p w14:paraId="6FDFC943" w14:textId="77777777" w:rsidR="002E71AB" w:rsidRDefault="002E71AB" w:rsidP="00C30913">
      <w:pPr>
        <w:spacing w:line="240" w:lineRule="auto"/>
        <w:rPr>
          <w:b/>
          <w:bCs/>
          <w:u w:val="single"/>
        </w:rPr>
      </w:pPr>
    </w:p>
    <w:p w14:paraId="409DE0BE" w14:textId="52DFD449" w:rsidR="00C30913" w:rsidRPr="00356A49" w:rsidRDefault="00C30913" w:rsidP="00C30913">
      <w:pPr>
        <w:spacing w:line="240" w:lineRule="auto"/>
        <w:rPr>
          <w:b/>
          <w:bCs/>
          <w:u w:val="single"/>
        </w:rPr>
      </w:pPr>
      <w:r w:rsidRPr="00356A49">
        <w:rPr>
          <w:b/>
          <w:bCs/>
          <w:u w:val="single"/>
        </w:rPr>
        <w:t>Procedures for Biomarker Data Collection</w:t>
      </w:r>
    </w:p>
    <w:p w14:paraId="03C3A754" w14:textId="77777777" w:rsidR="00C30913" w:rsidRPr="00356A49" w:rsidRDefault="00C30913" w:rsidP="00C30913">
      <w:pPr>
        <w:spacing w:line="240" w:lineRule="auto"/>
      </w:pPr>
    </w:p>
    <w:p w14:paraId="03F6EDE1" w14:textId="77777777" w:rsidR="00C30913" w:rsidRPr="00356A49" w:rsidRDefault="00C30913" w:rsidP="00C30913">
      <w:pPr>
        <w:spacing w:line="240" w:lineRule="auto"/>
      </w:pPr>
      <w:r w:rsidRPr="00356A49">
        <w:t xml:space="preserve">Levels of estradiol </w:t>
      </w:r>
      <w:r w:rsidRPr="00356A49">
        <w:rPr>
          <w:color w:val="000000"/>
        </w:rPr>
        <w:t>(</w:t>
      </w:r>
      <w:proofErr w:type="spellStart"/>
      <w:r w:rsidRPr="00356A49">
        <w:rPr>
          <w:color w:val="000000"/>
        </w:rPr>
        <w:t>pg</w:t>
      </w:r>
      <w:proofErr w:type="spellEnd"/>
      <w:r w:rsidRPr="00356A49">
        <w:rPr>
          <w:color w:val="000000"/>
        </w:rPr>
        <w:t xml:space="preserve">/mL) and </w:t>
      </w:r>
      <w:r w:rsidRPr="00356A49">
        <w:t>follicle-stimulating hormone (</w:t>
      </w:r>
      <w:proofErr w:type="spellStart"/>
      <w:r w:rsidRPr="00356A49">
        <w:t>mIU</w:t>
      </w:r>
      <w:proofErr w:type="spellEnd"/>
      <w:r w:rsidRPr="00356A49">
        <w:t>/mL) were collected via blood draw after participants fasted overnight, and occurred between Days 2 and 5 for menstruating women (</w:t>
      </w:r>
      <w:proofErr w:type="spellStart"/>
      <w:r w:rsidRPr="00356A49">
        <w:t>Luetters</w:t>
      </w:r>
      <w:proofErr w:type="spellEnd"/>
      <w:r w:rsidRPr="00356A49">
        <w:t xml:space="preserve"> et al., 2007). These bioassays were refrigerated 1-2 hours after venipuncture, and </w:t>
      </w:r>
      <w:proofErr w:type="spellStart"/>
      <w:r w:rsidRPr="00356A49">
        <w:t>aliquotted</w:t>
      </w:r>
      <w:proofErr w:type="spellEnd"/>
      <w:r w:rsidRPr="00356A49">
        <w:t>, frozen, and shipped in batches to a laboratory where blood serum assays were uninterruptedly measured for estradiol and follicle-stimulating hormone with the ACS-180 automated analyzer (Bayer Diagnostics Corporation, Tarrytown, NY). Mean inter- and intra-assay coefficients of variation (CV) was 6.4% for estradiol, and 10.6% for follicle-stimulating hormone (Randolph et al., 2004).</w:t>
      </w:r>
    </w:p>
    <w:p w14:paraId="756EB14C" w14:textId="77777777" w:rsidR="00C30913" w:rsidRPr="00356A49" w:rsidRDefault="00C30913" w:rsidP="00C30913">
      <w:pPr>
        <w:spacing w:line="240" w:lineRule="auto"/>
      </w:pPr>
    </w:p>
    <w:p w14:paraId="32949803" w14:textId="77777777" w:rsidR="00C30913" w:rsidRPr="00356A49" w:rsidRDefault="00C30913" w:rsidP="00C30913">
      <w:pPr>
        <w:spacing w:line="240" w:lineRule="auto"/>
        <w:rPr>
          <w:b/>
          <w:bCs/>
          <w:u w:val="single"/>
        </w:rPr>
      </w:pPr>
      <w:r w:rsidRPr="00356A49">
        <w:rPr>
          <w:b/>
          <w:bCs/>
          <w:u w:val="single"/>
        </w:rPr>
        <w:t>Relations Among Biomarker Variables and Network Nodes of Interest</w:t>
      </w:r>
    </w:p>
    <w:p w14:paraId="0998780B" w14:textId="77777777" w:rsidR="00C30913" w:rsidRPr="00356A49" w:rsidRDefault="00C30913" w:rsidP="00C30913">
      <w:pPr>
        <w:spacing w:line="240" w:lineRule="auto"/>
      </w:pPr>
    </w:p>
    <w:p w14:paraId="08D3F04D" w14:textId="77777777" w:rsidR="00C30913" w:rsidRPr="00C30913" w:rsidRDefault="00C30913" w:rsidP="00C30913">
      <w:pPr>
        <w:spacing w:line="240" w:lineRule="auto"/>
        <w:rPr>
          <w:b/>
          <w:bCs/>
        </w:rPr>
      </w:pPr>
      <w:r w:rsidRPr="00C30913">
        <w:rPr>
          <w:b/>
          <w:bCs/>
        </w:rPr>
        <w:t>Contemporaneous Networks</w:t>
      </w:r>
    </w:p>
    <w:p w14:paraId="45B673E4" w14:textId="77777777" w:rsidR="00C30913" w:rsidRPr="00C30913" w:rsidRDefault="00C30913" w:rsidP="00C30913">
      <w:pPr>
        <w:spacing w:line="240" w:lineRule="auto"/>
        <w:rPr>
          <w:b/>
          <w:bCs/>
        </w:rPr>
      </w:pPr>
    </w:p>
    <w:p w14:paraId="0388DB55" w14:textId="77777777" w:rsidR="00C30913" w:rsidRPr="00C30913" w:rsidRDefault="00C30913" w:rsidP="00C30913">
      <w:pPr>
        <w:spacing w:line="240" w:lineRule="auto"/>
      </w:pPr>
      <w:r w:rsidRPr="00C30913">
        <w:t>Later stages of menopause were associated with lower positive affect (r = -0.086) and verbal memory (</w:t>
      </w:r>
      <w:r w:rsidRPr="00C30913">
        <w:rPr>
          <w:i/>
          <w:iCs/>
        </w:rPr>
        <w:t>r</w:t>
      </w:r>
      <w:r w:rsidRPr="00C30913">
        <w:t xml:space="preserve"> = -0.030). Moreover, later menopausal stages were related to more depressed mood (</w:t>
      </w:r>
      <w:r w:rsidRPr="00C30913">
        <w:rPr>
          <w:i/>
          <w:iCs/>
        </w:rPr>
        <w:t>r</w:t>
      </w:r>
      <w:r w:rsidRPr="00C30913">
        <w:t xml:space="preserve"> = 0.038) and interpersonal problems (</w:t>
      </w:r>
      <w:r w:rsidRPr="00C30913">
        <w:rPr>
          <w:i/>
          <w:iCs/>
        </w:rPr>
        <w:t>r</w:t>
      </w:r>
      <w:r w:rsidRPr="00C30913">
        <w:t xml:space="preserve"> = 0.039). Also, higher estradiol level was connected with more positive affect (r = 0.048). Further, higher follicle-stimulating hormone level was related to reduced positive affect (</w:t>
      </w:r>
      <w:r w:rsidRPr="00C30913">
        <w:rPr>
          <w:i/>
          <w:iCs/>
        </w:rPr>
        <w:t>r</w:t>
      </w:r>
      <w:r w:rsidRPr="00C30913">
        <w:t xml:space="preserve"> = -0.049) and processing speed (</w:t>
      </w:r>
      <w:r w:rsidRPr="00C30913">
        <w:rPr>
          <w:i/>
          <w:iCs/>
        </w:rPr>
        <w:t>r</w:t>
      </w:r>
      <w:r w:rsidRPr="00C30913">
        <w:t xml:space="preserve"> = -0.020). </w:t>
      </w:r>
    </w:p>
    <w:p w14:paraId="3452F5C4" w14:textId="77777777" w:rsidR="00C30913" w:rsidRPr="00C30913" w:rsidRDefault="00C30913" w:rsidP="00C30913">
      <w:pPr>
        <w:spacing w:line="240" w:lineRule="auto"/>
        <w:rPr>
          <w:b/>
          <w:bCs/>
        </w:rPr>
      </w:pPr>
    </w:p>
    <w:p w14:paraId="6DAB2848" w14:textId="77777777" w:rsidR="00C30913" w:rsidRPr="00C30913" w:rsidRDefault="00C30913" w:rsidP="00C30913">
      <w:pPr>
        <w:spacing w:line="240" w:lineRule="auto"/>
        <w:rPr>
          <w:b/>
          <w:bCs/>
        </w:rPr>
      </w:pPr>
      <w:r w:rsidRPr="00C30913">
        <w:rPr>
          <w:b/>
          <w:bCs/>
        </w:rPr>
        <w:t>Temporal Networks</w:t>
      </w:r>
    </w:p>
    <w:p w14:paraId="5A354851" w14:textId="77777777" w:rsidR="00C30913" w:rsidRPr="00C30913" w:rsidRDefault="00C30913" w:rsidP="00C30913">
      <w:pPr>
        <w:spacing w:line="240" w:lineRule="auto"/>
        <w:rPr>
          <w:b/>
          <w:bCs/>
        </w:rPr>
      </w:pPr>
    </w:p>
    <w:p w14:paraId="108BC005" w14:textId="4FB3514A" w:rsidR="000B7D29" w:rsidRPr="00C30913" w:rsidRDefault="00C30913" w:rsidP="00C30913">
      <w:pPr>
        <w:spacing w:line="240" w:lineRule="auto"/>
      </w:pPr>
      <w:r w:rsidRPr="00C30913">
        <w:t>Later stages of menopause at W1 were related to lower W2 processing speed (d = -0.391) and positive affect (</w:t>
      </w:r>
      <w:r w:rsidRPr="00C30913">
        <w:rPr>
          <w:i/>
          <w:iCs/>
        </w:rPr>
        <w:t>d</w:t>
      </w:r>
      <w:r w:rsidRPr="00C30913">
        <w:t xml:space="preserve"> = -0.131). In addition, higher W1 estradiol level was linked to lower W2 depressed mood (</w:t>
      </w:r>
      <w:r w:rsidRPr="00C30913">
        <w:rPr>
          <w:i/>
          <w:iCs/>
        </w:rPr>
        <w:t>d</w:t>
      </w:r>
      <w:r w:rsidRPr="00C30913">
        <w:t xml:space="preserve"> = -0.075) and interpersonal problems (</w:t>
      </w:r>
      <w:r w:rsidRPr="00C30913">
        <w:rPr>
          <w:i/>
          <w:iCs/>
        </w:rPr>
        <w:t>d</w:t>
      </w:r>
      <w:r w:rsidRPr="00C30913">
        <w:t xml:space="preserve"> = -0.066), and stronger W2 processing speed (</w:t>
      </w:r>
      <w:r w:rsidRPr="00C30913">
        <w:rPr>
          <w:i/>
          <w:iCs/>
        </w:rPr>
        <w:t>d</w:t>
      </w:r>
      <w:r w:rsidRPr="00C30913">
        <w:t xml:space="preserve"> = 0.793). Simultaneously, greater W1 follicle-stimulating hormone level was associated with reduced W2 processing speed (</w:t>
      </w:r>
      <w:r w:rsidRPr="00C30913">
        <w:rPr>
          <w:i/>
          <w:iCs/>
        </w:rPr>
        <w:t>d</w:t>
      </w:r>
      <w:r w:rsidRPr="00C30913">
        <w:t xml:space="preserve"> = -0.291).</w:t>
      </w:r>
    </w:p>
    <w:p w14:paraId="7E07EB40" w14:textId="10D8EA04" w:rsidR="00C30913" w:rsidRDefault="00C30913" w:rsidP="00C30913">
      <w:pPr>
        <w:spacing w:line="240" w:lineRule="auto"/>
      </w:pPr>
    </w:p>
    <w:p w14:paraId="6C96675A" w14:textId="77777777" w:rsidR="00C30913" w:rsidRDefault="00C30913" w:rsidP="00C30913">
      <w:pPr>
        <w:spacing w:line="240" w:lineRule="auto"/>
      </w:pPr>
    </w:p>
    <w:p w14:paraId="59724B50" w14:textId="77777777" w:rsidR="00C30913" w:rsidRDefault="00C30913" w:rsidP="00C30913">
      <w:pPr>
        <w:spacing w:line="240" w:lineRule="auto"/>
      </w:pPr>
    </w:p>
    <w:p w14:paraId="351D84B1" w14:textId="77777777" w:rsidR="00C30913" w:rsidRDefault="00C30913" w:rsidP="00C30913">
      <w:pPr>
        <w:spacing w:line="240" w:lineRule="auto"/>
      </w:pPr>
    </w:p>
    <w:p w14:paraId="4BDBF3C4" w14:textId="77777777" w:rsidR="00C30913" w:rsidRDefault="00C30913" w:rsidP="00C30913">
      <w:pPr>
        <w:spacing w:line="240" w:lineRule="auto"/>
      </w:pPr>
    </w:p>
    <w:p w14:paraId="0CF893EB" w14:textId="48785830" w:rsidR="00C30913" w:rsidRDefault="00C30913" w:rsidP="00C30913">
      <w:pPr>
        <w:spacing w:line="240" w:lineRule="auto"/>
        <w:sectPr w:rsidR="00C30913" w:rsidSect="00316B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4F5C43" w14:textId="77777777" w:rsidR="000B7D29" w:rsidRDefault="000B7D29" w:rsidP="000B7D29">
      <w:r>
        <w:lastRenderedPageBreak/>
        <w:t xml:space="preserve">Table S1 </w:t>
      </w:r>
    </w:p>
    <w:p w14:paraId="7A935186" w14:textId="77777777" w:rsidR="000B7D29" w:rsidRPr="00A27400" w:rsidRDefault="000B7D29" w:rsidP="000B7D29">
      <w:pPr>
        <w:spacing w:line="240" w:lineRule="auto"/>
        <w:rPr>
          <w:i/>
          <w:iCs/>
        </w:rPr>
      </w:pPr>
      <w:r>
        <w:rPr>
          <w:i/>
          <w:iCs/>
        </w:rPr>
        <w:t>Demographic and Related Study Variables at Wave 1 and Wave 2</w:t>
      </w:r>
    </w:p>
    <w:tbl>
      <w:tblPr>
        <w:tblW w:w="14111" w:type="dxa"/>
        <w:jc w:val="center"/>
        <w:tblLook w:val="04A0" w:firstRow="1" w:lastRow="0" w:firstColumn="1" w:lastColumn="0" w:noHBand="0" w:noVBand="1"/>
      </w:tblPr>
      <w:tblGrid>
        <w:gridCol w:w="3131"/>
        <w:gridCol w:w="876"/>
        <w:gridCol w:w="1036"/>
        <w:gridCol w:w="860"/>
        <w:gridCol w:w="860"/>
        <w:gridCol w:w="860"/>
        <w:gridCol w:w="860"/>
        <w:gridCol w:w="276"/>
        <w:gridCol w:w="876"/>
        <w:gridCol w:w="1036"/>
        <w:gridCol w:w="860"/>
        <w:gridCol w:w="860"/>
        <w:gridCol w:w="860"/>
        <w:gridCol w:w="860"/>
      </w:tblGrid>
      <w:tr w:rsidR="000B7D29" w:rsidRPr="00181BC6" w14:paraId="4CCB781F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840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E90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Wave 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602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765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Wave 2</w:t>
            </w:r>
          </w:p>
        </w:tc>
      </w:tr>
      <w:tr w:rsidR="000B7D29" w:rsidRPr="00181BC6" w14:paraId="4DB8F8BF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08CA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A0AD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i/>
                <w:iCs/>
                <w:color w:val="000000"/>
              </w:rPr>
              <w:t>M/n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DE12B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(</w:t>
            </w:r>
            <w:r w:rsidRPr="00181BC6">
              <w:rPr>
                <w:rFonts w:eastAsia="Times New Roman"/>
                <w:i/>
                <w:iCs/>
                <w:color w:val="000000"/>
              </w:rPr>
              <w:t>SD/%</w:t>
            </w:r>
            <w:r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4286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Min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DF18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764D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Skew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3762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Kurt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9646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E9FE8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i/>
                <w:iCs/>
                <w:color w:val="000000"/>
              </w:rPr>
              <w:t>M/n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98037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(</w:t>
            </w:r>
            <w:r w:rsidRPr="00181BC6">
              <w:rPr>
                <w:rFonts w:eastAsia="Times New Roman"/>
                <w:i/>
                <w:iCs/>
                <w:color w:val="000000"/>
              </w:rPr>
              <w:t>SD/%</w:t>
            </w:r>
            <w:r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89E4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Min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C59D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F5D5A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Skew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D343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Kurt</w:t>
            </w:r>
          </w:p>
        </w:tc>
      </w:tr>
      <w:tr w:rsidR="000B7D29" w:rsidRPr="00181BC6" w14:paraId="6237A26F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9E43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Age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593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53.281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5E6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(53.281)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E50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974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796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0.711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F1C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-0.228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85C8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3ABA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54.813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A8C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(2.872)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489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ADD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7EF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0.705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F1F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-0.079</w:t>
            </w:r>
          </w:p>
        </w:tc>
      </w:tr>
      <w:tr w:rsidR="000B7D29" w:rsidRPr="00181BC6" w14:paraId="5972B9F9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6E2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Estradiol (</w:t>
            </w:r>
            <w:proofErr w:type="spellStart"/>
            <w:r w:rsidRPr="00181BC6">
              <w:rPr>
                <w:rFonts w:eastAsia="Times New Roman"/>
                <w:color w:val="000000"/>
              </w:rPr>
              <w:t>pg</w:t>
            </w:r>
            <w:proofErr w:type="spellEnd"/>
            <w:r w:rsidRPr="00181BC6">
              <w:rPr>
                <w:rFonts w:eastAsia="Times New Roman"/>
                <w:color w:val="000000"/>
              </w:rPr>
              <w:t>/mL)</w:t>
            </w:r>
            <w:r>
              <w:rPr>
                <w:rFonts w:eastAsia="Times New Roman"/>
                <w:color w:val="000000"/>
              </w:rPr>
              <w:t xml:space="preserve"> (Log)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318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2.973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92D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(0.817)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FB4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C31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33F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1.952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C3C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3.218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5C3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A42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3.219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EF5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(0.663)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C208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6AF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AF0A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1.634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E67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4.17</w:t>
            </w:r>
          </w:p>
        </w:tc>
      </w:tr>
      <w:tr w:rsidR="000B7D29" w:rsidRPr="00181BC6" w14:paraId="7EDA56E5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75A0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FSH (</w:t>
            </w:r>
            <w:proofErr w:type="spellStart"/>
            <w:r w:rsidRPr="00181BC6">
              <w:rPr>
                <w:rFonts w:eastAsia="Times New Roman"/>
                <w:color w:val="000000"/>
              </w:rPr>
              <w:t>mIU</w:t>
            </w:r>
            <w:proofErr w:type="spellEnd"/>
            <w:r w:rsidRPr="00181BC6">
              <w:rPr>
                <w:rFonts w:eastAsia="Times New Roman"/>
                <w:color w:val="000000"/>
              </w:rPr>
              <w:t>/mL)</w:t>
            </w:r>
            <w:r>
              <w:rPr>
                <w:rFonts w:eastAsia="Times New Roman"/>
                <w:color w:val="000000"/>
              </w:rPr>
              <w:t xml:space="preserve"> (Log)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51B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-0.045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2BEF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(1.068)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D48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63D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A03A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987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0.937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5E2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01B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884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(1.114)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A12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FFC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42E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0.929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585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-0.588</w:t>
            </w:r>
          </w:p>
        </w:tc>
      </w:tr>
      <w:tr w:rsidR="000B7D29" w:rsidRPr="00181BC6" w14:paraId="40FEB26D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7AD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Menopausal Status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4AD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3E0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82E8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D04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1C8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B1B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C6E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E34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5C88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832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6BE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010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B61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B7D29" w:rsidRPr="00181BC6" w14:paraId="6F70008E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  <w:hideMark/>
          </w:tcPr>
          <w:p w14:paraId="060FD52B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Pre-Menopausal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87196B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776BB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8B0620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6776BB">
              <w:rPr>
                <w:rFonts w:eastAsia="Times New Roman"/>
                <w:color w:val="000000"/>
              </w:rPr>
              <w:t>11.6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1AE1F3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FF0EF1A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9119C0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39B7B6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2ED912FA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8B9D97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776BB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CD8592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6776BB">
              <w:rPr>
                <w:rFonts w:eastAsia="Times New Roman"/>
                <w:color w:val="000000"/>
              </w:rPr>
              <w:t>10.6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E0625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52885B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9F3BA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DBFBAD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686BF178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  <w:hideMark/>
          </w:tcPr>
          <w:p w14:paraId="36D22CD1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Early Peri-Menopausal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80E10B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776BB">
              <w:rPr>
                <w:rFonts w:eastAsia="Times New Roman"/>
                <w:color w:val="000000"/>
              </w:rPr>
              <w:t>405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EA303B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6776BB">
              <w:rPr>
                <w:rFonts w:eastAsia="Times New Roman"/>
                <w:color w:val="000000"/>
              </w:rPr>
              <w:t>22.3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ED2137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C40A3F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6DF841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7DA365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6963DAA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6C94A0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776BB">
              <w:rPr>
                <w:rFonts w:eastAsia="Times New Roman"/>
                <w:color w:val="000000"/>
              </w:rPr>
              <w:t>286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32AFD2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6776BB">
              <w:rPr>
                <w:rFonts w:eastAsia="Times New Roman"/>
                <w:color w:val="000000"/>
              </w:rPr>
              <w:t>15.7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3EF45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12FD33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C7C91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57B5B58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7A488BD0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  <w:hideMark/>
          </w:tcPr>
          <w:p w14:paraId="101B72C5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Late Peri-Menopausal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80EB1C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776B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6C7F53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6776BB">
              <w:rPr>
                <w:rFonts w:eastAsia="Times New Roman"/>
                <w:color w:val="000000"/>
              </w:rPr>
              <w:t>1.54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0162BF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DA1BAC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086935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5D076C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0968C2C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304042A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776B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C206C8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(0.8)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EFD2B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73198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A8587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455CA8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2E445C04" w14:textId="77777777" w:rsidTr="00EB0A71">
        <w:trPr>
          <w:trHeight w:val="320"/>
          <w:jc w:val="center"/>
        </w:trPr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AFC9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Post-Menopausal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EC8A5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776BB">
              <w:rPr>
                <w:rFonts w:eastAsia="Times New Roman"/>
                <w:color w:val="000000"/>
              </w:rPr>
              <w:t>1172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84CB2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6776BB">
              <w:rPr>
                <w:rFonts w:eastAsia="Times New Roman"/>
                <w:color w:val="000000"/>
              </w:rPr>
              <w:t>64.5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382C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D92D8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72DE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9C58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C6DA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707F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776BB">
              <w:rPr>
                <w:rFonts w:eastAsia="Times New Roman"/>
                <w:color w:val="000000"/>
              </w:rPr>
              <w:t>1323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A65D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6776BB">
              <w:rPr>
                <w:rFonts w:eastAsia="Times New Roman"/>
                <w:color w:val="000000"/>
              </w:rPr>
              <w:t>72.9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459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7F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43C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F71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2B962019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C871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Race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95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151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23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306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AF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77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9E03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B242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474C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06B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D86C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92AF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092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</w:tr>
      <w:tr w:rsidR="000B7D29" w:rsidRPr="00181BC6" w14:paraId="05286FAC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  <w:hideMark/>
          </w:tcPr>
          <w:p w14:paraId="395A389F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Asian American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553B07E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242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54ABD29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(13.3)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BB776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E05DE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7EEBD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A2B56A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7BA8F91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C6819A8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0AD0E1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02237A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17F61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54859A7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3A3FCDC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5C7D848E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  <w:hideMark/>
          </w:tcPr>
          <w:p w14:paraId="7B50D499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Black/African American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66F8FDD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482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792F48D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(26.5)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0B611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D986D5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A6C4F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7DE4FC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36A86E3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699591F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3FCE0FC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75024F3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A64C6D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ECEDCBF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0F75B7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654DC872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  <w:hideMark/>
          </w:tcPr>
          <w:p w14:paraId="565313A0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Another race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4C24CB5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285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3A9AEB1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(15.7)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3949D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4D376D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82912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F07AC3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34655C3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F8EAAD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F3C577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F53366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C1937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A440E88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FEE555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4C88EA4B" w14:textId="77777777" w:rsidTr="00EB0A71">
        <w:trPr>
          <w:trHeight w:val="320"/>
          <w:jc w:val="center"/>
        </w:trPr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9A53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White American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A044F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807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83418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(44.4)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B00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D9C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BF8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3B4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997F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A2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33D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E8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853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F02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686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</w:tr>
      <w:tr w:rsidR="000B7D29" w:rsidRPr="00181BC6" w14:paraId="7CB7A92D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5F9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Ethnicity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9C6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A25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BE8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5720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4A4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75F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34F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807D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0631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5AEA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D06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99A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5CF9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5183812A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  <w:hideMark/>
          </w:tcPr>
          <w:p w14:paraId="2CE212C4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Hispanic or Latinx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14:paraId="77F6C6E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285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513AC7F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A54">
              <w:t>(15.7)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71551F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F6AD1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5B8AA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E2D1B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  <w:hideMark/>
          </w:tcPr>
          <w:p w14:paraId="0794BB18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FDA381F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1A7E42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E7FBB1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EAF7B23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13AC48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6C51356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B7D29" w:rsidRPr="00181BC6" w14:paraId="051D6FA4" w14:textId="77777777" w:rsidTr="00EB0A71">
        <w:trPr>
          <w:trHeight w:val="320"/>
          <w:jc w:val="center"/>
        </w:trPr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791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Not Hispanic or Latinx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215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335CE4">
              <w:rPr>
                <w:rFonts w:eastAsia="Times New Roman"/>
                <w:color w:val="000000"/>
              </w:rPr>
              <w:t>1531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98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</w:t>
            </w:r>
            <w:r w:rsidRPr="00335CE4">
              <w:rPr>
                <w:color w:val="000000"/>
              </w:rPr>
              <w:t>84.3</w:t>
            </w:r>
            <w:r>
              <w:rPr>
                <w:color w:val="00000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ACE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E1F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363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C1DA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B00D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8CC2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C47F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3B2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890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2D8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881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 </w:t>
            </w:r>
          </w:p>
        </w:tc>
      </w:tr>
      <w:tr w:rsidR="000B7D29" w:rsidRPr="00181BC6" w14:paraId="21AD3D47" w14:textId="77777777" w:rsidTr="00EB0A71">
        <w:trPr>
          <w:trHeight w:val="320"/>
          <w:jc w:val="center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508A2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Level of Formal Education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D1782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FC270C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72C2E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AB5BE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F173CD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F452D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1BEED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A72A17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0688BA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B80F46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2EEA1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D833C6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7199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0B7D29" w:rsidRPr="00181BC6" w14:paraId="5E40B6CD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</w:tcPr>
          <w:p w14:paraId="0E147FAC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Less than High School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372A9C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70299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0E7E4ED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70299">
              <w:rPr>
                <w:color w:val="000000"/>
              </w:rPr>
              <w:t>10.9</w:t>
            </w:r>
            <w:r>
              <w:rPr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B46235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CC60F1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53D49B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B417D9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1A7D0093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88BC9B7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C641C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1D74AE3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B60B22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79EFA7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8FAF2C8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0B7D29" w:rsidRPr="00181BC6" w14:paraId="4B41FE57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</w:tcPr>
          <w:p w14:paraId="73B1AFA2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 xml:space="preserve">High school 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2ABDFE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70299">
              <w:rPr>
                <w:rFonts w:eastAsia="Times New Roman"/>
                <w:color w:val="000000"/>
              </w:rPr>
              <w:t>320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6B952C0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70299">
              <w:rPr>
                <w:color w:val="000000"/>
              </w:rPr>
              <w:t>17.6</w:t>
            </w:r>
            <w:r>
              <w:rPr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EA83B3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6F45E94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7DD5D69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255528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3E4C90B0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A5782E3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A44F4DD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272972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11E91D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CCD7537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1169AE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0B7D29" w:rsidRPr="00181BC6" w14:paraId="32D06138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</w:tcPr>
          <w:p w14:paraId="3DC728B2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Some college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C710D6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70299">
              <w:rPr>
                <w:rFonts w:eastAsia="Times New Roman"/>
                <w:color w:val="000000"/>
              </w:rPr>
              <w:t>556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81B1E7A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70299">
              <w:rPr>
                <w:color w:val="000000"/>
              </w:rPr>
              <w:t>30.6</w:t>
            </w:r>
            <w:r>
              <w:rPr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36CF8C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691991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AAA6E7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75D32D6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6D740086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6450B2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1C944A8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15BE667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DA2E38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D003B70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CF51FC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0B7D29" w:rsidRPr="00181BC6" w14:paraId="2E8E4857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</w:tcPr>
          <w:p w14:paraId="7F2E71F7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College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33D6FBA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70299">
              <w:rPr>
                <w:rFonts w:eastAsia="Times New Roman"/>
                <w:color w:val="000000"/>
              </w:rPr>
              <w:t>367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981174C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70299">
              <w:rPr>
                <w:color w:val="000000"/>
              </w:rPr>
              <w:t>20.2</w:t>
            </w:r>
            <w:r>
              <w:rPr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867B27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D35B89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0F6AE3B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286C435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7721F69F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CFF3C01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6ADD127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53D701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102725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5E9EFE4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AA4C7B5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0B7D29" w:rsidRPr="00181BC6" w14:paraId="2AEA6760" w14:textId="77777777" w:rsidTr="00EB0A71">
        <w:trPr>
          <w:trHeight w:val="320"/>
          <w:jc w:val="center"/>
        </w:trPr>
        <w:tc>
          <w:tcPr>
            <w:tcW w:w="3131" w:type="dxa"/>
            <w:shd w:val="clear" w:color="auto" w:fill="auto"/>
            <w:noWrap/>
            <w:vAlign w:val="center"/>
          </w:tcPr>
          <w:p w14:paraId="237A066D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  <w:r w:rsidRPr="00181BC6">
              <w:rPr>
                <w:rFonts w:eastAsia="Times New Roman"/>
                <w:color w:val="000000"/>
              </w:rPr>
              <w:t>Post-graduate education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B554EC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70299">
              <w:rPr>
                <w:rFonts w:eastAsia="Times New Roman"/>
                <w:color w:val="000000"/>
              </w:rPr>
              <w:t>375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2BAFCB5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70299">
              <w:rPr>
                <w:color w:val="000000"/>
              </w:rPr>
              <w:t>20.6</w:t>
            </w:r>
            <w:r>
              <w:rPr>
                <w:color w:val="000000"/>
              </w:rPr>
              <w:t>)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A7D873E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CBA270C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C78C2D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FD67C07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" w:type="dxa"/>
            <w:shd w:val="clear" w:color="auto" w:fill="auto"/>
            <w:noWrap/>
            <w:vAlign w:val="center"/>
          </w:tcPr>
          <w:p w14:paraId="426109E9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FC602A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A61177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9CEE72F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187C893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126625A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8980450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0B7D29" w:rsidRPr="00181BC6" w14:paraId="29AE9F2C" w14:textId="77777777" w:rsidTr="00EB0A71">
        <w:trPr>
          <w:trHeight w:val="320"/>
          <w:jc w:val="center"/>
        </w:trPr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CA071" w14:textId="77777777" w:rsidR="000B7D29" w:rsidRPr="00181BC6" w:rsidRDefault="000B7D29" w:rsidP="00EB0A71">
            <w:pPr>
              <w:spacing w:line="240" w:lineRule="auto"/>
              <w:ind w:firstLineChars="200" w:firstLine="480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415B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1373D" w14:textId="77777777" w:rsidR="000B7D29" w:rsidRDefault="000B7D29" w:rsidP="00EB0A71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E0F661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8AB3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AC93B3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B2182" w14:textId="77777777" w:rsidR="000B7D29" w:rsidRPr="00181BC6" w:rsidRDefault="000B7D29" w:rsidP="00EB0A7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125DC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63426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B7DBB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3464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CC9DE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937F1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400C6" w14:textId="77777777" w:rsidR="000B7D29" w:rsidRPr="00181BC6" w:rsidRDefault="000B7D29" w:rsidP="00EB0A7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6E7B11AA" w14:textId="2CE389BE" w:rsidR="000B7D29" w:rsidRDefault="000B7D29" w:rsidP="000B7D29">
      <w:pPr>
        <w:spacing w:line="240" w:lineRule="auto"/>
        <w:sectPr w:rsidR="000B7D29" w:rsidSect="000B7D2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D92CF9">
        <w:rPr>
          <w:i/>
          <w:iCs/>
        </w:rPr>
        <w:t>Note.</w:t>
      </w:r>
      <w:r>
        <w:t xml:space="preserve"> FSH = follicle-stimulating hormone</w:t>
      </w:r>
      <w:r w:rsidR="002A2D37">
        <w:t xml:space="preserve"> </w:t>
      </w:r>
      <w:r w:rsidR="002A2D37" w:rsidRPr="00A73E7E">
        <w:t>(</w:t>
      </w:r>
      <w:proofErr w:type="spellStart"/>
      <w:r w:rsidR="002A2D37" w:rsidRPr="00A73E7E">
        <w:t>mIU</w:t>
      </w:r>
      <w:proofErr w:type="spellEnd"/>
      <w:r w:rsidR="002A2D37" w:rsidRPr="00A73E7E">
        <w:t>/mL)</w:t>
      </w:r>
      <w:r w:rsidR="002A2D37">
        <w:t>.</w:t>
      </w:r>
    </w:p>
    <w:p w14:paraId="4BBC6D9A" w14:textId="75CAEE7F" w:rsidR="000D4E7A" w:rsidRDefault="0008718A" w:rsidP="000B7D29">
      <w:r>
        <w:lastRenderedPageBreak/>
        <w:t>Table S</w:t>
      </w:r>
      <w:r w:rsidR="000B7D29">
        <w:t>2</w:t>
      </w:r>
      <w:r>
        <w:t xml:space="preserve"> </w:t>
      </w:r>
    </w:p>
    <w:p w14:paraId="408ABCBC" w14:textId="00B49600" w:rsidR="0008718A" w:rsidRPr="0008718A" w:rsidRDefault="0008718A" w:rsidP="000B7D29">
      <w:pPr>
        <w:rPr>
          <w:i/>
          <w:iCs/>
        </w:rPr>
      </w:pPr>
      <w:r w:rsidRPr="0008718A">
        <w:rPr>
          <w:i/>
          <w:iCs/>
        </w:rPr>
        <w:t xml:space="preserve">CFA for Wave 1 </w:t>
      </w:r>
      <w:r w:rsidR="00F333E3">
        <w:rPr>
          <w:i/>
          <w:iCs/>
        </w:rPr>
        <w:t>Four</w:t>
      </w:r>
      <w:r w:rsidRPr="0008718A">
        <w:rPr>
          <w:i/>
          <w:iCs/>
        </w:rPr>
        <w:t xml:space="preserve">-Item Anxiety Scale </w:t>
      </w:r>
    </w:p>
    <w:tbl>
      <w:tblPr>
        <w:tblW w:w="907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066"/>
        <w:gridCol w:w="1066"/>
        <w:gridCol w:w="1066"/>
        <w:gridCol w:w="2160"/>
        <w:gridCol w:w="1512"/>
      </w:tblGrid>
      <w:tr w:rsidR="0008718A" w:rsidRPr="000D4E7A" w14:paraId="52B1EEDB" w14:textId="6C61FA4B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5FD247" w14:textId="77777777" w:rsidR="0008718A" w:rsidRPr="000D4E7A" w:rsidRDefault="0008718A" w:rsidP="000D4E7A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12B4AC" w14:textId="77777777" w:rsidR="0008718A" w:rsidRPr="000D4E7A" w:rsidRDefault="0008718A" w:rsidP="000D4E7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AA243E" w14:textId="77777777" w:rsidR="0008718A" w:rsidRPr="000D4E7A" w:rsidRDefault="0008718A" w:rsidP="000D4E7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3D3ECF" w14:textId="77777777" w:rsidR="0008718A" w:rsidRPr="000D4E7A" w:rsidRDefault="0008718A" w:rsidP="000D4E7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9F4E56" w14:textId="77777777" w:rsidR="0008718A" w:rsidRPr="000D4E7A" w:rsidRDefault="0008718A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95% CI</w:t>
            </w:r>
          </w:p>
        </w:tc>
        <w:tc>
          <w:tcPr>
            <w:tcW w:w="1512" w:type="dxa"/>
            <w:tcBorders>
              <w:bottom w:val="nil"/>
            </w:tcBorders>
          </w:tcPr>
          <w:p w14:paraId="05CC06FC" w14:textId="312CDD0C" w:rsidR="0008718A" w:rsidRPr="000D4E7A" w:rsidRDefault="0008718A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Standardized</w:t>
            </w:r>
          </w:p>
        </w:tc>
      </w:tr>
      <w:tr w:rsidR="00CB438B" w:rsidRPr="000D4E7A" w14:paraId="06B79683" w14:textId="7F34AF36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25175C" w14:textId="77777777" w:rsidR="00CB438B" w:rsidRPr="000D4E7A" w:rsidRDefault="00CB438B" w:rsidP="00CB438B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E90F" w14:textId="7EA92AD6" w:rsidR="00CB438B" w:rsidRPr="000D4E7A" w:rsidRDefault="00CB438B" w:rsidP="00CB438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Estimate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A69C" w14:textId="56355051" w:rsidR="00CB438B" w:rsidRPr="000D4E7A" w:rsidRDefault="00CB438B" w:rsidP="00CB438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B669E4">
              <w:rPr>
                <w:rFonts w:eastAsia="Times New Roman"/>
                <w:i/>
                <w:iCs/>
                <w:color w:val="000000"/>
              </w:rPr>
              <w:t>SE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976C" w14:textId="77777777" w:rsidR="00CB438B" w:rsidRPr="000D4E7A" w:rsidRDefault="00CB438B" w:rsidP="00CB438B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D4E7A">
              <w:rPr>
                <w:rFonts w:eastAsia="Times New Roman"/>
                <w:i/>
                <w:iCs/>
                <w:color w:val="000000"/>
              </w:rPr>
              <w:t>p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186" w14:textId="6909BAA6" w:rsidR="00CB438B" w:rsidRPr="000D4E7A" w:rsidRDefault="00CB438B" w:rsidP="00CB438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[</w:t>
            </w:r>
            <w:r w:rsidRPr="000D4E7A">
              <w:rPr>
                <w:rFonts w:eastAsia="Times New Roman"/>
                <w:color w:val="000000"/>
              </w:rPr>
              <w:t>Lower</w:t>
            </w:r>
            <w:r>
              <w:rPr>
                <w:rFonts w:eastAsia="Times New Roman"/>
                <w:color w:val="000000"/>
              </w:rPr>
              <w:t>, Upper]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14:paraId="23329744" w14:textId="42C63ED3" w:rsidR="00CB438B" w:rsidRDefault="00CB438B" w:rsidP="00CB438B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Estimate</w:t>
            </w:r>
          </w:p>
        </w:tc>
      </w:tr>
      <w:tr w:rsidR="0008718A" w:rsidRPr="000D4E7A" w14:paraId="716FD1C9" w14:textId="66E1CDDD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C15E114" w14:textId="77777777" w:rsidR="0008718A" w:rsidRPr="000D4E7A" w:rsidRDefault="0008718A" w:rsidP="000D4E7A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Factor Loadings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8CA9" w14:textId="77777777" w:rsidR="0008718A" w:rsidRPr="000D4E7A" w:rsidRDefault="0008718A" w:rsidP="000D4E7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2BC7" w14:textId="77777777" w:rsidR="0008718A" w:rsidRPr="000D4E7A" w:rsidRDefault="0008718A" w:rsidP="000D4E7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38DA" w14:textId="77777777" w:rsidR="0008718A" w:rsidRPr="000D4E7A" w:rsidRDefault="0008718A" w:rsidP="000D4E7A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C894" w14:textId="377B2932" w:rsidR="0008718A" w:rsidRPr="000D4E7A" w:rsidRDefault="0008718A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FA38008" w14:textId="77777777" w:rsidR="0008718A" w:rsidRPr="000D4E7A" w:rsidRDefault="0008718A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4B3311" w:rsidRPr="000D4E7A" w14:paraId="50FA6F98" w14:textId="3E73B090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9D00D6B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Irritability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6D9FB662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1.000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2324B8C0" w14:textId="32D58750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(0.000)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2D06DFF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–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118BE15" w14:textId="0BAD2B39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512" w:type="dxa"/>
            <w:vAlign w:val="center"/>
          </w:tcPr>
          <w:p w14:paraId="77494F50" w14:textId="079FFBBE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0.799</w:t>
            </w:r>
          </w:p>
        </w:tc>
      </w:tr>
      <w:tr w:rsidR="004B3311" w:rsidRPr="000D4E7A" w14:paraId="0EA70BDC" w14:textId="5274A972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9802BF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Nervous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CAE1BC7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1.147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E6C5239" w14:textId="6AF4FBC1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(0.022)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6C9B1FA2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6197C45" w14:textId="0D5FF1A4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[1.105, 1.19]</w:t>
            </w:r>
          </w:p>
        </w:tc>
        <w:tc>
          <w:tcPr>
            <w:tcW w:w="1512" w:type="dxa"/>
            <w:vAlign w:val="center"/>
          </w:tcPr>
          <w:p w14:paraId="60955E24" w14:textId="71858652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0.866</w:t>
            </w:r>
          </w:p>
        </w:tc>
      </w:tr>
      <w:tr w:rsidR="004B3311" w:rsidRPr="000D4E7A" w14:paraId="6897CF9D" w14:textId="5D498236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97EA275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Accelerated HR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4A2B2A6F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0.778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507CC8C" w14:textId="4E6E4AE6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(0.026)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473F0A19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734902" w14:textId="34C5E271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[0.728, 0.829]</w:t>
            </w:r>
          </w:p>
        </w:tc>
        <w:tc>
          <w:tcPr>
            <w:tcW w:w="1512" w:type="dxa"/>
            <w:vAlign w:val="center"/>
          </w:tcPr>
          <w:p w14:paraId="68154A79" w14:textId="2A7ED9F2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0.722</w:t>
            </w:r>
          </w:p>
        </w:tc>
      </w:tr>
      <w:tr w:rsidR="004B3311" w:rsidRPr="000D4E7A" w14:paraId="6761BB74" w14:textId="13D703A3" w:rsidTr="00F93A49">
        <w:trPr>
          <w:trHeight w:val="320"/>
        </w:trPr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A855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Fearfulness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86BF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0.935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F3E7" w14:textId="37252B88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(0.025)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654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5D451" w14:textId="268CD5EE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[0.887, 0.984]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AB34B79" w14:textId="5F7BF0F4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0.845</w:t>
            </w:r>
          </w:p>
        </w:tc>
      </w:tr>
      <w:tr w:rsidR="004B3311" w:rsidRPr="000D4E7A" w14:paraId="0D40D024" w14:textId="0B6330D6" w:rsidTr="00F93A49">
        <w:trPr>
          <w:trHeight w:val="320"/>
        </w:trPr>
        <w:tc>
          <w:tcPr>
            <w:tcW w:w="2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613D1D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Residual Variances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72518F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AFB47D" w14:textId="2803C3EB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ABFB92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BDEF9EA" w14:textId="0AE8313E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  <w:vAlign w:val="center"/>
          </w:tcPr>
          <w:p w14:paraId="775526FA" w14:textId="3AF0EB42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4B3311" w:rsidRPr="000D4E7A" w14:paraId="0B42772C" w14:textId="18C54F97" w:rsidTr="00F93A49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7DA064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Irritability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7ECF5C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0.585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E5A448" w14:textId="4B0527EC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(0.029)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DC5045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00597C" w14:textId="547B76CE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[0.528, 0.642]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648B169D" w14:textId="5CC3B608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0.362</w:t>
            </w:r>
          </w:p>
        </w:tc>
      </w:tr>
      <w:tr w:rsidR="004B3311" w:rsidRPr="000D4E7A" w14:paraId="2AF6624D" w14:textId="46EF7F2B" w:rsidTr="00F93A49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E282A4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Nervous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BA9522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0.453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F82519" w14:textId="706E212B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(0.025)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B411B6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1866F6" w14:textId="1F8996FA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[0.404, 0.501]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6CEE714E" w14:textId="5B2B3C80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0.250</w:t>
            </w:r>
          </w:p>
        </w:tc>
      </w:tr>
      <w:tr w:rsidR="004B3311" w:rsidRPr="000D4E7A" w14:paraId="49E28946" w14:textId="127DB1A1" w:rsidTr="00F93A49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25DABF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Accelerated HR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45A2C2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0.574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81D05C" w14:textId="0619DA60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(0.023)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2311C4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6D7CD3" w14:textId="7C71BC00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[0.528, 0.619]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7B141D5D" w14:textId="24BCF469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0.479</w:t>
            </w:r>
          </w:p>
        </w:tc>
      </w:tr>
      <w:tr w:rsidR="004B3311" w:rsidRPr="000D4E7A" w14:paraId="56F040BA" w14:textId="4DB77B9C" w:rsidTr="00F93A49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90F89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Fearfulness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95AAB9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0.360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C35EA2" w14:textId="7D5FAE4A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(0.018)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126E7B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25214E" w14:textId="32463B45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[0.325, 0.395]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130DEF35" w14:textId="7FF927EC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0.286</w:t>
            </w:r>
          </w:p>
        </w:tc>
      </w:tr>
      <w:tr w:rsidR="004B3311" w:rsidRPr="000D4E7A" w14:paraId="46D5EAB2" w14:textId="189E8E70" w:rsidTr="00F93A49">
        <w:trPr>
          <w:trHeight w:val="320"/>
        </w:trPr>
        <w:tc>
          <w:tcPr>
            <w:tcW w:w="2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F523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Latent Anxiety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2A30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1.030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518C" w14:textId="5AAE47C4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4718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683863" w14:textId="4B5C95DD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[0.943, 1.117]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vAlign w:val="center"/>
          </w:tcPr>
          <w:p w14:paraId="15CB0B6C" w14:textId="147D8964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</w:tr>
      <w:tr w:rsidR="004B3311" w:rsidRPr="000D4E7A" w14:paraId="38047EE6" w14:textId="2981F292" w:rsidTr="00F93A49">
        <w:trPr>
          <w:trHeight w:val="320"/>
        </w:trPr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968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Intercepts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CFB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EDD9" w14:textId="6B03FFD8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70A0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C59F50" w14:textId="08B5D558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794397B0" w14:textId="477E1A91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4B3311" w:rsidRPr="000D4E7A" w14:paraId="4FB6C9BD" w14:textId="311F342C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F852170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Irritability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1607E08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2.167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DCFE985" w14:textId="6EC5AEC8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(0.022)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2C3E93BF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7B6C6BF" w14:textId="00D8F4AF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[2.124, 2.211]</w:t>
            </w:r>
          </w:p>
        </w:tc>
        <w:tc>
          <w:tcPr>
            <w:tcW w:w="1512" w:type="dxa"/>
            <w:vAlign w:val="center"/>
          </w:tcPr>
          <w:p w14:paraId="152151EE" w14:textId="0B379C88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1.705</w:t>
            </w:r>
          </w:p>
        </w:tc>
      </w:tr>
      <w:tr w:rsidR="004B3311" w:rsidRPr="000D4E7A" w14:paraId="54047318" w14:textId="3A50D80D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662789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Nervous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14077E60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2.218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E87E6EA" w14:textId="1479BFF3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(0.023)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3EB28822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21D5432" w14:textId="1E2F9FF7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[2.172, 2.264]</w:t>
            </w:r>
          </w:p>
        </w:tc>
        <w:tc>
          <w:tcPr>
            <w:tcW w:w="1512" w:type="dxa"/>
            <w:vAlign w:val="center"/>
          </w:tcPr>
          <w:p w14:paraId="4A7D343A" w14:textId="6F7CB364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1.649</w:t>
            </w:r>
          </w:p>
        </w:tc>
      </w:tr>
      <w:tr w:rsidR="004B3311" w:rsidRPr="000D4E7A" w14:paraId="43C4310D" w14:textId="4049762D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C03656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Accelerated HR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6DF15A2E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1.585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F1D87DA" w14:textId="3D7BD731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(0.019)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AF19AD4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1CD6851" w14:textId="241877A9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[1.548, 1.622]</w:t>
            </w:r>
          </w:p>
        </w:tc>
        <w:tc>
          <w:tcPr>
            <w:tcW w:w="1512" w:type="dxa"/>
            <w:vAlign w:val="center"/>
          </w:tcPr>
          <w:p w14:paraId="5D4785C5" w14:textId="1DFB070E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1.448</w:t>
            </w:r>
          </w:p>
        </w:tc>
      </w:tr>
      <w:tr w:rsidR="004B3311" w:rsidRPr="000D4E7A" w14:paraId="6CCE677D" w14:textId="1BE3C636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9A8A20" w14:textId="77777777" w:rsidR="004B3311" w:rsidRPr="000D4E7A" w:rsidRDefault="004B3311" w:rsidP="004B3311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Fearfulness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3BB1D5A0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1.538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305D3976" w14:textId="6F850E86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(0.020)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37231A6" w14:textId="77777777" w:rsidR="004B3311" w:rsidRPr="000D4E7A" w:rsidRDefault="004B3311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EE74F3F" w14:textId="59B364D3" w:rsidR="004B3311" w:rsidRPr="000D4E7A" w:rsidRDefault="004B3311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[1.499, 1.576]</w:t>
            </w:r>
          </w:p>
        </w:tc>
        <w:tc>
          <w:tcPr>
            <w:tcW w:w="1512" w:type="dxa"/>
            <w:vAlign w:val="center"/>
          </w:tcPr>
          <w:p w14:paraId="0C37D1D3" w14:textId="424A6426" w:rsidR="004B3311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1.369</w:t>
            </w:r>
          </w:p>
        </w:tc>
      </w:tr>
      <w:tr w:rsidR="0008718A" w:rsidRPr="000D4E7A" w14:paraId="270AF4E7" w14:textId="547934B6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65100F" w14:textId="77777777" w:rsidR="0008718A" w:rsidRPr="000D4E7A" w:rsidRDefault="0008718A" w:rsidP="009C5C56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Latent Anxiety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125EDC9" w14:textId="77777777" w:rsidR="0008718A" w:rsidRPr="000D4E7A" w:rsidRDefault="0008718A" w:rsidP="009C5C5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372005CC" w14:textId="18DCF3E3" w:rsidR="0008718A" w:rsidRPr="000D4E7A" w:rsidRDefault="0008718A" w:rsidP="009C5C5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(0.000)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628B2B6A" w14:textId="77777777" w:rsidR="0008718A" w:rsidRPr="000D4E7A" w:rsidRDefault="0008718A" w:rsidP="009C5C5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–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00D6637" w14:textId="522FCD5A" w:rsidR="0008718A" w:rsidRPr="000D4E7A" w:rsidRDefault="0008718A" w:rsidP="0068183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512" w:type="dxa"/>
          </w:tcPr>
          <w:p w14:paraId="48E818A3" w14:textId="3BCE1141" w:rsidR="0008718A" w:rsidRDefault="004B3311" w:rsidP="004B3311">
            <w:pPr>
              <w:spacing w:line="240" w:lineRule="auto"/>
              <w:jc w:val="center"/>
              <w:rPr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–</w:t>
            </w:r>
          </w:p>
        </w:tc>
      </w:tr>
      <w:tr w:rsidR="00F93A49" w:rsidRPr="000D4E7A" w14:paraId="7CAF705D" w14:textId="77777777" w:rsidTr="00F93A49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</w:tcPr>
          <w:p w14:paraId="03D94301" w14:textId="77777777" w:rsidR="00F93A49" w:rsidRPr="000D4E7A" w:rsidRDefault="00F93A49" w:rsidP="009C5C5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40EC27C6" w14:textId="77777777" w:rsidR="00F93A49" w:rsidRPr="000D4E7A" w:rsidRDefault="00F93A49" w:rsidP="009C5C5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3EBEA96D" w14:textId="77777777" w:rsidR="00F93A49" w:rsidRDefault="00F93A49" w:rsidP="009C5C56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337693EA" w14:textId="77777777" w:rsidR="00F93A49" w:rsidRPr="000D4E7A" w:rsidRDefault="00F93A49" w:rsidP="009C5C5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7153F43" w14:textId="77777777" w:rsidR="00F93A49" w:rsidRDefault="00F93A49" w:rsidP="00681831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12" w:type="dxa"/>
          </w:tcPr>
          <w:p w14:paraId="3528E394" w14:textId="77777777" w:rsidR="00F93A49" w:rsidRPr="000D4E7A" w:rsidRDefault="00F93A49" w:rsidP="004B331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3672C333" w14:textId="75102255" w:rsidR="0008718A" w:rsidRDefault="000D4E7A" w:rsidP="00F973E8">
      <w:pPr>
        <w:spacing w:line="240" w:lineRule="auto"/>
      </w:pPr>
      <w:r>
        <w:rPr>
          <w:i/>
          <w:iCs/>
        </w:rPr>
        <w:t xml:space="preserve">Note. </w:t>
      </w:r>
      <w:r w:rsidR="0008718A">
        <w:t xml:space="preserve">CFA  = confirmatory factor analysis; </w:t>
      </w:r>
      <w:r>
        <w:t>CI = confidence interval; HR = heart rate</w:t>
      </w:r>
      <w:r w:rsidR="009C5C56">
        <w:t>; SE = standard error.</w:t>
      </w:r>
      <w:r>
        <w:t xml:space="preserve"> </w:t>
      </w:r>
      <w:r w:rsidR="0008718A">
        <w:br w:type="page"/>
      </w:r>
    </w:p>
    <w:p w14:paraId="189FD984" w14:textId="14097A1D" w:rsidR="0008718A" w:rsidRDefault="0008718A" w:rsidP="0008718A">
      <w:r>
        <w:lastRenderedPageBreak/>
        <w:t>Table S</w:t>
      </w:r>
      <w:r w:rsidR="000B7D29">
        <w:t>3</w:t>
      </w:r>
    </w:p>
    <w:p w14:paraId="47685BE5" w14:textId="78045837" w:rsidR="0008718A" w:rsidRPr="0008718A" w:rsidRDefault="0008718A" w:rsidP="0008718A">
      <w:pPr>
        <w:rPr>
          <w:i/>
          <w:iCs/>
        </w:rPr>
      </w:pPr>
      <w:r w:rsidRPr="0008718A">
        <w:rPr>
          <w:i/>
          <w:iCs/>
        </w:rPr>
        <w:t xml:space="preserve">CFA for Wave </w:t>
      </w:r>
      <w:r w:rsidR="00681831">
        <w:rPr>
          <w:i/>
          <w:iCs/>
        </w:rPr>
        <w:t>2</w:t>
      </w:r>
      <w:r w:rsidRPr="0008718A">
        <w:rPr>
          <w:i/>
          <w:iCs/>
        </w:rPr>
        <w:t xml:space="preserve"> </w:t>
      </w:r>
      <w:r w:rsidR="00F333E3">
        <w:rPr>
          <w:i/>
          <w:iCs/>
        </w:rPr>
        <w:t>Four</w:t>
      </w:r>
      <w:r w:rsidR="00F333E3" w:rsidRPr="0008718A">
        <w:rPr>
          <w:i/>
          <w:iCs/>
        </w:rPr>
        <w:t xml:space="preserve">-Item </w:t>
      </w:r>
      <w:r w:rsidRPr="0008718A">
        <w:rPr>
          <w:i/>
          <w:iCs/>
        </w:rPr>
        <w:t xml:space="preserve">Anxiety Scale </w:t>
      </w:r>
    </w:p>
    <w:tbl>
      <w:tblPr>
        <w:tblW w:w="907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066"/>
        <w:gridCol w:w="1066"/>
        <w:gridCol w:w="1066"/>
        <w:gridCol w:w="2160"/>
        <w:gridCol w:w="1512"/>
      </w:tblGrid>
      <w:tr w:rsidR="00681831" w:rsidRPr="000D4E7A" w14:paraId="15192A74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CE7CF37" w14:textId="77777777" w:rsidR="00681831" w:rsidRPr="000D4E7A" w:rsidRDefault="00681831" w:rsidP="00652C59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4051925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A261B4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8B183F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2E0B44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95% CI</w:t>
            </w:r>
          </w:p>
        </w:tc>
        <w:tc>
          <w:tcPr>
            <w:tcW w:w="1512" w:type="dxa"/>
            <w:tcBorders>
              <w:bottom w:val="nil"/>
            </w:tcBorders>
          </w:tcPr>
          <w:p w14:paraId="02731C81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Standardized</w:t>
            </w:r>
          </w:p>
        </w:tc>
      </w:tr>
      <w:tr w:rsidR="00681831" w:rsidRPr="000D4E7A" w14:paraId="7C17BCE1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7E505B" w14:textId="77777777" w:rsidR="00681831" w:rsidRPr="000D4E7A" w:rsidRDefault="00681831" w:rsidP="00652C59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D9E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Estimate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56D4" w14:textId="4027FCAD" w:rsidR="00681831" w:rsidRPr="000D4E7A" w:rsidRDefault="00CB438B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="00681831" w:rsidRPr="00B669E4">
              <w:rPr>
                <w:rFonts w:eastAsia="Times New Roman"/>
                <w:i/>
                <w:iCs/>
                <w:color w:val="000000"/>
              </w:rPr>
              <w:t>SE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5EB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D4E7A">
              <w:rPr>
                <w:rFonts w:eastAsia="Times New Roman"/>
                <w:i/>
                <w:iCs/>
                <w:color w:val="000000"/>
              </w:rPr>
              <w:t>p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C870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[</w:t>
            </w:r>
            <w:r w:rsidRPr="000D4E7A">
              <w:rPr>
                <w:rFonts w:eastAsia="Times New Roman"/>
                <w:color w:val="000000"/>
              </w:rPr>
              <w:t>Lower</w:t>
            </w:r>
            <w:r>
              <w:rPr>
                <w:rFonts w:eastAsia="Times New Roman"/>
                <w:color w:val="000000"/>
              </w:rPr>
              <w:t>, Upper]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14:paraId="1F4A2FC8" w14:textId="77777777" w:rsidR="00681831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Estimate</w:t>
            </w:r>
          </w:p>
        </w:tc>
      </w:tr>
      <w:tr w:rsidR="00681831" w:rsidRPr="000D4E7A" w14:paraId="13081581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B610E7" w14:textId="77777777" w:rsidR="00681831" w:rsidRPr="000D4E7A" w:rsidRDefault="00681831" w:rsidP="00652C59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Factor Loadings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4FDA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212F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CA62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084A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DABCDF0" w14:textId="77777777" w:rsidR="00681831" w:rsidRPr="000D4E7A" w:rsidRDefault="00681831" w:rsidP="00652C5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01D97" w:rsidRPr="000D4E7A" w14:paraId="6D96B9AA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82DBADF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Irritability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4D66E204" w14:textId="03B14445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EF98798" w14:textId="2DEB89D2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(0.000)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45D3D1BF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–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A226C38" w14:textId="031297A6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–</w:t>
            </w:r>
          </w:p>
        </w:tc>
        <w:tc>
          <w:tcPr>
            <w:tcW w:w="1512" w:type="dxa"/>
            <w:vAlign w:val="center"/>
          </w:tcPr>
          <w:p w14:paraId="459E8665" w14:textId="1F67C4EB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0.726</w:t>
            </w:r>
          </w:p>
        </w:tc>
      </w:tr>
      <w:tr w:rsidR="00101D97" w:rsidRPr="000D4E7A" w14:paraId="1C4A9508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5D9AF4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Nervous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40E6793" w14:textId="00642E4F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1.259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37A81937" w14:textId="46D91C0B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(0.034)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46DC3044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8348004" w14:textId="72A20AD2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[1.193, 1.325]</w:t>
            </w:r>
          </w:p>
        </w:tc>
        <w:tc>
          <w:tcPr>
            <w:tcW w:w="1512" w:type="dxa"/>
            <w:vAlign w:val="center"/>
          </w:tcPr>
          <w:p w14:paraId="611FCEBA" w14:textId="6AFA3745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0.820</w:t>
            </w:r>
          </w:p>
        </w:tc>
      </w:tr>
      <w:tr w:rsidR="00101D97" w:rsidRPr="000D4E7A" w14:paraId="34B35175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44171D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Accelerated HR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337B11D" w14:textId="5C88A25B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0.931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3A928FDC" w14:textId="65E69178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(0.032)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23A5BB2C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0A4F11" w14:textId="2D2EC009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[0.868, 0.993]</w:t>
            </w:r>
          </w:p>
        </w:tc>
        <w:tc>
          <w:tcPr>
            <w:tcW w:w="1512" w:type="dxa"/>
            <w:vAlign w:val="center"/>
          </w:tcPr>
          <w:p w14:paraId="2E880EFA" w14:textId="1C275259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0.749</w:t>
            </w:r>
          </w:p>
        </w:tc>
      </w:tr>
      <w:tr w:rsidR="00101D97" w:rsidRPr="000D4E7A" w14:paraId="7481AE08" w14:textId="77777777" w:rsidTr="00DA38EB">
        <w:trPr>
          <w:trHeight w:val="320"/>
        </w:trPr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B7AA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Fearfulness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DD82" w14:textId="587634FC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1.109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B84" w14:textId="7847D15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(0.034)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840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824F1" w14:textId="46B67C90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[1.041, 1.176]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69DF30B" w14:textId="2B8ED29C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0.853</w:t>
            </w:r>
          </w:p>
        </w:tc>
      </w:tr>
      <w:tr w:rsidR="00F93A49" w:rsidRPr="000D4E7A" w14:paraId="61133451" w14:textId="77777777" w:rsidTr="00DA38EB">
        <w:trPr>
          <w:trHeight w:val="320"/>
        </w:trPr>
        <w:tc>
          <w:tcPr>
            <w:tcW w:w="2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FE5C39" w14:textId="77777777" w:rsidR="00F93A49" w:rsidRPr="000D4E7A" w:rsidRDefault="00F93A49" w:rsidP="00F93A49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Residual Variances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24BF2A" w14:textId="77777777" w:rsidR="00F93A49" w:rsidRPr="000D4E7A" w:rsidRDefault="00F93A49" w:rsidP="00F93A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C67A89" w14:textId="77777777" w:rsidR="00F93A49" w:rsidRPr="000D4E7A" w:rsidRDefault="00F93A49" w:rsidP="00F93A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57B02A" w14:textId="77777777" w:rsidR="00F93A49" w:rsidRPr="000D4E7A" w:rsidRDefault="00F93A49" w:rsidP="00F93A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A0DFF4A" w14:textId="77777777" w:rsidR="00F93A49" w:rsidRPr="000D4E7A" w:rsidRDefault="00F93A49" w:rsidP="00F93A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  <w:vAlign w:val="center"/>
          </w:tcPr>
          <w:p w14:paraId="3607B763" w14:textId="77777777" w:rsidR="00F93A49" w:rsidRDefault="00F93A49" w:rsidP="00F93A49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101D97" w:rsidRPr="000D4E7A" w14:paraId="5C81EB68" w14:textId="77777777" w:rsidTr="00DA38EB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CB0216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Irritability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1BC6BB" w14:textId="3048633D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0.618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A3CB60" w14:textId="33656F04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(0.028)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BDFABD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490ED6" w14:textId="540CCF3D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[0.562, 0.674]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2DCAEA0E" w14:textId="1AA4A967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0.472</w:t>
            </w:r>
          </w:p>
        </w:tc>
      </w:tr>
      <w:tr w:rsidR="00101D97" w:rsidRPr="000D4E7A" w14:paraId="472C2D39" w14:textId="77777777" w:rsidTr="00DA38EB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30EA31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Nervous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954BD8" w14:textId="686F236D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0.533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8B62A2" w14:textId="7C538089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(0.03)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538710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716315" w14:textId="1A3517F3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[0.474, 0.592]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5DF2D041" w14:textId="3A039DC6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0.327</w:t>
            </w:r>
          </w:p>
        </w:tc>
      </w:tr>
      <w:tr w:rsidR="00101D97" w:rsidRPr="000D4E7A" w14:paraId="32733900" w14:textId="77777777" w:rsidTr="00DA38EB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CFB4DC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Accelerated HR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5A0489" w14:textId="7596E82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0.470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6CC07B" w14:textId="3373ED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(0.022)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20F7D1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CFCB31" w14:textId="37497B25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[0.427, 0.512]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73B2EE77" w14:textId="37C8881A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0.440</w:t>
            </w:r>
          </w:p>
        </w:tc>
      </w:tr>
      <w:tr w:rsidR="00101D97" w:rsidRPr="000D4E7A" w14:paraId="6A313395" w14:textId="77777777" w:rsidTr="00DA38EB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5E92E4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Fearfulness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35D8CC" w14:textId="13293E6E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0.318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CAC4C8" w14:textId="4EA3B4F3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(0.018)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EBE8BF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4CDB27" w14:textId="18760025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[0.282, 0.354]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6D8032FE" w14:textId="231A18C0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0.273</w:t>
            </w:r>
          </w:p>
        </w:tc>
      </w:tr>
      <w:tr w:rsidR="00101D97" w:rsidRPr="000D4E7A" w14:paraId="1A0639A9" w14:textId="77777777" w:rsidTr="00DA38EB">
        <w:trPr>
          <w:trHeight w:val="320"/>
        </w:trPr>
        <w:tc>
          <w:tcPr>
            <w:tcW w:w="2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94B7F6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Latent Anxiety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625A97" w14:textId="0AA5722E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0.691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3A475F" w14:textId="317B8F8C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(0.041)</w:t>
            </w:r>
          </w:p>
        </w:tc>
        <w:tc>
          <w:tcPr>
            <w:tcW w:w="10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D0CC5F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3D2F93" w14:textId="12E5A55A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[0.611, 0.77</w:t>
            </w:r>
            <w:r w:rsidR="00F333E3">
              <w:rPr>
                <w:color w:val="000000"/>
              </w:rPr>
              <w:t>0</w:t>
            </w:r>
            <w:r>
              <w:rPr>
                <w:color w:val="000000"/>
              </w:rPr>
              <w:t>]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25571D27" w14:textId="3B344648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</w:tr>
      <w:tr w:rsidR="00F93A49" w:rsidRPr="000D4E7A" w14:paraId="7B323144" w14:textId="77777777" w:rsidTr="00DA38EB">
        <w:trPr>
          <w:trHeight w:val="320"/>
        </w:trPr>
        <w:tc>
          <w:tcPr>
            <w:tcW w:w="2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FB9" w14:textId="77777777" w:rsidR="00F93A49" w:rsidRPr="000D4E7A" w:rsidRDefault="00F93A49" w:rsidP="00F93A49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Intercepts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3E96A" w14:textId="61340F5C" w:rsidR="00F93A49" w:rsidRPr="000D4E7A" w:rsidRDefault="00F93A49" w:rsidP="00F93A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E4F11" w14:textId="77777777" w:rsidR="00F93A49" w:rsidRPr="000D4E7A" w:rsidRDefault="00F93A49" w:rsidP="00F93A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048E" w14:textId="77777777" w:rsidR="00F93A49" w:rsidRPr="000D4E7A" w:rsidRDefault="00F93A49" w:rsidP="00F93A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7C36D" w14:textId="77777777" w:rsidR="00F93A49" w:rsidRPr="000D4E7A" w:rsidRDefault="00F93A49" w:rsidP="00F93A4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vAlign w:val="center"/>
          </w:tcPr>
          <w:p w14:paraId="624138F0" w14:textId="77777777" w:rsidR="00F93A49" w:rsidRDefault="00F93A49" w:rsidP="00F93A49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101D97" w:rsidRPr="000D4E7A" w14:paraId="41396B6A" w14:textId="77777777" w:rsidTr="00DA38EB">
        <w:trPr>
          <w:trHeight w:val="320"/>
        </w:trPr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F4FD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Irritability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FB6E58" w14:textId="64C230BC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2.011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C4F70A" w14:textId="3BBA1B2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902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9FD446" w14:textId="7C278351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[1.972, 2.05</w:t>
            </w:r>
            <w:r w:rsidR="00F333E3">
              <w:rPr>
                <w:color w:val="000000"/>
              </w:rPr>
              <w:t>0</w:t>
            </w:r>
            <w:r>
              <w:rPr>
                <w:color w:val="000000"/>
              </w:rPr>
              <w:t>]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3C9F2ACA" w14:textId="060C2447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1.757</w:t>
            </w:r>
          </w:p>
        </w:tc>
      </w:tr>
      <w:tr w:rsidR="00101D97" w:rsidRPr="000D4E7A" w14:paraId="74C00583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DA87CA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Nervous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249838C3" w14:textId="5EAA3600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2.117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7EC64549" w14:textId="27D075B6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(0.022)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175D076B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6F25E1F" w14:textId="1DE34298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[2.074, 2.161]</w:t>
            </w:r>
          </w:p>
        </w:tc>
        <w:tc>
          <w:tcPr>
            <w:tcW w:w="1512" w:type="dxa"/>
            <w:vAlign w:val="center"/>
          </w:tcPr>
          <w:p w14:paraId="7B11CBAF" w14:textId="1AD86F78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1.660</w:t>
            </w:r>
          </w:p>
        </w:tc>
      </w:tr>
      <w:tr w:rsidR="00101D97" w:rsidRPr="000D4E7A" w14:paraId="09D8D6B9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A0660F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Accelerated HR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7577FD7A" w14:textId="1F707AB1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1.571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17441BB9" w14:textId="5D32D94D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(0.018)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2AE838FD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9DEFEE7" w14:textId="3A522B30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[1.535, 1.606]</w:t>
            </w:r>
          </w:p>
        </w:tc>
        <w:tc>
          <w:tcPr>
            <w:tcW w:w="1512" w:type="dxa"/>
            <w:vAlign w:val="center"/>
          </w:tcPr>
          <w:p w14:paraId="6AE5B836" w14:textId="7C39007E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1.520</w:t>
            </w:r>
          </w:p>
        </w:tc>
      </w:tr>
      <w:tr w:rsidR="00101D97" w:rsidRPr="000D4E7A" w14:paraId="6F86AE98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B22849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Fearfulness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73C05162" w14:textId="0DC2FA9E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1.516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33FF06C7" w14:textId="32091326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(0.019)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9B3C29A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03D84A1" w14:textId="72E2A75E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[1.479, 1.553]</w:t>
            </w:r>
          </w:p>
        </w:tc>
        <w:tc>
          <w:tcPr>
            <w:tcW w:w="1512" w:type="dxa"/>
            <w:vAlign w:val="center"/>
          </w:tcPr>
          <w:p w14:paraId="331609E7" w14:textId="31D4E0EE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1.403</w:t>
            </w:r>
          </w:p>
        </w:tc>
      </w:tr>
      <w:tr w:rsidR="00101D97" w:rsidRPr="000D4E7A" w14:paraId="65111FC2" w14:textId="77777777" w:rsidTr="007C66D2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CE4E898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Latent Anxiety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14BBCDF0" w14:textId="27052DC0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03D824F1" w14:textId="1B4EF87D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(0.000)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160DE03C" w14:textId="00CED10D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–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D60177E" w14:textId="5F326C42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512" w:type="dxa"/>
          </w:tcPr>
          <w:p w14:paraId="5A72115E" w14:textId="2C700219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  <w:r w:rsidRPr="000D4E7A">
              <w:rPr>
                <w:rFonts w:eastAsia="Times New Roman"/>
                <w:color w:val="000000"/>
              </w:rPr>
              <w:t>–</w:t>
            </w:r>
          </w:p>
        </w:tc>
      </w:tr>
      <w:tr w:rsidR="00101D97" w:rsidRPr="000D4E7A" w14:paraId="55A1E946" w14:textId="77777777" w:rsidTr="00DA38EB">
        <w:trPr>
          <w:trHeight w:val="320"/>
        </w:trPr>
        <w:tc>
          <w:tcPr>
            <w:tcW w:w="2200" w:type="dxa"/>
            <w:shd w:val="clear" w:color="auto" w:fill="auto"/>
            <w:noWrap/>
            <w:vAlign w:val="center"/>
          </w:tcPr>
          <w:p w14:paraId="3132354E" w14:textId="77777777" w:rsidR="00101D97" w:rsidRPr="000D4E7A" w:rsidRDefault="00101D97" w:rsidP="00101D97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6E33B897" w14:textId="77777777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513D6F17" w14:textId="77777777" w:rsidR="00101D97" w:rsidRDefault="00101D97" w:rsidP="00101D97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3CDBB779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41A68EF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2" w:type="dxa"/>
            <w:vAlign w:val="center"/>
          </w:tcPr>
          <w:p w14:paraId="143879B6" w14:textId="77777777" w:rsidR="00101D97" w:rsidRPr="000D4E7A" w:rsidRDefault="00101D97" w:rsidP="00101D9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708B44A4" w14:textId="549B6679" w:rsidR="0008718A" w:rsidRPr="000D4E7A" w:rsidRDefault="00681831" w:rsidP="00F973E8">
      <w:pPr>
        <w:spacing w:line="240" w:lineRule="auto"/>
      </w:pPr>
      <w:r>
        <w:rPr>
          <w:i/>
          <w:iCs/>
        </w:rPr>
        <w:t xml:space="preserve">Note. </w:t>
      </w:r>
      <w:r>
        <w:t>CFA  = confirmatory factor analysis; CI = confidence interval; HR = heart rate; SE = standard error.</w:t>
      </w:r>
    </w:p>
    <w:p w14:paraId="26814F92" w14:textId="77777777" w:rsidR="004E18B0" w:rsidRDefault="004E18B0" w:rsidP="00BB51D7"/>
    <w:p w14:paraId="31D30D1E" w14:textId="0B5A692B" w:rsidR="004E18B0" w:rsidRPr="00F62161" w:rsidRDefault="004E18B0" w:rsidP="00BB51D7">
      <w:pPr>
        <w:sectPr w:rsidR="004E18B0" w:rsidRPr="00F62161" w:rsidSect="000B7D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A629C8" w14:textId="47626E6D" w:rsidR="0094141D" w:rsidRPr="002A2D37" w:rsidRDefault="0094141D" w:rsidP="00BB51D7">
      <w:r w:rsidRPr="002A2D37">
        <w:lastRenderedPageBreak/>
        <w:t>Figure S1</w:t>
      </w:r>
    </w:p>
    <w:p w14:paraId="44E436C0" w14:textId="3552C293" w:rsidR="00BB51D7" w:rsidRPr="00BB51D7" w:rsidRDefault="00316B0B" w:rsidP="00BB51D7">
      <w:pPr>
        <w:rPr>
          <w:i/>
          <w:iCs/>
        </w:rPr>
      </w:pPr>
      <w:r w:rsidRPr="002A2D37">
        <w:rPr>
          <w:i/>
          <w:iCs/>
        </w:rPr>
        <w:t>Two-Step Bridge Expected Influence</w:t>
      </w:r>
      <w:r w:rsidR="00E22317" w:rsidRPr="002A2D37">
        <w:rPr>
          <w:i/>
          <w:iCs/>
        </w:rPr>
        <w:t xml:space="preserve"> for Contemporaneous Networks</w:t>
      </w:r>
    </w:p>
    <w:p w14:paraId="1E7C03D9" w14:textId="26187E7C" w:rsidR="00BB51D7" w:rsidRDefault="002A2D37" w:rsidP="00F973E8">
      <w:pPr>
        <w:spacing w:line="240" w:lineRule="auto"/>
      </w:pPr>
      <w:r>
        <w:rPr>
          <w:noProof/>
        </w:rPr>
        <w:drawing>
          <wp:inline distT="0" distB="0" distL="0" distR="0" wp14:anchorId="14B93019" wp14:editId="31FE27A8">
            <wp:extent cx="5943600" cy="55841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30C8B" w14:textId="77777777" w:rsidR="002A2D37" w:rsidRPr="00BB51D7" w:rsidRDefault="002A2D37" w:rsidP="002A2D37">
      <w:pPr>
        <w:spacing w:line="240" w:lineRule="auto"/>
        <w:rPr>
          <w:i/>
          <w:iCs/>
        </w:rPr>
      </w:pPr>
      <w:r w:rsidRPr="00755C36">
        <w:rPr>
          <w:i/>
          <w:iCs/>
        </w:rPr>
        <w:t xml:space="preserve">Note. </w:t>
      </w:r>
      <w:proofErr w:type="spellStart"/>
      <w:r>
        <w:t>anx</w:t>
      </w:r>
      <w:proofErr w:type="spellEnd"/>
      <w:r>
        <w:t xml:space="preserve"> = anxiety symptoms; dep = depressed mood; </w:t>
      </w:r>
      <w:proofErr w:type="spellStart"/>
      <w:r>
        <w:t>frg</w:t>
      </w:r>
      <w:proofErr w:type="spellEnd"/>
      <w:r>
        <w:t xml:space="preserve"> = face recognition; </w:t>
      </w:r>
      <w:proofErr w:type="spellStart"/>
      <w:r>
        <w:t>vrm</w:t>
      </w:r>
      <w:proofErr w:type="spellEnd"/>
      <w:r>
        <w:t xml:space="preserve"> = verbal memory; int = interpersonal problems; pa = positive affect; </w:t>
      </w:r>
      <w:proofErr w:type="spellStart"/>
      <w:r>
        <w:t>ps</w:t>
      </w:r>
      <w:proofErr w:type="spellEnd"/>
      <w:r>
        <w:t xml:space="preserve"> = processing speed; </w:t>
      </w:r>
      <w:proofErr w:type="spellStart"/>
      <w:r>
        <w:t>som</w:t>
      </w:r>
      <w:proofErr w:type="spellEnd"/>
      <w:r>
        <w:t xml:space="preserve"> = somatic symptoms; </w:t>
      </w:r>
      <w:proofErr w:type="spellStart"/>
      <w:r>
        <w:t>fsh</w:t>
      </w:r>
      <w:proofErr w:type="spellEnd"/>
      <w:r>
        <w:t xml:space="preserve"> = follicle-stimulating hormone </w:t>
      </w:r>
      <w:r w:rsidRPr="00A73E7E">
        <w:t>(</w:t>
      </w:r>
      <w:proofErr w:type="spellStart"/>
      <w:r w:rsidRPr="00A73E7E">
        <w:t>mIU</w:t>
      </w:r>
      <w:proofErr w:type="spellEnd"/>
      <w:r w:rsidRPr="00A73E7E">
        <w:t>/mL)</w:t>
      </w:r>
      <w:r>
        <w:t xml:space="preserve">; </w:t>
      </w:r>
      <w:proofErr w:type="spellStart"/>
      <w:r>
        <w:t>est</w:t>
      </w:r>
      <w:proofErr w:type="spellEnd"/>
      <w:r>
        <w:t xml:space="preserve"> = estradiol (</w:t>
      </w:r>
      <w:proofErr w:type="spellStart"/>
      <w:r w:rsidRPr="00A73E7E">
        <w:t>pg</w:t>
      </w:r>
      <w:proofErr w:type="spellEnd"/>
      <w:r w:rsidRPr="00A73E7E">
        <w:t>/mL</w:t>
      </w:r>
      <w:r>
        <w:t xml:space="preserve">); age = age of participants at respective wave; </w:t>
      </w:r>
      <w:proofErr w:type="spellStart"/>
      <w:r>
        <w:t>mns</w:t>
      </w:r>
      <w:proofErr w:type="spellEnd"/>
      <w:r>
        <w:t xml:space="preserve"> = menopausal status (</w:t>
      </w:r>
      <w:r w:rsidRPr="00780D19">
        <w:t>pre-menopausal, early perimenopausal, late perimenopausal, and post-menopausal</w:t>
      </w:r>
      <w:r>
        <w:t>).</w:t>
      </w:r>
    </w:p>
    <w:p w14:paraId="2B24F907" w14:textId="77777777" w:rsidR="002A2D37" w:rsidRDefault="002A2D37" w:rsidP="00BB51D7">
      <w:pPr>
        <w:sectPr w:rsidR="002A2D37" w:rsidSect="001300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385DAA" w14:textId="77263E92" w:rsidR="00CB3D81" w:rsidRDefault="00121EA1" w:rsidP="00BB51D7">
      <w:r>
        <w:lastRenderedPageBreak/>
        <w:t>Figure S</w:t>
      </w:r>
      <w:r w:rsidR="004F5991">
        <w:t>2</w:t>
      </w:r>
    </w:p>
    <w:p w14:paraId="452FE02F" w14:textId="29C082E1" w:rsidR="00121EA1" w:rsidRDefault="00705A77" w:rsidP="00BB51D7">
      <w:pPr>
        <w:rPr>
          <w:i/>
          <w:iCs/>
        </w:rPr>
      </w:pPr>
      <w:r>
        <w:rPr>
          <w:i/>
          <w:iCs/>
        </w:rPr>
        <w:t>Autoregression Coefficients</w:t>
      </w:r>
      <w:r w:rsidR="00DD0416">
        <w:rPr>
          <w:i/>
          <w:iCs/>
        </w:rPr>
        <w:t xml:space="preserve"> of </w:t>
      </w:r>
      <w:r w:rsidR="00DD0416" w:rsidRPr="00574B2A">
        <w:rPr>
          <w:i/>
          <w:iCs/>
        </w:rPr>
        <w:t xml:space="preserve">Cognitive Functioning and </w:t>
      </w:r>
      <w:r w:rsidR="001C4499">
        <w:rPr>
          <w:i/>
          <w:iCs/>
        </w:rPr>
        <w:t>Mental Health</w:t>
      </w:r>
      <w:r w:rsidR="00DD0416" w:rsidRPr="00574B2A">
        <w:rPr>
          <w:i/>
          <w:iCs/>
        </w:rPr>
        <w:t xml:space="preserve"> Components</w:t>
      </w:r>
    </w:p>
    <w:p w14:paraId="782DDC09" w14:textId="40155907" w:rsidR="00705A77" w:rsidRDefault="00705A77" w:rsidP="00F973E8">
      <w:pPr>
        <w:spacing w:line="240" w:lineRule="auto"/>
      </w:pPr>
    </w:p>
    <w:p w14:paraId="2AD39756" w14:textId="435F74EC" w:rsidR="00AE34E7" w:rsidRDefault="00755C36" w:rsidP="002A2D37">
      <w:pPr>
        <w:spacing w:line="240" w:lineRule="auto"/>
        <w:rPr>
          <w:i/>
          <w:iCs/>
        </w:rPr>
      </w:pPr>
      <w:r w:rsidRPr="00755C36">
        <w:rPr>
          <w:i/>
          <w:iCs/>
        </w:rPr>
        <w:t xml:space="preserve">Note. </w:t>
      </w:r>
      <w:proofErr w:type="spellStart"/>
      <w:r w:rsidR="00272403">
        <w:t>anx</w:t>
      </w:r>
      <w:proofErr w:type="spellEnd"/>
      <w:r w:rsidR="00272403">
        <w:t xml:space="preserve"> = anxiety symptoms; dep = depressed mood; </w:t>
      </w:r>
      <w:proofErr w:type="spellStart"/>
      <w:r w:rsidR="00272403">
        <w:t>frg</w:t>
      </w:r>
      <w:proofErr w:type="spellEnd"/>
      <w:r w:rsidR="00272403">
        <w:t xml:space="preserve"> = face recognition; </w:t>
      </w:r>
      <w:proofErr w:type="spellStart"/>
      <w:r w:rsidR="00272403">
        <w:t>vrm</w:t>
      </w:r>
      <w:proofErr w:type="spellEnd"/>
      <w:r w:rsidR="00272403">
        <w:t xml:space="preserve"> = verbal memory; int = interpersonal problems; pa = positive affect; </w:t>
      </w:r>
      <w:proofErr w:type="spellStart"/>
      <w:r w:rsidR="00272403">
        <w:t>ps</w:t>
      </w:r>
      <w:proofErr w:type="spellEnd"/>
      <w:r w:rsidR="00272403">
        <w:t xml:space="preserve"> = processing speed; </w:t>
      </w:r>
      <w:proofErr w:type="spellStart"/>
      <w:r w:rsidR="00272403">
        <w:t>som</w:t>
      </w:r>
      <w:proofErr w:type="spellEnd"/>
      <w:r w:rsidR="00272403">
        <w:t xml:space="preserve"> = somatic symptoms; </w:t>
      </w:r>
      <w:proofErr w:type="spellStart"/>
      <w:r w:rsidR="00272403">
        <w:t>fsh</w:t>
      </w:r>
      <w:proofErr w:type="spellEnd"/>
      <w:r w:rsidR="00272403">
        <w:t xml:space="preserve"> = follicle-stimulating hormone </w:t>
      </w:r>
      <w:r w:rsidR="00272403" w:rsidRPr="00A73E7E">
        <w:t>(</w:t>
      </w:r>
      <w:proofErr w:type="spellStart"/>
      <w:r w:rsidR="00272403" w:rsidRPr="00A73E7E">
        <w:t>mIU</w:t>
      </w:r>
      <w:proofErr w:type="spellEnd"/>
      <w:r w:rsidR="00272403" w:rsidRPr="00A73E7E">
        <w:t>/mL)</w:t>
      </w:r>
      <w:r w:rsidR="00272403">
        <w:t xml:space="preserve">; </w:t>
      </w:r>
      <w:proofErr w:type="spellStart"/>
      <w:r w:rsidR="00272403">
        <w:t>est</w:t>
      </w:r>
      <w:proofErr w:type="spellEnd"/>
      <w:r w:rsidR="00272403">
        <w:t xml:space="preserve"> = estradiol (</w:t>
      </w:r>
      <w:proofErr w:type="spellStart"/>
      <w:r w:rsidR="00272403" w:rsidRPr="00A73E7E">
        <w:t>pg</w:t>
      </w:r>
      <w:proofErr w:type="spellEnd"/>
      <w:r w:rsidR="00272403" w:rsidRPr="00A73E7E">
        <w:t>/mL</w:t>
      </w:r>
      <w:r w:rsidR="00272403">
        <w:t xml:space="preserve">); age = age of participants at respective wave; </w:t>
      </w:r>
      <w:proofErr w:type="spellStart"/>
      <w:r w:rsidR="00272403">
        <w:t>mns</w:t>
      </w:r>
      <w:proofErr w:type="spellEnd"/>
      <w:r w:rsidR="00272403">
        <w:t xml:space="preserve"> = menopausal status (</w:t>
      </w:r>
      <w:r w:rsidR="00272403" w:rsidRPr="00780D19">
        <w:t>pre-menopausal, early perimenopausal, late perimenopausal, and post-menopausal</w:t>
      </w:r>
      <w:r w:rsidR="00272403">
        <w:t>).</w:t>
      </w:r>
      <w:r w:rsidR="001C23D1">
        <w:t xml:space="preserve"> </w:t>
      </w:r>
    </w:p>
    <w:p w14:paraId="2D1BFCB9" w14:textId="77777777" w:rsidR="002A2D37" w:rsidRPr="002A2D37" w:rsidRDefault="002A2D37" w:rsidP="002A2D37">
      <w:pPr>
        <w:spacing w:line="240" w:lineRule="auto"/>
        <w:rPr>
          <w:i/>
          <w:iCs/>
        </w:rPr>
      </w:pPr>
    </w:p>
    <w:p w14:paraId="220DD199" w14:textId="77777777" w:rsidR="001E7A01" w:rsidRDefault="001E7A01" w:rsidP="00984353">
      <w:pPr>
        <w:pStyle w:val="EndNoteBibliographyTitle"/>
        <w:sectPr w:rsidR="001E7A01" w:rsidSect="001300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AC51A" w14:textId="77777777" w:rsidR="00984353" w:rsidRPr="00984353" w:rsidRDefault="00AE34E7" w:rsidP="00984353">
      <w:pPr>
        <w:pStyle w:val="EndNoteBibliographyTitle"/>
        <w:rPr>
          <w:noProof/>
        </w:rPr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="00984353" w:rsidRPr="00984353">
        <w:rPr>
          <w:noProof/>
        </w:rPr>
        <w:t>References</w:t>
      </w:r>
    </w:p>
    <w:p w14:paraId="46BA4DBE" w14:textId="77777777" w:rsidR="00984353" w:rsidRPr="00984353" w:rsidRDefault="00984353" w:rsidP="00984353">
      <w:pPr>
        <w:pStyle w:val="EndNoteBibliographyTitle"/>
        <w:rPr>
          <w:noProof/>
        </w:rPr>
      </w:pPr>
    </w:p>
    <w:p w14:paraId="5BA61455" w14:textId="77777777" w:rsidR="00984353" w:rsidRPr="00984353" w:rsidRDefault="00984353" w:rsidP="00984353">
      <w:pPr>
        <w:pStyle w:val="EndNoteBibliography"/>
        <w:ind w:left="720" w:hanging="720"/>
        <w:rPr>
          <w:noProof/>
        </w:rPr>
      </w:pPr>
      <w:r w:rsidRPr="00984353">
        <w:rPr>
          <w:noProof/>
        </w:rPr>
        <w:t xml:space="preserve">Costello, A. B., &amp; Osborne, J. (2005). Best practices in exploratory factor analysis: Four recommendations for getting the most from your analysis. </w:t>
      </w:r>
      <w:r w:rsidRPr="00984353">
        <w:rPr>
          <w:i/>
          <w:noProof/>
        </w:rPr>
        <w:t>Practical Assessment, Research, and Evaluation, 10</w:t>
      </w:r>
      <w:r w:rsidRPr="00984353">
        <w:rPr>
          <w:noProof/>
        </w:rPr>
        <w:t>, 1-10. doi:10.7275/jyj1-4868</w:t>
      </w:r>
    </w:p>
    <w:p w14:paraId="1EA36421" w14:textId="77777777" w:rsidR="00984353" w:rsidRPr="00984353" w:rsidRDefault="00984353" w:rsidP="00984353">
      <w:pPr>
        <w:pStyle w:val="EndNoteBibliography"/>
        <w:ind w:left="720" w:hanging="720"/>
        <w:rPr>
          <w:noProof/>
        </w:rPr>
      </w:pPr>
      <w:r w:rsidRPr="00984353">
        <w:rPr>
          <w:noProof/>
        </w:rPr>
        <w:t xml:space="preserve">Luetters, C., Huang, M. H., Seeman, T., Buckwalter, G., Meyer, P. M., Avis, N. E., . . . Greendale, G. A. (2007). Menopause transition stage and endogenous estradiol and follicle-stimulating hormone levels are not related to cognitive performance: cross-sectional results from the study of women's health across the nation (SWAN). </w:t>
      </w:r>
      <w:r w:rsidRPr="00984353">
        <w:rPr>
          <w:i/>
          <w:noProof/>
        </w:rPr>
        <w:t>Journal of Women's Health, 16</w:t>
      </w:r>
      <w:r w:rsidRPr="00984353">
        <w:rPr>
          <w:noProof/>
        </w:rPr>
        <w:t>, 331-344. doi:10.1089/jwh.2006.0057</w:t>
      </w:r>
    </w:p>
    <w:p w14:paraId="7252E376" w14:textId="77777777" w:rsidR="00984353" w:rsidRPr="00984353" w:rsidRDefault="00984353" w:rsidP="00984353">
      <w:pPr>
        <w:pStyle w:val="EndNoteBibliography"/>
        <w:ind w:left="720" w:hanging="720"/>
        <w:rPr>
          <w:noProof/>
        </w:rPr>
      </w:pPr>
      <w:r w:rsidRPr="00984353">
        <w:rPr>
          <w:noProof/>
        </w:rPr>
        <w:t xml:space="preserve">Randolph, J. F., Jr., Sowers, M., Bondarenko, I. V., Harlow, S. D., Luborsky, J. L., &amp; Little, R. J. (2004). Change in estradiol and follicle-stimulating hormone across the early menopausal transition: Effects of ethnicity and age. </w:t>
      </w:r>
      <w:r w:rsidRPr="00984353">
        <w:rPr>
          <w:i/>
          <w:noProof/>
        </w:rPr>
        <w:t>Journal of Clinical Endocrinology and Metabolism, 89</w:t>
      </w:r>
      <w:r w:rsidRPr="00984353">
        <w:rPr>
          <w:noProof/>
        </w:rPr>
        <w:t>, 1555-1561. doi:10.1210/jc.2003-031183</w:t>
      </w:r>
    </w:p>
    <w:p w14:paraId="00981EFC" w14:textId="77777777" w:rsidR="00984353" w:rsidRPr="00984353" w:rsidRDefault="00984353" w:rsidP="00984353">
      <w:pPr>
        <w:pStyle w:val="EndNoteBibliography"/>
        <w:ind w:left="720" w:hanging="720"/>
        <w:rPr>
          <w:noProof/>
        </w:rPr>
      </w:pPr>
      <w:r w:rsidRPr="00984353">
        <w:rPr>
          <w:noProof/>
        </w:rPr>
        <w:t xml:space="preserve">Timmerman, M. E., &amp; Lorenzo-Seva, U. (2011). Dimensionality assessment of ordered polytomous items with parallel analysis. </w:t>
      </w:r>
      <w:r w:rsidRPr="00984353">
        <w:rPr>
          <w:i/>
          <w:noProof/>
        </w:rPr>
        <w:t>Psychological Methods, 16</w:t>
      </w:r>
      <w:r w:rsidRPr="00984353">
        <w:rPr>
          <w:noProof/>
        </w:rPr>
        <w:t>, 209-220. doi:10.1037/a0023353</w:t>
      </w:r>
    </w:p>
    <w:p w14:paraId="7703BDAD" w14:textId="50EF1F7F" w:rsidR="001300E1" w:rsidRPr="00BB51D7" w:rsidRDefault="00AE34E7" w:rsidP="00BB51D7">
      <w:r>
        <w:fldChar w:fldCharType="end"/>
      </w:r>
    </w:p>
    <w:sectPr w:rsidR="001300E1" w:rsidRPr="00BB51D7" w:rsidSect="0013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DD5A" w14:textId="77777777" w:rsidR="006A4492" w:rsidRDefault="006A4492" w:rsidP="00471F7B">
      <w:pPr>
        <w:spacing w:line="240" w:lineRule="auto"/>
      </w:pPr>
      <w:r>
        <w:separator/>
      </w:r>
    </w:p>
  </w:endnote>
  <w:endnote w:type="continuationSeparator" w:id="0">
    <w:p w14:paraId="0EC51E92" w14:textId="77777777" w:rsidR="006A4492" w:rsidRDefault="006A4492" w:rsidP="00471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EDDA" w14:textId="77777777" w:rsidR="006A4492" w:rsidRDefault="006A4492" w:rsidP="00471F7B">
      <w:pPr>
        <w:spacing w:line="240" w:lineRule="auto"/>
      </w:pPr>
      <w:r>
        <w:separator/>
      </w:r>
    </w:p>
  </w:footnote>
  <w:footnote w:type="continuationSeparator" w:id="0">
    <w:p w14:paraId="7A1CED3F" w14:textId="77777777" w:rsidR="006A4492" w:rsidRDefault="006A4492" w:rsidP="00471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710222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02E3EC" w14:textId="3F4979EC" w:rsidR="00471F7B" w:rsidRDefault="00471F7B" w:rsidP="00F6675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7DDEDD" w14:textId="77777777" w:rsidR="00471F7B" w:rsidRDefault="00471F7B" w:rsidP="00471F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59801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1FA1B9" w14:textId="72B88892" w:rsidR="00471F7B" w:rsidRDefault="00471F7B" w:rsidP="00F6675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3D469A" w14:textId="77777777" w:rsidR="00471F7B" w:rsidRDefault="00471F7B" w:rsidP="00471F7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r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swf99dwtf2z01e2025pzsdb2s5ws55500xw&quot;&gt;My EndNote Library&lt;record-ids&gt;&lt;item&gt;12251&lt;/item&gt;&lt;item&gt;17298&lt;/item&gt;&lt;item&gt;17324&lt;/item&gt;&lt;item&gt;17325&lt;/item&gt;&lt;/record-ids&gt;&lt;/item&gt;&lt;/Libraries&gt;"/>
  </w:docVars>
  <w:rsids>
    <w:rsidRoot w:val="0094141D"/>
    <w:rsid w:val="000115BE"/>
    <w:rsid w:val="00020CAC"/>
    <w:rsid w:val="00025C2C"/>
    <w:rsid w:val="00031432"/>
    <w:rsid w:val="000424CD"/>
    <w:rsid w:val="00052AF1"/>
    <w:rsid w:val="00057D96"/>
    <w:rsid w:val="00071850"/>
    <w:rsid w:val="0008718A"/>
    <w:rsid w:val="000A2803"/>
    <w:rsid w:val="000B7D29"/>
    <w:rsid w:val="000D4E7A"/>
    <w:rsid w:val="000D6ECE"/>
    <w:rsid w:val="000E0BED"/>
    <w:rsid w:val="000F08EC"/>
    <w:rsid w:val="00100839"/>
    <w:rsid w:val="001018F6"/>
    <w:rsid w:val="00101D97"/>
    <w:rsid w:val="00102CE1"/>
    <w:rsid w:val="00112310"/>
    <w:rsid w:val="00117745"/>
    <w:rsid w:val="00121EA1"/>
    <w:rsid w:val="00124B70"/>
    <w:rsid w:val="001300E1"/>
    <w:rsid w:val="00152602"/>
    <w:rsid w:val="00174B6C"/>
    <w:rsid w:val="00181BC6"/>
    <w:rsid w:val="00184AA8"/>
    <w:rsid w:val="00190B64"/>
    <w:rsid w:val="001C23D1"/>
    <w:rsid w:val="001C2A7E"/>
    <w:rsid w:val="001C4499"/>
    <w:rsid w:val="001D284D"/>
    <w:rsid w:val="001E20D8"/>
    <w:rsid w:val="001E7A01"/>
    <w:rsid w:val="001F7F55"/>
    <w:rsid w:val="00216736"/>
    <w:rsid w:val="00220BAD"/>
    <w:rsid w:val="00231E62"/>
    <w:rsid w:val="0025443E"/>
    <w:rsid w:val="0025501C"/>
    <w:rsid w:val="0026470C"/>
    <w:rsid w:val="00272403"/>
    <w:rsid w:val="002815D5"/>
    <w:rsid w:val="00284312"/>
    <w:rsid w:val="00286FE5"/>
    <w:rsid w:val="00293D94"/>
    <w:rsid w:val="002A2D37"/>
    <w:rsid w:val="002A4439"/>
    <w:rsid w:val="002C4FF2"/>
    <w:rsid w:val="002E298D"/>
    <w:rsid w:val="002E71AB"/>
    <w:rsid w:val="002F675A"/>
    <w:rsid w:val="00305F7E"/>
    <w:rsid w:val="00313C51"/>
    <w:rsid w:val="00316B0B"/>
    <w:rsid w:val="00335CE4"/>
    <w:rsid w:val="0036337C"/>
    <w:rsid w:val="00387932"/>
    <w:rsid w:val="003A3BE4"/>
    <w:rsid w:val="003A695D"/>
    <w:rsid w:val="003B73A2"/>
    <w:rsid w:val="003C05DE"/>
    <w:rsid w:val="003C6CF2"/>
    <w:rsid w:val="003D340D"/>
    <w:rsid w:val="003D4F1E"/>
    <w:rsid w:val="003D79F7"/>
    <w:rsid w:val="00413629"/>
    <w:rsid w:val="00417A0C"/>
    <w:rsid w:val="00420922"/>
    <w:rsid w:val="00423205"/>
    <w:rsid w:val="004375FA"/>
    <w:rsid w:val="00453EAC"/>
    <w:rsid w:val="00456499"/>
    <w:rsid w:val="00465204"/>
    <w:rsid w:val="004656C9"/>
    <w:rsid w:val="004679C4"/>
    <w:rsid w:val="00470299"/>
    <w:rsid w:val="00471F7B"/>
    <w:rsid w:val="004A7D5B"/>
    <w:rsid w:val="004B3311"/>
    <w:rsid w:val="004D6A5A"/>
    <w:rsid w:val="004E18B0"/>
    <w:rsid w:val="004F5991"/>
    <w:rsid w:val="005011DC"/>
    <w:rsid w:val="00514D3C"/>
    <w:rsid w:val="00516258"/>
    <w:rsid w:val="00531182"/>
    <w:rsid w:val="00546051"/>
    <w:rsid w:val="005520B2"/>
    <w:rsid w:val="00553C83"/>
    <w:rsid w:val="00555073"/>
    <w:rsid w:val="00560ED7"/>
    <w:rsid w:val="00566B7A"/>
    <w:rsid w:val="0057128B"/>
    <w:rsid w:val="005736B6"/>
    <w:rsid w:val="00595418"/>
    <w:rsid w:val="00595E3C"/>
    <w:rsid w:val="0059637A"/>
    <w:rsid w:val="005A126F"/>
    <w:rsid w:val="005B0079"/>
    <w:rsid w:val="005B7393"/>
    <w:rsid w:val="005C3A07"/>
    <w:rsid w:val="005F01E2"/>
    <w:rsid w:val="005F24E4"/>
    <w:rsid w:val="005F4BC9"/>
    <w:rsid w:val="00606D35"/>
    <w:rsid w:val="00611570"/>
    <w:rsid w:val="00614195"/>
    <w:rsid w:val="006259A0"/>
    <w:rsid w:val="006450AA"/>
    <w:rsid w:val="00645F43"/>
    <w:rsid w:val="00651553"/>
    <w:rsid w:val="00653063"/>
    <w:rsid w:val="0065664B"/>
    <w:rsid w:val="006776BB"/>
    <w:rsid w:val="00681831"/>
    <w:rsid w:val="00683092"/>
    <w:rsid w:val="00694870"/>
    <w:rsid w:val="006A4492"/>
    <w:rsid w:val="006B1117"/>
    <w:rsid w:val="006B148B"/>
    <w:rsid w:val="006B417B"/>
    <w:rsid w:val="006B4573"/>
    <w:rsid w:val="006C6DD6"/>
    <w:rsid w:val="006F069C"/>
    <w:rsid w:val="00703FCF"/>
    <w:rsid w:val="0070403E"/>
    <w:rsid w:val="00705A77"/>
    <w:rsid w:val="00706489"/>
    <w:rsid w:val="00707BE7"/>
    <w:rsid w:val="00710C46"/>
    <w:rsid w:val="00744139"/>
    <w:rsid w:val="007558D3"/>
    <w:rsid w:val="00755C36"/>
    <w:rsid w:val="00765DC9"/>
    <w:rsid w:val="0077262B"/>
    <w:rsid w:val="0077585C"/>
    <w:rsid w:val="007B1052"/>
    <w:rsid w:val="007B2762"/>
    <w:rsid w:val="007B432D"/>
    <w:rsid w:val="007D43E1"/>
    <w:rsid w:val="007D499C"/>
    <w:rsid w:val="007E7AFD"/>
    <w:rsid w:val="007F3B96"/>
    <w:rsid w:val="00812F61"/>
    <w:rsid w:val="008136F7"/>
    <w:rsid w:val="008154AD"/>
    <w:rsid w:val="008168F0"/>
    <w:rsid w:val="008214B4"/>
    <w:rsid w:val="008614A6"/>
    <w:rsid w:val="00875028"/>
    <w:rsid w:val="008921A9"/>
    <w:rsid w:val="00892B8B"/>
    <w:rsid w:val="00893DE9"/>
    <w:rsid w:val="008C5578"/>
    <w:rsid w:val="008D0289"/>
    <w:rsid w:val="008E036D"/>
    <w:rsid w:val="008F07E8"/>
    <w:rsid w:val="008F1BC4"/>
    <w:rsid w:val="008F7AE1"/>
    <w:rsid w:val="00904132"/>
    <w:rsid w:val="00923C43"/>
    <w:rsid w:val="00925BDF"/>
    <w:rsid w:val="00926679"/>
    <w:rsid w:val="0094141D"/>
    <w:rsid w:val="009527F1"/>
    <w:rsid w:val="00962259"/>
    <w:rsid w:val="00966E90"/>
    <w:rsid w:val="00974CFC"/>
    <w:rsid w:val="00984353"/>
    <w:rsid w:val="00986D59"/>
    <w:rsid w:val="0099178F"/>
    <w:rsid w:val="009A2757"/>
    <w:rsid w:val="009B2C7C"/>
    <w:rsid w:val="009B5F7A"/>
    <w:rsid w:val="009C20C6"/>
    <w:rsid w:val="009C5C56"/>
    <w:rsid w:val="009D0CA9"/>
    <w:rsid w:val="009D6BC5"/>
    <w:rsid w:val="009E7266"/>
    <w:rsid w:val="009F0228"/>
    <w:rsid w:val="009F15E2"/>
    <w:rsid w:val="009F2DE4"/>
    <w:rsid w:val="009F3044"/>
    <w:rsid w:val="009F314C"/>
    <w:rsid w:val="009F63F8"/>
    <w:rsid w:val="00A068DB"/>
    <w:rsid w:val="00A10CE3"/>
    <w:rsid w:val="00A1674B"/>
    <w:rsid w:val="00A219D5"/>
    <w:rsid w:val="00A27400"/>
    <w:rsid w:val="00A32EA4"/>
    <w:rsid w:val="00A5162A"/>
    <w:rsid w:val="00A6178E"/>
    <w:rsid w:val="00A66CEA"/>
    <w:rsid w:val="00A778AD"/>
    <w:rsid w:val="00A809B7"/>
    <w:rsid w:val="00A933BF"/>
    <w:rsid w:val="00A96942"/>
    <w:rsid w:val="00AA025F"/>
    <w:rsid w:val="00AB367A"/>
    <w:rsid w:val="00AB5FCF"/>
    <w:rsid w:val="00AB64CA"/>
    <w:rsid w:val="00AC378B"/>
    <w:rsid w:val="00AE34E7"/>
    <w:rsid w:val="00B1374D"/>
    <w:rsid w:val="00B262D5"/>
    <w:rsid w:val="00B33B9E"/>
    <w:rsid w:val="00B34293"/>
    <w:rsid w:val="00B43867"/>
    <w:rsid w:val="00B669E4"/>
    <w:rsid w:val="00B8730E"/>
    <w:rsid w:val="00B9573E"/>
    <w:rsid w:val="00BA2204"/>
    <w:rsid w:val="00BB0596"/>
    <w:rsid w:val="00BB51D7"/>
    <w:rsid w:val="00BC2CB6"/>
    <w:rsid w:val="00BC68C7"/>
    <w:rsid w:val="00BD087F"/>
    <w:rsid w:val="00BF352C"/>
    <w:rsid w:val="00BF6E27"/>
    <w:rsid w:val="00BF6EE7"/>
    <w:rsid w:val="00BF6F84"/>
    <w:rsid w:val="00C1765D"/>
    <w:rsid w:val="00C21422"/>
    <w:rsid w:val="00C30913"/>
    <w:rsid w:val="00C34084"/>
    <w:rsid w:val="00C540F9"/>
    <w:rsid w:val="00C64B0C"/>
    <w:rsid w:val="00C7552F"/>
    <w:rsid w:val="00C972A3"/>
    <w:rsid w:val="00CA0115"/>
    <w:rsid w:val="00CA6805"/>
    <w:rsid w:val="00CB3D81"/>
    <w:rsid w:val="00CB3E9C"/>
    <w:rsid w:val="00CB438B"/>
    <w:rsid w:val="00CC1B3E"/>
    <w:rsid w:val="00CD52FE"/>
    <w:rsid w:val="00CD65F3"/>
    <w:rsid w:val="00CE2EF8"/>
    <w:rsid w:val="00CF50FE"/>
    <w:rsid w:val="00CF5C8E"/>
    <w:rsid w:val="00D144B8"/>
    <w:rsid w:val="00D239F1"/>
    <w:rsid w:val="00D3662A"/>
    <w:rsid w:val="00D44937"/>
    <w:rsid w:val="00D60E5B"/>
    <w:rsid w:val="00D82CC6"/>
    <w:rsid w:val="00D87717"/>
    <w:rsid w:val="00D92CF9"/>
    <w:rsid w:val="00DA3161"/>
    <w:rsid w:val="00DA38EB"/>
    <w:rsid w:val="00DB3406"/>
    <w:rsid w:val="00DC3E94"/>
    <w:rsid w:val="00DC6D8A"/>
    <w:rsid w:val="00DC6E0B"/>
    <w:rsid w:val="00DD0416"/>
    <w:rsid w:val="00DD1753"/>
    <w:rsid w:val="00DD4A94"/>
    <w:rsid w:val="00DD50D0"/>
    <w:rsid w:val="00DD770F"/>
    <w:rsid w:val="00DF514D"/>
    <w:rsid w:val="00E17595"/>
    <w:rsid w:val="00E22317"/>
    <w:rsid w:val="00E34CE4"/>
    <w:rsid w:val="00E44F97"/>
    <w:rsid w:val="00E7759C"/>
    <w:rsid w:val="00E80FA3"/>
    <w:rsid w:val="00E95F55"/>
    <w:rsid w:val="00EA126B"/>
    <w:rsid w:val="00EA15B2"/>
    <w:rsid w:val="00EA5D53"/>
    <w:rsid w:val="00EB6C02"/>
    <w:rsid w:val="00ED3457"/>
    <w:rsid w:val="00ED3DCB"/>
    <w:rsid w:val="00ED5F54"/>
    <w:rsid w:val="00ED7F13"/>
    <w:rsid w:val="00EE29C7"/>
    <w:rsid w:val="00EF298B"/>
    <w:rsid w:val="00F217F1"/>
    <w:rsid w:val="00F333E3"/>
    <w:rsid w:val="00F4202F"/>
    <w:rsid w:val="00F46295"/>
    <w:rsid w:val="00F478F0"/>
    <w:rsid w:val="00F53442"/>
    <w:rsid w:val="00F552C4"/>
    <w:rsid w:val="00F558ED"/>
    <w:rsid w:val="00F57303"/>
    <w:rsid w:val="00F62161"/>
    <w:rsid w:val="00F628D5"/>
    <w:rsid w:val="00F66849"/>
    <w:rsid w:val="00F82D2C"/>
    <w:rsid w:val="00F90966"/>
    <w:rsid w:val="00F91EED"/>
    <w:rsid w:val="00F93A49"/>
    <w:rsid w:val="00F973E8"/>
    <w:rsid w:val="00FB11C6"/>
    <w:rsid w:val="00FC2FAE"/>
    <w:rsid w:val="00FC6AB1"/>
    <w:rsid w:val="00FE24D1"/>
    <w:rsid w:val="00FE669E"/>
    <w:rsid w:val="00FF3E6B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BE2D"/>
  <w15:chartTrackingRefBased/>
  <w15:docId w15:val="{07F8FA58-93BE-C245-969A-24B18900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D7"/>
    <w:pPr>
      <w:spacing w:line="48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E34E7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AE34E7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AE34E7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AE34E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71F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7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1F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7B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7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1702</Words>
  <Characters>10471</Characters>
  <Application>Microsoft Office Word</Application>
  <DocSecurity>0</DocSecurity>
  <Lines>149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Hani Zainal</dc:creator>
  <cp:keywords/>
  <dc:description/>
  <cp:lastModifiedBy>Nur Hani Zainal</cp:lastModifiedBy>
  <cp:revision>4</cp:revision>
  <dcterms:created xsi:type="dcterms:W3CDTF">2022-03-05T21:31:00Z</dcterms:created>
  <dcterms:modified xsi:type="dcterms:W3CDTF">2022-03-06T03:10:00Z</dcterms:modified>
</cp:coreProperties>
</file>