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2E" w:rsidRDefault="00425888" w:rsidP="00B7222E">
      <w:pPr>
        <w:spacing w:after="120"/>
        <w:rPr>
          <w:rFonts w:cs="Arial"/>
          <w:b/>
        </w:rPr>
      </w:pPr>
      <w:r>
        <w:rPr>
          <w:rFonts w:cs="Arial"/>
          <w:b/>
        </w:rPr>
        <w:t>Supplementary T</w:t>
      </w:r>
      <w:r w:rsidR="00911B51" w:rsidRPr="00911B51">
        <w:rPr>
          <w:rFonts w:cs="Arial"/>
          <w:b/>
        </w:rPr>
        <w:t>able</w:t>
      </w:r>
      <w:r w:rsidR="00D1240B">
        <w:rPr>
          <w:rFonts w:cs="Arial"/>
          <w:b/>
        </w:rPr>
        <w:t xml:space="preserve"> 1</w:t>
      </w:r>
      <w:r w:rsidR="00780576">
        <w:rPr>
          <w:rFonts w:cs="Arial"/>
          <w:b/>
        </w:rPr>
        <w:t>:</w:t>
      </w:r>
      <w:r w:rsidR="00CC028C">
        <w:rPr>
          <w:rFonts w:cs="Arial"/>
          <w:b/>
        </w:rPr>
        <w:t xml:space="preserve"> </w:t>
      </w:r>
      <w:r w:rsidR="00524A8B">
        <w:rPr>
          <w:rFonts w:cs="Arial"/>
          <w:b/>
        </w:rPr>
        <w:t>Study variables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02"/>
        <w:gridCol w:w="4004"/>
        <w:gridCol w:w="2761"/>
      </w:tblGrid>
      <w:tr w:rsidR="00524A8B" w:rsidTr="00103F76">
        <w:tc>
          <w:tcPr>
            <w:tcW w:w="2302" w:type="dxa"/>
          </w:tcPr>
          <w:p w:rsidR="00524A8B" w:rsidRPr="00524A8B" w:rsidRDefault="00524A8B" w:rsidP="00524A8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4004" w:type="dxa"/>
          </w:tcPr>
          <w:p w:rsidR="00524A8B" w:rsidRPr="00524A8B" w:rsidRDefault="00524A8B" w:rsidP="00524A8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2761" w:type="dxa"/>
          </w:tcPr>
          <w:p w:rsidR="00524A8B" w:rsidRPr="00524A8B" w:rsidRDefault="00524A8B" w:rsidP="00524A8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524A8B" w:rsidTr="00103F76">
        <w:tc>
          <w:tcPr>
            <w:tcW w:w="2302" w:type="dxa"/>
          </w:tcPr>
          <w:p w:rsidR="00524A8B" w:rsidRDefault="00DD3F53" w:rsidP="00524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4004" w:type="dxa"/>
          </w:tcPr>
          <w:p w:rsidR="00524A8B" w:rsidRDefault="00DD3F53" w:rsidP="00DD3F5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Obtained from national data providers (ONS, NRS, </w:t>
            </w:r>
            <w:r w:rsidR="00EB7DFB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>NISRA)</w:t>
            </w:r>
            <w:r w:rsidR="00EB7DF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61" w:type="dxa"/>
          </w:tcPr>
          <w:p w:rsidR="00DD3F53" w:rsidRPr="00103F76" w:rsidRDefault="00103F76" w:rsidP="00103F7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Continuous variable</w:t>
            </w:r>
          </w:p>
        </w:tc>
      </w:tr>
      <w:tr w:rsidR="00DD3F53" w:rsidTr="00103F76">
        <w:tc>
          <w:tcPr>
            <w:tcW w:w="2302" w:type="dxa"/>
          </w:tcPr>
          <w:p w:rsidR="00DD3F53" w:rsidRDefault="00DD3F53" w:rsidP="00524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4004" w:type="dxa"/>
          </w:tcPr>
          <w:p w:rsidR="00DD3F53" w:rsidRDefault="00EB7DFB" w:rsidP="00524A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Obtained from national data providers (ONS, NRS, and NISRA).</w:t>
            </w:r>
          </w:p>
        </w:tc>
        <w:tc>
          <w:tcPr>
            <w:tcW w:w="2761" w:type="dxa"/>
          </w:tcPr>
          <w:p w:rsidR="00C150AC" w:rsidRDefault="00EB7DFB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Male</w:t>
            </w:r>
          </w:p>
          <w:p w:rsidR="00EB7DFB" w:rsidRPr="00C150AC" w:rsidRDefault="00EB7DFB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Female</w:t>
            </w:r>
          </w:p>
        </w:tc>
      </w:tr>
      <w:tr w:rsidR="00996E93" w:rsidTr="00103F76">
        <w:tc>
          <w:tcPr>
            <w:tcW w:w="2302" w:type="dxa"/>
          </w:tcPr>
          <w:p w:rsidR="00996E93" w:rsidRDefault="00996E93" w:rsidP="00524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suicide</w:t>
            </w:r>
          </w:p>
        </w:tc>
        <w:tc>
          <w:tcPr>
            <w:tcW w:w="4004" w:type="dxa"/>
          </w:tcPr>
          <w:p w:rsidR="00996E93" w:rsidRDefault="00996E93" w:rsidP="00524A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Obtained from national data providers (ONS, NRS, and NISRA)</w:t>
            </w:r>
            <w:r w:rsidR="00ED4711">
              <w:rPr>
                <w:rFonts w:cs="Arial"/>
                <w:sz w:val="20"/>
                <w:szCs w:val="20"/>
              </w:rPr>
              <w:t>, based on ICD-10 code for cause of death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61" w:type="dxa"/>
          </w:tcPr>
          <w:p w:rsidR="00996E93" w:rsidRDefault="00ED4711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Hanging/strangulation</w:t>
            </w:r>
          </w:p>
          <w:p w:rsidR="00ED4711" w:rsidRDefault="00ED4711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Self-poisoning</w:t>
            </w:r>
          </w:p>
          <w:p w:rsidR="00ED4711" w:rsidRDefault="00ED4711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Drowning</w:t>
            </w:r>
          </w:p>
          <w:p w:rsidR="00ED4711" w:rsidRDefault="00ED4711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Firearms</w:t>
            </w:r>
          </w:p>
          <w:p w:rsidR="00ED4711" w:rsidRDefault="00ED4711" w:rsidP="00C150AC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Jumping from a height/multiple injuries</w:t>
            </w:r>
          </w:p>
          <w:p w:rsidR="00ED4711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Jumping/lying before a train</w:t>
            </w:r>
          </w:p>
          <w:p w:rsidR="00ED4711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Jumping/lying before any other vehicle</w:t>
            </w:r>
          </w:p>
          <w:p w:rsidR="00ED4711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Burning</w:t>
            </w:r>
          </w:p>
          <w:p w:rsidR="00ED4711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Suffocation/asphyxiation</w:t>
            </w:r>
          </w:p>
          <w:p w:rsidR="00ED4711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Gas inhalation</w:t>
            </w:r>
          </w:p>
          <w:p w:rsidR="00ED4711" w:rsidRPr="00C150AC" w:rsidRDefault="00ED4711" w:rsidP="00ED4711">
            <w:pPr>
              <w:pStyle w:val="ListParagraph"/>
              <w:numPr>
                <w:ilvl w:val="0"/>
                <w:numId w:val="15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DD3F53" w:rsidTr="00103F76">
        <w:tc>
          <w:tcPr>
            <w:tcW w:w="2302" w:type="dxa"/>
          </w:tcPr>
          <w:p w:rsidR="00DD3F53" w:rsidRDefault="00DD3F53" w:rsidP="00D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</w:t>
            </w:r>
            <w:r w:rsidRPr="008B6568">
              <w:rPr>
                <w:sz w:val="20"/>
                <w:szCs w:val="20"/>
              </w:rPr>
              <w:t xml:space="preserve"> minority group</w:t>
            </w:r>
          </w:p>
        </w:tc>
        <w:tc>
          <w:tcPr>
            <w:tcW w:w="4004" w:type="dxa"/>
          </w:tcPr>
          <w:p w:rsidR="00DD3F53" w:rsidRDefault="00103F76" w:rsidP="00DD3F5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8E4A72">
              <w:rPr>
                <w:rFonts w:cs="Arial"/>
                <w:sz w:val="20"/>
                <w:szCs w:val="20"/>
              </w:rPr>
              <w:t>e.</w:t>
            </w:r>
            <w:r>
              <w:rPr>
                <w:rFonts w:cs="Arial"/>
                <w:sz w:val="20"/>
                <w:szCs w:val="20"/>
              </w:rPr>
              <w:t>g.</w:t>
            </w:r>
            <w:r w:rsidR="008E4A72">
              <w:rPr>
                <w:rFonts w:cs="Arial"/>
                <w:sz w:val="20"/>
                <w:szCs w:val="20"/>
              </w:rPr>
              <w:t xml:space="preserve"> coroner inquest, police report)</w:t>
            </w:r>
          </w:p>
        </w:tc>
        <w:tc>
          <w:tcPr>
            <w:tcW w:w="2761" w:type="dxa"/>
          </w:tcPr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 African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Black Caribbean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Indian/Pakistani/Bangladeshi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Chinese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White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Mixed Race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  <w:p w:rsidR="008E4A72" w:rsidRDefault="008E4A72" w:rsidP="00C150AC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known/not recorded</w:t>
            </w:r>
          </w:p>
          <w:p w:rsidR="008E4A72" w:rsidRDefault="008E4A72" w:rsidP="008E4A7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Also coded as a categorical variable:</w:t>
            </w:r>
          </w:p>
          <w:p w:rsidR="008E4A72" w:rsidRDefault="008E4A72" w:rsidP="008E4A72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</w:t>
            </w:r>
          </w:p>
          <w:p w:rsidR="002A0052" w:rsidRPr="008E4A72" w:rsidRDefault="002A0052" w:rsidP="008E4A72">
            <w:pPr>
              <w:pStyle w:val="ListParagraph"/>
              <w:numPr>
                <w:ilvl w:val="0"/>
                <w:numId w:val="16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</w:t>
            </w:r>
            <w:r w:rsidR="008E4A72">
              <w:rPr>
                <w:rFonts w:cs="Arial"/>
                <w:sz w:val="20"/>
                <w:szCs w:val="20"/>
              </w:rPr>
              <w:t>/unknown/not reported</w:t>
            </w:r>
          </w:p>
        </w:tc>
      </w:tr>
      <w:tr w:rsidR="00DD3F53" w:rsidTr="00103F76">
        <w:tc>
          <w:tcPr>
            <w:tcW w:w="2302" w:type="dxa"/>
          </w:tcPr>
          <w:p w:rsidR="00DD3F53" w:rsidRPr="008B6568" w:rsidRDefault="00DD3F53" w:rsidP="002A0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LGBT</w:t>
            </w:r>
            <w:r w:rsidR="002A0052">
              <w:rPr>
                <w:sz w:val="20"/>
                <w:szCs w:val="20"/>
              </w:rPr>
              <w:t xml:space="preserve"> status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4" w:type="dxa"/>
          </w:tcPr>
          <w:p w:rsidR="00DD3F53" w:rsidRDefault="008E4A72" w:rsidP="008E4A7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reported identifying as lesbian, gay, bisexual, transgender or uncertain of their sexuality prior to their death.</w:t>
            </w:r>
          </w:p>
        </w:tc>
        <w:tc>
          <w:tcPr>
            <w:tcW w:w="2761" w:type="dxa"/>
          </w:tcPr>
          <w:p w:rsidR="00C150AC" w:rsidRDefault="002A0052" w:rsidP="00C150AC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2A0052" w:rsidRPr="00C150AC" w:rsidRDefault="002A0052" w:rsidP="00C150AC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DD3F53" w:rsidTr="00103F76">
        <w:tc>
          <w:tcPr>
            <w:tcW w:w="2302" w:type="dxa"/>
          </w:tcPr>
          <w:p w:rsidR="00DD3F53" w:rsidRPr="008B6568" w:rsidRDefault="00DD3F53" w:rsidP="00D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pupil/student</w:t>
            </w:r>
          </w:p>
        </w:tc>
        <w:tc>
          <w:tcPr>
            <w:tcW w:w="4004" w:type="dxa"/>
          </w:tcPr>
          <w:p w:rsidR="00DD3F53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was attending school or was a full-time student in higher or further education.</w:t>
            </w:r>
          </w:p>
        </w:tc>
        <w:tc>
          <w:tcPr>
            <w:tcW w:w="2761" w:type="dxa"/>
          </w:tcPr>
          <w:p w:rsidR="00A279BA" w:rsidRDefault="00A279BA" w:rsidP="00A279B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DD3F53" w:rsidRPr="00A279BA" w:rsidRDefault="00A279BA" w:rsidP="00A279B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A279BA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DD3F53" w:rsidTr="00103F76">
        <w:tc>
          <w:tcPr>
            <w:tcW w:w="2302" w:type="dxa"/>
          </w:tcPr>
          <w:p w:rsidR="00DD3F53" w:rsidRPr="008B6568" w:rsidRDefault="00A279BA" w:rsidP="00A27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</w:t>
            </w:r>
          </w:p>
        </w:tc>
        <w:tc>
          <w:tcPr>
            <w:tcW w:w="4004" w:type="dxa"/>
          </w:tcPr>
          <w:p w:rsidR="00DD3F53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was in paid employed (including part-time or self-employment) or was in an employment or training scheme or an apprenticeship.</w:t>
            </w:r>
          </w:p>
        </w:tc>
        <w:tc>
          <w:tcPr>
            <w:tcW w:w="2761" w:type="dxa"/>
          </w:tcPr>
          <w:p w:rsidR="00A279BA" w:rsidRDefault="00042F35" w:rsidP="00A279B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Employed</w:t>
            </w:r>
          </w:p>
          <w:p w:rsidR="00DD3F53" w:rsidRPr="00A279BA" w:rsidRDefault="00042F35" w:rsidP="00A279BA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employed</w:t>
            </w:r>
            <w:r w:rsidR="00A279BA" w:rsidRPr="00A279BA">
              <w:rPr>
                <w:rFonts w:cs="Arial"/>
                <w:sz w:val="20"/>
                <w:szCs w:val="20"/>
              </w:rPr>
              <w:t>/unknown/not reported</w:t>
            </w:r>
          </w:p>
        </w:tc>
      </w:tr>
      <w:tr w:rsidR="00DD3F53" w:rsidTr="00103F76">
        <w:tc>
          <w:tcPr>
            <w:tcW w:w="2302" w:type="dxa"/>
          </w:tcPr>
          <w:p w:rsidR="00DD3F53" w:rsidRPr="00743F9D" w:rsidRDefault="00DD3F53" w:rsidP="00D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alone</w:t>
            </w:r>
          </w:p>
        </w:tc>
        <w:tc>
          <w:tcPr>
            <w:tcW w:w="4004" w:type="dxa"/>
          </w:tcPr>
          <w:p w:rsidR="00DD3F53" w:rsidRDefault="00872989" w:rsidP="0087298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lived alone (e.g. absence of parents, other household members or roommates).</w:t>
            </w:r>
          </w:p>
        </w:tc>
        <w:tc>
          <w:tcPr>
            <w:tcW w:w="2761" w:type="dxa"/>
          </w:tcPr>
          <w:p w:rsidR="00C150AC" w:rsidRDefault="00872989" w:rsidP="00C150AC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DD3F53" w:rsidRPr="00C150AC" w:rsidRDefault="00872989" w:rsidP="00C150AC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103F76" w:rsidTr="00103F76">
        <w:tc>
          <w:tcPr>
            <w:tcW w:w="2302" w:type="dxa"/>
          </w:tcPr>
          <w:p w:rsidR="00103F76" w:rsidRPr="008B6568" w:rsidRDefault="00103F76" w:rsidP="00103F76">
            <w:pPr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Socially isolated</w:t>
            </w:r>
          </w:p>
        </w:tc>
        <w:tc>
          <w:tcPr>
            <w:tcW w:w="4004" w:type="dxa"/>
          </w:tcPr>
          <w:p w:rsidR="00103F76" w:rsidRDefault="00103F76" w:rsidP="00103F76">
            <w:pPr>
              <w:pStyle w:val="ListParagraph"/>
              <w:ind w:left="0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(e.g. coroner inquests) that the person had no or few friends or had demonstrated behaviour such as isolating themselves in their bedroom more than usually expected.</w:t>
            </w:r>
          </w:p>
        </w:tc>
        <w:tc>
          <w:tcPr>
            <w:tcW w:w="2761" w:type="dxa"/>
          </w:tcPr>
          <w:p w:rsidR="00103F76" w:rsidRDefault="00103F76" w:rsidP="00103F7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103F76" w:rsidRPr="00C150AC" w:rsidRDefault="00103F76" w:rsidP="00103F76">
            <w:pPr>
              <w:pStyle w:val="ListParagraph"/>
              <w:numPr>
                <w:ilvl w:val="0"/>
                <w:numId w:val="19"/>
              </w:numPr>
              <w:ind w:left="175" w:right="-156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A279BA" w:rsidRDefault="00A279BA" w:rsidP="00A279BA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Supplementary 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2 (continued): Study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42"/>
      </w:tblGrid>
      <w:tr w:rsidR="00A279BA" w:rsidTr="00042F35">
        <w:tc>
          <w:tcPr>
            <w:tcW w:w="2689" w:type="dxa"/>
          </w:tcPr>
          <w:p w:rsidR="00A279BA" w:rsidRPr="00524A8B" w:rsidRDefault="00A279BA" w:rsidP="00A279BA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3685" w:type="dxa"/>
          </w:tcPr>
          <w:p w:rsidR="00A279BA" w:rsidRPr="00524A8B" w:rsidRDefault="00A279BA" w:rsidP="00A279BA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2642" w:type="dxa"/>
          </w:tcPr>
          <w:p w:rsidR="00A279BA" w:rsidRPr="00524A8B" w:rsidRDefault="00A279BA" w:rsidP="00A279BA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A279BA" w:rsidTr="00042F35">
        <w:tc>
          <w:tcPr>
            <w:tcW w:w="2689" w:type="dxa"/>
          </w:tcPr>
          <w:p w:rsidR="00A279BA" w:rsidRPr="008B6568" w:rsidRDefault="00A279BA" w:rsidP="00A279BA">
            <w:pPr>
              <w:widowControl w:val="0"/>
              <w:rPr>
                <w:sz w:val="20"/>
                <w:szCs w:val="20"/>
              </w:rPr>
            </w:pPr>
            <w:r w:rsidRPr="00524A8B">
              <w:rPr>
                <w:rFonts w:cstheme="minorHAnsi"/>
                <w:sz w:val="20"/>
                <w:szCs w:val="20"/>
              </w:rPr>
              <w:t>Family history of m</w:t>
            </w:r>
            <w:r>
              <w:rPr>
                <w:sz w:val="20"/>
                <w:szCs w:val="20"/>
              </w:rPr>
              <w:t>ental illness</w:t>
            </w:r>
          </w:p>
        </w:tc>
        <w:tc>
          <w:tcPr>
            <w:tcW w:w="3685" w:type="dxa"/>
          </w:tcPr>
          <w:p w:rsidR="00A279BA" w:rsidRDefault="00042F35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indicating that the person’s parent(s) (including step), carer, or sibling(s) had a history of mental illness. </w:t>
            </w:r>
          </w:p>
        </w:tc>
        <w:tc>
          <w:tcPr>
            <w:tcW w:w="2642" w:type="dxa"/>
          </w:tcPr>
          <w:p w:rsid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042F35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8B6568" w:rsidRDefault="00A279BA" w:rsidP="00A279BA">
            <w:pPr>
              <w:rPr>
                <w:sz w:val="20"/>
                <w:szCs w:val="20"/>
              </w:rPr>
            </w:pPr>
            <w:r w:rsidRPr="00524A8B">
              <w:rPr>
                <w:rFonts w:cstheme="minorHAnsi"/>
                <w:sz w:val="20"/>
                <w:szCs w:val="20"/>
              </w:rPr>
              <w:t xml:space="preserve">Family history of </w:t>
            </w:r>
            <w:r>
              <w:rPr>
                <w:rFonts w:cstheme="minorHAnsi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hysical illness</w:t>
            </w:r>
          </w:p>
        </w:tc>
        <w:tc>
          <w:tcPr>
            <w:tcW w:w="3685" w:type="dxa"/>
          </w:tcPr>
          <w:p w:rsidR="00A279BA" w:rsidRDefault="00042F35" w:rsidP="00042F35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indicating that the person’s parent(s) (including step), carer, or sibling(s) had a history of physical illness.</w:t>
            </w:r>
          </w:p>
        </w:tc>
        <w:tc>
          <w:tcPr>
            <w:tcW w:w="2642" w:type="dxa"/>
          </w:tcPr>
          <w:p w:rsid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042F35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8B6568" w:rsidRDefault="00A279BA" w:rsidP="00A279BA">
            <w:pPr>
              <w:rPr>
                <w:sz w:val="20"/>
                <w:szCs w:val="20"/>
              </w:rPr>
            </w:pPr>
            <w:r w:rsidRPr="00524A8B">
              <w:rPr>
                <w:rFonts w:cstheme="minorHAnsi"/>
                <w:sz w:val="20"/>
                <w:szCs w:val="20"/>
              </w:rPr>
              <w:t xml:space="preserve">Family history of 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lcohol and/or drug misuse</w:t>
            </w:r>
          </w:p>
        </w:tc>
        <w:tc>
          <w:tcPr>
            <w:tcW w:w="3685" w:type="dxa"/>
          </w:tcPr>
          <w:p w:rsidR="00A279BA" w:rsidRDefault="00042F35" w:rsidP="00042F35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indicating that the person’s parent(s) (including step), carer, or sibling(s) had a history of alcohol and/or drug misuse.</w:t>
            </w:r>
          </w:p>
        </w:tc>
        <w:tc>
          <w:tcPr>
            <w:tcW w:w="2642" w:type="dxa"/>
          </w:tcPr>
          <w:p w:rsid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042F35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687060" w:rsidRDefault="00A279BA" w:rsidP="00A279BA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Witnessing d</w:t>
            </w:r>
            <w:r w:rsidRPr="00743F9D">
              <w:rPr>
                <w:sz w:val="20"/>
                <w:szCs w:val="20"/>
              </w:rPr>
              <w:t>omestic violence</w:t>
            </w:r>
          </w:p>
        </w:tc>
        <w:tc>
          <w:tcPr>
            <w:tcW w:w="3685" w:type="dxa"/>
          </w:tcPr>
          <w:p w:rsidR="00A279BA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had been exposed to or witnessed domestic violence between parents (including step, or other primary caregivers).</w:t>
            </w:r>
          </w:p>
        </w:tc>
        <w:tc>
          <w:tcPr>
            <w:tcW w:w="2642" w:type="dxa"/>
          </w:tcPr>
          <w:p w:rsidR="00A279BA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C150AC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8B6568" w:rsidRDefault="00A279BA" w:rsidP="00A279BA">
            <w:pPr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Abuse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A279BA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had been p</w:t>
            </w:r>
            <w:r>
              <w:rPr>
                <w:sz w:val="20"/>
                <w:szCs w:val="20"/>
              </w:rPr>
              <w:t>hysically, emotionally, and/or sexually abused.</w:t>
            </w:r>
          </w:p>
        </w:tc>
        <w:tc>
          <w:tcPr>
            <w:tcW w:w="2642" w:type="dxa"/>
          </w:tcPr>
          <w:p w:rsidR="00A279BA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996E93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96E93">
              <w:rPr>
                <w:rFonts w:cs="Arial"/>
                <w:sz w:val="20"/>
                <w:szCs w:val="20"/>
              </w:rPr>
              <w:t xml:space="preserve">No/unknown/not reported </w:t>
            </w:r>
          </w:p>
        </w:tc>
      </w:tr>
      <w:tr w:rsidR="00A279BA" w:rsidTr="00042F35">
        <w:tc>
          <w:tcPr>
            <w:tcW w:w="2689" w:type="dxa"/>
          </w:tcPr>
          <w:p w:rsidR="00A279BA" w:rsidRPr="00687060" w:rsidRDefault="00A279BA" w:rsidP="00A279BA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Neglect</w:t>
            </w:r>
          </w:p>
        </w:tc>
        <w:tc>
          <w:tcPr>
            <w:tcW w:w="3685" w:type="dxa"/>
          </w:tcPr>
          <w:p w:rsidR="00A279BA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had experienced neglect by a parent (including step) or caregiver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2" w:type="dxa"/>
          </w:tcPr>
          <w:p w:rsidR="00A279BA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996E93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96E93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22767D" w:rsidRDefault="00A279BA" w:rsidP="00A279BA">
            <w:pPr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Bereav</w:t>
            </w:r>
            <w:r>
              <w:rPr>
                <w:sz w:val="20"/>
                <w:szCs w:val="20"/>
              </w:rPr>
              <w:t>ement</w:t>
            </w:r>
          </w:p>
        </w:tc>
        <w:tc>
          <w:tcPr>
            <w:tcW w:w="3685" w:type="dxa"/>
          </w:tcPr>
          <w:p w:rsidR="00A279BA" w:rsidRDefault="00A279BA" w:rsidP="00A279BA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someone known to the person had died, including a family member (son/daughter, parent, sibling, or other extended family member), friend or acquaintance, girlfriend/boyfriend, or other (including a pet). Includes death due to suicide, although this is also recorded separately.</w:t>
            </w:r>
          </w:p>
        </w:tc>
        <w:tc>
          <w:tcPr>
            <w:tcW w:w="2642" w:type="dxa"/>
          </w:tcPr>
          <w:p w:rsidR="00A279BA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C150AC" w:rsidRDefault="00A279BA" w:rsidP="00A279BA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A279BA" w:rsidTr="00042F35">
        <w:tc>
          <w:tcPr>
            <w:tcW w:w="2689" w:type="dxa"/>
          </w:tcPr>
          <w:p w:rsidR="00A279BA" w:rsidRPr="00743F9D" w:rsidRDefault="00A279BA" w:rsidP="00A279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43F9D">
              <w:rPr>
                <w:sz w:val="20"/>
                <w:szCs w:val="20"/>
              </w:rPr>
              <w:t>uicide</w:t>
            </w:r>
            <w:r>
              <w:rPr>
                <w:sz w:val="20"/>
                <w:szCs w:val="20"/>
              </w:rPr>
              <w:t xml:space="preserve"> bereavement</w:t>
            </w:r>
          </w:p>
        </w:tc>
        <w:tc>
          <w:tcPr>
            <w:tcW w:w="3685" w:type="dxa"/>
          </w:tcPr>
          <w:p w:rsidR="00A279BA" w:rsidRDefault="00042F35" w:rsidP="00042F35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someone known to the person had died by suicide, including a family member (parent, sibling, or other extended family member), friend or acquaintance (including work colleague), or girlfriend/boyfriend. Includes description in a data source referring to “died by [method of suicide]”, “”took/</w:t>
            </w:r>
            <w:r w:rsidR="00992D6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ended own life”.</w:t>
            </w:r>
          </w:p>
        </w:tc>
        <w:tc>
          <w:tcPr>
            <w:tcW w:w="2642" w:type="dxa"/>
          </w:tcPr>
          <w:p w:rsid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A279BA" w:rsidRPr="00042F35" w:rsidRDefault="00042F35" w:rsidP="00042F35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042F35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103F76" w:rsidTr="00042F35">
        <w:tc>
          <w:tcPr>
            <w:tcW w:w="2689" w:type="dxa"/>
          </w:tcPr>
          <w:p w:rsidR="00103F76" w:rsidRPr="0022767D" w:rsidRDefault="00103F76" w:rsidP="00103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Bullying (any)</w:t>
            </w:r>
          </w:p>
        </w:tc>
        <w:tc>
          <w:tcPr>
            <w:tcW w:w="3685" w:type="dxa"/>
          </w:tcPr>
          <w:p w:rsidR="00103F76" w:rsidRDefault="00103F76" w:rsidP="00103F7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(e.g. coroner inquests) that the person had experienced verbal or physical bullying by school peers or work colleagues at any time prior to their death.</w:t>
            </w:r>
          </w:p>
        </w:tc>
        <w:tc>
          <w:tcPr>
            <w:tcW w:w="2642" w:type="dxa"/>
          </w:tcPr>
          <w:p w:rsidR="00103F76" w:rsidRDefault="00103F76" w:rsidP="00103F7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103F76" w:rsidRPr="00992D6E" w:rsidRDefault="00103F76" w:rsidP="00103F7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92D6E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A279BA" w:rsidRDefault="00A279BA" w:rsidP="00524A8B">
      <w:pPr>
        <w:pStyle w:val="ListParagraph"/>
        <w:ind w:left="0"/>
        <w:rPr>
          <w:rFonts w:cs="Arial"/>
          <w:sz w:val="20"/>
          <w:szCs w:val="20"/>
        </w:rPr>
      </w:pPr>
    </w:p>
    <w:p w:rsidR="00A279BA" w:rsidRDefault="00A279BA" w:rsidP="00524A8B">
      <w:pPr>
        <w:pStyle w:val="ListParagraph"/>
        <w:ind w:left="0"/>
        <w:rPr>
          <w:rFonts w:cs="Arial"/>
          <w:sz w:val="20"/>
          <w:szCs w:val="20"/>
        </w:rPr>
      </w:pPr>
    </w:p>
    <w:p w:rsidR="00992D6E" w:rsidRDefault="00992D6E" w:rsidP="00524A8B">
      <w:pPr>
        <w:pStyle w:val="ListParagraph"/>
        <w:ind w:left="0"/>
        <w:rPr>
          <w:rFonts w:cs="Arial"/>
          <w:sz w:val="20"/>
          <w:szCs w:val="20"/>
        </w:rPr>
      </w:pPr>
    </w:p>
    <w:p w:rsidR="00992D6E" w:rsidRDefault="00992D6E" w:rsidP="00992D6E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Supplementary 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2 (continued): Study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42"/>
      </w:tblGrid>
      <w:tr w:rsidR="00992D6E" w:rsidTr="00992D6E">
        <w:tc>
          <w:tcPr>
            <w:tcW w:w="2689" w:type="dxa"/>
          </w:tcPr>
          <w:p w:rsidR="00992D6E" w:rsidRPr="00524A8B" w:rsidRDefault="00992D6E" w:rsidP="00992D6E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3685" w:type="dxa"/>
          </w:tcPr>
          <w:p w:rsidR="00992D6E" w:rsidRPr="00524A8B" w:rsidRDefault="00992D6E" w:rsidP="00992D6E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2642" w:type="dxa"/>
          </w:tcPr>
          <w:p w:rsidR="00992D6E" w:rsidRPr="00524A8B" w:rsidRDefault="00992D6E" w:rsidP="00992D6E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992D6E" w:rsidTr="00992D6E">
        <w:tc>
          <w:tcPr>
            <w:tcW w:w="2689" w:type="dxa"/>
          </w:tcPr>
          <w:p w:rsidR="00992D6E" w:rsidRPr="00DF10C1" w:rsidRDefault="00992D6E" w:rsidP="0099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pressures overall</w:t>
            </w:r>
          </w:p>
        </w:tc>
        <w:tc>
          <w:tcPr>
            <w:tcW w:w="3685" w:type="dxa"/>
          </w:tcPr>
          <w:p w:rsidR="00992D6E" w:rsidRDefault="00992D6E" w:rsidP="00992D6E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 w:rsidR="00103F7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coroner inquests) that the person was experiencing difficulties with school work, [perceived] failure to meet own, teacher or parent expectations, or other non-exam academic or student-related stresses (i.e. struggling with assignment(s), unhappy with course).</w:t>
            </w:r>
          </w:p>
        </w:tc>
        <w:tc>
          <w:tcPr>
            <w:tcW w:w="2642" w:type="dxa"/>
          </w:tcPr>
          <w:p w:rsid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992D6E" w:rsidRP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92D6E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992D6E" w:rsidTr="00992D6E">
        <w:tc>
          <w:tcPr>
            <w:tcW w:w="2689" w:type="dxa"/>
          </w:tcPr>
          <w:p w:rsidR="00992D6E" w:rsidRPr="00743F9D" w:rsidRDefault="00992D6E" w:rsidP="00992D6E">
            <w:pPr>
              <w:rPr>
                <w:b/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Current or impending exams or exam results</w:t>
            </w:r>
          </w:p>
        </w:tc>
        <w:tc>
          <w:tcPr>
            <w:tcW w:w="3685" w:type="dxa"/>
          </w:tcPr>
          <w:p w:rsidR="00992D6E" w:rsidRDefault="00992D6E" w:rsidP="00992D6E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rFonts w:cs="Arial"/>
                <w:sz w:val="20"/>
                <w:szCs w:val="20"/>
              </w:rPr>
              <w:t xml:space="preserve"> coroner inquests) that the person was anxious about current or impending exams or current or impending exam results.</w:t>
            </w:r>
          </w:p>
        </w:tc>
        <w:tc>
          <w:tcPr>
            <w:tcW w:w="2642" w:type="dxa"/>
          </w:tcPr>
          <w:p w:rsid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992D6E" w:rsidRP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92D6E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992D6E" w:rsidTr="00992D6E">
        <w:tc>
          <w:tcPr>
            <w:tcW w:w="2689" w:type="dxa"/>
          </w:tcPr>
          <w:p w:rsidR="00992D6E" w:rsidRPr="00743F9D" w:rsidRDefault="00992D6E" w:rsidP="00992D6E">
            <w:pPr>
              <w:widowControl w:val="0"/>
              <w:ind w:right="-108"/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Physical health condition</w:t>
            </w:r>
          </w:p>
        </w:tc>
        <w:tc>
          <w:tcPr>
            <w:tcW w:w="3685" w:type="dxa"/>
          </w:tcPr>
          <w:p w:rsidR="00992D6E" w:rsidRDefault="00992D6E" w:rsidP="00682E7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medical evidence heard during the coroner’s inquest or from other available data sources (e.g. child death investigation) that the person had a physical health condition at the time of death.</w:t>
            </w:r>
            <w:r w:rsidR="00682E7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</w:tcPr>
          <w:p w:rsid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682E7B" w:rsidRPr="00682E7B" w:rsidRDefault="00992D6E" w:rsidP="007605AC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682E7B">
              <w:rPr>
                <w:rFonts w:cs="Arial"/>
                <w:sz w:val="20"/>
                <w:szCs w:val="20"/>
              </w:rPr>
              <w:t>No/unknown/not reported</w:t>
            </w:r>
          </w:p>
          <w:p w:rsidR="00682E7B" w:rsidRDefault="00682E7B" w:rsidP="00682E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a physical health condition was reported, this was noted as free text and subsequently coded into one (or more) of the following variables:</w:t>
            </w:r>
          </w:p>
          <w:p w:rsid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Circulatory</w:t>
            </w:r>
          </w:p>
          <w:p w:rsidR="00682E7B" w:rsidRDefault="00CF2113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Dermatological</w:t>
            </w:r>
          </w:p>
          <w:p w:rsid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Digestive</w:t>
            </w:r>
          </w:p>
          <w:p w:rsidR="00682E7B" w:rsidRDefault="00CF2113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682E7B">
              <w:rPr>
                <w:rFonts w:cs="Arial"/>
                <w:sz w:val="20"/>
                <w:szCs w:val="20"/>
              </w:rPr>
              <w:t>ndocrine</w:t>
            </w:r>
            <w:r w:rsidR="00682E7B" w:rsidRPr="00682E7B">
              <w:rPr>
                <w:rFonts w:cs="Arial"/>
                <w:sz w:val="20"/>
                <w:szCs w:val="20"/>
              </w:rPr>
              <w:t xml:space="preserve">, </w:t>
            </w:r>
            <w:r w:rsidR="00682E7B">
              <w:rPr>
                <w:rFonts w:cs="Arial"/>
                <w:sz w:val="20"/>
                <w:szCs w:val="20"/>
              </w:rPr>
              <w:t>n</w:t>
            </w:r>
            <w:r w:rsidR="00682E7B" w:rsidRPr="00682E7B">
              <w:rPr>
                <w:rFonts w:cs="Arial"/>
                <w:sz w:val="20"/>
                <w:szCs w:val="20"/>
              </w:rPr>
              <w:t xml:space="preserve">utritional, </w:t>
            </w:r>
            <w:r w:rsidR="00682E7B">
              <w:rPr>
                <w:rFonts w:cs="Arial"/>
                <w:sz w:val="20"/>
                <w:szCs w:val="20"/>
              </w:rPr>
              <w:t xml:space="preserve">or </w:t>
            </w:r>
            <w:r w:rsidR="00682E7B" w:rsidRPr="00682E7B">
              <w:rPr>
                <w:rFonts w:cs="Arial"/>
                <w:sz w:val="20"/>
                <w:szCs w:val="20"/>
              </w:rPr>
              <w:t>metabolic</w:t>
            </w:r>
          </w:p>
          <w:p w:rsid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External cause of in</w:t>
            </w:r>
            <w:r w:rsidR="00CF2113">
              <w:rPr>
                <w:rFonts w:cs="Arial"/>
                <w:sz w:val="20"/>
                <w:szCs w:val="20"/>
              </w:rPr>
              <w:t>jury</w:t>
            </w:r>
          </w:p>
          <w:p w:rsid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Genitourinary</w:t>
            </w:r>
          </w:p>
          <w:p w:rsidR="00CF2113" w:rsidRDefault="00CF2113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Musculoskeletal</w:t>
            </w:r>
          </w:p>
          <w:p w:rsid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Nervous system</w:t>
            </w:r>
          </w:p>
          <w:p w:rsidR="00682E7B" w:rsidRDefault="00CF2113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Respiratory</w:t>
            </w:r>
          </w:p>
          <w:p w:rsidR="00682E7B" w:rsidRPr="00682E7B" w:rsidRDefault="00682E7B" w:rsidP="00CF2113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 w:rsidR="00CF2113">
              <w:rPr>
                <w:rFonts w:cs="Arial"/>
                <w:sz w:val="20"/>
                <w:szCs w:val="20"/>
              </w:rPr>
              <w:t>/not elsewhere classified</w:t>
            </w:r>
          </w:p>
        </w:tc>
      </w:tr>
      <w:tr w:rsidR="00992D6E" w:rsidTr="00992D6E">
        <w:tc>
          <w:tcPr>
            <w:tcW w:w="2689" w:type="dxa"/>
          </w:tcPr>
          <w:p w:rsidR="00992D6E" w:rsidRPr="00DF10C1" w:rsidRDefault="00992D6E" w:rsidP="00992D6E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a</w:t>
            </w:r>
            <w:r w:rsidRPr="00743F9D">
              <w:rPr>
                <w:sz w:val="20"/>
                <w:szCs w:val="20"/>
              </w:rPr>
              <w:t>lcohol use</w:t>
            </w:r>
          </w:p>
        </w:tc>
        <w:tc>
          <w:tcPr>
            <w:tcW w:w="3685" w:type="dxa"/>
          </w:tcPr>
          <w:p w:rsidR="00992D6E" w:rsidRDefault="00992D6E" w:rsidP="00992D6E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Alcohol use was recorded from data sources (i.e. coroner inquests) if there was reported evidence of, e.g. alcohol consumption at a level of misuse, persistent heavy drinking, or binge drinking.  </w:t>
            </w:r>
          </w:p>
        </w:tc>
        <w:tc>
          <w:tcPr>
            <w:tcW w:w="2642" w:type="dxa"/>
          </w:tcPr>
          <w:p w:rsidR="00992D6E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992D6E" w:rsidRPr="007B6524" w:rsidRDefault="00992D6E" w:rsidP="00992D6E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7B6524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992D6E" w:rsidTr="00CF2113">
        <w:tc>
          <w:tcPr>
            <w:tcW w:w="2689" w:type="dxa"/>
          </w:tcPr>
          <w:p w:rsidR="00992D6E" w:rsidRPr="00743F9D" w:rsidRDefault="00992D6E" w:rsidP="00CF2113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Illicit drug use</w:t>
            </w:r>
          </w:p>
        </w:tc>
        <w:tc>
          <w:tcPr>
            <w:tcW w:w="3685" w:type="dxa"/>
          </w:tcPr>
          <w:p w:rsidR="00992D6E" w:rsidRDefault="00CF2113" w:rsidP="00CF2113">
            <w:pPr>
              <w:ind w:left="2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Drug use was recorded from data sources (i.e. coroner inquests) if there was any reported evidence of the consumption of illicit drugs including heroin or other opiates, stimulants </w:t>
            </w:r>
            <w:r w:rsidRPr="00CF2113">
              <w:rPr>
                <w:rFonts w:ascii="Calibri" w:hAnsi="Calibri" w:cs="Calibri"/>
                <w:sz w:val="20"/>
                <w:szCs w:val="20"/>
              </w:rPr>
              <w:t>(e.g. amphetamines, LSD/mushrooms, crack/</w:t>
            </w:r>
            <w:r w:rsidRPr="00CF2113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139065</wp:posOffset>
                      </wp:positionV>
                      <wp:extent cx="342900" cy="342900"/>
                      <wp:effectExtent l="9525" t="5715" r="952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8B5BE" id="Rectangle 1" o:spid="_x0000_s1026" style="position:absolute;margin-left:393pt;margin-top:10.9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"/>
                  </w:pict>
                </mc:Fallback>
              </mc:AlternateContent>
            </w:r>
            <w:r w:rsidRPr="00CF2113">
              <w:rPr>
                <w:rFonts w:ascii="Calibri" w:hAnsi="Calibri" w:cs="Calibri"/>
                <w:sz w:val="20"/>
                <w:szCs w:val="20"/>
              </w:rPr>
              <w:t>cocaine, ecstasy)</w:t>
            </w:r>
            <w:r>
              <w:rPr>
                <w:rFonts w:cs="Arial"/>
                <w:sz w:val="20"/>
                <w:szCs w:val="20"/>
              </w:rPr>
              <w:t>, benzodiazepines (excluding prescribed), cannabis, or novel psychoactive substances at any time prior to death.</w:t>
            </w:r>
          </w:p>
        </w:tc>
        <w:tc>
          <w:tcPr>
            <w:tcW w:w="2642" w:type="dxa"/>
          </w:tcPr>
          <w:p w:rsidR="00CF2113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992D6E" w:rsidRPr="00CF2113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F2113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992D6E" w:rsidRDefault="00992D6E" w:rsidP="00992D6E">
      <w:pPr>
        <w:pStyle w:val="ListParagraph"/>
        <w:ind w:left="0"/>
        <w:rPr>
          <w:rFonts w:cs="Arial"/>
          <w:sz w:val="20"/>
          <w:szCs w:val="20"/>
        </w:rPr>
      </w:pPr>
    </w:p>
    <w:p w:rsidR="00CF2113" w:rsidRDefault="00CF2113" w:rsidP="00992D6E">
      <w:pPr>
        <w:pStyle w:val="ListParagraph"/>
        <w:ind w:left="0"/>
        <w:rPr>
          <w:rFonts w:cs="Arial"/>
          <w:sz w:val="20"/>
          <w:szCs w:val="20"/>
        </w:rPr>
      </w:pPr>
    </w:p>
    <w:p w:rsidR="00103F76" w:rsidRDefault="00103F76" w:rsidP="00CF2113">
      <w:pPr>
        <w:spacing w:after="120"/>
        <w:rPr>
          <w:rFonts w:cs="Arial"/>
          <w:b/>
        </w:rPr>
      </w:pPr>
    </w:p>
    <w:p w:rsidR="00103F76" w:rsidRDefault="00103F76" w:rsidP="00CF2113">
      <w:pPr>
        <w:spacing w:after="120"/>
        <w:rPr>
          <w:rFonts w:cs="Arial"/>
          <w:b/>
        </w:rPr>
      </w:pPr>
    </w:p>
    <w:p w:rsidR="00CF2113" w:rsidRDefault="00CF2113" w:rsidP="00CF2113">
      <w:pPr>
        <w:spacing w:after="12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lastRenderedPageBreak/>
        <w:t>Supplementary 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2 (continued): Study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42"/>
      </w:tblGrid>
      <w:tr w:rsidR="00CF2113" w:rsidTr="00CF2113">
        <w:tc>
          <w:tcPr>
            <w:tcW w:w="2689" w:type="dxa"/>
          </w:tcPr>
          <w:p w:rsidR="00CF2113" w:rsidRPr="00524A8B" w:rsidRDefault="00CF2113" w:rsidP="00CF2113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3685" w:type="dxa"/>
          </w:tcPr>
          <w:p w:rsidR="00CF2113" w:rsidRPr="00524A8B" w:rsidRDefault="00CF2113" w:rsidP="00CF2113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2642" w:type="dxa"/>
          </w:tcPr>
          <w:p w:rsidR="00CF2113" w:rsidRPr="00524A8B" w:rsidRDefault="00CF2113" w:rsidP="00CF2113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CF2113" w:rsidTr="00CF2113">
        <w:tc>
          <w:tcPr>
            <w:tcW w:w="2689" w:type="dxa"/>
          </w:tcPr>
          <w:p w:rsidR="00CF2113" w:rsidRPr="00743F9D" w:rsidRDefault="00CF2113" w:rsidP="00CF2113">
            <w:pPr>
              <w:widowControl w:val="0"/>
              <w:ind w:right="-108"/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Previous self-harm</w:t>
            </w:r>
          </w:p>
        </w:tc>
        <w:tc>
          <w:tcPr>
            <w:tcW w:w="3685" w:type="dxa"/>
          </w:tcPr>
          <w:p w:rsidR="00CF2113" w:rsidRDefault="00CF2113" w:rsidP="00D55FE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that the person had self-harmed (including suicide attempt)</w:t>
            </w:r>
            <w:r w:rsidR="00D55FE3">
              <w:rPr>
                <w:rFonts w:cs="Arial"/>
                <w:sz w:val="20"/>
                <w:szCs w:val="20"/>
              </w:rPr>
              <w:t>, irrespective of intent, in their lifetime. Includes reported evidence of presenting to healthcare services (i.e. GP, A&amp;E) for self-harm, descriptions from informants of previous self-harm or suicide attempts, and indirect evidence from autopsy reports (e.g. evidence of wounds or healed wounds to wrist or consistent with cutting).</w:t>
            </w:r>
          </w:p>
        </w:tc>
        <w:tc>
          <w:tcPr>
            <w:tcW w:w="2642" w:type="dxa"/>
          </w:tcPr>
          <w:p w:rsidR="00D55FE3" w:rsidRDefault="00D55FE3" w:rsidP="00D55FE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CF2113" w:rsidRPr="00D55FE3" w:rsidRDefault="00D55FE3" w:rsidP="00D55FE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D55FE3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CF2113" w:rsidTr="00CF2113">
        <w:tc>
          <w:tcPr>
            <w:tcW w:w="2689" w:type="dxa"/>
          </w:tcPr>
          <w:p w:rsidR="00CF2113" w:rsidRPr="005D5245" w:rsidRDefault="00CF2113" w:rsidP="00CF21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r</w:t>
            </w:r>
            <w:r w:rsidRPr="00743F9D">
              <w:rPr>
                <w:sz w:val="20"/>
                <w:szCs w:val="20"/>
              </w:rPr>
              <w:t xml:space="preserve">ecent episode of self-harm </w:t>
            </w:r>
          </w:p>
        </w:tc>
        <w:tc>
          <w:tcPr>
            <w:tcW w:w="3685" w:type="dxa"/>
          </w:tcPr>
          <w:p w:rsidR="00CF2113" w:rsidRDefault="00CF2113" w:rsidP="00CF211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Recorded from medical evidence heard during the coroner inquest, NCISH data or an NHS serious incident report that the last episode of self-harm prior to death </w:t>
            </w:r>
            <w:r w:rsidRPr="00743F9D">
              <w:rPr>
                <w:sz w:val="20"/>
                <w:szCs w:val="20"/>
              </w:rPr>
              <w:t>required medical treatment</w:t>
            </w:r>
            <w:r>
              <w:rPr>
                <w:sz w:val="20"/>
                <w:szCs w:val="20"/>
              </w:rPr>
              <w:t xml:space="preserve"> from a GP or in hospital.</w:t>
            </w:r>
          </w:p>
        </w:tc>
        <w:tc>
          <w:tcPr>
            <w:tcW w:w="2642" w:type="dxa"/>
          </w:tcPr>
          <w:p w:rsidR="00CF2113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CF2113" w:rsidRPr="009748BF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748BF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CF2113" w:rsidTr="00CF2113">
        <w:tc>
          <w:tcPr>
            <w:tcW w:w="2689" w:type="dxa"/>
          </w:tcPr>
          <w:p w:rsidR="00CF2113" w:rsidRDefault="00CF2113" w:rsidP="00CF2113">
            <w:pPr>
              <w:rPr>
                <w:b/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Suicidal intent/ideas</w:t>
            </w:r>
          </w:p>
        </w:tc>
        <w:tc>
          <w:tcPr>
            <w:tcW w:w="3685" w:type="dxa"/>
          </w:tcPr>
          <w:p w:rsidR="00CF2113" w:rsidRDefault="00CF2113" w:rsidP="00CF211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that the person had expressed suicidal ideation or indicated that they wanted to take their own life. This included written (excluding in a suicide note) or verbal communication, text and email communication, and content about suicidal ideation posted on social media (also recorded separately).</w:t>
            </w:r>
          </w:p>
        </w:tc>
        <w:tc>
          <w:tcPr>
            <w:tcW w:w="2642" w:type="dxa"/>
          </w:tcPr>
          <w:p w:rsidR="00CF2113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CF2113" w:rsidRPr="0075610B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75610B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CF2113" w:rsidTr="00CF2113">
        <w:tc>
          <w:tcPr>
            <w:tcW w:w="2689" w:type="dxa"/>
          </w:tcPr>
          <w:p w:rsidR="00CF2113" w:rsidRPr="005D5245" w:rsidRDefault="00CF2113" w:rsidP="00CF2113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43F9D">
              <w:rPr>
                <w:sz w:val="20"/>
                <w:szCs w:val="20"/>
              </w:rPr>
              <w:t>iagnosis of menta</w:t>
            </w:r>
            <w:r>
              <w:rPr>
                <w:sz w:val="20"/>
                <w:szCs w:val="20"/>
              </w:rPr>
              <w:t>l illness</w:t>
            </w:r>
          </w:p>
        </w:tc>
        <w:tc>
          <w:tcPr>
            <w:tcW w:w="3685" w:type="dxa"/>
          </w:tcPr>
          <w:p w:rsidR="00CF2113" w:rsidRDefault="00CF2113" w:rsidP="00CF211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medical evidence heard during the coroner inquest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from a GP or consultant psychiatrist), NCISH data or an NHS serious incident report that the person had a diagnosis of mental illness prior to their death.</w:t>
            </w:r>
          </w:p>
        </w:tc>
        <w:tc>
          <w:tcPr>
            <w:tcW w:w="2642" w:type="dxa"/>
          </w:tcPr>
          <w:p w:rsidR="00CF211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Schizophrenia and other delusional disorders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Bipolar affective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Depression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Anxiety disorder</w:t>
            </w:r>
          </w:p>
          <w:p w:rsidR="00D55FE3" w:rsidRDefault="00E92556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OCD</w:t>
            </w:r>
          </w:p>
          <w:p w:rsidR="00D55FE3" w:rsidRDefault="00E92556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PTSD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Eating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Alcohol dependence/</w:t>
            </w:r>
            <w:r w:rsidR="00E92556">
              <w:rPr>
                <w:rFonts w:cs="Arial"/>
                <w:sz w:val="20"/>
                <w:szCs w:val="20"/>
              </w:rPr>
              <w:t xml:space="preserve"> m</w:t>
            </w:r>
            <w:r>
              <w:rPr>
                <w:rFonts w:cs="Arial"/>
                <w:sz w:val="20"/>
                <w:szCs w:val="20"/>
              </w:rPr>
              <w:t>isuse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 dependence/misuse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Personality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Adjustment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Learning </w:t>
            </w:r>
            <w:r w:rsidR="00E92556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isability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Pervasive developmental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Autistic spectrum disorder</w:t>
            </w:r>
          </w:p>
          <w:p w:rsidR="00D55FE3" w:rsidRDefault="00E92556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ADHD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Mental disorder present but unable to specify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mental disorder</w:t>
            </w:r>
          </w:p>
          <w:p w:rsidR="00D55FE3" w:rsidRDefault="00D55FE3" w:rsidP="00D55FE3">
            <w:pPr>
              <w:pStyle w:val="ListParagraph"/>
              <w:numPr>
                <w:ilvl w:val="0"/>
                <w:numId w:val="21"/>
              </w:numPr>
              <w:ind w:left="171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Unknown/not reported</w:t>
            </w:r>
          </w:p>
          <w:p w:rsidR="00CF2113" w:rsidRDefault="00CF2113" w:rsidP="00CF211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Also coded as a dichotomous variable:</w:t>
            </w:r>
          </w:p>
          <w:p w:rsidR="00CF2113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CF2113" w:rsidRPr="009748BF" w:rsidRDefault="00CF2113" w:rsidP="00CF2113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748BF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E92556" w:rsidRDefault="00E92556" w:rsidP="00E92556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Supplementary 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2 (continued): Study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E92556" w:rsidTr="00536437">
        <w:tc>
          <w:tcPr>
            <w:tcW w:w="2689" w:type="dxa"/>
          </w:tcPr>
          <w:p w:rsidR="00E92556" w:rsidRPr="00524A8B" w:rsidRDefault="00E92556" w:rsidP="00E92556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3321" w:type="dxa"/>
          </w:tcPr>
          <w:p w:rsidR="00E92556" w:rsidRPr="00524A8B" w:rsidRDefault="00E92556" w:rsidP="00E92556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3006" w:type="dxa"/>
          </w:tcPr>
          <w:p w:rsidR="00E92556" w:rsidRPr="00524A8B" w:rsidRDefault="00E92556" w:rsidP="00E92556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E92556" w:rsidTr="00C16FB1">
        <w:tc>
          <w:tcPr>
            <w:tcW w:w="2689" w:type="dxa"/>
          </w:tcPr>
          <w:p w:rsidR="00E92556" w:rsidRPr="00743F9D" w:rsidRDefault="00E92556" w:rsidP="00E925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of affective disorder</w:t>
            </w:r>
          </w:p>
        </w:tc>
        <w:tc>
          <w:tcPr>
            <w:tcW w:w="3321" w:type="dxa"/>
          </w:tcPr>
          <w:p w:rsidR="00E92556" w:rsidRDefault="00E92556" w:rsidP="00E9255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medical evidence heard during the coroner inquest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from a GP or consultant psychiatrist), NCISH data or an NHS serious incident report that the person had a diagnosis of </w:t>
            </w:r>
            <w:r w:rsidRPr="00743F9D">
              <w:rPr>
                <w:sz w:val="20"/>
                <w:szCs w:val="20"/>
              </w:rPr>
              <w:t xml:space="preserve">bipolar disorder </w:t>
            </w:r>
            <w:r>
              <w:rPr>
                <w:sz w:val="20"/>
                <w:szCs w:val="20"/>
              </w:rPr>
              <w:t>or</w:t>
            </w:r>
            <w:r w:rsidRPr="00743F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depression prior to their death.</w:t>
            </w:r>
          </w:p>
        </w:tc>
        <w:tc>
          <w:tcPr>
            <w:tcW w:w="3006" w:type="dxa"/>
          </w:tcPr>
          <w:p w:rsidR="00E92556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9748BF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748BF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C16FB1">
        <w:tc>
          <w:tcPr>
            <w:tcW w:w="2689" w:type="dxa"/>
          </w:tcPr>
          <w:p w:rsidR="00E92556" w:rsidRPr="00743F9D" w:rsidRDefault="00E92556" w:rsidP="00E92556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of a</w:t>
            </w:r>
            <w:r w:rsidRPr="00743F9D">
              <w:rPr>
                <w:sz w:val="20"/>
                <w:szCs w:val="20"/>
              </w:rPr>
              <w:t>nxiety/</w:t>
            </w:r>
            <w:r>
              <w:rPr>
                <w:sz w:val="20"/>
                <w:szCs w:val="20"/>
              </w:rPr>
              <w:t>OCD/PTSD</w:t>
            </w:r>
          </w:p>
        </w:tc>
        <w:tc>
          <w:tcPr>
            <w:tcW w:w="3321" w:type="dxa"/>
          </w:tcPr>
          <w:p w:rsidR="00E92556" w:rsidRDefault="00E92556" w:rsidP="00E9255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medical evidence heard during the coroner inquest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from a GP or consultant psychiatrist), NCISH data or an NHS serious incident report that the person had a diagnosis of a</w:t>
            </w:r>
            <w:r w:rsidRPr="00743F9D">
              <w:rPr>
                <w:sz w:val="20"/>
                <w:szCs w:val="20"/>
              </w:rPr>
              <w:t>nxiety</w:t>
            </w:r>
            <w:r>
              <w:rPr>
                <w:sz w:val="20"/>
                <w:szCs w:val="20"/>
              </w:rPr>
              <w:t>, o</w:t>
            </w:r>
            <w:r w:rsidRPr="00743F9D">
              <w:rPr>
                <w:sz w:val="20"/>
                <w:szCs w:val="20"/>
              </w:rPr>
              <w:t>bsessive compulsive</w:t>
            </w:r>
            <w:r>
              <w:rPr>
                <w:sz w:val="20"/>
                <w:szCs w:val="20"/>
              </w:rPr>
              <w:t xml:space="preserve"> and/or post-traumatic stress disorder prior to their death.</w:t>
            </w:r>
          </w:p>
        </w:tc>
        <w:tc>
          <w:tcPr>
            <w:tcW w:w="3006" w:type="dxa"/>
          </w:tcPr>
          <w:p w:rsidR="00E92556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9748BF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9748BF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347A33">
        <w:tc>
          <w:tcPr>
            <w:tcW w:w="2689" w:type="dxa"/>
            <w:vAlign w:val="center"/>
          </w:tcPr>
          <w:p w:rsidR="00E92556" w:rsidRPr="005D5245" w:rsidRDefault="00E92556" w:rsidP="00E925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43F9D">
              <w:rPr>
                <w:sz w:val="20"/>
                <w:szCs w:val="20"/>
              </w:rPr>
              <w:t>elationship break-up</w:t>
            </w:r>
          </w:p>
        </w:tc>
        <w:tc>
          <w:tcPr>
            <w:tcW w:w="3321" w:type="dxa"/>
          </w:tcPr>
          <w:p w:rsidR="00E92556" w:rsidRDefault="00E92556" w:rsidP="00E9255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that the person had a relationship breakup with their partner (whether co-habiting or not) in the 3 months prior to their death. Includes boyfriend/girlfriend relationships (including online).</w:t>
            </w:r>
          </w:p>
        </w:tc>
        <w:tc>
          <w:tcPr>
            <w:tcW w:w="3006" w:type="dxa"/>
          </w:tcPr>
          <w:p w:rsidR="00E92556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E92556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E92556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347A33">
        <w:tc>
          <w:tcPr>
            <w:tcW w:w="2689" w:type="dxa"/>
            <w:vAlign w:val="center"/>
          </w:tcPr>
          <w:p w:rsidR="00E92556" w:rsidRPr="00743F9D" w:rsidRDefault="00E92556" w:rsidP="00E92556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43F9D">
              <w:rPr>
                <w:sz w:val="20"/>
                <w:szCs w:val="20"/>
              </w:rPr>
              <w:t>elationship problems</w:t>
            </w:r>
          </w:p>
        </w:tc>
        <w:tc>
          <w:tcPr>
            <w:tcW w:w="3321" w:type="dxa"/>
          </w:tcPr>
          <w:p w:rsidR="00E92556" w:rsidRDefault="00E92556" w:rsidP="00E9255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Recorded from data sources that the person experienced recent arguments with a current or ex-partner, being in an on/off relationship or difficulties with a relationship in the 3 months prior to their death. Excludes a relationship breakup.</w:t>
            </w:r>
          </w:p>
        </w:tc>
        <w:tc>
          <w:tcPr>
            <w:tcW w:w="3006" w:type="dxa"/>
          </w:tcPr>
          <w:p w:rsidR="00E92556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AD1D1E" w:rsidRDefault="00E92556" w:rsidP="00E92556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AD1D1E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8952B7">
        <w:tc>
          <w:tcPr>
            <w:tcW w:w="2689" w:type="dxa"/>
          </w:tcPr>
          <w:p w:rsidR="00E92556" w:rsidRDefault="00E92556" w:rsidP="008952B7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 problems</w:t>
            </w:r>
          </w:p>
        </w:tc>
        <w:tc>
          <w:tcPr>
            <w:tcW w:w="3321" w:type="dxa"/>
          </w:tcPr>
          <w:p w:rsidR="00E92556" w:rsidRDefault="00E92556" w:rsidP="008952B7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data sources that the person had experienced</w:t>
            </w:r>
            <w:r w:rsidR="008952B7">
              <w:rPr>
                <w:sz w:val="20"/>
                <w:szCs w:val="20"/>
              </w:rPr>
              <w:t xml:space="preserve"> housing instability in the 3 months prior to death, including problems with their accommodation and/or </w:t>
            </w:r>
            <w:r>
              <w:rPr>
                <w:sz w:val="20"/>
                <w:szCs w:val="20"/>
              </w:rPr>
              <w:t>having recently changed accommodation</w:t>
            </w:r>
            <w:r w:rsidR="008952B7">
              <w:rPr>
                <w:sz w:val="20"/>
                <w:szCs w:val="20"/>
              </w:rPr>
              <w:t>, including moving house.</w:t>
            </w:r>
          </w:p>
        </w:tc>
        <w:tc>
          <w:tcPr>
            <w:tcW w:w="3006" w:type="dxa"/>
          </w:tcPr>
          <w:p w:rsidR="008952B7" w:rsidRDefault="008952B7" w:rsidP="008952B7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8952B7" w:rsidRDefault="008952B7" w:rsidP="008952B7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8952B7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8952B7">
        <w:tc>
          <w:tcPr>
            <w:tcW w:w="2689" w:type="dxa"/>
          </w:tcPr>
          <w:p w:rsidR="00E92556" w:rsidRDefault="00E92556" w:rsidP="008952B7">
            <w:pPr>
              <w:widowControl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problems</w:t>
            </w:r>
          </w:p>
        </w:tc>
        <w:tc>
          <w:tcPr>
            <w:tcW w:w="3321" w:type="dxa"/>
          </w:tcPr>
          <w:p w:rsidR="00E92556" w:rsidRPr="008952B7" w:rsidRDefault="008952B7" w:rsidP="008952B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data sources that the person had experienced p</w:t>
            </w:r>
            <w:r>
              <w:rPr>
                <w:rFonts w:cstheme="minorHAnsi"/>
                <w:sz w:val="20"/>
                <w:szCs w:val="20"/>
              </w:rPr>
              <w:t>roblems in the workplace such as loss of job (redundancy, quitting job, being fired)</w:t>
            </w:r>
            <w:r w:rsidRPr="008952B7">
              <w:rPr>
                <w:rFonts w:cstheme="minorHAnsi"/>
                <w:sz w:val="20"/>
                <w:szCs w:val="20"/>
              </w:rPr>
              <w:t xml:space="preserve">, unemployment, </w:t>
            </w:r>
            <w:r>
              <w:rPr>
                <w:rFonts w:cstheme="minorHAnsi"/>
                <w:sz w:val="20"/>
                <w:szCs w:val="20"/>
              </w:rPr>
              <w:t>or other workplace problems (including with colleagues).</w:t>
            </w:r>
          </w:p>
        </w:tc>
        <w:tc>
          <w:tcPr>
            <w:tcW w:w="3006" w:type="dxa"/>
          </w:tcPr>
          <w:p w:rsidR="008952B7" w:rsidRDefault="008952B7" w:rsidP="008952B7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8952B7" w:rsidRDefault="008952B7" w:rsidP="008952B7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8952B7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E92556" w:rsidTr="00A92F9C">
        <w:tc>
          <w:tcPr>
            <w:tcW w:w="2689" w:type="dxa"/>
          </w:tcPr>
          <w:p w:rsidR="00E92556" w:rsidRPr="005D5245" w:rsidRDefault="00E92556" w:rsidP="00A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43F9D">
              <w:rPr>
                <w:sz w:val="20"/>
                <w:szCs w:val="20"/>
              </w:rPr>
              <w:t>ental health ser</w:t>
            </w:r>
            <w:r>
              <w:rPr>
                <w:sz w:val="20"/>
                <w:szCs w:val="20"/>
              </w:rPr>
              <w:t xml:space="preserve">vices </w:t>
            </w:r>
          </w:p>
        </w:tc>
        <w:tc>
          <w:tcPr>
            <w:tcW w:w="3321" w:type="dxa"/>
          </w:tcPr>
          <w:p w:rsidR="00E92556" w:rsidRDefault="008952B7" w:rsidP="00A92F9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medical evidence heard during the coroner inquest (</w:t>
            </w:r>
            <w:r w:rsidR="00103F76">
              <w:rPr>
                <w:rFonts w:cs="Arial"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from a GP or consultant psychiatrist), NCISH data or an NHS serious incident report that the person or other informant report that the person had </w:t>
            </w:r>
            <w:r w:rsidR="00A92F9C">
              <w:rPr>
                <w:sz w:val="20"/>
                <w:szCs w:val="20"/>
              </w:rPr>
              <w:t xml:space="preserve">previous or current </w:t>
            </w:r>
            <w:r>
              <w:rPr>
                <w:sz w:val="20"/>
                <w:szCs w:val="20"/>
              </w:rPr>
              <w:t xml:space="preserve">contact with </w:t>
            </w:r>
            <w:r w:rsidR="00E92556">
              <w:rPr>
                <w:sz w:val="20"/>
                <w:szCs w:val="20"/>
              </w:rPr>
              <w:t xml:space="preserve">CAMHS and/or adult </w:t>
            </w:r>
            <w:r>
              <w:rPr>
                <w:sz w:val="20"/>
                <w:szCs w:val="20"/>
              </w:rPr>
              <w:t xml:space="preserve">mental health </w:t>
            </w:r>
            <w:r w:rsidR="00E92556">
              <w:rPr>
                <w:sz w:val="20"/>
                <w:szCs w:val="20"/>
              </w:rPr>
              <w:t>services</w:t>
            </w:r>
            <w:r>
              <w:rPr>
                <w:sz w:val="20"/>
                <w:szCs w:val="20"/>
              </w:rPr>
              <w:t>, including alcohol and drug services</w:t>
            </w:r>
            <w:r w:rsidR="00A92F9C"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A92F9C" w:rsidRDefault="00A92F9C" w:rsidP="00A92F9C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E92556" w:rsidRPr="00A92F9C" w:rsidRDefault="00A92F9C" w:rsidP="00A92F9C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A92F9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E92556" w:rsidRDefault="00E92556" w:rsidP="00524A8B">
      <w:pPr>
        <w:pStyle w:val="ListParagraph"/>
        <w:ind w:left="0"/>
        <w:rPr>
          <w:rFonts w:cs="Arial"/>
          <w:sz w:val="20"/>
          <w:szCs w:val="20"/>
        </w:rPr>
      </w:pPr>
    </w:p>
    <w:p w:rsidR="0016142B" w:rsidRDefault="0016142B" w:rsidP="0016142B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Supplementary T</w:t>
      </w:r>
      <w:r w:rsidRPr="00911B51">
        <w:rPr>
          <w:rFonts w:cs="Arial"/>
          <w:b/>
        </w:rPr>
        <w:t>able</w:t>
      </w:r>
      <w:r>
        <w:rPr>
          <w:rFonts w:cs="Arial"/>
          <w:b/>
        </w:rPr>
        <w:t xml:space="preserve"> 2 (continued): Study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142B" w:rsidTr="0016142B">
        <w:tc>
          <w:tcPr>
            <w:tcW w:w="3005" w:type="dxa"/>
          </w:tcPr>
          <w:p w:rsidR="0016142B" w:rsidRPr="00524A8B" w:rsidRDefault="0016142B" w:rsidP="0016142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Variable</w:t>
            </w:r>
          </w:p>
        </w:tc>
        <w:tc>
          <w:tcPr>
            <w:tcW w:w="3005" w:type="dxa"/>
          </w:tcPr>
          <w:p w:rsidR="0016142B" w:rsidRPr="00524A8B" w:rsidRDefault="0016142B" w:rsidP="0016142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Definition and ascertainment</w:t>
            </w:r>
          </w:p>
        </w:tc>
        <w:tc>
          <w:tcPr>
            <w:tcW w:w="3006" w:type="dxa"/>
          </w:tcPr>
          <w:p w:rsidR="0016142B" w:rsidRPr="00524A8B" w:rsidRDefault="0016142B" w:rsidP="0016142B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524A8B">
              <w:rPr>
                <w:rFonts w:cs="Arial"/>
                <w:b/>
                <w:sz w:val="20"/>
                <w:szCs w:val="20"/>
              </w:rPr>
              <w:t>Categories</w:t>
            </w:r>
          </w:p>
        </w:tc>
      </w:tr>
      <w:tr w:rsidR="0016142B" w:rsidTr="0016142B">
        <w:tc>
          <w:tcPr>
            <w:tcW w:w="3005" w:type="dxa"/>
          </w:tcPr>
          <w:p w:rsidR="0016142B" w:rsidRDefault="0016142B" w:rsidP="0016142B">
            <w:pPr>
              <w:widowControl w:val="0"/>
              <w:ind w:right="-108"/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Social c</w:t>
            </w:r>
            <w:r>
              <w:rPr>
                <w:sz w:val="20"/>
                <w:szCs w:val="20"/>
              </w:rPr>
              <w:t>are or local authority services</w:t>
            </w:r>
          </w:p>
        </w:tc>
        <w:tc>
          <w:tcPr>
            <w:tcW w:w="3005" w:type="dxa"/>
          </w:tcPr>
          <w:p w:rsidR="0016142B" w:rsidRDefault="0016142B" w:rsidP="0016142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data sources based on informant report that the person had previous or current contact with child protection services, secure local authority care or social services.</w:t>
            </w:r>
          </w:p>
        </w:tc>
        <w:tc>
          <w:tcPr>
            <w:tcW w:w="3006" w:type="dxa"/>
          </w:tcPr>
          <w:p w:rsidR="0016142B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16142B" w:rsidRPr="00A92F9C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A92F9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16142B" w:rsidTr="0016142B">
        <w:tc>
          <w:tcPr>
            <w:tcW w:w="3005" w:type="dxa"/>
          </w:tcPr>
          <w:p w:rsidR="0016142B" w:rsidRDefault="0016142B" w:rsidP="0016142B">
            <w:pPr>
              <w:widowControl w:val="0"/>
              <w:ind w:right="-108"/>
              <w:rPr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Youth Offending Team or local police force</w:t>
            </w:r>
          </w:p>
        </w:tc>
        <w:tc>
          <w:tcPr>
            <w:tcW w:w="3005" w:type="dxa"/>
          </w:tcPr>
          <w:p w:rsidR="0016142B" w:rsidRDefault="0016142B" w:rsidP="0016142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from data sources based on informant report that the person had previous or current contact with a Youth Offending team, with the police with as an offender or a victim of crime, or with the probation service. Includes contact with prison and youth detention services.</w:t>
            </w:r>
          </w:p>
        </w:tc>
        <w:tc>
          <w:tcPr>
            <w:tcW w:w="3006" w:type="dxa"/>
          </w:tcPr>
          <w:p w:rsidR="0016142B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16142B" w:rsidRPr="00A92F9C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A92F9C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  <w:tr w:rsidR="0016142B" w:rsidTr="0016142B">
        <w:tc>
          <w:tcPr>
            <w:tcW w:w="3005" w:type="dxa"/>
          </w:tcPr>
          <w:p w:rsidR="0016142B" w:rsidRPr="00743F9D" w:rsidRDefault="0016142B" w:rsidP="0016142B">
            <w:pPr>
              <w:rPr>
                <w:b/>
                <w:sz w:val="20"/>
                <w:szCs w:val="20"/>
              </w:rPr>
            </w:pPr>
            <w:r w:rsidRPr="00743F9D">
              <w:rPr>
                <w:sz w:val="20"/>
                <w:szCs w:val="20"/>
              </w:rPr>
              <w:t>Looked after child</w:t>
            </w:r>
          </w:p>
        </w:tc>
        <w:tc>
          <w:tcPr>
            <w:tcW w:w="3005" w:type="dxa"/>
          </w:tcPr>
          <w:p w:rsidR="0016142B" w:rsidRPr="00A92F9C" w:rsidRDefault="0016142B" w:rsidP="0016142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Recorded from data sources based on informant report that the person had previously or currently been </w:t>
            </w:r>
            <w:r w:rsidRPr="00A92F9C">
              <w:rPr>
                <w:rFonts w:cstheme="minorHAnsi"/>
                <w:sz w:val="20"/>
                <w:szCs w:val="20"/>
              </w:rPr>
              <w:t>a ‘looked-after’ child or young person (e.g. in public care or under welfare grounds in a secure children’s home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3006" w:type="dxa"/>
          </w:tcPr>
          <w:p w:rsidR="0016142B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C150AC">
              <w:rPr>
                <w:rFonts w:cs="Arial"/>
                <w:sz w:val="20"/>
                <w:szCs w:val="20"/>
              </w:rPr>
              <w:t>Yes</w:t>
            </w:r>
          </w:p>
          <w:p w:rsidR="0016142B" w:rsidRPr="0016142B" w:rsidRDefault="0016142B" w:rsidP="0016142B">
            <w:pPr>
              <w:pStyle w:val="ListParagraph"/>
              <w:numPr>
                <w:ilvl w:val="0"/>
                <w:numId w:val="19"/>
              </w:numPr>
              <w:ind w:left="175" w:hanging="175"/>
              <w:rPr>
                <w:rFonts w:cs="Arial"/>
                <w:sz w:val="20"/>
                <w:szCs w:val="20"/>
              </w:rPr>
            </w:pPr>
            <w:r w:rsidRPr="0016142B">
              <w:rPr>
                <w:rFonts w:cs="Arial"/>
                <w:sz w:val="20"/>
                <w:szCs w:val="20"/>
              </w:rPr>
              <w:t>No/unknown/not reported</w:t>
            </w:r>
          </w:p>
        </w:tc>
      </w:tr>
    </w:tbl>
    <w:p w:rsidR="0016142B" w:rsidRDefault="0016142B" w:rsidP="00524A8B">
      <w:pPr>
        <w:pStyle w:val="ListParagraph"/>
        <w:ind w:left="0"/>
        <w:rPr>
          <w:rFonts w:cs="Arial"/>
          <w:sz w:val="20"/>
          <w:szCs w:val="20"/>
        </w:rPr>
      </w:pPr>
    </w:p>
    <w:p w:rsidR="00992D6E" w:rsidRPr="00757EB7" w:rsidRDefault="00CF2113" w:rsidP="00524A8B">
      <w:pPr>
        <w:pStyle w:val="ListParagraph"/>
        <w:ind w:left="0"/>
        <w:rPr>
          <w:rFonts w:cs="Arial"/>
          <w:sz w:val="20"/>
          <w:szCs w:val="20"/>
        </w:rPr>
      </w:pPr>
      <w:r w:rsidRPr="0016142B">
        <w:rPr>
          <w:rFonts w:cs="Arial"/>
          <w:sz w:val="20"/>
          <w:szCs w:val="20"/>
        </w:rPr>
        <w:t>ONS = Office for National Statistics; NRS = National Records of Scotland; NISRA = Northern Ireland Statistics and Research Agency; ICD-10 = International Statistical Classification of Diseases and Health-Related Problems, 10</w:t>
      </w:r>
      <w:r w:rsidRPr="0016142B">
        <w:rPr>
          <w:rFonts w:cs="Arial"/>
          <w:sz w:val="20"/>
          <w:szCs w:val="20"/>
          <w:vertAlign w:val="superscript"/>
        </w:rPr>
        <w:t>th</w:t>
      </w:r>
      <w:r w:rsidRPr="0016142B">
        <w:rPr>
          <w:rFonts w:cs="Arial"/>
          <w:sz w:val="20"/>
          <w:szCs w:val="20"/>
        </w:rPr>
        <w:t xml:space="preserve"> version; LGBT = lesb</w:t>
      </w:r>
      <w:r w:rsidR="00E92556" w:rsidRPr="0016142B">
        <w:rPr>
          <w:rFonts w:cs="Arial"/>
          <w:sz w:val="20"/>
          <w:szCs w:val="20"/>
        </w:rPr>
        <w:t xml:space="preserve">ian, gay, bisexual, transgender; ADHD = </w:t>
      </w:r>
      <w:r w:rsidR="0016142B" w:rsidRPr="0016142B">
        <w:rPr>
          <w:rFonts w:cs="Arial"/>
          <w:sz w:val="20"/>
          <w:szCs w:val="20"/>
        </w:rPr>
        <w:t>Attention Deficit Hyperactivity Disorder</w:t>
      </w:r>
      <w:r w:rsidR="00E92556" w:rsidRPr="0016142B">
        <w:rPr>
          <w:rFonts w:cs="Arial"/>
          <w:sz w:val="20"/>
          <w:szCs w:val="20"/>
        </w:rPr>
        <w:t>; OCD =</w:t>
      </w:r>
      <w:r w:rsidR="0016142B" w:rsidRPr="0016142B">
        <w:rPr>
          <w:rFonts w:cs="Arial"/>
          <w:sz w:val="20"/>
          <w:szCs w:val="20"/>
        </w:rPr>
        <w:t xml:space="preserve"> Obsessive Compulsive Disorder</w:t>
      </w:r>
      <w:r w:rsidR="00E92556" w:rsidRPr="0016142B">
        <w:rPr>
          <w:rFonts w:cs="Arial"/>
          <w:sz w:val="20"/>
          <w:szCs w:val="20"/>
        </w:rPr>
        <w:t>; PTSD =</w:t>
      </w:r>
      <w:r w:rsidR="0016142B" w:rsidRPr="0016142B">
        <w:rPr>
          <w:rFonts w:cs="Arial"/>
          <w:sz w:val="20"/>
          <w:szCs w:val="20"/>
        </w:rPr>
        <w:t xml:space="preserve"> Post Traumatic Stress Disorder</w:t>
      </w:r>
      <w:r w:rsidR="0016142B">
        <w:rPr>
          <w:rFonts w:cs="Arial"/>
          <w:sz w:val="20"/>
          <w:szCs w:val="20"/>
        </w:rPr>
        <w:t>; CAMHS = Child and Adolescent Mental Health Services.</w:t>
      </w:r>
    </w:p>
    <w:sectPr w:rsidR="00992D6E" w:rsidRPr="00757EB7" w:rsidSect="00524A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2D" w:rsidRDefault="00CB092D" w:rsidP="00B7222E">
      <w:pPr>
        <w:spacing w:after="0" w:line="240" w:lineRule="auto"/>
      </w:pPr>
      <w:r>
        <w:separator/>
      </w:r>
    </w:p>
  </w:endnote>
  <w:endnote w:type="continuationSeparator" w:id="0">
    <w:p w:rsidR="00CB092D" w:rsidRDefault="00CB092D" w:rsidP="00B7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2D" w:rsidRDefault="00CB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2D" w:rsidRDefault="00CB092D" w:rsidP="00B7222E">
      <w:pPr>
        <w:spacing w:after="0" w:line="240" w:lineRule="auto"/>
      </w:pPr>
      <w:r>
        <w:separator/>
      </w:r>
    </w:p>
  </w:footnote>
  <w:footnote w:type="continuationSeparator" w:id="0">
    <w:p w:rsidR="00CB092D" w:rsidRDefault="00CB092D" w:rsidP="00B7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81"/>
    <w:multiLevelType w:val="hybridMultilevel"/>
    <w:tmpl w:val="CA96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EDD"/>
    <w:multiLevelType w:val="hybridMultilevel"/>
    <w:tmpl w:val="5258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0"/>
    <w:multiLevelType w:val="hybridMultilevel"/>
    <w:tmpl w:val="07E0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7BE3"/>
    <w:multiLevelType w:val="hybridMultilevel"/>
    <w:tmpl w:val="E64CA9F2"/>
    <w:lvl w:ilvl="0" w:tplc="A59A94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73144"/>
    <w:multiLevelType w:val="multilevel"/>
    <w:tmpl w:val="5EFC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7EE"/>
    <w:multiLevelType w:val="hybridMultilevel"/>
    <w:tmpl w:val="E02A3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51E1"/>
    <w:multiLevelType w:val="hybridMultilevel"/>
    <w:tmpl w:val="C442A44C"/>
    <w:lvl w:ilvl="0" w:tplc="1AE4E3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F73B2"/>
    <w:multiLevelType w:val="hybridMultilevel"/>
    <w:tmpl w:val="7BCA95A2"/>
    <w:lvl w:ilvl="0" w:tplc="C72ED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76D"/>
    <w:multiLevelType w:val="hybridMultilevel"/>
    <w:tmpl w:val="093E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42C0"/>
    <w:multiLevelType w:val="hybridMultilevel"/>
    <w:tmpl w:val="B3789744"/>
    <w:lvl w:ilvl="0" w:tplc="E236D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1CF4"/>
    <w:multiLevelType w:val="hybridMultilevel"/>
    <w:tmpl w:val="FA48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1C23"/>
    <w:multiLevelType w:val="hybridMultilevel"/>
    <w:tmpl w:val="BBA0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3C7C"/>
    <w:multiLevelType w:val="hybridMultilevel"/>
    <w:tmpl w:val="821A8C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25BDE"/>
    <w:multiLevelType w:val="hybridMultilevel"/>
    <w:tmpl w:val="F19A3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05EA5"/>
    <w:multiLevelType w:val="hybridMultilevel"/>
    <w:tmpl w:val="CF9C3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3B4"/>
    <w:multiLevelType w:val="hybridMultilevel"/>
    <w:tmpl w:val="21D0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66013"/>
    <w:multiLevelType w:val="hybridMultilevel"/>
    <w:tmpl w:val="1E36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885"/>
    <w:multiLevelType w:val="hybridMultilevel"/>
    <w:tmpl w:val="97DC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91226"/>
    <w:multiLevelType w:val="hybridMultilevel"/>
    <w:tmpl w:val="11041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03A67"/>
    <w:multiLevelType w:val="hybridMultilevel"/>
    <w:tmpl w:val="6228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B25CB"/>
    <w:multiLevelType w:val="hybridMultilevel"/>
    <w:tmpl w:val="7AAC8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20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16"/>
  </w:num>
  <w:num w:numId="18">
    <w:abstractNumId w:val="8"/>
  </w:num>
  <w:num w:numId="19">
    <w:abstractNumId w:val="1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2E"/>
    <w:rsid w:val="00034198"/>
    <w:rsid w:val="00042F35"/>
    <w:rsid w:val="0004743B"/>
    <w:rsid w:val="00103F76"/>
    <w:rsid w:val="00106F1D"/>
    <w:rsid w:val="00114B23"/>
    <w:rsid w:val="001416B0"/>
    <w:rsid w:val="0016142B"/>
    <w:rsid w:val="001654C8"/>
    <w:rsid w:val="002A0052"/>
    <w:rsid w:val="00323195"/>
    <w:rsid w:val="00331DB1"/>
    <w:rsid w:val="00397825"/>
    <w:rsid w:val="00425888"/>
    <w:rsid w:val="004D25D4"/>
    <w:rsid w:val="00524A8B"/>
    <w:rsid w:val="00601426"/>
    <w:rsid w:val="00682E7B"/>
    <w:rsid w:val="006C1903"/>
    <w:rsid w:val="006C321E"/>
    <w:rsid w:val="006F6539"/>
    <w:rsid w:val="0075610B"/>
    <w:rsid w:val="00757EB7"/>
    <w:rsid w:val="00780576"/>
    <w:rsid w:val="007B6524"/>
    <w:rsid w:val="00872989"/>
    <w:rsid w:val="008952B7"/>
    <w:rsid w:val="008E4A72"/>
    <w:rsid w:val="00911B51"/>
    <w:rsid w:val="009748BF"/>
    <w:rsid w:val="00992D6E"/>
    <w:rsid w:val="00996E93"/>
    <w:rsid w:val="00A23334"/>
    <w:rsid w:val="00A279BA"/>
    <w:rsid w:val="00A4176E"/>
    <w:rsid w:val="00A664CE"/>
    <w:rsid w:val="00A92F9C"/>
    <w:rsid w:val="00AD1D1E"/>
    <w:rsid w:val="00B518AD"/>
    <w:rsid w:val="00B7222E"/>
    <w:rsid w:val="00BC1C25"/>
    <w:rsid w:val="00C150AC"/>
    <w:rsid w:val="00C658B1"/>
    <w:rsid w:val="00C92C7C"/>
    <w:rsid w:val="00CB092D"/>
    <w:rsid w:val="00CC028C"/>
    <w:rsid w:val="00CF2113"/>
    <w:rsid w:val="00D1240B"/>
    <w:rsid w:val="00D55FE3"/>
    <w:rsid w:val="00DD0186"/>
    <w:rsid w:val="00DD3F53"/>
    <w:rsid w:val="00E7466F"/>
    <w:rsid w:val="00E92556"/>
    <w:rsid w:val="00EB7DFB"/>
    <w:rsid w:val="00ED4711"/>
    <w:rsid w:val="00F94B50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8CFB"/>
  <w15:docId w15:val="{BB7F8109-4F61-4DD6-939C-1426D7D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2E"/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222E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2E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7222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2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2E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2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2E"/>
    <w:rPr>
      <w:rFonts w:eastAsiaTheme="minorEastAsia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72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2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22E"/>
    <w:rPr>
      <w:b/>
      <w:bCs/>
    </w:rPr>
  </w:style>
  <w:style w:type="character" w:styleId="Emphasis">
    <w:name w:val="Emphasis"/>
    <w:basedOn w:val="DefaultParagraphFont"/>
    <w:uiPriority w:val="20"/>
    <w:qFormat/>
    <w:rsid w:val="00B7222E"/>
    <w:rPr>
      <w:i/>
      <w:iCs/>
    </w:rPr>
  </w:style>
  <w:style w:type="paragraph" w:styleId="Revision">
    <w:name w:val="Revision"/>
    <w:hidden/>
    <w:uiPriority w:val="99"/>
    <w:semiHidden/>
    <w:rsid w:val="00B7222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0CF73-FD61-494D-9B03-53F1EFFF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Rodway</dc:creator>
  <cp:lastModifiedBy>Cathryn Rodway</cp:lastModifiedBy>
  <cp:revision>12</cp:revision>
  <dcterms:created xsi:type="dcterms:W3CDTF">2021-08-11T09:15:00Z</dcterms:created>
  <dcterms:modified xsi:type="dcterms:W3CDTF">2022-02-07T08:04:00Z</dcterms:modified>
</cp:coreProperties>
</file>