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A745B" w14:textId="47FC8BA2" w:rsidR="001552C8" w:rsidRPr="004E6034" w:rsidRDefault="004E6034" w:rsidP="004E60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E6034">
        <w:rPr>
          <w:rFonts w:ascii="Times New Roman" w:hAnsi="Times New Roman" w:cs="Times New Roman"/>
          <w:b/>
          <w:bCs/>
          <w:sz w:val="24"/>
          <w:szCs w:val="24"/>
        </w:rPr>
        <w:t>Supplementary Materials</w:t>
      </w:r>
    </w:p>
    <w:p w14:paraId="66E98420" w14:textId="3D37EDA0" w:rsidR="001552C8" w:rsidRDefault="001552C8">
      <w:pPr>
        <w:rPr>
          <w:rFonts w:ascii="Times New Roman" w:hAnsi="Times New Roman" w:cs="Times New Roman"/>
          <w:sz w:val="24"/>
          <w:szCs w:val="24"/>
        </w:rPr>
      </w:pPr>
    </w:p>
    <w:p w14:paraId="36F82CC6" w14:textId="77777777" w:rsidR="00F713B8" w:rsidRDefault="00F713B8" w:rsidP="00F713B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0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FA506E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38343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Quality ratings of studies included in the systematic review and meta-analysis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275"/>
        <w:gridCol w:w="1559"/>
        <w:gridCol w:w="1560"/>
        <w:gridCol w:w="1984"/>
      </w:tblGrid>
      <w:tr w:rsidR="00F713B8" w:rsidRPr="004E224D" w14:paraId="25E82BE5" w14:textId="77777777" w:rsidTr="00A23A5E">
        <w:trPr>
          <w:trHeight w:val="2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69DA7D45" w14:textId="77777777" w:rsidR="00F713B8" w:rsidRDefault="00F713B8" w:rsidP="006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E3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</w:t>
            </w:r>
            <w:r w:rsidRPr="004E22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tudy</w:t>
            </w:r>
          </w:p>
          <w:p w14:paraId="7E04BBFF" w14:textId="77777777" w:rsidR="00F713B8" w:rsidRPr="004E224D" w:rsidRDefault="00F713B8" w:rsidP="006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Authors, year</w:t>
            </w:r>
          </w:p>
        </w:tc>
        <w:tc>
          <w:tcPr>
            <w:tcW w:w="1275" w:type="dxa"/>
          </w:tcPr>
          <w:p w14:paraId="16AD101D" w14:textId="77777777" w:rsidR="00F713B8" w:rsidRDefault="00F713B8" w:rsidP="006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084FE05C" w14:textId="77777777" w:rsidR="00F713B8" w:rsidRDefault="00F713B8" w:rsidP="006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Selection</w:t>
            </w:r>
          </w:p>
        </w:tc>
        <w:tc>
          <w:tcPr>
            <w:tcW w:w="1559" w:type="dxa"/>
          </w:tcPr>
          <w:p w14:paraId="7B5EE942" w14:textId="77777777" w:rsidR="00F713B8" w:rsidRDefault="00F713B8" w:rsidP="006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03277FE4" w14:textId="77777777" w:rsidR="00F713B8" w:rsidRDefault="00F713B8" w:rsidP="006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Comparability</w:t>
            </w:r>
          </w:p>
        </w:tc>
        <w:tc>
          <w:tcPr>
            <w:tcW w:w="1560" w:type="dxa"/>
          </w:tcPr>
          <w:p w14:paraId="1D620B7F" w14:textId="77777777" w:rsidR="00F713B8" w:rsidRDefault="00F713B8" w:rsidP="006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14:paraId="555FCD6C" w14:textId="77777777" w:rsidR="00F713B8" w:rsidRDefault="00F713B8" w:rsidP="006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Outcome</w:t>
            </w:r>
          </w:p>
        </w:tc>
        <w:tc>
          <w:tcPr>
            <w:tcW w:w="1984" w:type="dxa"/>
          </w:tcPr>
          <w:p w14:paraId="57588140" w14:textId="77777777" w:rsidR="00F713B8" w:rsidRDefault="00F713B8" w:rsidP="006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AHRQ</w:t>
            </w:r>
          </w:p>
          <w:p w14:paraId="796345FE" w14:textId="77777777" w:rsidR="00F713B8" w:rsidRDefault="00F713B8" w:rsidP="006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Quality</w:t>
            </w:r>
          </w:p>
          <w:p w14:paraId="708127FE" w14:textId="77777777" w:rsidR="00F713B8" w:rsidRPr="00E31922" w:rsidRDefault="00F713B8" w:rsidP="006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Rating</w:t>
            </w:r>
          </w:p>
        </w:tc>
      </w:tr>
      <w:tr w:rsidR="00F713B8" w:rsidRPr="00E31922" w14:paraId="75C027B9" w14:textId="77777777" w:rsidTr="00A23A5E">
        <w:trPr>
          <w:trHeight w:val="290"/>
        </w:trPr>
        <w:tc>
          <w:tcPr>
            <w:tcW w:w="2836" w:type="dxa"/>
            <w:shd w:val="clear" w:color="auto" w:fill="auto"/>
            <w:noWrap/>
            <w:vAlign w:val="bottom"/>
          </w:tcPr>
          <w:p w14:paraId="56E8A3F7" w14:textId="77777777" w:rsidR="00F713B8" w:rsidRPr="00E31922" w:rsidRDefault="00F713B8" w:rsidP="006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275" w:type="dxa"/>
          </w:tcPr>
          <w:p w14:paraId="35E72847" w14:textId="77777777" w:rsidR="00F713B8" w:rsidRPr="00E31922" w:rsidRDefault="00F713B8" w:rsidP="006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59" w:type="dxa"/>
          </w:tcPr>
          <w:p w14:paraId="0000F4B4" w14:textId="77777777" w:rsidR="00F713B8" w:rsidRPr="00E31922" w:rsidRDefault="00F713B8" w:rsidP="006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60" w:type="dxa"/>
          </w:tcPr>
          <w:p w14:paraId="3FB846C0" w14:textId="77777777" w:rsidR="00F713B8" w:rsidRPr="00E31922" w:rsidRDefault="00F713B8" w:rsidP="006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84" w:type="dxa"/>
          </w:tcPr>
          <w:p w14:paraId="1B7F17C9" w14:textId="77777777" w:rsidR="00F713B8" w:rsidRPr="00E31922" w:rsidRDefault="00F713B8" w:rsidP="006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F713B8" w:rsidRPr="004E224D" w14:paraId="28ECB520" w14:textId="77777777" w:rsidTr="00A23A5E">
        <w:trPr>
          <w:trHeight w:val="290"/>
        </w:trPr>
        <w:tc>
          <w:tcPr>
            <w:tcW w:w="2836" w:type="dxa"/>
            <w:shd w:val="clear" w:color="auto" w:fill="auto"/>
            <w:noWrap/>
            <w:vAlign w:val="bottom"/>
          </w:tcPr>
          <w:p w14:paraId="67C0DCC4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Van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Tricht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et al., 2010</w:t>
            </w:r>
          </w:p>
        </w:tc>
        <w:tc>
          <w:tcPr>
            <w:tcW w:w="1275" w:type="dxa"/>
          </w:tcPr>
          <w:p w14:paraId="6CE22F15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559" w:type="dxa"/>
          </w:tcPr>
          <w:p w14:paraId="3C351757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560" w:type="dxa"/>
          </w:tcPr>
          <w:p w14:paraId="5BCD2EDC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675A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984" w:type="dxa"/>
          </w:tcPr>
          <w:p w14:paraId="698B87FC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Fair</w:t>
            </w:r>
          </w:p>
        </w:tc>
      </w:tr>
      <w:tr w:rsidR="00F713B8" w:rsidRPr="004E224D" w14:paraId="6B8357F3" w14:textId="77777777" w:rsidTr="00A23A5E">
        <w:trPr>
          <w:trHeight w:val="290"/>
        </w:trPr>
        <w:tc>
          <w:tcPr>
            <w:tcW w:w="2836" w:type="dxa"/>
            <w:shd w:val="clear" w:color="auto" w:fill="auto"/>
            <w:noWrap/>
            <w:vAlign w:val="bottom"/>
          </w:tcPr>
          <w:p w14:paraId="1BED59A7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Walker et al., 2010</w:t>
            </w:r>
          </w:p>
        </w:tc>
        <w:tc>
          <w:tcPr>
            <w:tcW w:w="1275" w:type="dxa"/>
          </w:tcPr>
          <w:p w14:paraId="7B952B04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559" w:type="dxa"/>
          </w:tcPr>
          <w:p w14:paraId="24A02002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A42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560" w:type="dxa"/>
          </w:tcPr>
          <w:p w14:paraId="2DF8A167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675A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984" w:type="dxa"/>
          </w:tcPr>
          <w:p w14:paraId="3654BA7F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Fair</w:t>
            </w:r>
          </w:p>
        </w:tc>
      </w:tr>
      <w:tr w:rsidR="00F713B8" w:rsidRPr="004E224D" w14:paraId="2275C1E5" w14:textId="77777777" w:rsidTr="00A23A5E">
        <w:trPr>
          <w:trHeight w:val="290"/>
        </w:trPr>
        <w:tc>
          <w:tcPr>
            <w:tcW w:w="2836" w:type="dxa"/>
            <w:shd w:val="clear" w:color="auto" w:fill="auto"/>
            <w:noWrap/>
            <w:vAlign w:val="bottom"/>
          </w:tcPr>
          <w:p w14:paraId="28D1FFDD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Bearden et al., 2011</w:t>
            </w:r>
          </w:p>
        </w:tc>
        <w:tc>
          <w:tcPr>
            <w:tcW w:w="1275" w:type="dxa"/>
          </w:tcPr>
          <w:p w14:paraId="1B517B0F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B52E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***</w:t>
            </w:r>
          </w:p>
        </w:tc>
        <w:tc>
          <w:tcPr>
            <w:tcW w:w="1559" w:type="dxa"/>
          </w:tcPr>
          <w:p w14:paraId="1FEAA3A7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A42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560" w:type="dxa"/>
          </w:tcPr>
          <w:p w14:paraId="0794EFCC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675A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984" w:type="dxa"/>
          </w:tcPr>
          <w:p w14:paraId="77C02C70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Good</w:t>
            </w:r>
          </w:p>
        </w:tc>
      </w:tr>
      <w:tr w:rsidR="00F713B8" w:rsidRPr="004E224D" w14:paraId="2F2F2922" w14:textId="77777777" w:rsidTr="00A23A5E">
        <w:trPr>
          <w:trHeight w:val="2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1A9C35C0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E224D">
              <w:rPr>
                <w:rFonts w:ascii="Times New Roman" w:eastAsia="Times New Roman" w:hAnsi="Times New Roman" w:cs="Times New Roman"/>
                <w:lang w:eastAsia="it-IT"/>
              </w:rPr>
              <w:t>Ziermans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et al., 2011</w:t>
            </w:r>
          </w:p>
        </w:tc>
        <w:tc>
          <w:tcPr>
            <w:tcW w:w="1275" w:type="dxa"/>
          </w:tcPr>
          <w:p w14:paraId="75C6CC21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559" w:type="dxa"/>
          </w:tcPr>
          <w:p w14:paraId="669215D5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A42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560" w:type="dxa"/>
          </w:tcPr>
          <w:p w14:paraId="0D5C725C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675A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984" w:type="dxa"/>
          </w:tcPr>
          <w:p w14:paraId="2E9BEF11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Fair</w:t>
            </w:r>
          </w:p>
        </w:tc>
      </w:tr>
      <w:tr w:rsidR="00F713B8" w:rsidRPr="004E224D" w14:paraId="07A7B8E5" w14:textId="77777777" w:rsidTr="00A23A5E">
        <w:trPr>
          <w:trHeight w:val="2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3F49BB8B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E224D">
              <w:rPr>
                <w:rFonts w:ascii="Times New Roman" w:eastAsia="Times New Roman" w:hAnsi="Times New Roman" w:cs="Times New Roman"/>
                <w:lang w:eastAsia="it-IT"/>
              </w:rPr>
              <w:t xml:space="preserve">De </w:t>
            </w:r>
            <w:proofErr w:type="spellStart"/>
            <w:r w:rsidRPr="004E224D">
              <w:rPr>
                <w:rFonts w:ascii="Times New Roman" w:eastAsia="Times New Roman" w:hAnsi="Times New Roman" w:cs="Times New Roman"/>
                <w:lang w:eastAsia="it-IT"/>
              </w:rPr>
              <w:t>Vylder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et al., 2014</w:t>
            </w:r>
          </w:p>
        </w:tc>
        <w:tc>
          <w:tcPr>
            <w:tcW w:w="1275" w:type="dxa"/>
          </w:tcPr>
          <w:p w14:paraId="0AAC9433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559" w:type="dxa"/>
          </w:tcPr>
          <w:p w14:paraId="19BE0DB2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A42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560" w:type="dxa"/>
          </w:tcPr>
          <w:p w14:paraId="2B201CBD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675A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984" w:type="dxa"/>
          </w:tcPr>
          <w:p w14:paraId="09FB458C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Fair</w:t>
            </w:r>
          </w:p>
        </w:tc>
      </w:tr>
      <w:tr w:rsidR="00F713B8" w:rsidRPr="004E224D" w14:paraId="4D600A5C" w14:textId="77777777" w:rsidTr="00A23A5E">
        <w:trPr>
          <w:trHeight w:val="2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486CE309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E224D">
              <w:rPr>
                <w:rFonts w:ascii="Times New Roman" w:eastAsia="Times New Roman" w:hAnsi="Times New Roman" w:cs="Times New Roman"/>
                <w:lang w:eastAsia="it-IT"/>
              </w:rPr>
              <w:t>Schultze-Lutter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et al., 2014</w:t>
            </w:r>
          </w:p>
        </w:tc>
        <w:tc>
          <w:tcPr>
            <w:tcW w:w="1275" w:type="dxa"/>
          </w:tcPr>
          <w:p w14:paraId="144EB2CE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559" w:type="dxa"/>
          </w:tcPr>
          <w:p w14:paraId="2A2E36D8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A42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560" w:type="dxa"/>
          </w:tcPr>
          <w:p w14:paraId="49FAC42D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675A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984" w:type="dxa"/>
          </w:tcPr>
          <w:p w14:paraId="3444C5AB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Fair</w:t>
            </w:r>
          </w:p>
        </w:tc>
      </w:tr>
      <w:tr w:rsidR="00F713B8" w:rsidRPr="004E224D" w14:paraId="2790493D" w14:textId="77777777" w:rsidTr="00A23A5E">
        <w:trPr>
          <w:trHeight w:val="2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787A5212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E224D">
              <w:rPr>
                <w:rFonts w:ascii="Times New Roman" w:eastAsia="Times New Roman" w:hAnsi="Times New Roman" w:cs="Times New Roman"/>
                <w:lang w:eastAsia="it-IT"/>
              </w:rPr>
              <w:t>Labad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et al., 2015</w:t>
            </w:r>
          </w:p>
        </w:tc>
        <w:tc>
          <w:tcPr>
            <w:tcW w:w="1275" w:type="dxa"/>
          </w:tcPr>
          <w:p w14:paraId="07AB76E7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B52E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***</w:t>
            </w:r>
          </w:p>
        </w:tc>
        <w:tc>
          <w:tcPr>
            <w:tcW w:w="1559" w:type="dxa"/>
          </w:tcPr>
          <w:p w14:paraId="57FD20DB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A42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560" w:type="dxa"/>
          </w:tcPr>
          <w:p w14:paraId="24E26074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675A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984" w:type="dxa"/>
          </w:tcPr>
          <w:p w14:paraId="1B9B1563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Good</w:t>
            </w:r>
          </w:p>
        </w:tc>
      </w:tr>
      <w:tr w:rsidR="00F713B8" w:rsidRPr="004E224D" w14:paraId="5E687CC3" w14:textId="77777777" w:rsidTr="00A23A5E">
        <w:trPr>
          <w:trHeight w:val="2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65566D91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E224D">
              <w:rPr>
                <w:rFonts w:ascii="Times New Roman" w:eastAsia="Times New Roman" w:hAnsi="Times New Roman" w:cs="Times New Roman"/>
                <w:lang w:eastAsia="it-IT"/>
              </w:rPr>
              <w:t>Brucato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et al., 2017</w:t>
            </w:r>
          </w:p>
        </w:tc>
        <w:tc>
          <w:tcPr>
            <w:tcW w:w="1275" w:type="dxa"/>
          </w:tcPr>
          <w:p w14:paraId="3FB64DA9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559" w:type="dxa"/>
          </w:tcPr>
          <w:p w14:paraId="4FCE1B25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A42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560" w:type="dxa"/>
          </w:tcPr>
          <w:p w14:paraId="30F4309C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675A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984" w:type="dxa"/>
          </w:tcPr>
          <w:p w14:paraId="22F9A62B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Fair</w:t>
            </w:r>
          </w:p>
        </w:tc>
      </w:tr>
      <w:tr w:rsidR="00F713B8" w:rsidRPr="004E224D" w14:paraId="00B715B3" w14:textId="77777777" w:rsidTr="00A23A5E">
        <w:trPr>
          <w:trHeight w:val="290"/>
        </w:trPr>
        <w:tc>
          <w:tcPr>
            <w:tcW w:w="2836" w:type="dxa"/>
            <w:shd w:val="clear" w:color="auto" w:fill="auto"/>
            <w:noWrap/>
            <w:vAlign w:val="bottom"/>
          </w:tcPr>
          <w:p w14:paraId="69872712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Francesconi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et al., 2017</w:t>
            </w:r>
          </w:p>
        </w:tc>
        <w:tc>
          <w:tcPr>
            <w:tcW w:w="1275" w:type="dxa"/>
          </w:tcPr>
          <w:p w14:paraId="00F2BC67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559" w:type="dxa"/>
          </w:tcPr>
          <w:p w14:paraId="7B326D3E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A42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560" w:type="dxa"/>
          </w:tcPr>
          <w:p w14:paraId="5895DBB5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675A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984" w:type="dxa"/>
          </w:tcPr>
          <w:p w14:paraId="081AA19F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Fair</w:t>
            </w:r>
          </w:p>
        </w:tc>
      </w:tr>
      <w:tr w:rsidR="00F713B8" w:rsidRPr="004E224D" w14:paraId="381D3243" w14:textId="77777777" w:rsidTr="00A23A5E">
        <w:trPr>
          <w:trHeight w:val="290"/>
        </w:trPr>
        <w:tc>
          <w:tcPr>
            <w:tcW w:w="2836" w:type="dxa"/>
            <w:shd w:val="clear" w:color="auto" w:fill="auto"/>
            <w:noWrap/>
            <w:vAlign w:val="bottom"/>
          </w:tcPr>
          <w:p w14:paraId="0AC82BB4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Zarogianni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et al., 2019</w:t>
            </w:r>
          </w:p>
        </w:tc>
        <w:tc>
          <w:tcPr>
            <w:tcW w:w="1275" w:type="dxa"/>
          </w:tcPr>
          <w:p w14:paraId="3C414A4B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559" w:type="dxa"/>
          </w:tcPr>
          <w:p w14:paraId="2FCC038A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A42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560" w:type="dxa"/>
          </w:tcPr>
          <w:p w14:paraId="40B090A9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675A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984" w:type="dxa"/>
          </w:tcPr>
          <w:p w14:paraId="50AA80D4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Fair</w:t>
            </w:r>
          </w:p>
        </w:tc>
      </w:tr>
      <w:tr w:rsidR="00F713B8" w:rsidRPr="004E224D" w14:paraId="618263A3" w14:textId="77777777" w:rsidTr="00A23A5E">
        <w:trPr>
          <w:trHeight w:val="2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531E07BC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E224D">
              <w:rPr>
                <w:rFonts w:ascii="Times New Roman" w:eastAsia="Times New Roman" w:hAnsi="Times New Roman" w:cs="Times New Roman"/>
                <w:lang w:eastAsia="it-IT"/>
              </w:rPr>
              <w:t>Collin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et al., 2020</w:t>
            </w:r>
          </w:p>
        </w:tc>
        <w:tc>
          <w:tcPr>
            <w:tcW w:w="1275" w:type="dxa"/>
          </w:tcPr>
          <w:p w14:paraId="421B9781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***</w:t>
            </w:r>
          </w:p>
        </w:tc>
        <w:tc>
          <w:tcPr>
            <w:tcW w:w="1559" w:type="dxa"/>
          </w:tcPr>
          <w:p w14:paraId="37901265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A42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560" w:type="dxa"/>
          </w:tcPr>
          <w:p w14:paraId="2D1E8110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675A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984" w:type="dxa"/>
          </w:tcPr>
          <w:p w14:paraId="064A0A86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Good</w:t>
            </w:r>
          </w:p>
        </w:tc>
      </w:tr>
      <w:tr w:rsidR="00F713B8" w:rsidRPr="004E224D" w14:paraId="5A8A98B6" w14:textId="77777777" w:rsidTr="00A23A5E">
        <w:trPr>
          <w:trHeight w:val="290"/>
        </w:trPr>
        <w:tc>
          <w:tcPr>
            <w:tcW w:w="2836" w:type="dxa"/>
            <w:shd w:val="clear" w:color="auto" w:fill="auto"/>
            <w:noWrap/>
            <w:vAlign w:val="bottom"/>
          </w:tcPr>
          <w:p w14:paraId="62353D74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Modinos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et al., 2020</w:t>
            </w:r>
          </w:p>
        </w:tc>
        <w:tc>
          <w:tcPr>
            <w:tcW w:w="1275" w:type="dxa"/>
          </w:tcPr>
          <w:p w14:paraId="2F8371CB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***</w:t>
            </w:r>
          </w:p>
        </w:tc>
        <w:tc>
          <w:tcPr>
            <w:tcW w:w="1559" w:type="dxa"/>
          </w:tcPr>
          <w:p w14:paraId="60B14CBD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A42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560" w:type="dxa"/>
          </w:tcPr>
          <w:p w14:paraId="0CD9E041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675A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984" w:type="dxa"/>
          </w:tcPr>
          <w:p w14:paraId="1D7CDF2E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Good</w:t>
            </w:r>
          </w:p>
        </w:tc>
      </w:tr>
      <w:tr w:rsidR="00F713B8" w:rsidRPr="004E224D" w14:paraId="23B66AEA" w14:textId="77777777" w:rsidTr="00A23A5E">
        <w:trPr>
          <w:trHeight w:val="29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14:paraId="12117661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4E224D">
              <w:rPr>
                <w:rFonts w:ascii="Times New Roman" w:eastAsia="Times New Roman" w:hAnsi="Times New Roman" w:cs="Times New Roman"/>
                <w:lang w:eastAsia="it-IT"/>
              </w:rPr>
              <w:t>Yoviene</w:t>
            </w:r>
            <w:proofErr w:type="spellEnd"/>
            <w:r w:rsidRPr="004E224D">
              <w:rPr>
                <w:rFonts w:ascii="Times New Roman" w:eastAsia="Times New Roman" w:hAnsi="Times New Roman" w:cs="Times New Roman"/>
                <w:lang w:eastAsia="it-IT"/>
              </w:rPr>
              <w:t>-Sikes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et al., 2020</w:t>
            </w:r>
          </w:p>
        </w:tc>
        <w:tc>
          <w:tcPr>
            <w:tcW w:w="1275" w:type="dxa"/>
          </w:tcPr>
          <w:p w14:paraId="42F72F2B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559" w:type="dxa"/>
          </w:tcPr>
          <w:p w14:paraId="1FD96CD9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A42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560" w:type="dxa"/>
          </w:tcPr>
          <w:p w14:paraId="73318DB5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675A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984" w:type="dxa"/>
          </w:tcPr>
          <w:p w14:paraId="4F164087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Fair</w:t>
            </w:r>
          </w:p>
        </w:tc>
      </w:tr>
      <w:tr w:rsidR="00F713B8" w:rsidRPr="004E224D" w14:paraId="58D79FBA" w14:textId="77777777" w:rsidTr="00A23A5E">
        <w:trPr>
          <w:trHeight w:val="290"/>
        </w:trPr>
        <w:tc>
          <w:tcPr>
            <w:tcW w:w="2836" w:type="dxa"/>
            <w:shd w:val="clear" w:color="auto" w:fill="auto"/>
            <w:noWrap/>
            <w:vAlign w:val="bottom"/>
          </w:tcPr>
          <w:p w14:paraId="28304DC1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Grent’t-Jonget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al., 2021</w:t>
            </w:r>
          </w:p>
        </w:tc>
        <w:tc>
          <w:tcPr>
            <w:tcW w:w="1275" w:type="dxa"/>
          </w:tcPr>
          <w:p w14:paraId="6023A82C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559" w:type="dxa"/>
          </w:tcPr>
          <w:p w14:paraId="52F78FA0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A42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560" w:type="dxa"/>
          </w:tcPr>
          <w:p w14:paraId="7E4DDFB0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675A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984" w:type="dxa"/>
          </w:tcPr>
          <w:p w14:paraId="0C8B58BA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Good</w:t>
            </w:r>
          </w:p>
        </w:tc>
      </w:tr>
      <w:tr w:rsidR="00F713B8" w:rsidRPr="004E224D" w14:paraId="7974870B" w14:textId="77777777" w:rsidTr="00A23A5E">
        <w:trPr>
          <w:trHeight w:val="290"/>
        </w:trPr>
        <w:tc>
          <w:tcPr>
            <w:tcW w:w="2836" w:type="dxa"/>
            <w:shd w:val="clear" w:color="auto" w:fill="auto"/>
            <w:noWrap/>
            <w:vAlign w:val="bottom"/>
          </w:tcPr>
          <w:p w14:paraId="63177956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Kristensen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et al., 2021</w:t>
            </w:r>
          </w:p>
        </w:tc>
        <w:tc>
          <w:tcPr>
            <w:tcW w:w="1275" w:type="dxa"/>
          </w:tcPr>
          <w:p w14:paraId="1696BF1F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559" w:type="dxa"/>
          </w:tcPr>
          <w:p w14:paraId="302ECACD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A42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560" w:type="dxa"/>
          </w:tcPr>
          <w:p w14:paraId="0E26D957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675A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984" w:type="dxa"/>
          </w:tcPr>
          <w:p w14:paraId="036CA14C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Fair</w:t>
            </w:r>
          </w:p>
        </w:tc>
      </w:tr>
      <w:tr w:rsidR="00F713B8" w:rsidRPr="004E224D" w14:paraId="0FDAC386" w14:textId="77777777" w:rsidTr="00A23A5E">
        <w:trPr>
          <w:trHeight w:val="290"/>
        </w:trPr>
        <w:tc>
          <w:tcPr>
            <w:tcW w:w="2836" w:type="dxa"/>
            <w:shd w:val="clear" w:color="auto" w:fill="auto"/>
            <w:noWrap/>
            <w:vAlign w:val="bottom"/>
          </w:tcPr>
          <w:p w14:paraId="066DB82C" w14:textId="77777777" w:rsidR="00F713B8" w:rsidRPr="004E224D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Pawelczyket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al., 2021</w:t>
            </w:r>
          </w:p>
        </w:tc>
        <w:tc>
          <w:tcPr>
            <w:tcW w:w="1275" w:type="dxa"/>
          </w:tcPr>
          <w:p w14:paraId="3A3F172C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559" w:type="dxa"/>
          </w:tcPr>
          <w:p w14:paraId="2168CCC0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A42E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</w:t>
            </w:r>
          </w:p>
        </w:tc>
        <w:tc>
          <w:tcPr>
            <w:tcW w:w="1560" w:type="dxa"/>
          </w:tcPr>
          <w:p w14:paraId="4C83AC74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675A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**</w:t>
            </w:r>
          </w:p>
        </w:tc>
        <w:tc>
          <w:tcPr>
            <w:tcW w:w="1984" w:type="dxa"/>
          </w:tcPr>
          <w:p w14:paraId="727BBBA6" w14:textId="77777777" w:rsidR="00F713B8" w:rsidRDefault="00F713B8" w:rsidP="006E00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Fair</w:t>
            </w:r>
          </w:p>
        </w:tc>
      </w:tr>
    </w:tbl>
    <w:p w14:paraId="568B94AA" w14:textId="77777777" w:rsidR="00F713B8" w:rsidRDefault="00F713B8" w:rsidP="00F713B8">
      <w:pPr>
        <w:rPr>
          <w:rFonts w:ascii="Times New Roman" w:hAnsi="Times New Roman" w:cs="Times New Roman"/>
          <w:i/>
          <w:iCs/>
        </w:rPr>
      </w:pPr>
    </w:p>
    <w:p w14:paraId="43D3254F" w14:textId="77777777" w:rsidR="00F713B8" w:rsidRDefault="00F713B8" w:rsidP="00F713B8">
      <w:pPr>
        <w:spacing w:after="0" w:line="240" w:lineRule="auto"/>
        <w:rPr>
          <w:rFonts w:ascii="Times New Roman" w:hAnsi="Times New Roman" w:cs="Times New Roman"/>
        </w:rPr>
      </w:pPr>
      <w:r w:rsidRPr="009F569D">
        <w:rPr>
          <w:rFonts w:ascii="Times New Roman" w:hAnsi="Times New Roman" w:cs="Times New Roman"/>
          <w:i/>
          <w:iCs/>
        </w:rPr>
        <w:t>Legend</w:t>
      </w:r>
      <w:r w:rsidRPr="00B85E4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Selection, Comparability and Outcome ratings according to </w:t>
      </w:r>
    </w:p>
    <w:p w14:paraId="164B2297" w14:textId="77777777" w:rsidR="00F713B8" w:rsidRDefault="00F713B8" w:rsidP="00F713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8536AE">
        <w:rPr>
          <w:rFonts w:ascii="Times New Roman" w:hAnsi="Times New Roman" w:cs="Times New Roman"/>
        </w:rPr>
        <w:t>Newcastle-Ottawa Quality Assessment Form for Cohort Studies</w:t>
      </w:r>
      <w:r>
        <w:rPr>
          <w:rFonts w:ascii="Times New Roman" w:hAnsi="Times New Roman" w:cs="Times New Roman"/>
        </w:rPr>
        <w:t>; overall quality rating</w:t>
      </w:r>
    </w:p>
    <w:p w14:paraId="5B7ABAFE" w14:textId="77777777" w:rsidR="00F713B8" w:rsidRPr="00CD798B" w:rsidRDefault="00F713B8" w:rsidP="00F713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according to the </w:t>
      </w:r>
      <w:r w:rsidRPr="008536AE">
        <w:rPr>
          <w:rFonts w:ascii="Times New Roman" w:hAnsi="Times New Roman" w:cs="Times New Roman"/>
        </w:rPr>
        <w:t>Agency for Healthcare Research and Quality's (AHRQ)</w:t>
      </w:r>
      <w:r>
        <w:rPr>
          <w:rFonts w:ascii="Times New Roman" w:hAnsi="Times New Roman" w:cs="Times New Roman"/>
        </w:rPr>
        <w:t xml:space="preserve"> standards</w:t>
      </w:r>
    </w:p>
    <w:p w14:paraId="25A3E386" w14:textId="1B5C61B3" w:rsidR="00A8583E" w:rsidRDefault="00A8583E">
      <w:pPr>
        <w:rPr>
          <w:rFonts w:ascii="Times New Roman" w:hAnsi="Times New Roman" w:cs="Times New Roman"/>
          <w:sz w:val="24"/>
          <w:szCs w:val="24"/>
        </w:rPr>
      </w:pPr>
    </w:p>
    <w:p w14:paraId="421CD796" w14:textId="67875AE0" w:rsidR="00A8583E" w:rsidRDefault="00A8583E">
      <w:pPr>
        <w:rPr>
          <w:rFonts w:ascii="Times New Roman" w:hAnsi="Times New Roman" w:cs="Times New Roman"/>
          <w:sz w:val="24"/>
          <w:szCs w:val="24"/>
        </w:rPr>
      </w:pPr>
    </w:p>
    <w:p w14:paraId="4EB624DB" w14:textId="06EC56B2" w:rsidR="00F713B8" w:rsidRDefault="00F71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39193D" w14:textId="77777777" w:rsidR="00A8583E" w:rsidRPr="004E6034" w:rsidRDefault="00A8583E">
      <w:pPr>
        <w:rPr>
          <w:rFonts w:ascii="Times New Roman" w:hAnsi="Times New Roman" w:cs="Times New Roman"/>
          <w:sz w:val="24"/>
          <w:szCs w:val="24"/>
        </w:rPr>
      </w:pPr>
    </w:p>
    <w:p w14:paraId="590C94CA" w14:textId="0E4CF38D" w:rsidR="001552C8" w:rsidRDefault="001552C8" w:rsidP="006D38E5">
      <w:pPr>
        <w:jc w:val="both"/>
        <w:rPr>
          <w:rFonts w:ascii="Times New Roman" w:hAnsi="Times New Roman" w:cs="Times New Roman"/>
          <w:sz w:val="24"/>
          <w:szCs w:val="24"/>
        </w:rPr>
      </w:pPr>
      <w:r w:rsidRPr="004E6034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 w:rsidR="00A858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A0672" w:rsidRPr="004E60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A0672" w:rsidRPr="004E6034">
        <w:rPr>
          <w:rFonts w:ascii="Times New Roman" w:hAnsi="Times New Roman" w:cs="Times New Roman"/>
          <w:sz w:val="24"/>
          <w:szCs w:val="24"/>
        </w:rPr>
        <w:t xml:space="preserve"> </w:t>
      </w:r>
      <w:r w:rsidR="008E07B7" w:rsidRPr="004E6034">
        <w:rPr>
          <w:rFonts w:ascii="Times New Roman" w:hAnsi="Times New Roman" w:cs="Times New Roman"/>
          <w:sz w:val="24"/>
          <w:szCs w:val="24"/>
        </w:rPr>
        <w:t xml:space="preserve">Forest plot of </w:t>
      </w:r>
      <w:r w:rsidR="004E6034">
        <w:rPr>
          <w:rFonts w:ascii="Times New Roman" w:hAnsi="Times New Roman" w:cs="Times New Roman"/>
          <w:sz w:val="24"/>
          <w:szCs w:val="24"/>
        </w:rPr>
        <w:t>transition</w:t>
      </w:r>
      <w:r w:rsidR="008E07B7" w:rsidRPr="004E6034">
        <w:rPr>
          <w:rFonts w:ascii="Times New Roman" w:hAnsi="Times New Roman" w:cs="Times New Roman"/>
          <w:sz w:val="24"/>
          <w:szCs w:val="24"/>
        </w:rPr>
        <w:t xml:space="preserve"> prevalence on the basis of the cumulative sample retained at follow-up in CHR-P help-seekers who were not exposed to antidepressants at baseline.</w:t>
      </w:r>
      <w:r w:rsidR="009035C3" w:rsidRPr="004E6034">
        <w:rPr>
          <w:rFonts w:ascii="Times New Roman" w:hAnsi="Times New Roman" w:cs="Times New Roman"/>
          <w:sz w:val="24"/>
          <w:szCs w:val="24"/>
        </w:rPr>
        <w:t xml:space="preserve"> All proportions were estimated with the variance-stabilizing Freeman and Tukey double arcsine transformation</w:t>
      </w:r>
      <w:r w:rsidR="004E6034">
        <w:rPr>
          <w:rFonts w:ascii="Times New Roman" w:hAnsi="Times New Roman" w:cs="Times New Roman"/>
          <w:sz w:val="24"/>
          <w:szCs w:val="24"/>
        </w:rPr>
        <w:t>.</w:t>
      </w:r>
    </w:p>
    <w:p w14:paraId="306278B8" w14:textId="5A7AB0DB" w:rsidR="00EB47FD" w:rsidRDefault="00EB47FD" w:rsidP="006D38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FA19E" w14:textId="77777777" w:rsidR="00EB47FD" w:rsidRDefault="00EB47FD" w:rsidP="006D38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919DB" w14:textId="20E5BFD5" w:rsidR="006D38E5" w:rsidRDefault="006233A0">
      <w:pPr>
        <w:rPr>
          <w:rFonts w:ascii="Times New Roman" w:hAnsi="Times New Roman" w:cs="Times New Roman"/>
          <w:sz w:val="24"/>
          <w:szCs w:val="24"/>
        </w:rPr>
      </w:pPr>
      <w:r w:rsidRPr="006233A0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3DDBDEA6" wp14:editId="45F0367D">
            <wp:extent cx="6189377" cy="3467100"/>
            <wp:effectExtent l="0" t="0" r="1905" b="0"/>
            <wp:docPr id="1" name="Picture 1" descr="D:\OneDrive - Università degli Studi di Perugia\MAC-DESK\A-Pipeline\APMPAR-Proj\AD in CHR\PsyMed-AD in CHR\Figure_S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neDrive - Università degli Studi di Perugia\MAC-DESK\A-Pipeline\APMPAR-Proj\AD in CHR\PsyMed-AD in CHR\Figure_S1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2" t="9090" r="14028" b="8611"/>
                    <a:stretch/>
                  </pic:blipFill>
                  <pic:spPr bwMode="auto">
                    <a:xfrm>
                      <a:off x="0" y="0"/>
                      <a:ext cx="6190692" cy="346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0BEA74" w14:textId="482E32D1" w:rsidR="006D38E5" w:rsidRDefault="006D38E5">
      <w:pPr>
        <w:rPr>
          <w:rFonts w:ascii="Times New Roman" w:hAnsi="Times New Roman" w:cs="Times New Roman"/>
          <w:sz w:val="24"/>
          <w:szCs w:val="24"/>
        </w:rPr>
      </w:pPr>
    </w:p>
    <w:p w14:paraId="2F604B20" w14:textId="77777777" w:rsidR="006D38E5" w:rsidRPr="004E6034" w:rsidRDefault="006D38E5">
      <w:pPr>
        <w:rPr>
          <w:rFonts w:ascii="Times New Roman" w:hAnsi="Times New Roman" w:cs="Times New Roman"/>
          <w:sz w:val="24"/>
          <w:szCs w:val="24"/>
        </w:rPr>
      </w:pPr>
    </w:p>
    <w:p w14:paraId="01B72549" w14:textId="77777777" w:rsidR="001552C8" w:rsidRPr="004E6034" w:rsidRDefault="001552C8">
      <w:pPr>
        <w:rPr>
          <w:rFonts w:ascii="Times New Roman" w:hAnsi="Times New Roman" w:cs="Times New Roman"/>
          <w:sz w:val="24"/>
          <w:szCs w:val="24"/>
        </w:rPr>
      </w:pPr>
    </w:p>
    <w:p w14:paraId="765FD5CE" w14:textId="77777777" w:rsidR="006D38E5" w:rsidRDefault="006D38E5" w:rsidP="008E0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F0D8E2" w14:textId="77777777" w:rsidR="006D38E5" w:rsidRDefault="006D38E5" w:rsidP="008E0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7289EC" w14:textId="77777777" w:rsidR="006D38E5" w:rsidRDefault="006D38E5" w:rsidP="008E0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724536" w14:textId="77777777" w:rsidR="006D38E5" w:rsidRDefault="006D38E5" w:rsidP="008E0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6EEA9F" w14:textId="77777777" w:rsidR="006D38E5" w:rsidRDefault="006D38E5" w:rsidP="008E0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38AA78" w14:textId="77777777" w:rsidR="006D38E5" w:rsidRDefault="006D38E5" w:rsidP="008E0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36D9CE" w14:textId="77777777" w:rsidR="006D38E5" w:rsidRDefault="006D38E5" w:rsidP="008E0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0035A8" w14:textId="77777777" w:rsidR="006D38E5" w:rsidRDefault="006D38E5" w:rsidP="008E0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8728BB" w14:textId="77777777" w:rsidR="006D38E5" w:rsidRDefault="006D38E5" w:rsidP="008E0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A624E9" w14:textId="77777777" w:rsidR="006D38E5" w:rsidRDefault="006D38E5" w:rsidP="008E0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E8869B" w14:textId="77777777" w:rsidR="006D38E5" w:rsidRDefault="006D38E5" w:rsidP="008E07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AE4FE6" w14:textId="39280E70" w:rsidR="008E07B7" w:rsidRPr="004E6034" w:rsidRDefault="001552C8" w:rsidP="006D38E5">
      <w:pPr>
        <w:jc w:val="both"/>
        <w:rPr>
          <w:rFonts w:ascii="Times New Roman" w:hAnsi="Times New Roman" w:cs="Times New Roman"/>
          <w:sz w:val="24"/>
          <w:szCs w:val="24"/>
        </w:rPr>
      </w:pPr>
      <w:r w:rsidRPr="004E6034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 w:rsidR="00A8583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50B83" w:rsidRPr="004E6034">
        <w:rPr>
          <w:rFonts w:ascii="Times New Roman" w:hAnsi="Times New Roman" w:cs="Times New Roman"/>
          <w:sz w:val="24"/>
          <w:szCs w:val="24"/>
        </w:rPr>
        <w:t xml:space="preserve">. </w:t>
      </w:r>
      <w:r w:rsidR="008E07B7" w:rsidRPr="004E6034">
        <w:rPr>
          <w:rFonts w:ascii="Times New Roman" w:hAnsi="Times New Roman" w:cs="Times New Roman"/>
          <w:sz w:val="24"/>
          <w:szCs w:val="24"/>
        </w:rPr>
        <w:t xml:space="preserve">Forest plot of </w:t>
      </w:r>
      <w:r w:rsidR="004E6034">
        <w:rPr>
          <w:rFonts w:ascii="Times New Roman" w:hAnsi="Times New Roman" w:cs="Times New Roman"/>
          <w:sz w:val="24"/>
          <w:szCs w:val="24"/>
        </w:rPr>
        <w:t>transition</w:t>
      </w:r>
      <w:r w:rsidR="008E07B7" w:rsidRPr="004E6034">
        <w:rPr>
          <w:rFonts w:ascii="Times New Roman" w:hAnsi="Times New Roman" w:cs="Times New Roman"/>
          <w:sz w:val="24"/>
          <w:szCs w:val="24"/>
        </w:rPr>
        <w:t xml:space="preserve"> prevalence on the basis of the cumulative sample retained at follow-up in CHR-P help-seekers who were exposed to antidepressants at baseline.</w:t>
      </w:r>
      <w:r w:rsidR="009035C3" w:rsidRPr="004E6034">
        <w:rPr>
          <w:rFonts w:ascii="Times New Roman" w:hAnsi="Times New Roman" w:cs="Times New Roman"/>
          <w:sz w:val="24"/>
          <w:szCs w:val="24"/>
        </w:rPr>
        <w:t xml:space="preserve"> All proportions were estimated with the variance-stabilizing Freeman and Tukey double arcsine transformation</w:t>
      </w:r>
      <w:r w:rsidR="004E6034">
        <w:rPr>
          <w:rFonts w:ascii="Times New Roman" w:hAnsi="Times New Roman" w:cs="Times New Roman"/>
          <w:sz w:val="24"/>
          <w:szCs w:val="24"/>
        </w:rPr>
        <w:t>.</w:t>
      </w:r>
    </w:p>
    <w:p w14:paraId="727A3608" w14:textId="0C80D6E8" w:rsidR="001552C8" w:rsidRDefault="001552C8">
      <w:pPr>
        <w:rPr>
          <w:rFonts w:ascii="Times New Roman" w:hAnsi="Times New Roman" w:cs="Times New Roman"/>
          <w:sz w:val="24"/>
          <w:szCs w:val="24"/>
        </w:rPr>
      </w:pPr>
    </w:p>
    <w:p w14:paraId="45C139A7" w14:textId="3E5C8B84" w:rsidR="006D38E5" w:rsidRDefault="006D38E5">
      <w:pPr>
        <w:rPr>
          <w:rFonts w:ascii="Times New Roman" w:hAnsi="Times New Roman" w:cs="Times New Roman"/>
          <w:sz w:val="24"/>
          <w:szCs w:val="24"/>
        </w:rPr>
      </w:pPr>
    </w:p>
    <w:p w14:paraId="0B437E83" w14:textId="375922EF" w:rsidR="006D38E5" w:rsidRDefault="006D38E5">
      <w:pPr>
        <w:rPr>
          <w:rFonts w:ascii="Times New Roman" w:hAnsi="Times New Roman" w:cs="Times New Roman"/>
          <w:sz w:val="24"/>
          <w:szCs w:val="24"/>
        </w:rPr>
      </w:pPr>
    </w:p>
    <w:p w14:paraId="719DFF44" w14:textId="14206ED8" w:rsidR="006D38E5" w:rsidRDefault="006233A0">
      <w:pPr>
        <w:rPr>
          <w:rFonts w:ascii="Times New Roman" w:hAnsi="Times New Roman" w:cs="Times New Roman"/>
          <w:sz w:val="24"/>
          <w:szCs w:val="24"/>
        </w:rPr>
      </w:pPr>
      <w:r w:rsidRPr="006233A0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72A87F28" wp14:editId="5DBDC5F8">
            <wp:extent cx="6250379" cy="3528695"/>
            <wp:effectExtent l="0" t="0" r="0" b="0"/>
            <wp:docPr id="6" name="Picture 6" descr="D:\OneDrive - Università degli Studi di Perugia\MAC-DESK\A-Pipeline\APMPAR-Proj\AD in CHR\PsyMed-AD in CHR\Figure_S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OneDrive - Università degli Studi di Perugia\MAC-DESK\A-Pipeline\APMPAR-Proj\AD in CHR\PsyMed-AD in CHR\Figure_S2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3" t="9837" r="13156" b="6868"/>
                    <a:stretch/>
                  </pic:blipFill>
                  <pic:spPr bwMode="auto">
                    <a:xfrm>
                      <a:off x="0" y="0"/>
                      <a:ext cx="6253923" cy="353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FF05E" w14:textId="64955410" w:rsidR="006D38E5" w:rsidRDefault="006D38E5">
      <w:pPr>
        <w:rPr>
          <w:rFonts w:ascii="Times New Roman" w:hAnsi="Times New Roman" w:cs="Times New Roman"/>
          <w:sz w:val="24"/>
          <w:szCs w:val="24"/>
        </w:rPr>
      </w:pPr>
    </w:p>
    <w:p w14:paraId="4FC6C4DA" w14:textId="177AAD46" w:rsidR="006D38E5" w:rsidRDefault="006D38E5">
      <w:pPr>
        <w:rPr>
          <w:rFonts w:ascii="Times New Roman" w:hAnsi="Times New Roman" w:cs="Times New Roman"/>
          <w:sz w:val="24"/>
          <w:szCs w:val="24"/>
        </w:rPr>
      </w:pPr>
    </w:p>
    <w:p w14:paraId="5856143F" w14:textId="7953891A" w:rsidR="006D38E5" w:rsidRDefault="006D38E5">
      <w:pPr>
        <w:rPr>
          <w:rFonts w:ascii="Times New Roman" w:hAnsi="Times New Roman" w:cs="Times New Roman"/>
          <w:sz w:val="24"/>
          <w:szCs w:val="24"/>
        </w:rPr>
      </w:pPr>
    </w:p>
    <w:p w14:paraId="14BFB0F2" w14:textId="18F3E931" w:rsidR="006D38E5" w:rsidRDefault="006D38E5">
      <w:pPr>
        <w:rPr>
          <w:rFonts w:ascii="Times New Roman" w:hAnsi="Times New Roman" w:cs="Times New Roman"/>
          <w:sz w:val="24"/>
          <w:szCs w:val="24"/>
        </w:rPr>
      </w:pPr>
    </w:p>
    <w:p w14:paraId="6045B5E5" w14:textId="6D5FFBC3" w:rsidR="006D38E5" w:rsidRDefault="006D38E5">
      <w:pPr>
        <w:rPr>
          <w:rFonts w:ascii="Times New Roman" w:hAnsi="Times New Roman" w:cs="Times New Roman"/>
          <w:sz w:val="24"/>
          <w:szCs w:val="24"/>
        </w:rPr>
      </w:pPr>
    </w:p>
    <w:p w14:paraId="164A656C" w14:textId="77777777" w:rsidR="006D38E5" w:rsidRPr="004E6034" w:rsidRDefault="006D38E5">
      <w:pPr>
        <w:rPr>
          <w:rFonts w:ascii="Times New Roman" w:hAnsi="Times New Roman" w:cs="Times New Roman"/>
          <w:sz w:val="24"/>
          <w:szCs w:val="24"/>
        </w:rPr>
      </w:pPr>
    </w:p>
    <w:p w14:paraId="4CEE6194" w14:textId="77777777" w:rsidR="006D38E5" w:rsidRDefault="006D38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A0099B" w14:textId="77777777" w:rsidR="006D38E5" w:rsidRDefault="006D38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C7BDA7" w14:textId="77777777" w:rsidR="006D38E5" w:rsidRDefault="006D38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7F3D69" w14:textId="77777777" w:rsidR="006D38E5" w:rsidRDefault="006D38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0A9918" w14:textId="77777777" w:rsidR="006D38E5" w:rsidRDefault="006D38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2C77AF" w14:textId="77777777" w:rsidR="006D38E5" w:rsidRDefault="006D38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F674EB" w14:textId="77777777" w:rsidR="006D38E5" w:rsidRDefault="006D38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E992D7" w14:textId="77777777" w:rsidR="006D38E5" w:rsidRDefault="006D38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21C57A" w14:textId="50BEAA97" w:rsidR="001552C8" w:rsidRDefault="001552C8" w:rsidP="006D38E5">
      <w:pPr>
        <w:jc w:val="both"/>
        <w:rPr>
          <w:rFonts w:ascii="Times New Roman" w:hAnsi="Times New Roman" w:cs="Times New Roman"/>
          <w:sz w:val="24"/>
          <w:szCs w:val="24"/>
        </w:rPr>
      </w:pPr>
      <w:r w:rsidRPr="004E6034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 w:rsidR="00A8583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50B83" w:rsidRPr="004E6034">
        <w:rPr>
          <w:rFonts w:ascii="Times New Roman" w:hAnsi="Times New Roman" w:cs="Times New Roman"/>
          <w:sz w:val="24"/>
          <w:szCs w:val="24"/>
        </w:rPr>
        <w:t xml:space="preserve">. </w:t>
      </w:r>
      <w:r w:rsidR="00CC2E5E" w:rsidRPr="004E6034">
        <w:rPr>
          <w:rFonts w:ascii="Times New Roman" w:hAnsi="Times New Roman" w:cs="Times New Roman"/>
          <w:sz w:val="24"/>
          <w:szCs w:val="24"/>
        </w:rPr>
        <w:t xml:space="preserve">On the left, the funnel plot of the effect size (risk ratio) against its precision (the standard error); on the right, the results of the Egger's test and </w:t>
      </w:r>
      <w:proofErr w:type="spellStart"/>
      <w:r w:rsidR="00CC2E5E" w:rsidRPr="004E6034">
        <w:rPr>
          <w:rFonts w:ascii="Times New Roman" w:hAnsi="Times New Roman" w:cs="Times New Roman"/>
          <w:sz w:val="24"/>
          <w:szCs w:val="24"/>
        </w:rPr>
        <w:t>Begg's</w:t>
      </w:r>
      <w:proofErr w:type="spellEnd"/>
      <w:r w:rsidR="00CC2E5E" w:rsidRPr="004E6034">
        <w:rPr>
          <w:rFonts w:ascii="Times New Roman" w:hAnsi="Times New Roman" w:cs="Times New Roman"/>
          <w:sz w:val="24"/>
          <w:szCs w:val="24"/>
        </w:rPr>
        <w:t xml:space="preserve"> test for funnel plot asymmetry. Data concerns the comparison in the risk ratio of conversion to psychosis between CHR who were or were not exposed to antidepressants at baseline.</w:t>
      </w:r>
    </w:p>
    <w:p w14:paraId="48B6B3E7" w14:textId="242083C7" w:rsidR="006D38E5" w:rsidRDefault="006D38E5" w:rsidP="006D38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C417D" w14:textId="646970F0" w:rsidR="006D38E5" w:rsidRPr="004E6034" w:rsidRDefault="006233A0" w:rsidP="006D38E5">
      <w:pPr>
        <w:jc w:val="both"/>
        <w:rPr>
          <w:rFonts w:ascii="Times New Roman" w:hAnsi="Times New Roman" w:cs="Times New Roman"/>
          <w:sz w:val="24"/>
          <w:szCs w:val="24"/>
        </w:rPr>
      </w:pPr>
      <w:r w:rsidRPr="006233A0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4A6EC25E" wp14:editId="7B5D469D">
            <wp:extent cx="6120130" cy="2622913"/>
            <wp:effectExtent l="0" t="0" r="0" b="6350"/>
            <wp:docPr id="5" name="Picture 5" descr="D:\OneDrive - Università degli Studi di Perugia\MAC-DESK\A-Pipeline\APMPAR-Proj\AD in CHR\PsyMed-AD in CHR\Figure_S3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neDrive - Università degli Studi di Perugia\MAC-DESK\A-Pipeline\APMPAR-Proj\AD in CHR\PsyMed-AD in CHR\Figure_S3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2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8E5" w:rsidRPr="004E6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C8"/>
    <w:rsid w:val="001552C8"/>
    <w:rsid w:val="0022182C"/>
    <w:rsid w:val="004A1277"/>
    <w:rsid w:val="004E6034"/>
    <w:rsid w:val="004F59C7"/>
    <w:rsid w:val="00564849"/>
    <w:rsid w:val="006233A0"/>
    <w:rsid w:val="006D38E5"/>
    <w:rsid w:val="00781413"/>
    <w:rsid w:val="008E07B7"/>
    <w:rsid w:val="008E6CCF"/>
    <w:rsid w:val="008F3D4F"/>
    <w:rsid w:val="009035C3"/>
    <w:rsid w:val="00A23A5E"/>
    <w:rsid w:val="00A50B83"/>
    <w:rsid w:val="00A67702"/>
    <w:rsid w:val="00A8583E"/>
    <w:rsid w:val="00AA0672"/>
    <w:rsid w:val="00AF592F"/>
    <w:rsid w:val="00BD55B9"/>
    <w:rsid w:val="00BF2960"/>
    <w:rsid w:val="00CC2E5E"/>
    <w:rsid w:val="00EB47FD"/>
    <w:rsid w:val="00F45476"/>
    <w:rsid w:val="00F7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31C3"/>
  <w15:chartTrackingRefBased/>
  <w15:docId w15:val="{52AA3716-518F-4567-850A-56D03F48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Preti</dc:creator>
  <cp:keywords/>
  <dc:description/>
  <cp:lastModifiedBy>andrea raballo</cp:lastModifiedBy>
  <cp:revision>3</cp:revision>
  <dcterms:created xsi:type="dcterms:W3CDTF">2022-03-10T13:29:00Z</dcterms:created>
  <dcterms:modified xsi:type="dcterms:W3CDTF">2022-03-10T13:30:00Z</dcterms:modified>
</cp:coreProperties>
</file>