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EE383" w14:textId="77777777" w:rsidR="009836BA" w:rsidRPr="00EB5D5F" w:rsidRDefault="00D362C7">
      <w:pPr>
        <w:spacing w:after="160" w:line="360" w:lineRule="auto"/>
        <w:rPr>
          <w:b/>
          <w:bCs/>
          <w:sz w:val="24"/>
          <w:lang w:val="en-US"/>
        </w:rPr>
      </w:pPr>
      <w:r w:rsidRPr="00EB5D5F">
        <w:rPr>
          <w:b/>
          <w:bCs/>
          <w:sz w:val="24"/>
          <w:lang w:val="en-US"/>
        </w:rPr>
        <w:t>Supplements</w:t>
      </w:r>
    </w:p>
    <w:p w14:paraId="755B0190" w14:textId="77777777" w:rsidR="009836BA" w:rsidRPr="00EB5D5F" w:rsidRDefault="009836BA">
      <w:pPr>
        <w:spacing w:after="160" w:line="360" w:lineRule="auto"/>
        <w:rPr>
          <w:b/>
          <w:bCs/>
          <w:lang w:val="en-US"/>
        </w:rPr>
      </w:pPr>
    </w:p>
    <w:p w14:paraId="3F57DD82" w14:textId="77777777" w:rsidR="009836BA" w:rsidRPr="00EB5D5F" w:rsidRDefault="00D362C7">
      <w:pPr>
        <w:spacing w:after="160" w:line="360" w:lineRule="auto"/>
        <w:rPr>
          <w:b/>
          <w:bCs/>
          <w:lang w:val="en-US"/>
        </w:rPr>
      </w:pPr>
      <w:r w:rsidRPr="00EB5D5F">
        <w:rPr>
          <w:b/>
          <w:bCs/>
          <w:lang w:val="en-US"/>
        </w:rPr>
        <w:t>Supplementary Materials</w:t>
      </w:r>
    </w:p>
    <w:p w14:paraId="28D9A928" w14:textId="77777777" w:rsidR="009836BA" w:rsidRPr="00EB5D5F" w:rsidRDefault="00D362C7">
      <w:pPr>
        <w:spacing w:after="160" w:line="360" w:lineRule="auto"/>
        <w:rPr>
          <w:i/>
          <w:iCs/>
          <w:lang w:val="en-US"/>
        </w:rPr>
      </w:pPr>
      <w:r w:rsidRPr="00EB5D5F">
        <w:rPr>
          <w:i/>
          <w:iCs/>
          <w:lang w:val="en-US"/>
        </w:rPr>
        <w:t>Categorical operationalization of childhood maltreatment</w:t>
      </w:r>
    </w:p>
    <w:p w14:paraId="413B30B5" w14:textId="77777777" w:rsidR="009836BA" w:rsidRPr="00EB5D5F" w:rsidRDefault="00D362C7">
      <w:pPr>
        <w:spacing w:after="160" w:line="360" w:lineRule="auto"/>
        <w:rPr>
          <w:iCs/>
          <w:lang w:val="en-US"/>
        </w:rPr>
      </w:pPr>
      <w:r w:rsidRPr="00EB5D5F">
        <w:rPr>
          <w:iCs/>
          <w:lang w:val="en-US"/>
        </w:rPr>
        <w:t xml:space="preserve">Following the procedure described by Walker et al. all participants exceeding the cutoffs in one of the five subscales of the childhood trauma questionnaire (CTQ) were categorized as maltreated. The validated cutoffs for each maltreatment subscale are: physical abuse ≥ 8, physical neglect ≥ 8, emotional neglect ≥ 15, emotional abuse ≥ 10, sexual abuse ≥ 8 </w:t>
      </w:r>
      <w:r w:rsidRPr="00EB5D5F">
        <w:fldChar w:fldCharType="begin" w:fldLock="1"/>
      </w:r>
      <w:r w:rsidRPr="00EB5D5F">
        <w:rPr>
          <w:iCs/>
          <w:lang w:val="en-US"/>
        </w:rPr>
        <w:instrText>ADDIN CSL_CITATION {"citationItems":[{"id":"ITEM-1","itemData":{"author":[{"dropping-particle":"","family":"Walker","given":"Edward A","non-dropping-particle":"","parse-names":false,"suffix":""},{"dropping-particle":"","family":"Gelfand","given":"Ann","non-dropping-particle":"","parse-names":false,"suffix":""},{"dropping-particle":"","family":"Katon","given":"Wayne J","non-dropping-particle":"","parse-names":false,"suffix":""},{"dropping-particle":"","family":"Koss","given":"Mary P","non-dropping-particle":"","parse-names":false,"suffix":""},{"dropping-particle":"Von","family":"Korff","given":"Michael","non-dropping-particle":"","parse-names":false,"suffix":""},{"dropping-particle":"","family":"Bernstein","given":"David","non-dropping-particle":"","parse-names":false,"suffix":""},{"dropping-particle":"","family":"Russo","given":"Joan","non-dropping-particle":"","parse-names":false,"suffix":""}],"container-title":"The American Journal of Medicine","id":"ITEM-1","issued":{"date-parts":[["1999"]]},"page":"332-339","title":"Adult Health Status of Women with Histories of Childhood Abuse and Neglect","type":"article-journal","volume":"107"},"uris":["http://www.mendeley.com/documents/?uuid=6eb2c218-911b-4153-a4ff-9c47b9bd99eb"]}],"mendeley":{"formattedCitation":"(Walker et al., 1999)","plainTextFormattedCitation":"(Walker et al., 1999)","previouslyFormattedCitation":"(Walker et al., 1999)"},"properties":{"noteIndex":0},"schema":"https://github.com/citation-style-language/schema/raw/master/csl-citation.json"}</w:instrText>
      </w:r>
      <w:r w:rsidRPr="00EB5D5F">
        <w:rPr>
          <w:iCs/>
          <w:lang w:val="en-US"/>
        </w:rPr>
        <w:fldChar w:fldCharType="separate"/>
      </w:r>
      <w:r w:rsidRPr="00EB5D5F">
        <w:rPr>
          <w:iCs/>
          <w:noProof/>
          <w:lang w:val="en-US"/>
        </w:rPr>
        <w:t>(Walker et al., 1999)</w:t>
      </w:r>
      <w:r w:rsidRPr="00EB5D5F">
        <w:rPr>
          <w:iCs/>
          <w:lang w:val="en-US"/>
        </w:rPr>
        <w:fldChar w:fldCharType="end"/>
      </w:r>
      <w:r w:rsidRPr="00EB5D5F">
        <w:rPr>
          <w:iCs/>
          <w:lang w:val="en-US"/>
        </w:rPr>
        <w:t xml:space="preserve">. All other participants (not exceeding any of the subscale cutoffs) were categorized as non-maltreated. </w:t>
      </w:r>
    </w:p>
    <w:p w14:paraId="16C86D0B" w14:textId="77777777" w:rsidR="009836BA" w:rsidRPr="00EB5D5F" w:rsidRDefault="009836BA">
      <w:pPr>
        <w:spacing w:after="160" w:line="360" w:lineRule="auto"/>
        <w:rPr>
          <w:iCs/>
          <w:lang w:val="en-US"/>
        </w:rPr>
      </w:pPr>
    </w:p>
    <w:p w14:paraId="220BF7F2" w14:textId="77777777" w:rsidR="009836BA" w:rsidRPr="00EB5D5F" w:rsidRDefault="00D362C7">
      <w:pPr>
        <w:spacing w:after="160" w:line="360" w:lineRule="auto"/>
        <w:rPr>
          <w:i/>
          <w:lang w:val="en-US"/>
        </w:rPr>
      </w:pPr>
      <w:r w:rsidRPr="00EB5D5F">
        <w:rPr>
          <w:i/>
          <w:lang w:val="en-US"/>
        </w:rPr>
        <w:t>Calculation of medication index</w:t>
      </w:r>
    </w:p>
    <w:p w14:paraId="4033B430" w14:textId="77777777" w:rsidR="009836BA" w:rsidRPr="00EB5D5F" w:rsidRDefault="00D362C7">
      <w:pPr>
        <w:spacing w:after="160" w:line="360" w:lineRule="auto"/>
        <w:rPr>
          <w:iCs/>
          <w:lang w:val="en-US"/>
        </w:rPr>
      </w:pPr>
      <w:r w:rsidRPr="00EB5D5F">
        <w:rPr>
          <w:iCs/>
          <w:lang w:val="en-US"/>
        </w:rPr>
        <w:t>A medication index was calculated expressing the level of current psychiatric medication in terms of dosage of the combined current medication. Assessment of acute medication was done based on interviews conducted by trained personnel. Following the interview, all recorded medication was then classified by the corresponding active ingredients and medication categories (</w:t>
      </w:r>
      <w:proofErr w:type="gramStart"/>
      <w:r w:rsidRPr="00EB5D5F">
        <w:rPr>
          <w:iCs/>
          <w:lang w:val="en-US"/>
        </w:rPr>
        <w:t>e.g.</w:t>
      </w:r>
      <w:proofErr w:type="gramEnd"/>
      <w:r w:rsidRPr="00EB5D5F">
        <w:rPr>
          <w:iCs/>
          <w:lang w:val="en-US"/>
        </w:rPr>
        <w:t xml:space="preserve"> selective serotonin reuptake inhibitors, benzodiazepines; somatic medication was grouped in categories as contraceptives, thyroid or diabetes medication). Subsequently, all active ingredients of psychiatric medication were coded ‘0’, ‘1’ or ‘2’ based on established dosage-dependent cutoffs </w:t>
      </w:r>
      <w:r w:rsidRPr="00EB5D5F">
        <w:fldChar w:fldCharType="begin" w:fldLock="1"/>
      </w:r>
      <w:r w:rsidRPr="00EB5D5F">
        <w:rPr>
          <w:iCs/>
          <w:lang w:val="en-US"/>
        </w:rPr>
        <w:instrText>ADDIN CSL_CITATION {"citationItems":[{"id":"ITEM-1","itemData":{"author":[{"dropping-particle":"","family":"Reynolds","given":"C R","non-dropping-particle":"","parse-names":false,"suffix":""}],"container-title":"Encyclopedia of Special Education","id":"ITEM-1","issued":{"date-parts":[["2008"]]},"publisher":"John Wiley Sons, Inc.","publisher-place":"Vol Hoboken, JK, USA","title":"Physicians' Desk Reference","type":"chapter"},"uris":["http://www.mendeley.com/documents/?uuid=91d7c7ed-41b0-4734-9a6b-647d75c35d8e"]},{"id":"ITEM-2","itemData":{"edition":"10","editor":[{"dropping-particle":"","family":"Benkert","given":"O","non-dropping-particle":"","parse-names":false,"suffix":""},{"dropping-particle":"","family":"Hippius","given":"H","non-dropping-particle":"","parse-names":false,"suffix":""}],"id":"ITEM-2","issued":{"date-parts":[["2015"]]},"publisher":"Springer Verlag","publisher-place":"Berlin Heidelberg","title":"Kompendium der Psychiatrischen Pharmakotherapie","type":"book"},"uris":["http://www.mendeley.com/documents/?uuid=98969971-69a2-4c7d-a26a-8f268bf0d3f6"]}],"mendeley":{"formattedCitation":"(Benkert &amp; Hippius, 2015; Reynolds, 2008)","plainTextFormattedCitation":"(Benkert &amp; Hippius, 2015; Reynolds, 2008)","previouslyFormattedCitation":"(Benkert &amp; Hippius, 2015; Reynolds, 2008)"},"properties":{"noteIndex":0},"schema":"https://github.com/citation-style-language/schema/raw/master/csl-citation.json"}</w:instrText>
      </w:r>
      <w:r w:rsidRPr="00EB5D5F">
        <w:rPr>
          <w:iCs/>
          <w:lang w:val="en-US"/>
        </w:rPr>
        <w:fldChar w:fldCharType="separate"/>
      </w:r>
      <w:r w:rsidRPr="00EB5D5F">
        <w:rPr>
          <w:iCs/>
          <w:noProof/>
          <w:lang w:val="en-US"/>
        </w:rPr>
        <w:t>(Benkert &amp; Hippius, 2015; Reynolds, 2008)</w:t>
      </w:r>
      <w:r w:rsidRPr="00EB5D5F">
        <w:rPr>
          <w:iCs/>
          <w:lang w:val="en-US"/>
        </w:rPr>
        <w:fldChar w:fldCharType="end"/>
      </w:r>
      <w:r w:rsidRPr="00EB5D5F">
        <w:rPr>
          <w:iCs/>
          <w:lang w:val="en-US"/>
        </w:rPr>
        <w:t xml:space="preserve">. These scores were then added together across all psychiatric medication to results into the final medication index. This procedure has been used in numerous previous publications </w:t>
      </w:r>
      <w:r w:rsidRPr="00EB5D5F">
        <w:fldChar w:fldCharType="begin" w:fldLock="1"/>
      </w:r>
      <w:r w:rsidRPr="00EB5D5F">
        <w:rPr>
          <w:iCs/>
          <w:lang w:val="en-US"/>
        </w:rPr>
        <w:instrText>ADDIN CSL_CITATION {"citationItems":[{"id":"ITEM-1","itemData":{"DOI":"10.1038/npp.2015.110","ISSN":"1740-634X","PMID":"25881114","abstract":"Differentiating bipolar disorders (BD) from unipolar depression (UD) remains a major clinical challenge. The identification of neurobiological markers may help to differentiate these disorders, particularly during depressive episodes. This cross-sectional study, including 33 patients with UD, 33 patients with BD and 34 healthy controls, is one of the first to directly compare UD and BD with respect to reward processing. A card-guessing paradigm was employed and brain activity associated with reward processing was investigated by means of fMRI. A 3 (group) × 2 (condition: reward&gt;control, loss&gt;control) ANOVA was conducted using the nucleus accumbens (NAcc) as ROI. Furthermore, a whole-brain approach was applied. A functional connectivity analysis was performed to characterize diagnosis-related alterations in the functional coupling between the NAcc and other brain areas. The ANOVA revealed higher activity for HC than for BD and UD in the NAcc during reward processing. Moreover, UD showed a higher functional connectivity between the NAcc and the VTA than HC. The patients groups could be differentiated in that BD showed a decreased activation, in the reward condition, of the NAcc, caudate nucleus, thalamus, putamen, insula, and prefrontal areas compared to UD. These results may help to refine the understanding of neural correlates of reward processing in both disorders, and to understand the neural underpinnings of anhedonia, a core symptom of depressive episodes.Neuropsychopharmacology accepted article preview online, 16 April 2015. doi:10.1038/npp.2015.110.","author":[{"dropping-particle":"","family":"Redlich","given":"Ronny","non-dropping-particle":"","parse-names":false,"suffix":""},{"dropping-particle":"","family":"Dohm","given":"Katharina","non-dropping-particle":"","parse-names":false,"suffix":""},{"dropping-particle":"","family":"Grotegerd","given":"Dominik","non-dropping-particle":"","parse-names":false,"suffix":""},{"dropping-particle":"","family":"Opel","given":"Nils","non-dropping-particle":"","parse-names":false,"suffix":""},{"dropping-particle":"","family":"Zwitserlood","given":"Pienie","non-dropping-particle":"","parse-names":false,"suffix":""},{"dropping-particle":"","family":"Heindel","given":"Walter","non-dropping-particle":"","parse-names":false,"suffix":""},{"dropping-particle":"","family":"Arolt","given":"Volker","non-dropping-particle":"","parse-names":false,"suffix":""},{"dropping-particle":"","family":"Kugel","given":"Harald","non-dropping-particle":"","parse-names":false,"suffix":""},{"dropping-particle":"","family":"Dannlowski","given":"Udo","non-dropping-particle":"","parse-names":false,"suffix":""}],"container-title":"Neuropsychopharmacology : official publication of the American College of Neuropsychopharmacology","id":"ITEM-1","issue":"11","issued":{"date-parts":[["2015","4"]]},"page":"2623-2631","publisher":"Nature Publishing Group","title":"Reward Processing in Unipolar and Bipolar Depression: A Functional MRI Study.","type":"article-journal","volume":"40"},"uris":["http://www.mendeley.com/documents/?uuid=e7171158-7aa2-43c8-a33e-5b97b68bc85c"]},{"id":"ITEM-2","itemData":{"DOI":"10.1001/jamapsychiatry.2014.1100","author":[{"dropping-particle":"","family":"Redlich","given":"Ronny","non-dropping-particle":"","parse-names":false,"suffix":""},{"dropping-particle":"","family":"Almeida","given":"Jorge R","non-dropping-particle":"","parse-names":false,"suffix":""},{"dropping-particle":"","family":"Grotegerd","given":"Dominik","non-dropping-particle":"","parse-names":false,"suffix":""},{"dropping-particle":"","family":"Opel","given":"Nils","non-dropping-particle":"","parse-names":false,"suffix":""},{"dropping-particle":"","family":"Kugel","given":"Harald","non-dropping-particle":"","parse-names":false,"suffix":""},{"dropping-particle":"","family":"Heindel","given":"Walter","non-dropping-particle":"","parse-names":false,"suffix":""},{"dropping-particle":"","family":"Arolt","given":"Volker","non-dropping-particle":"","parse-names":false,"suffix":""},{"dropping-particle":"","family":"Philips","given":"Mary L","non-dropping-particle":"","parse-names":false,"suffix":""},{"dropping-particle":"","family":"Dannlowski","given":"Udo","non-dropping-particle":"","parse-names":false,"suffix":""}],"container-title":"JAMA Psychiatry","id":"ITEM-2","issue":"11","issued":{"date-parts":[["2014"]]},"page":"1222-1230","title":"Brain Morphometric Biomarkers Distinguishing Unipolar and Bipolar Depression: A Voxel-Based Morphometry-Pattern Classification Approach","type":"article-journal","volume":"71"},"uris":["http://www.mendeley.com/documents/?uuid=7d39528b-7489-4e9a-b02a-1183ddd8dd14"]}],"mendeley":{"formattedCitation":"(Redlich et al., 2014, 2015)","plainTextFormattedCitation":"(Redlich et al., 2014, 2015)","previouslyFormattedCitation":"(Redlich et al., 2014, 2015)"},"properties":{"noteIndex":0},"schema":"https://github.com/citation-style-language/schema/raw/master/csl-citation.json"}</w:instrText>
      </w:r>
      <w:r w:rsidRPr="00EB5D5F">
        <w:rPr>
          <w:iCs/>
          <w:lang w:val="en-US"/>
        </w:rPr>
        <w:fldChar w:fldCharType="separate"/>
      </w:r>
      <w:r w:rsidRPr="00EB5D5F">
        <w:rPr>
          <w:iCs/>
          <w:noProof/>
          <w:lang w:val="en-US"/>
        </w:rPr>
        <w:t>(Redlich et al., 2014, 2015)</w:t>
      </w:r>
      <w:r w:rsidRPr="00EB5D5F">
        <w:rPr>
          <w:iCs/>
          <w:lang w:val="en-US"/>
        </w:rPr>
        <w:fldChar w:fldCharType="end"/>
      </w:r>
      <w:r w:rsidRPr="00EB5D5F">
        <w:rPr>
          <w:iCs/>
          <w:lang w:val="en-US"/>
        </w:rPr>
        <w:t>.</w:t>
      </w:r>
    </w:p>
    <w:p w14:paraId="1A9474E6" w14:textId="77777777" w:rsidR="009836BA" w:rsidRPr="00EB5D5F" w:rsidRDefault="009836BA">
      <w:pPr>
        <w:spacing w:after="160" w:line="360" w:lineRule="auto"/>
        <w:rPr>
          <w:iCs/>
          <w:lang w:val="en-US"/>
        </w:rPr>
      </w:pPr>
    </w:p>
    <w:p w14:paraId="4C555EC4" w14:textId="77777777" w:rsidR="009836BA" w:rsidRPr="00EB5D5F" w:rsidRDefault="00D362C7">
      <w:pPr>
        <w:spacing w:after="160" w:line="360" w:lineRule="auto"/>
        <w:rPr>
          <w:i/>
          <w:iCs/>
          <w:lang w:val="en-US"/>
        </w:rPr>
      </w:pPr>
      <w:r w:rsidRPr="00EB5D5F">
        <w:rPr>
          <w:i/>
          <w:iCs/>
          <w:lang w:val="en-US"/>
        </w:rPr>
        <w:t xml:space="preserve">Resting-state functional MRI </w:t>
      </w:r>
      <w:proofErr w:type="spellStart"/>
      <w:r w:rsidRPr="00EB5D5F">
        <w:rPr>
          <w:i/>
          <w:iCs/>
          <w:lang w:val="en-US"/>
        </w:rPr>
        <w:t>aquisition</w:t>
      </w:r>
      <w:proofErr w:type="spellEnd"/>
    </w:p>
    <w:p w14:paraId="02215C6C" w14:textId="77777777" w:rsidR="009836BA" w:rsidRPr="00EB5D5F" w:rsidRDefault="00D362C7">
      <w:pPr>
        <w:spacing w:after="160" w:line="360" w:lineRule="auto"/>
        <w:rPr>
          <w:lang w:val="en-US"/>
        </w:rPr>
      </w:pPr>
      <w:proofErr w:type="spellStart"/>
      <w:r w:rsidRPr="00EB5D5F">
        <w:rPr>
          <w:lang w:val="en-US"/>
        </w:rPr>
        <w:t>Prescan</w:t>
      </w:r>
      <w:proofErr w:type="spellEnd"/>
      <w:r w:rsidRPr="00EB5D5F">
        <w:rPr>
          <w:lang w:val="en-US"/>
        </w:rPr>
        <w:t xml:space="preserve"> normalize functionality was added to the scanning protocol during recruitment to correct for non-uniform receiver coil profiles prior to imaging. Only subjects for which a </w:t>
      </w:r>
      <w:proofErr w:type="spellStart"/>
      <w:r w:rsidRPr="00EB5D5F">
        <w:rPr>
          <w:lang w:val="en-US"/>
        </w:rPr>
        <w:t>prescan</w:t>
      </w:r>
      <w:proofErr w:type="spellEnd"/>
      <w:r w:rsidRPr="00EB5D5F">
        <w:rPr>
          <w:lang w:val="en-US"/>
        </w:rPr>
        <w:t xml:space="preserve"> normalize was applied were used in all analyses.</w:t>
      </w:r>
    </w:p>
    <w:p w14:paraId="54E35F32" w14:textId="77777777" w:rsidR="009836BA" w:rsidRPr="00EB5D5F" w:rsidRDefault="00D362C7">
      <w:pPr>
        <w:spacing w:after="160" w:line="360" w:lineRule="auto"/>
        <w:rPr>
          <w:lang w:val="en-US"/>
        </w:rPr>
      </w:pPr>
      <w:r w:rsidRPr="00EB5D5F">
        <w:rPr>
          <w:lang w:val="en-US"/>
        </w:rPr>
        <w:t xml:space="preserve">Resting state functional images were acquired in ascending order over a total duration of eight minutes (eyes closed) using a T2* weighted echo planar imaging sequence (EPI), which is sensitive to the blood oxygen level dependent contrast (BOLD; matrix = 64 x64, slices = 33, FOV = 210, voxel size = 3.3 x 3.3 x 3.8 mm, slice thickness = 3.8mm, slice gap </w:t>
      </w:r>
      <w:r w:rsidRPr="00EB5D5F">
        <w:rPr>
          <w:lang w:val="en-US"/>
        </w:rPr>
        <w:lastRenderedPageBreak/>
        <w:t xml:space="preserve">= 10%, TE = 30 </w:t>
      </w:r>
      <w:proofErr w:type="spellStart"/>
      <w:r w:rsidRPr="00EB5D5F">
        <w:rPr>
          <w:lang w:val="en-US"/>
        </w:rPr>
        <w:t>ms</w:t>
      </w:r>
      <w:proofErr w:type="spellEnd"/>
      <w:r w:rsidRPr="00EB5D5F">
        <w:rPr>
          <w:lang w:val="en-US"/>
        </w:rPr>
        <w:t>, TR = 2.0 s, flip angle = 90°). All slices covered the whole brain and were positioned transaxially parallel to the anterior-posterior commissural line with a tilted angle of 20°.</w:t>
      </w:r>
    </w:p>
    <w:p w14:paraId="31C7D157" w14:textId="77777777" w:rsidR="009836BA" w:rsidRPr="00EB5D5F" w:rsidRDefault="009836BA">
      <w:pPr>
        <w:spacing w:after="160" w:line="360" w:lineRule="auto"/>
        <w:rPr>
          <w:lang w:val="en-US"/>
        </w:rPr>
      </w:pPr>
    </w:p>
    <w:p w14:paraId="59B6CEB8" w14:textId="77777777" w:rsidR="009836BA" w:rsidRPr="00EB5D5F" w:rsidRDefault="00D362C7">
      <w:pPr>
        <w:spacing w:after="160" w:line="360" w:lineRule="auto"/>
        <w:rPr>
          <w:i/>
          <w:lang w:val="en-US"/>
        </w:rPr>
      </w:pPr>
      <w:r w:rsidRPr="00EB5D5F">
        <w:rPr>
          <w:i/>
          <w:lang w:val="en-US"/>
        </w:rPr>
        <w:t>Preprocessing pipeline and quality assurance protocol</w:t>
      </w:r>
    </w:p>
    <w:p w14:paraId="55255A0F" w14:textId="36141508" w:rsidR="009836BA" w:rsidRPr="00EB5D5F" w:rsidRDefault="00D362C7">
      <w:pPr>
        <w:spacing w:line="360" w:lineRule="auto"/>
        <w:rPr>
          <w:lang w:val="en-US"/>
        </w:rPr>
      </w:pPr>
      <w:r w:rsidRPr="00EB5D5F">
        <w:rPr>
          <w:lang w:val="en-US"/>
        </w:rPr>
        <w:t>Resting-state preprocessing was done with the CONN (v18b) MATLAB toolbox using the default volume-based MNI preprocessing pipeline (</w:t>
      </w:r>
      <w:hyperlink r:id="rId7">
        <w:r w:rsidRPr="00EB5D5F">
          <w:rPr>
            <w:rStyle w:val="Hyperlink"/>
            <w:lang w:val="en-US"/>
          </w:rPr>
          <w:t>https://web.conn-toolbox.org/</w:t>
        </w:r>
      </w:hyperlink>
      <w:r w:rsidRPr="00EB5D5F">
        <w:rPr>
          <w:lang w:val="en-US"/>
        </w:rPr>
        <w:t xml:space="preserve">) </w:t>
      </w:r>
      <w:r w:rsidRPr="00EB5D5F">
        <w:fldChar w:fldCharType="begin" w:fldLock="1"/>
      </w:r>
      <w:r w:rsidRPr="00EB5D5F">
        <w:rPr>
          <w:lang w:val="en-US"/>
        </w:rPr>
        <w:instrText>ADDIN CSL_CITATION {"citationItems":[{"id":"ITEM-1","itemData":{"DOI":"10.1089/brain.2012.0073","ISSN":"21580022","PMID":"22642651","abstract":"Resting state functional connectivity reveals intrinsic, spontaneous networks that elucidate the functional architecture of the human brain. However, valid statistical analysis used to identify such networks must address sources of noise in order to avoid possible confounds such as spurious correlations based on non-neuronal sources. We have developed a functional connectivity toolbox Conn (www.nitrc.org/projects/conn) that implements the component-based noise correction method (CompCor) strategy for physiological and other noise source reduction, additional removal of movement, and temporal covariates, temporal filtering and windowing of the residual blood oxygen level-dependent (BOLD) contrast signal, first-level estimation of multiple standard functional connectivity magnetic resonance imaging (fcMRI) measures, and second-level random-effect analysis for resting state as well as task-related data. Compared to methods that rely on global signal regression, the CompCor noise reduction method allows for interpretation of anticorrelations as there is no regression of the global signal. The toolbox implements fcMRI measures, such as estimation of seed-to-voxel and region of interest (ROI)-to-ROI functional correlations, as well as semipartial correlation and bivariate/multivariate regression analysis for multiple ROI sources, graph theoretical analysis, and novel voxel-to-voxel analysis of functional connectivity. We describe the methods implemented in the Conn toolbox for the analysis of fcMRI data, together with examples of use and interscan reliability estimates of all the implemented fcMRI measures. The results indicate that the CompCor method increases the sensitivity and selectivity of fcMRI analysis, and show a high degree of interscan reliability for many fcMRI measures. © 2012, Mary Ann Liebert, Inc. All rights reserved.","author":[{"dropping-particle":"","family":"Whitfield-Gabrieli","given":"Susan","non-dropping-particle":"","parse-names":false,"suffix":""},{"dropping-particle":"","family":"Nieto-Castanon","given":"Alfonso","non-dropping-particle":"","parse-names":false,"suffix":""}],"container-title":"Brain Connectivity","id":"ITEM-1","issue":"3","issued":{"date-parts":[["2012"]]},"page":"125-141","title":"Conn: A Functional Connectivity Toolbox for Correlated and Anticorrelated Brain Networks","type":"article-journal","volume":"2"},"uris":["http://www.mendeley.com/documents/?uuid=a096e360-6f8e-4919-915d-50e432ec7a09"]}],"mendeley":{"formattedCitation":"(Whitfield-Gabrieli &amp; Nieto-Castanon, 2012)","plainTextFormattedCitation":"(Whitfield-Gabrieli &amp; Nieto-Castanon, 2012)","previouslyFormattedCitation":"(Whitfield-Gabrieli &amp; Nieto-Castanon, 2012)"},"properties":{"noteIndex":0},"schema":"https://github.com/citation-style-language/schema/raw/master/csl-citation.json"}</w:instrText>
      </w:r>
      <w:r w:rsidRPr="00EB5D5F">
        <w:rPr>
          <w:lang w:val="en-US"/>
        </w:rPr>
        <w:fldChar w:fldCharType="separate"/>
      </w:r>
      <w:r w:rsidRPr="00EB5D5F">
        <w:rPr>
          <w:noProof/>
          <w:lang w:val="en-US"/>
        </w:rPr>
        <w:t>(Whitfield-Gabrieli &amp; Nieto-Castanon, 2012)</w:t>
      </w:r>
      <w:r w:rsidRPr="00EB5D5F">
        <w:rPr>
          <w:lang w:val="en-US"/>
        </w:rPr>
        <w:fldChar w:fldCharType="end"/>
      </w:r>
      <w:r w:rsidRPr="00EB5D5F">
        <w:rPr>
          <w:lang w:val="en-US"/>
        </w:rPr>
        <w:t>. First, a series of preprocessing steps was applied to the functional and structural images that included a functional realignment and unwarp, a slice-timing correction, an ART-based outlier identification (</w:t>
      </w:r>
      <w:r w:rsidRPr="00EB5D5F">
        <w:rPr>
          <w:color w:val="000000" w:themeColor="text1"/>
          <w:lang w:val="en-US"/>
        </w:rPr>
        <w:t xml:space="preserve">acquisitions with framewise displacement above 0.9mm or global BOLD signal changes above 5 </w:t>
      </w:r>
      <w:r w:rsidR="00DB390A" w:rsidRPr="00EB5D5F">
        <w:rPr>
          <w:color w:val="000000" w:themeColor="text1"/>
          <w:lang w:val="en-US"/>
        </w:rPr>
        <w:t>standard deviations</w:t>
      </w:r>
      <w:r w:rsidRPr="00EB5D5F">
        <w:rPr>
          <w:color w:val="000000" w:themeColor="text1"/>
          <w:lang w:val="en-US"/>
        </w:rPr>
        <w:t xml:space="preserve"> were flagged as </w:t>
      </w:r>
      <w:r w:rsidRPr="0036173E">
        <w:rPr>
          <w:color w:val="000000" w:themeColor="text1"/>
          <w:lang w:val="en-US"/>
        </w:rPr>
        <w:t>outliers),</w:t>
      </w:r>
      <w:r w:rsidRPr="0036173E">
        <w:rPr>
          <w:lang w:val="en-US"/>
        </w:rPr>
        <w:t xml:space="preserve"> a direct segmentation and normalization of the functional and structural images, as well as a final functional smoothing with an 8mm FWHM kernel. </w:t>
      </w:r>
      <w:r w:rsidR="007553AF" w:rsidRPr="0036173E">
        <w:rPr>
          <w:lang w:val="en-US"/>
        </w:rPr>
        <w:t xml:space="preserve">Importantly, </w:t>
      </w:r>
      <w:r w:rsidR="00BA4182" w:rsidRPr="0036173E">
        <w:rPr>
          <w:lang w:val="en-US"/>
        </w:rPr>
        <w:t>varying</w:t>
      </w:r>
      <w:r w:rsidR="007553AF" w:rsidRPr="0036173E">
        <w:rPr>
          <w:lang w:val="en-US"/>
        </w:rPr>
        <w:t xml:space="preserve"> framewise displacement (FD) calculations have been reported in the literature. Thus, thresholds for identifying individual scans as outliers may differ across FD calculations</w:t>
      </w:r>
      <w:r w:rsidR="004077B5" w:rsidRPr="0036173E">
        <w:rPr>
          <w:lang w:val="en-US"/>
        </w:rPr>
        <w:t xml:space="preserve"> and are not directly comparable</w:t>
      </w:r>
      <w:r w:rsidR="007553AF" w:rsidRPr="0036173E">
        <w:rPr>
          <w:lang w:val="en-US"/>
        </w:rPr>
        <w:t xml:space="preserve">. Here, we rely upon the </w:t>
      </w:r>
      <w:r w:rsidR="004077B5" w:rsidRPr="0036173E">
        <w:rPr>
          <w:lang w:val="en-US"/>
        </w:rPr>
        <w:t xml:space="preserve">composite motion estimate as implemented in the CONN toolbox, </w:t>
      </w:r>
      <w:r w:rsidR="00D544EC" w:rsidRPr="0036173E">
        <w:rPr>
          <w:lang w:val="en-US"/>
        </w:rPr>
        <w:t>using</w:t>
      </w:r>
      <w:r w:rsidR="004077B5" w:rsidRPr="0036173E">
        <w:rPr>
          <w:lang w:val="en-US"/>
        </w:rPr>
        <w:t xml:space="preserve"> default settings. </w:t>
      </w:r>
      <w:r w:rsidRPr="0036173E">
        <w:rPr>
          <w:lang w:val="en-US"/>
        </w:rPr>
        <w:t>Second, CONN’s denoising step with default parameters was applied to regress out potential</w:t>
      </w:r>
      <w:r w:rsidRPr="00EB5D5F">
        <w:rPr>
          <w:lang w:val="en-US"/>
        </w:rPr>
        <w:t xml:space="preserve"> noise artefacts in the functional data based on an anatomical component-based noise correction procedure (</w:t>
      </w:r>
      <w:proofErr w:type="spellStart"/>
      <w:r w:rsidRPr="00EB5D5F">
        <w:rPr>
          <w:lang w:val="en-US"/>
        </w:rPr>
        <w:t>aCompCor</w:t>
      </w:r>
      <w:proofErr w:type="spellEnd"/>
      <w:r w:rsidRPr="00EB5D5F">
        <w:rPr>
          <w:lang w:val="en-US"/>
        </w:rPr>
        <w:t xml:space="preserve">). Controlling for noise artefacts is done by regressing out noise components from cerebral white matter and cerebrospinal areas (5 PCA components), estimated subject-motion parameters (12 parameters including 6 motion parameters and their associated first-order derivatives), as well as identified outlier scans or scrubbing. Subsequently, default temporal band-pass filtering was applied to remove low frequencies under 0.008 Hz and high frequencies above 0.09 Hz. </w:t>
      </w:r>
    </w:p>
    <w:p w14:paraId="14FCDCE6" w14:textId="3B77A8E0" w:rsidR="009836BA" w:rsidRPr="00EB5D5F" w:rsidRDefault="00D362C7">
      <w:pPr>
        <w:spacing w:line="360" w:lineRule="auto"/>
        <w:rPr>
          <w:lang w:val="en-US"/>
        </w:rPr>
      </w:pPr>
      <w:r w:rsidRPr="00EB5D5F">
        <w:rPr>
          <w:lang w:val="en-US"/>
        </w:rPr>
        <w:t xml:space="preserve">Finally, individual voxel-to-voxel connectivity distribution histograms (after denoising) were visually checked for irregularities as skewed distributions that could indicate artificial hyperconnectivity. These </w:t>
      </w:r>
      <w:proofErr w:type="spellStart"/>
      <w:r w:rsidRPr="00EB5D5F">
        <w:rPr>
          <w:lang w:val="en-US"/>
        </w:rPr>
        <w:t>connectivities</w:t>
      </w:r>
      <w:proofErr w:type="spellEnd"/>
      <w:r w:rsidRPr="00EB5D5F">
        <w:rPr>
          <w:lang w:val="en-US"/>
        </w:rPr>
        <w:t xml:space="preserve"> were then correlated with quality check parameters in order to assess if higher functional </w:t>
      </w:r>
      <w:proofErr w:type="spellStart"/>
      <w:r w:rsidRPr="00EB5D5F">
        <w:rPr>
          <w:lang w:val="en-US"/>
        </w:rPr>
        <w:t>connectivities</w:t>
      </w:r>
      <w:proofErr w:type="spellEnd"/>
      <w:r w:rsidRPr="00EB5D5F">
        <w:rPr>
          <w:lang w:val="en-US"/>
        </w:rPr>
        <w:t xml:space="preserve"> were associated with (and potentially produced by) mean and maximum motion, mean and maximum global signal change or the number of valid scans after scrubbing (so-called FC-QC correlations) </w:t>
      </w:r>
      <w:r w:rsidRPr="00EB5D5F">
        <w:fldChar w:fldCharType="begin" w:fldLock="1"/>
      </w:r>
      <w:r w:rsidRPr="00EB5D5F">
        <w:rPr>
          <w:lang w:val="en-US"/>
        </w:rPr>
        <w:instrText>ADDIN CSL_CITATION {"citationItems":[{"id":"ITEM-1","itemData":{"DOI":"10.1016/j.neuroimage.2017.03.020","ISSN":"10959572","PMID":"28302591","abstract":"Since initial reports regarding the impact of motion artifact on measures of functional connectivity, there has been a proliferation of participant-level confound regression methods to limit its impact. However, many of the most commonly used techniques have not been systematically evaluated using a broad range of outcome measures. Here, we provide a systematic evaluation of 14 participant-level confound regression methods in 393 youths. Specifically, we compare methods according to four benchmarks, including the residual relationship between motion and connectivity, distance-dependent effects of motion on connectivity, network identifiability, and additional degrees of freedom lost in confound regression. Our results delineate two clear trade-offs among methods. First, methods that include global signal regression minimize the relationship between connectivity and motion, but result in distance-dependent artifact. In contrast, censoring methods mitigate both motion artifact and distance-dependence, but use additional degrees of freedom. Importantly, less effective de-noising methods are also unable to identify modular network structure in the connectome. Taken together, these results emphasize the heterogeneous efficacy of existing methods, and suggest that different confound regression strategies may be appropriate in the context of specific scientific goals.","author":[{"dropping-particle":"","family":"Ciric","given":"Rastko","non-dropping-particle":"","parse-names":false,"suffix":""},{"dropping-particle":"","family":"Wolf","given":"Daniel H.","non-dropping-particle":"","parse-names":false,"suffix":""},{"dropping-particle":"","family":"Power","given":"Jonathan D.","non-dropping-particle":"","parse-names":false,"suffix":""},{"dropping-particle":"","family":"Roalf","given":"David R.","non-dropping-particle":"","parse-names":false,"suffix":""},{"dropping-particle":"","family":"Baum","given":"Graham L.","non-dropping-particle":"","parse-names":false,"suffix":""},{"dropping-particle":"","family":"Ruparel","given":"Kosha","non-dropping-particle":"","parse-names":false,"suffix":""},{"dropping-particle":"","family":"Shinohara","given":"Russell T.","non-dropping-particle":"","parse-names":false,"suffix":""},{"dropping-particle":"","family":"Elliott","given":"Mark A.","non-dropping-particle":"","parse-names":false,"suffix":""},{"dropping-particle":"","family":"Eickhoff","given":"Simon B.","non-dropping-particle":"","parse-names":false,"suffix":""},{"dropping-particle":"","family":"Davatzikos","given":"Christos","non-dropping-particle":"","parse-names":false,"suffix":""},{"dropping-particle":"","family":"Gur","given":"Ruben C.","non-dropping-particle":"","parse-names":false,"suffix":""},{"dropping-particle":"","family":"Gur","given":"Raquel E.","non-dropping-particle":"","parse-names":false,"suffix":""},{"dropping-particle":"","family":"Bassett","given":"Danielle S.","non-dropping-particle":"","parse-names":false,"suffix":""},{"dropping-particle":"","family":"Satterthwaite","given":"Theodore D.","non-dropping-particle":"","parse-names":false,"suffix":""}],"container-title":"NeuroImage","id":"ITEM-1","issued":{"date-parts":[["2017"]]},"page":"174-187","title":"Benchmarking of participant-level confound regression strategies for the control of motion artifact in studies of functional connectivity","type":"article-journal","volume":"154"},"uris":["http://www.mendeley.com/documents/?uuid=c82bd7c7-7b5e-4eb1-bd02-72a41a795445","http://www.mendeley.com/documents/?uuid=d0047b83-fa1c-490c-98c5-33ca47fdf1b1"]}],"mendeley":{"formattedCitation":"(Ciric et al., 2017)","plainTextFormattedCitation":"(Ciric et al., 2017)","previouslyFormattedCitation":"(Ciric et al., 2017)"},"properties":{"noteIndex":0},"schema":"https://github.com/citation-style-language/schema/raw/master/csl-citation.json"}</w:instrText>
      </w:r>
      <w:r w:rsidRPr="00EB5D5F">
        <w:rPr>
          <w:lang w:val="en-US"/>
        </w:rPr>
        <w:fldChar w:fldCharType="separate"/>
      </w:r>
      <w:r w:rsidRPr="00EB5D5F">
        <w:rPr>
          <w:noProof/>
          <w:lang w:val="en-US"/>
        </w:rPr>
        <w:t>(Ciric et al., 2017)</w:t>
      </w:r>
      <w:r w:rsidRPr="00EB5D5F">
        <w:rPr>
          <w:lang w:val="en-US"/>
        </w:rPr>
        <w:fldChar w:fldCharType="end"/>
      </w:r>
      <w:r w:rsidRPr="00EB5D5F">
        <w:rPr>
          <w:lang w:val="en-US"/>
        </w:rPr>
        <w:t>. Visual inspection of the distribution of FC-QC correlations did not yield any irregularities neither in the pooled sample nor in HC or MDD samples separately.</w:t>
      </w:r>
    </w:p>
    <w:p w14:paraId="43B3292A" w14:textId="626DA239" w:rsidR="009836BA" w:rsidRPr="0036173E" w:rsidRDefault="00D362C7">
      <w:pPr>
        <w:spacing w:line="360" w:lineRule="auto"/>
        <w:rPr>
          <w:lang w:val="en-US"/>
        </w:rPr>
      </w:pPr>
      <w:r w:rsidRPr="00EB5D5F">
        <w:rPr>
          <w:lang w:val="en-US"/>
        </w:rPr>
        <w:t xml:space="preserve">Motion metrics across diagnostic and maltreatment groups are presented in Table S5. To check that subjects with high motion did not drive </w:t>
      </w:r>
      <w:r w:rsidR="00EE5E42" w:rsidRPr="00EB5D5F">
        <w:rPr>
          <w:lang w:val="en-US"/>
        </w:rPr>
        <w:t xml:space="preserve">the </w:t>
      </w:r>
      <w:r w:rsidRPr="00EB5D5F">
        <w:rPr>
          <w:lang w:val="en-US"/>
        </w:rPr>
        <w:t>significan</w:t>
      </w:r>
      <w:r w:rsidR="00EE5E42" w:rsidRPr="00EB5D5F">
        <w:rPr>
          <w:lang w:val="en-US"/>
        </w:rPr>
        <w:t>ce of</w:t>
      </w:r>
      <w:r w:rsidRPr="00EB5D5F">
        <w:rPr>
          <w:lang w:val="en-US"/>
        </w:rPr>
        <w:t xml:space="preserve"> clusters, we repeated </w:t>
      </w:r>
      <w:r w:rsidRPr="00EB5D5F">
        <w:rPr>
          <w:lang w:val="en-US"/>
        </w:rPr>
        <w:lastRenderedPageBreak/>
        <w:t xml:space="preserve">all significant analyses while excluding 9 subjects that did not reach a minimum of 5 minutes </w:t>
      </w:r>
      <w:r w:rsidRPr="0036173E">
        <w:rPr>
          <w:lang w:val="en-US"/>
        </w:rPr>
        <w:t xml:space="preserve">valid resting state data (less than 150 non-scrubbed frames) </w:t>
      </w:r>
      <w:r w:rsidRPr="0036173E">
        <w:fldChar w:fldCharType="begin" w:fldLock="1"/>
      </w:r>
      <w:r w:rsidRPr="0036173E">
        <w:rPr>
          <w:lang w:val="en-US"/>
        </w:rPr>
        <w:instrText>ADDIN CSL_CITATION {"citationItems":[{"id":"ITEM-1","itemData":{"DOI":"10.1016/j.neuroimage.2012.08.052","ISSN":"10538119","PMID":"22926292","abstract":"Several recent reports in large, independent samples have demonstrated the influence of motion artifact on resting-state functional connectivity MRI (rsfc-MRI). Standard rsfc-MRI preprocessing typically includes regression of confounding signals and band-pass filtering. However, substantial heterogeneity exists in how these techniques are implemented across studies, and no prior study has examined the effect of differing approaches for the control of motion-induced artifacts. To better understand how in-scanner head motion affects rsfc-MRI data, we describe the spatial, temporal, and spectral characteristics of motion artifacts in a sample of 348 adolescents. Analyses utilize a novel approach for describing head motion on a voxelwise basis. Next, we systematically evaluate the efficacy of a range of confound regression and filtering techniques for the control of motion-induced artifacts. Results reveal that the effectiveness of preprocessing procedures on the control of motion is heterogeneous, and that improved preprocessing provides a substantial benefit beyond typical procedures. These results demonstrate that the effect of motion on rsfc-MRI can be substantially attenuated through improved preprocessing procedures, but not completely removed. © 2012 Elsevier Inc.","author":[{"dropping-particle":"","family":"Satterthwaite","given":"Theodore D.","non-dropping-particle":"","parse-names":false,"suffix":""},{"dropping-particle":"","family":"Elliott","given":"Mark A.","non-dropping-particle":"","parse-names":false,"suffix":""},{"dropping-particle":"","family":"Gerraty","given":"Raphael T.","non-dropping-particle":"","parse-names":false,"suffix":""},{"dropping-particle":"","family":"Ruparel","given":"Kosha","non-dropping-particle":"","parse-names":false,"suffix":""},{"dropping-particle":"","family":"Loughead","given":"James","non-dropping-particle":"","parse-names":false,"suffix":""},{"dropping-particle":"","family":"Calkins","given":"Monica E.","non-dropping-particle":"","parse-names":false,"suffix":""},{"dropping-particle":"","family":"Eickhoff","given":"Simon B.","non-dropping-particle":"","parse-names":false,"suffix":""},{"dropping-particle":"","family":"Hakonarson","given":"Hakon","non-dropping-particle":"","parse-names":false,"suffix":""},{"dropping-particle":"","family":"Gur","given":"Ruben C.","non-dropping-particle":"","parse-names":false,"suffix":""},{"dropping-particle":"","family":"Gur","given":"Raquel E.","non-dropping-particle":"","parse-names":false,"suffix":""},{"dropping-particle":"","family":"Wolf","given":"Daniel H.","non-dropping-particle":"","parse-names":false,"suffix":""}],"container-title":"NeuroImage","id":"ITEM-1","issue":"1","issued":{"date-parts":[["2013"]]},"page":"240-256","publisher":"Elsevier Inc.","title":"An improved framework for confound regression and filtering for control of motion artifact in the preprocessing of resting-state functional connectivity data","type":"article-journal","volume":"64"},"uris":["http://www.mendeley.com/documents/?uuid=c3fa49aa-5cc1-4530-aee7-c15fafa2246e"]}],"mendeley":{"formattedCitation":"(Satterthwaite et al., 2013)","plainTextFormattedCitation":"(Satterthwaite et al., 2013)","previouslyFormattedCitation":"(Satterthwaite et al., 2013)"},"properties":{"noteIndex":0},"schema":"https://github.com/citation-style-language/schema/raw/master/csl-citation.json"}</w:instrText>
      </w:r>
      <w:r w:rsidRPr="0036173E">
        <w:rPr>
          <w:lang w:val="en-US"/>
        </w:rPr>
        <w:fldChar w:fldCharType="separate"/>
      </w:r>
      <w:r w:rsidRPr="0036173E">
        <w:rPr>
          <w:rStyle w:val="Kommentarzeichen"/>
          <w:noProof/>
          <w:sz w:val="22"/>
          <w:szCs w:val="22"/>
          <w:lang w:val="en-US"/>
        </w:rPr>
        <w:t>(Satterthwaite et al., 2013)</w:t>
      </w:r>
      <w:r w:rsidRPr="0036173E">
        <w:rPr>
          <w:lang w:val="en-US"/>
        </w:rPr>
        <w:fldChar w:fldCharType="end"/>
      </w:r>
      <w:r w:rsidRPr="0036173E">
        <w:rPr>
          <w:lang w:val="en-US"/>
        </w:rPr>
        <w:t xml:space="preserve">. </w:t>
      </w:r>
    </w:p>
    <w:p w14:paraId="4B3F0048" w14:textId="78967276" w:rsidR="009836BA" w:rsidRPr="00EB5D5F" w:rsidRDefault="002E0999" w:rsidP="00EC4A90">
      <w:pPr>
        <w:spacing w:line="360" w:lineRule="auto"/>
        <w:rPr>
          <w:lang w:val="en-US"/>
        </w:rPr>
      </w:pPr>
      <w:r w:rsidRPr="0036173E">
        <w:rPr>
          <w:lang w:val="en-US"/>
        </w:rPr>
        <w:t>In addition, we</w:t>
      </w:r>
      <w:r w:rsidR="001F4BA6" w:rsidRPr="0036173E">
        <w:rPr>
          <w:lang w:val="en-US"/>
        </w:rPr>
        <w:t xml:space="preserve"> </w:t>
      </w:r>
      <w:r w:rsidRPr="0036173E">
        <w:rPr>
          <w:lang w:val="en-US"/>
        </w:rPr>
        <w:t xml:space="preserve">first repeated the ART outlier detection with the “conservative” setting in CONN (FD above 0.5mm and BOLD global signal change above 3 </w:t>
      </w:r>
      <w:proofErr w:type="spellStart"/>
      <w:r w:rsidRPr="0036173E">
        <w:rPr>
          <w:lang w:val="en-US"/>
        </w:rPr>
        <w:t>s.d.</w:t>
      </w:r>
      <w:proofErr w:type="spellEnd"/>
      <w:r w:rsidR="001F4BA6" w:rsidRPr="0036173E">
        <w:rPr>
          <w:lang w:val="en-US"/>
        </w:rPr>
        <w:t xml:space="preserve">) </w:t>
      </w:r>
      <w:r w:rsidRPr="0036173E">
        <w:rPr>
          <w:lang w:val="en-US"/>
        </w:rPr>
        <w:t>and</w:t>
      </w:r>
      <w:r w:rsidR="001F4BA6" w:rsidRPr="0036173E">
        <w:rPr>
          <w:lang w:val="en-US"/>
        </w:rPr>
        <w:t xml:space="preserve"> then repeated the denoising and first-level as well as previously significant second-level analyses. The conservative threshold resulted in further 93 subjects that needed to be excluded due to less than 5 minutes of non-scrubbed scans.</w:t>
      </w:r>
    </w:p>
    <w:p w14:paraId="70A59D2A" w14:textId="77777777" w:rsidR="0027628D" w:rsidRPr="00EB5D5F" w:rsidRDefault="0027628D">
      <w:pPr>
        <w:spacing w:after="160" w:line="360" w:lineRule="auto"/>
        <w:rPr>
          <w:lang w:val="en-US"/>
        </w:rPr>
      </w:pPr>
    </w:p>
    <w:p w14:paraId="4AFAA3B2" w14:textId="77777777" w:rsidR="009836BA" w:rsidRPr="00EB5D5F" w:rsidRDefault="00D362C7">
      <w:pPr>
        <w:spacing w:after="160" w:line="360" w:lineRule="auto"/>
        <w:rPr>
          <w:i/>
          <w:iCs/>
          <w:lang w:val="en-US"/>
        </w:rPr>
      </w:pPr>
      <w:r w:rsidRPr="00EB5D5F">
        <w:rPr>
          <w:i/>
          <w:iCs/>
          <w:lang w:val="en-US"/>
        </w:rPr>
        <w:t>Sample exclusion criteria</w:t>
      </w:r>
    </w:p>
    <w:p w14:paraId="0C66BFD4" w14:textId="416F0ED3" w:rsidR="009836BA" w:rsidRPr="00EB5D5F" w:rsidRDefault="00D362C7">
      <w:pPr>
        <w:spacing w:after="160" w:line="360" w:lineRule="auto"/>
        <w:rPr>
          <w:lang w:val="en-US"/>
        </w:rPr>
      </w:pPr>
      <w:r w:rsidRPr="00EB5D5F">
        <w:rPr>
          <w:lang w:val="en-US"/>
        </w:rPr>
        <w:t>Exclusion criteria were any history of neurological (e.g., concussion, stroke, tumor, neuro-inflammatory diseases) and medical (e.g., cancer, chronic inflammatory or autoimmune diseases, heart diseases, diabetes mellitus, infections) conditions and any further MRI contraindications. Participants under the current influence of medication including benzodiazepines, z-drugs or stimulants were further excluded, as well as patients with an anorexia nervosa or substance dependence comorbidity, and non-Caucasian participants.</w:t>
      </w:r>
      <w:r w:rsidR="000660D1" w:rsidRPr="00EB5D5F">
        <w:rPr>
          <w:lang w:val="en-US"/>
        </w:rPr>
        <w:t xml:space="preserve"> The latter were excluded because the </w:t>
      </w:r>
      <w:r w:rsidR="0047450D" w:rsidRPr="00EB5D5F">
        <w:rPr>
          <w:lang w:val="en-US"/>
        </w:rPr>
        <w:t xml:space="preserve">utilized cohort was </w:t>
      </w:r>
      <w:r w:rsidR="000660D1" w:rsidRPr="00EB5D5F">
        <w:rPr>
          <w:lang w:val="en-US"/>
        </w:rPr>
        <w:t>original</w:t>
      </w:r>
      <w:r w:rsidR="0047450D" w:rsidRPr="00EB5D5F">
        <w:rPr>
          <w:lang w:val="en-US"/>
        </w:rPr>
        <w:t>ly</w:t>
      </w:r>
      <w:r w:rsidR="000660D1" w:rsidRPr="00EB5D5F">
        <w:rPr>
          <w:lang w:val="en-US"/>
        </w:rPr>
        <w:t xml:space="preserve"> recruitment </w:t>
      </w:r>
      <w:r w:rsidR="0047450D" w:rsidRPr="00EB5D5F">
        <w:rPr>
          <w:lang w:val="en-US"/>
        </w:rPr>
        <w:t>for the purpose of</w:t>
      </w:r>
      <w:r w:rsidR="000660D1" w:rsidRPr="00EB5D5F">
        <w:rPr>
          <w:lang w:val="en-US"/>
        </w:rPr>
        <w:t xml:space="preserve"> genetic and neuroimaging analyses, thus aiming to create a genetically homogeneous sample.</w:t>
      </w:r>
    </w:p>
    <w:p w14:paraId="5CD9EB86" w14:textId="77777777" w:rsidR="009836BA" w:rsidRPr="00EB5D5F" w:rsidRDefault="009836BA">
      <w:pPr>
        <w:spacing w:after="160" w:line="360" w:lineRule="auto"/>
        <w:rPr>
          <w:lang w:val="en-US"/>
        </w:rPr>
      </w:pPr>
    </w:p>
    <w:p w14:paraId="2F2D66C5" w14:textId="77777777" w:rsidR="009836BA" w:rsidRPr="00EB5D5F" w:rsidRDefault="00D362C7">
      <w:pPr>
        <w:spacing w:after="160" w:line="360" w:lineRule="auto"/>
        <w:rPr>
          <w:i/>
          <w:lang w:val="en-US"/>
        </w:rPr>
      </w:pPr>
      <w:r w:rsidRPr="00EB5D5F">
        <w:rPr>
          <w:i/>
          <w:lang w:val="en-US"/>
        </w:rPr>
        <w:t>Power analysis</w:t>
      </w:r>
    </w:p>
    <w:p w14:paraId="7BCC6D67" w14:textId="7F44CD14" w:rsidR="009836BA" w:rsidRPr="00EB5D5F" w:rsidRDefault="00D362C7">
      <w:pPr>
        <w:spacing w:after="160" w:line="360" w:lineRule="auto"/>
        <w:rPr>
          <w:lang w:val="en-US"/>
        </w:rPr>
      </w:pPr>
      <w:r w:rsidRPr="00EB5D5F">
        <w:rPr>
          <w:lang w:val="en-US"/>
        </w:rPr>
        <w:t xml:space="preserve">We calculated the required minimum effect size necessary to obtain a statistical power of .95 (sensitivity), given alpha .001 and the available sample sizes of samples that were analyzed. The power analysis was conducted using g*Power </w:t>
      </w:r>
      <w:r w:rsidRPr="00EB5D5F">
        <w:fldChar w:fldCharType="begin" w:fldLock="1"/>
      </w:r>
      <w:r w:rsidRPr="00EB5D5F">
        <w:rPr>
          <w:lang w:val="en-US"/>
        </w:rPr>
        <w:instrText>ADDIN CSL_CITATION {"citationItems":[{"id":"ITEM-1","itemData":{"ISSN":"20282508","abstract":"The partial and integral enthalpies of mixing of liquid binary Bi-Ni alloys were determined at 1273 and 1573 K. The calorimetric measurements were carried out using two different calorimeters. A Calvet-type twin micro-calorimeter system (HT-1000) was used for T = 1273 K with a drop calorimetric technique. For higher temperature T = 1573 K a multi High-Temperature micro-calorimeter (MHTC) has been used with a manual drop. The experimental data at 1273 and 1573 K have been compared to each other and to the assessed results available in the literature. Finally, the experimental binary data were evaluated by means of a standard Redlich-Kister polynomial fit.","author":[{"dropping-particle":"","family":"Faul","given":"Franz","non-dropping-particle":"","parse-names":false,"suffix":""},{"dropping-particle":"","family":"Erdfelder","given":"Edgar","non-dropping-particle":"","parse-names":false,"suffix":""},{"dropping-particle":"","family":"Lang","given":"Albert-Georg","non-dropping-particle":"","parse-names":false,"suffix":""},{"dropping-particle":"","family":"Buchner","given":"Axel","non-dropping-particle":"","parse-names":false,"suffix":""}],"container-title":"Behavior Research Methods","id":"ITEM-1","issue":"2","issued":{"date-parts":[["2007"]]},"page":"175-191","title":"G*Power 3: A flexible statistical power analysis program for the social, behavioral, and biomedical sciences","type":"article-journal","volume":"39"},"uris":["http://www.mendeley.com/documents/?uuid=68269133-776b-48d8-b2f3-f7bda2737057"]}],"mendeley":{"formattedCitation":"(Faul, Erdfelder, Lang, &amp; Buchner, 2007)","plainTextFormattedCitation":"(Faul, Erdfelder, Lang, &amp; Buchner, 2007)","previouslyFormattedCitation":"(Faul, Erdfelder, Lang, &amp; Buchner, 2007)"},"properties":{"noteIndex":0},"schema":"https://github.com/citation-style-language/schema/raw/master/csl-citation.json"}</w:instrText>
      </w:r>
      <w:r w:rsidRPr="00EB5D5F">
        <w:rPr>
          <w:lang w:val="en-US"/>
        </w:rPr>
        <w:fldChar w:fldCharType="separate"/>
      </w:r>
      <w:r w:rsidRPr="00EB5D5F">
        <w:rPr>
          <w:noProof/>
          <w:lang w:val="en-US"/>
        </w:rPr>
        <w:t>(Faul, Erdfelder, Lang, &amp; Buchner, 2007)</w:t>
      </w:r>
      <w:r w:rsidRPr="00EB5D5F">
        <w:rPr>
          <w:lang w:val="en-US"/>
        </w:rPr>
        <w:fldChar w:fldCharType="end"/>
      </w:r>
      <w:r w:rsidRPr="00EB5D5F">
        <w:rPr>
          <w:lang w:val="en-US"/>
        </w:rPr>
        <w:t xml:space="preserve"> testing for single regression coefficient in a linear multiple regression model. Input parameters were two-tailed testing, alpha .001, power .95, respective sample size, and respective number of predictors (four predictors in subsamples and five predictors in pooled sample after adding the diagnosis control variable). The resulting effect size f² was converted to η²</w:t>
      </w:r>
      <w:r w:rsidRPr="00EB5D5F">
        <w:rPr>
          <w:vertAlign w:val="subscript"/>
          <w:lang w:val="en-US"/>
        </w:rPr>
        <w:t xml:space="preserve">partial </w:t>
      </w:r>
      <w:r w:rsidRPr="00EB5D5F">
        <w:rPr>
          <w:lang w:val="en-US"/>
        </w:rPr>
        <w:t xml:space="preserve">based on established formulas </w:t>
      </w:r>
      <w:r w:rsidRPr="00EB5D5F">
        <w:fldChar w:fldCharType="begin" w:fldLock="1"/>
      </w:r>
      <w:r w:rsidR="00D00A8B" w:rsidRPr="00EB5D5F">
        <w:rPr>
          <w:lang w:val="en-US"/>
        </w:rPr>
        <w:instrText>ADDIN CSL_CITATION {"citationItems":[{"id":"ITEM-1","itemData":{"author":[{"dropping-particle":"","family":"Cohen","given":"Jacob","non-dropping-particle":"","parse-names":false,"suffix":""}],"edition":"2","id":"ITEM-1","issued":{"date-parts":[["1988"]]},"publisher":"Academic Press","publisher-place":"New York, NY","title":"Statistical Power Analysis for the Behavioral Sciences","type":"book"},"uris":["http://www.mendeley.com/documents/?uuid=f7ecc055-875d-476a-b66e-81c157c1ca7f"]},{"id":"ITEM-2","itemData":{"ISBN":"9780073531960","author":[{"dropping-particle":"","family":"Rosenthal","given":"Robert","non-dropping-particle":"","parse-names":false,"suffix":""},{"dropping-particle":"","family":"Rosnow","given":"Ralph L","non-dropping-particle":"","parse-names":false,"suffix":""}],"edition":"3","editor":[{"dropping-particle":"","family":"Barrosse","given":"Emily","non-dropping-particle":"","parse-names":false,"suffix":""}],"id":"ITEM-2","issued":{"date-parts":[["2008"]]},"publisher":"McGraw-Hill","publisher-place":"New York","title":"Essentials of Behavioral Research","type":"book"},"uris":["http://www.mendeley.com/documents/?uuid=7e885669-35c5-4e40-bff6-f31128552d35"]}],"mendeley":{"formattedCitation":"(Cohen, 1988; Rosenthal &amp; Rosnow, 2008)","plainTextFormattedCitation":"(Cohen, 1988; Rosenthal &amp; Rosnow, 2008)","previouslyFormattedCitation":"(Cohen, 1988; Rosenthal &amp; Rosnow, 2008)"},"properties":{"noteIndex":0},"schema":"https://github.com/citation-style-language/schema/raw/master/csl-citation.json"}</w:instrText>
      </w:r>
      <w:r w:rsidRPr="00EB5D5F">
        <w:rPr>
          <w:lang w:val="en-US"/>
        </w:rPr>
        <w:fldChar w:fldCharType="separate"/>
      </w:r>
      <w:r w:rsidRPr="00EB5D5F">
        <w:rPr>
          <w:noProof/>
          <w:lang w:val="en-US"/>
        </w:rPr>
        <w:t>(Cohen, 1988; Rosenthal &amp; Rosnow, 2008)</w:t>
      </w:r>
      <w:r w:rsidRPr="00EB5D5F">
        <w:rPr>
          <w:lang w:val="en-US"/>
        </w:rPr>
        <w:fldChar w:fldCharType="end"/>
      </w:r>
      <w:r w:rsidRPr="00EB5D5F">
        <w:rPr>
          <w:lang w:val="en-US"/>
        </w:rPr>
        <w:t xml:space="preserve">. </w:t>
      </w:r>
    </w:p>
    <w:p w14:paraId="6C8E0073" w14:textId="77777777" w:rsidR="009836BA" w:rsidRPr="00EB5D5F" w:rsidRDefault="009836BA">
      <w:pPr>
        <w:spacing w:after="160" w:line="360" w:lineRule="auto"/>
        <w:rPr>
          <w:lang w:val="en-US"/>
        </w:rPr>
      </w:pPr>
    </w:p>
    <w:p w14:paraId="1EB43BAF" w14:textId="77777777" w:rsidR="009836BA" w:rsidRPr="00EB5D5F" w:rsidRDefault="00D362C7">
      <w:pPr>
        <w:spacing w:after="160" w:line="360" w:lineRule="auto"/>
        <w:rPr>
          <w:b/>
          <w:bCs/>
          <w:lang w:val="en-US"/>
        </w:rPr>
      </w:pPr>
      <w:r w:rsidRPr="00EB5D5F">
        <w:rPr>
          <w:b/>
          <w:bCs/>
          <w:lang w:val="en-US"/>
        </w:rPr>
        <w:t>Supplementary Results</w:t>
      </w:r>
    </w:p>
    <w:p w14:paraId="03625E74" w14:textId="77777777" w:rsidR="009836BA" w:rsidRPr="00EB5D5F" w:rsidRDefault="00D362C7">
      <w:pPr>
        <w:spacing w:after="160" w:line="360" w:lineRule="auto"/>
        <w:rPr>
          <w:i/>
          <w:lang w:val="en-US"/>
        </w:rPr>
      </w:pPr>
      <w:r w:rsidRPr="00EB5D5F">
        <w:rPr>
          <w:i/>
          <w:lang w:val="en-US"/>
        </w:rPr>
        <w:t>Maltreatment subtype-specific effects on connectivity</w:t>
      </w:r>
    </w:p>
    <w:p w14:paraId="6FCE2C41" w14:textId="458B9064" w:rsidR="009836BA" w:rsidRPr="00EB5D5F" w:rsidRDefault="002C3F99" w:rsidP="00D5758D">
      <w:pPr>
        <w:spacing w:after="160" w:line="360" w:lineRule="auto"/>
        <w:rPr>
          <w:lang w:val="en-US"/>
        </w:rPr>
      </w:pPr>
      <w:r w:rsidRPr="00EB5D5F">
        <w:rPr>
          <w:lang w:val="en-US"/>
        </w:rPr>
        <w:lastRenderedPageBreak/>
        <w:t xml:space="preserve">It has been frequently discussed whether different forms of maltreatment can be lumped together or need to be investigated separately with regard to their </w:t>
      </w:r>
      <w:r w:rsidR="00606A27" w:rsidRPr="00EB5D5F">
        <w:rPr>
          <w:lang w:val="en-US"/>
        </w:rPr>
        <w:t>specificity for</w:t>
      </w:r>
      <w:r w:rsidRPr="00EB5D5F">
        <w:rPr>
          <w:lang w:val="en-US"/>
        </w:rPr>
        <w:t xml:space="preserve"> neurobiological and clinical consequences </w:t>
      </w:r>
      <w:r w:rsidRPr="00EB5D5F">
        <w:rPr>
          <w:lang w:val="en-US"/>
        </w:rPr>
        <w:fldChar w:fldCharType="begin" w:fldLock="1"/>
      </w:r>
      <w:r w:rsidR="00633309">
        <w:rPr>
          <w:lang w:val="en-US"/>
        </w:rPr>
        <w:instrText>ADDIN CSL_CITATION {"citationItems":[{"id":"ITEM-1","itemData":{"DOI":"10.1177/1745691620920725","ISBN":"1745691620920","ISSN":"17456924","PMID":"32668190","abstract":"Discovering the processes through which early adverse experiences affect children’s nervous-system development, health, and behavior is critically important for developing effective interventions. However, advances in our understanding of these processes have been constrained by conceptualizations that rely on categories of adversity that are overlapping, have vague boundaries, and lack consistent biological evidence. Here, we discuss central problems in understanding the link between early-life adversity and children’s brain development. We conclude by suggesting alternative formulations that hold promise for advancing knowledge about the neurobiological mechanisms through which adversity affects human development.","author":[{"dropping-particle":"","family":"Smith","given":"Karen E.","non-dropping-particle":"","parse-names":false,"suffix":""},{"dropping-particle":"","family":"Pollak","given":"Seth D.","non-dropping-particle":"","parse-names":false,"suffix":""}],"container-title":"Perspectives on Psychological Science","id":"ITEM-1","issue":"1","issued":{"date-parts":[["2021"]]},"page":"67-93","title":"Rethinking Concepts and Categories for Understanding the Neurodevelopmental Effects of Childhood Adversity","type":"article-journal","volume":"16"},"uris":["http://www.mendeley.com/documents/?uuid=a55c54bb-655f-443d-9cfc-5e3dee824733"]}],"mendeley":{"formattedCitation":"(Smith &amp; Pollak, 2021)","plainTextFormattedCitation":"(Smith &amp; Pollak, 2021)","previouslyFormattedCitation":"(Smith &amp; Pollak, 2021)"},"properties":{"noteIndex":0},"schema":"https://github.com/citation-style-language/schema/raw/master/csl-citation.json"}</w:instrText>
      </w:r>
      <w:r w:rsidRPr="00EB5D5F">
        <w:rPr>
          <w:lang w:val="en-US"/>
        </w:rPr>
        <w:fldChar w:fldCharType="separate"/>
      </w:r>
      <w:r w:rsidRPr="00EB5D5F">
        <w:rPr>
          <w:noProof/>
          <w:lang w:val="en-US"/>
        </w:rPr>
        <w:t>(Smith &amp; Pollak, 2021)</w:t>
      </w:r>
      <w:r w:rsidRPr="00EB5D5F">
        <w:rPr>
          <w:lang w:val="en-US"/>
        </w:rPr>
        <w:fldChar w:fldCharType="end"/>
      </w:r>
      <w:r w:rsidRPr="00EB5D5F">
        <w:rPr>
          <w:lang w:val="en-US"/>
        </w:rPr>
        <w:t>. To f</w:t>
      </w:r>
      <w:r w:rsidR="00D362C7" w:rsidRPr="00EB5D5F">
        <w:rPr>
          <w:lang w:val="en-US"/>
        </w:rPr>
        <w:t>ollow-up</w:t>
      </w:r>
      <w:r w:rsidRPr="00EB5D5F">
        <w:rPr>
          <w:lang w:val="en-US"/>
        </w:rPr>
        <w:t xml:space="preserve"> on our main effect of </w:t>
      </w:r>
      <w:r w:rsidR="00606A27" w:rsidRPr="00EB5D5F">
        <w:rPr>
          <w:lang w:val="en-US"/>
        </w:rPr>
        <w:t xml:space="preserve">general </w:t>
      </w:r>
      <w:r w:rsidRPr="00EB5D5F">
        <w:rPr>
          <w:lang w:val="en-US"/>
        </w:rPr>
        <w:t>maltreatment severity on the connectivity between the right amygdala seed ROI and the dorsolateral prefrontal cortex (</w:t>
      </w:r>
      <w:proofErr w:type="spellStart"/>
      <w:r w:rsidRPr="00EB5D5F">
        <w:rPr>
          <w:lang w:val="en-US"/>
        </w:rPr>
        <w:t>dlPFC</w:t>
      </w:r>
      <w:proofErr w:type="spellEnd"/>
      <w:r w:rsidRPr="00EB5D5F">
        <w:rPr>
          <w:lang w:val="en-US"/>
        </w:rPr>
        <w:t>) cluster we probed maltreatment subtype effects (</w:t>
      </w:r>
      <w:proofErr w:type="gramStart"/>
      <w:r w:rsidRPr="00EB5D5F">
        <w:rPr>
          <w:lang w:val="en-US"/>
        </w:rPr>
        <w:t>i.e.</w:t>
      </w:r>
      <w:proofErr w:type="gramEnd"/>
      <w:r w:rsidRPr="00EB5D5F">
        <w:rPr>
          <w:lang w:val="en-US"/>
        </w:rPr>
        <w:t xml:space="preserve"> emotional and physical neglect, as well as emotional, physical and sexual abuse) via the CTQ subscales in an exploratory fashion. </w:t>
      </w:r>
      <w:r w:rsidR="00D362C7" w:rsidRPr="00EB5D5F">
        <w:rPr>
          <w:lang w:val="en-US"/>
        </w:rPr>
        <w:t xml:space="preserve">This analysis revealed that </w:t>
      </w:r>
      <w:r w:rsidRPr="00EB5D5F">
        <w:rPr>
          <w:lang w:val="en-US"/>
        </w:rPr>
        <w:t>d</w:t>
      </w:r>
      <w:r w:rsidR="00D362C7" w:rsidRPr="00EB5D5F">
        <w:rPr>
          <w:lang w:val="en-US"/>
        </w:rPr>
        <w:t>escriptively, emotional abuse</w:t>
      </w:r>
      <w:r w:rsidRPr="00EB5D5F">
        <w:rPr>
          <w:lang w:val="en-US"/>
        </w:rPr>
        <w:t xml:space="preserve"> and physical neglect</w:t>
      </w:r>
      <w:r w:rsidR="00D362C7" w:rsidRPr="00EB5D5F">
        <w:rPr>
          <w:lang w:val="en-US"/>
        </w:rPr>
        <w:t xml:space="preserve"> had the largest and sexual abuse the smallest effect size on amygdala-dorsolateral prefrontal cortex </w:t>
      </w:r>
      <w:proofErr w:type="spellStart"/>
      <w:r w:rsidR="00D362C7" w:rsidRPr="00EB5D5F">
        <w:rPr>
          <w:lang w:val="en-US"/>
        </w:rPr>
        <w:t>dlPFC</w:t>
      </w:r>
      <w:proofErr w:type="spellEnd"/>
      <w:r w:rsidR="00D362C7" w:rsidRPr="00EB5D5F">
        <w:rPr>
          <w:lang w:val="en-US"/>
        </w:rPr>
        <w:t xml:space="preserve"> connectivity. However, </w:t>
      </w:r>
      <w:r w:rsidRPr="00EB5D5F">
        <w:rPr>
          <w:lang w:val="en-US"/>
        </w:rPr>
        <w:t xml:space="preserve">there was large overlap between effect size confidence intervals of </w:t>
      </w:r>
      <w:r w:rsidR="00D362C7" w:rsidRPr="00EB5D5F">
        <w:rPr>
          <w:lang w:val="en-US"/>
        </w:rPr>
        <w:t>all subscales. The comparison of effect sizes of different maltreatment subtypes on the amygdala-</w:t>
      </w:r>
      <w:proofErr w:type="spellStart"/>
      <w:r w:rsidR="00D362C7" w:rsidRPr="00EB5D5F">
        <w:rPr>
          <w:lang w:val="en-US"/>
        </w:rPr>
        <w:t>dlPFC</w:t>
      </w:r>
      <w:proofErr w:type="spellEnd"/>
      <w:r w:rsidR="00D362C7" w:rsidRPr="00EB5D5F">
        <w:rPr>
          <w:lang w:val="en-US"/>
        </w:rPr>
        <w:t xml:space="preserve"> connectivity are shown in Table S4.</w:t>
      </w:r>
      <w:r w:rsidR="00D720F3" w:rsidRPr="00EB5D5F">
        <w:rPr>
          <w:lang w:val="en-US"/>
        </w:rPr>
        <w:t xml:space="preserve"> </w:t>
      </w:r>
      <w:r w:rsidR="00FC6D8A" w:rsidRPr="00EB5D5F">
        <w:rPr>
          <w:lang w:val="en-US"/>
        </w:rPr>
        <w:t xml:space="preserve">See also Table S9 showing </w:t>
      </w:r>
      <w:r w:rsidR="00D5758D" w:rsidRPr="00EB5D5F">
        <w:rPr>
          <w:lang w:val="en-US"/>
        </w:rPr>
        <w:t>intercorrelations between subscales.</w:t>
      </w:r>
    </w:p>
    <w:p w14:paraId="5384A895" w14:textId="77777777" w:rsidR="009836BA" w:rsidRPr="00EB5D5F" w:rsidRDefault="00D362C7">
      <w:pPr>
        <w:spacing w:after="160" w:line="360" w:lineRule="auto"/>
        <w:rPr>
          <w:lang w:val="en-US"/>
        </w:rPr>
      </w:pPr>
      <w:r w:rsidRPr="00EB5D5F">
        <w:rPr>
          <w:lang w:val="en-US"/>
        </w:rPr>
        <w:t xml:space="preserve">When testing maltreatment subtype effects in CONN with original significance thresholds corrected for multiple comparisons, only emotional abuse and physical neglect yielded significant effects of altered connectivity of the right amygdala with a </w:t>
      </w:r>
      <w:proofErr w:type="spellStart"/>
      <w:r w:rsidRPr="00EB5D5F">
        <w:rPr>
          <w:lang w:val="en-US"/>
        </w:rPr>
        <w:t>dlPFC</w:t>
      </w:r>
      <w:proofErr w:type="spellEnd"/>
      <w:r w:rsidRPr="00EB5D5F">
        <w:rPr>
          <w:lang w:val="en-US"/>
        </w:rPr>
        <w:t xml:space="preserve"> cluster largely overlapping with the result obtained when testing a CTQ sum effect (emotional abuse: k=143, x21, y45, z48, </w:t>
      </w:r>
      <w:proofErr w:type="spellStart"/>
      <w:r w:rsidRPr="00EB5D5F">
        <w:rPr>
          <w:lang w:val="en-US"/>
        </w:rPr>
        <w:t>p</w:t>
      </w:r>
      <w:r w:rsidRPr="00EB5D5F">
        <w:rPr>
          <w:vertAlign w:val="subscript"/>
          <w:lang w:val="en-US"/>
        </w:rPr>
        <w:t>FDR</w:t>
      </w:r>
      <w:proofErr w:type="spellEnd"/>
      <w:r w:rsidRPr="00EB5D5F">
        <w:rPr>
          <w:lang w:val="en-US"/>
        </w:rPr>
        <w:t>=.003, η²</w:t>
      </w:r>
      <w:r w:rsidRPr="00EB5D5F">
        <w:rPr>
          <w:vertAlign w:val="subscript"/>
          <w:lang w:val="en-US"/>
        </w:rPr>
        <w:t>partial</w:t>
      </w:r>
      <w:r w:rsidRPr="00EB5D5F">
        <w:rPr>
          <w:lang w:val="en-US"/>
        </w:rPr>
        <w:t>=.041, bias corrected and accelerated (</w:t>
      </w:r>
      <w:proofErr w:type="spellStart"/>
      <w:r w:rsidRPr="00EB5D5F">
        <w:rPr>
          <w:lang w:val="en-US"/>
        </w:rPr>
        <w:t>BCa</w:t>
      </w:r>
      <w:proofErr w:type="spellEnd"/>
      <w:r w:rsidRPr="00EB5D5F">
        <w:rPr>
          <w:lang w:val="en-US"/>
        </w:rPr>
        <w:t xml:space="preserve">) 95%-CI: [.016, .082]; physical neglect: k=123, x36, y27, z54, </w:t>
      </w:r>
      <w:proofErr w:type="spellStart"/>
      <w:r w:rsidRPr="00EB5D5F">
        <w:rPr>
          <w:lang w:val="en-US"/>
        </w:rPr>
        <w:t>p</w:t>
      </w:r>
      <w:r w:rsidRPr="00EB5D5F">
        <w:rPr>
          <w:vertAlign w:val="subscript"/>
          <w:lang w:val="en-US"/>
        </w:rPr>
        <w:t>FDR</w:t>
      </w:r>
      <w:proofErr w:type="spellEnd"/>
      <w:r w:rsidRPr="00EB5D5F">
        <w:rPr>
          <w:lang w:val="en-US"/>
        </w:rPr>
        <w:t>=.010, η²</w:t>
      </w:r>
      <w:r w:rsidRPr="00EB5D5F">
        <w:rPr>
          <w:vertAlign w:val="subscript"/>
          <w:lang w:val="en-US"/>
        </w:rPr>
        <w:t>partial</w:t>
      </w:r>
      <w:r w:rsidRPr="00EB5D5F">
        <w:rPr>
          <w:lang w:val="en-US"/>
        </w:rPr>
        <w:t xml:space="preserve">=.043, </w:t>
      </w:r>
      <w:proofErr w:type="spellStart"/>
      <w:r w:rsidRPr="00EB5D5F">
        <w:rPr>
          <w:lang w:val="en-US"/>
        </w:rPr>
        <w:t>BCa</w:t>
      </w:r>
      <w:proofErr w:type="spellEnd"/>
      <w:r w:rsidRPr="00EB5D5F">
        <w:rPr>
          <w:lang w:val="en-US"/>
        </w:rPr>
        <w:t xml:space="preserve"> 95%-CI: [.020, .077]. Emotional abuse was additionally associated with higher connectivity between the right amygdala and a cluster within the middle cingulate cortex (k=92, x0, y-36, z48, </w:t>
      </w:r>
      <w:proofErr w:type="spellStart"/>
      <w:r w:rsidRPr="00EB5D5F">
        <w:rPr>
          <w:lang w:val="en-US"/>
        </w:rPr>
        <w:t>p</w:t>
      </w:r>
      <w:r w:rsidRPr="00EB5D5F">
        <w:rPr>
          <w:vertAlign w:val="subscript"/>
          <w:lang w:val="en-US"/>
        </w:rPr>
        <w:t>FDR</w:t>
      </w:r>
      <w:proofErr w:type="spellEnd"/>
      <w:r w:rsidRPr="00EB5D5F">
        <w:rPr>
          <w:lang w:val="en-US"/>
        </w:rPr>
        <w:t>=.012, η²</w:t>
      </w:r>
      <w:r w:rsidRPr="00EB5D5F">
        <w:rPr>
          <w:vertAlign w:val="subscript"/>
          <w:lang w:val="en-US"/>
        </w:rPr>
        <w:t>partial</w:t>
      </w:r>
      <w:r w:rsidRPr="00EB5D5F">
        <w:rPr>
          <w:lang w:val="en-US"/>
        </w:rPr>
        <w:t xml:space="preserve">=.033, </w:t>
      </w:r>
      <w:proofErr w:type="spellStart"/>
      <w:r w:rsidRPr="00EB5D5F">
        <w:rPr>
          <w:lang w:val="en-US"/>
        </w:rPr>
        <w:t>BCa</w:t>
      </w:r>
      <w:proofErr w:type="spellEnd"/>
      <w:r w:rsidRPr="00EB5D5F">
        <w:rPr>
          <w:lang w:val="en-US"/>
        </w:rPr>
        <w:t xml:space="preserve"> 95%-CI: [.013, .061]).  </w:t>
      </w:r>
    </w:p>
    <w:p w14:paraId="2344366B" w14:textId="550CF9C8" w:rsidR="009836BA" w:rsidRPr="00EB5D5F" w:rsidRDefault="00D362C7">
      <w:pPr>
        <w:spacing w:after="160" w:line="360" w:lineRule="auto"/>
        <w:rPr>
          <w:lang w:val="en-US"/>
        </w:rPr>
      </w:pPr>
      <w:r w:rsidRPr="00EB5D5F">
        <w:rPr>
          <w:lang w:val="en-US"/>
        </w:rPr>
        <w:t xml:space="preserve">Differences in subscale findings should be interpreted with caution due to strong correlations between subscales, as well as lower psychometric qualities (particularly physical neglect; </w:t>
      </w:r>
      <w:r w:rsidRPr="00EB5D5F">
        <w:fldChar w:fldCharType="begin" w:fldLock="1"/>
      </w:r>
      <w:r w:rsidRPr="00EB5D5F">
        <w:rPr>
          <w:lang w:val="en-US"/>
        </w:rPr>
        <w:instrText>ADDIN CSL_CITATION {"citationItems":[{"id":"ITEM-1","itemData":{"DOI":"10.1055/s-0030-1263161","ISSN":"09372032","PMID":"20878600","abstract":"There are only few questionnaires for the retrospective assessment of traumatic experiences during childhood and adolescence. The Childhood Trauma Questionnaire (CTQ) is one of the most widely used scales. The CTQ includes 28 items covering several domains of early abuse and neglect on a 5-point Likert scale. The Adverse Childhood Experiences Questionnaire (ACE) consists of only 10 items. In this study we investigated 102 psychosomatic inpatients as well as 99 students and 100 adults from the general population. The internal consistency of the ACE was satisfying. Furthermore, we found high correlations with the CTQ, while the associations between depression, anxiety and bodily symptoms and ACE scores were low to moderate. In sum, the ACE is a reliable, valid and economic screen for the retrospective assessment of adverse childhood experiences. © Georg Thieme Verlag KG Stuttgart New York.","author":[{"dropping-particle":"","family":"Wingenfeld","given":"Katja","non-dropping-particle":"","parse-names":false,"suffix":""},{"dropping-particle":"","family":"Schäfer","given":"Ingo","non-dropping-particle":"","parse-names":false,"suffix":""},{"dropping-particle":"","family":"Terfehr","given":"Kirsten","non-dropping-particle":"","parse-names":false,"suffix":""},{"dropping-particle":"","family":"Grabski","given":"Heike","non-dropping-particle":"","parse-names":false,"suffix":""},{"dropping-particle":"","family":"Driessen","given":"Martin","non-dropping-particle":"","parse-names":false,"suffix":""},{"dropping-particle":"","family":"Grabe","given":"Hans","non-dropping-particle":"","parse-names":false,"suffix":""},{"dropping-particle":"","family":"Löwe","given":"Bernd","non-dropping-particle":"","parse-names":false,"suffix":""},{"dropping-particle":"","family":"Spitzer","given":"Carsten","non-dropping-particle":"","parse-names":false,"suffix":""}],"container-title":"Psychotherapie Psychosomatik Medizinische Psychologie","id":"ITEM-1","issue":"1","issued":{"date-parts":[["2011"]]},"page":"e10-e14","title":"The Reliable, Valid and Economic Assessment of Early Traumatization: First Psychometric Characteristics of the German Version of the Adverse Childhood Experiences Questionnaire (ACE)","type":"article-journal","volume":"61"},"uris":["http://www.mendeley.com/documents/?uuid=465290b4-f96a-4cdf-b1d9-694e0ab86b1e"]}],"mendeley":{"formattedCitation":"(Wingenfeld et al., 2011)","manualFormatting":"Wingenfeld et al., 2011)","plainTextFormattedCitation":"(Wingenfeld et al., 2011)","previouslyFormattedCitation":"(Wingenfeld et al., 2011)"},"properties":{"noteIndex":0},"schema":"https://github.com/citation-style-language/schema/raw/master/csl-citation.json"}</w:instrText>
      </w:r>
      <w:r w:rsidRPr="00EB5D5F">
        <w:rPr>
          <w:lang w:val="en-US"/>
        </w:rPr>
        <w:fldChar w:fldCharType="separate"/>
      </w:r>
      <w:r w:rsidRPr="00EB5D5F">
        <w:rPr>
          <w:noProof/>
          <w:lang w:val="en-US"/>
        </w:rPr>
        <w:t>Wingenfeld et al., 2011)</w:t>
      </w:r>
      <w:r w:rsidRPr="00EB5D5F">
        <w:rPr>
          <w:lang w:val="en-US"/>
        </w:rPr>
        <w:fldChar w:fldCharType="end"/>
      </w:r>
      <w:r w:rsidRPr="00EB5D5F">
        <w:rPr>
          <w:lang w:val="en-US"/>
        </w:rPr>
        <w:t xml:space="preserve"> and extreme skewness of some of the subscales</w:t>
      </w:r>
      <w:r w:rsidR="00DB390A" w:rsidRPr="00EB5D5F">
        <w:rPr>
          <w:lang w:val="en-US"/>
        </w:rPr>
        <w:t xml:space="preserve"> (particularly sexual abuse)</w:t>
      </w:r>
      <w:r w:rsidRPr="00EB5D5F">
        <w:rPr>
          <w:lang w:val="en-US"/>
        </w:rPr>
        <w:t>.</w:t>
      </w:r>
    </w:p>
    <w:p w14:paraId="0AE87BFE" w14:textId="77777777" w:rsidR="009836BA" w:rsidRPr="00EB5D5F" w:rsidRDefault="009836BA">
      <w:pPr>
        <w:spacing w:after="160" w:line="360" w:lineRule="auto"/>
        <w:rPr>
          <w:i/>
          <w:lang w:val="en-US"/>
        </w:rPr>
      </w:pPr>
    </w:p>
    <w:p w14:paraId="13E97FF1" w14:textId="70C12D8D" w:rsidR="009836BA" w:rsidRPr="00EB5D5F" w:rsidRDefault="00B026E4">
      <w:pPr>
        <w:spacing w:after="160" w:line="360" w:lineRule="auto"/>
        <w:rPr>
          <w:i/>
          <w:lang w:val="en-US"/>
        </w:rPr>
      </w:pPr>
      <w:r w:rsidRPr="00EB5D5F">
        <w:rPr>
          <w:i/>
          <w:lang w:val="en-US"/>
        </w:rPr>
        <w:t xml:space="preserve">The role of </w:t>
      </w:r>
      <w:r w:rsidR="00D516B8" w:rsidRPr="00EB5D5F">
        <w:rPr>
          <w:i/>
          <w:lang w:val="en-US"/>
        </w:rPr>
        <w:t xml:space="preserve">individuals’ </w:t>
      </w:r>
      <w:r w:rsidRPr="00EB5D5F">
        <w:rPr>
          <w:i/>
          <w:lang w:val="en-US"/>
        </w:rPr>
        <w:t>sex</w:t>
      </w:r>
    </w:p>
    <w:p w14:paraId="7FDDEAA8" w14:textId="0974FBAB" w:rsidR="009836BA" w:rsidRDefault="00D362C7">
      <w:pPr>
        <w:spacing w:after="160" w:line="360" w:lineRule="auto"/>
        <w:rPr>
          <w:lang w:val="en-US"/>
        </w:rPr>
      </w:pPr>
      <w:proofErr w:type="gramStart"/>
      <w:r w:rsidRPr="00EB5D5F">
        <w:rPr>
          <w:lang w:val="en-US"/>
        </w:rPr>
        <w:t>In order to</w:t>
      </w:r>
      <w:proofErr w:type="gramEnd"/>
      <w:r w:rsidRPr="00EB5D5F">
        <w:rPr>
          <w:lang w:val="en-US"/>
        </w:rPr>
        <w:t xml:space="preserve"> investigate the potential role of participants’</w:t>
      </w:r>
      <w:r w:rsidR="00D516B8" w:rsidRPr="00EB5D5F">
        <w:rPr>
          <w:lang w:val="en-US"/>
        </w:rPr>
        <w:t xml:space="preserve"> biological</w:t>
      </w:r>
      <w:r w:rsidRPr="00EB5D5F">
        <w:rPr>
          <w:lang w:val="en-US"/>
        </w:rPr>
        <w:t xml:space="preserve"> sex for maltreatment-associated connectivity differences we followed up on the main finding by testing for an interaction effect between CTQ sum and sex on the extracted cluster </w:t>
      </w:r>
      <w:proofErr w:type="spellStart"/>
      <w:r w:rsidRPr="00EB5D5F">
        <w:rPr>
          <w:lang w:val="en-US"/>
        </w:rPr>
        <w:t>connectivities</w:t>
      </w:r>
      <w:proofErr w:type="spellEnd"/>
      <w:r w:rsidRPr="00EB5D5F">
        <w:rPr>
          <w:lang w:val="en-US"/>
        </w:rPr>
        <w:t xml:space="preserve"> between the right amygdala seed ROI and the frontal cluster within the MDD sample. This yielded a non-significant CTQ X sex interaction (p=.331). Investigating extracted cluster </w:t>
      </w:r>
      <w:proofErr w:type="spellStart"/>
      <w:r w:rsidRPr="00EB5D5F">
        <w:rPr>
          <w:lang w:val="en-US"/>
        </w:rPr>
        <w:t>connectivities</w:t>
      </w:r>
      <w:proofErr w:type="spellEnd"/>
      <w:r w:rsidRPr="00EB5D5F">
        <w:rPr>
          <w:lang w:val="en-US"/>
        </w:rPr>
        <w:t xml:space="preserve"> of male and female participants separately revealed larger effects of CTQ sum on amygdala-</w:t>
      </w:r>
      <w:proofErr w:type="spellStart"/>
      <w:r w:rsidRPr="00EB5D5F">
        <w:rPr>
          <w:lang w:val="en-US"/>
        </w:rPr>
        <w:t>dlPFC</w:t>
      </w:r>
      <w:proofErr w:type="spellEnd"/>
      <w:r w:rsidRPr="00EB5D5F">
        <w:rPr>
          <w:lang w:val="en-US"/>
        </w:rPr>
        <w:t xml:space="preserve"> connectivity within female participants (n=414, η²</w:t>
      </w:r>
      <w:r w:rsidRPr="00EB5D5F">
        <w:rPr>
          <w:vertAlign w:val="subscript"/>
          <w:lang w:val="en-US"/>
        </w:rPr>
        <w:t>partial</w:t>
      </w:r>
      <w:r w:rsidRPr="00EB5D5F">
        <w:rPr>
          <w:lang w:val="en-US"/>
        </w:rPr>
        <w:t xml:space="preserve">=.065, </w:t>
      </w:r>
      <w:proofErr w:type="spellStart"/>
      <w:r w:rsidRPr="00EB5D5F">
        <w:rPr>
          <w:lang w:val="en-US"/>
        </w:rPr>
        <w:t>BCa</w:t>
      </w:r>
      <w:proofErr w:type="spellEnd"/>
      <w:r w:rsidRPr="00EB5D5F">
        <w:rPr>
          <w:lang w:val="en-US"/>
        </w:rPr>
        <w:t xml:space="preserve"> 95%-CI: [.030, .114]), as compared to male participants for which the CTQ sum effect was not significant </w:t>
      </w:r>
      <w:r w:rsidRPr="00EB5D5F">
        <w:rPr>
          <w:lang w:val="en-US"/>
        </w:rPr>
        <w:lastRenderedPageBreak/>
        <w:t>(n=210, η²</w:t>
      </w:r>
      <w:r w:rsidRPr="00EB5D5F">
        <w:rPr>
          <w:vertAlign w:val="subscript"/>
          <w:lang w:val="en-US"/>
        </w:rPr>
        <w:t>partial</w:t>
      </w:r>
      <w:r w:rsidRPr="00EB5D5F">
        <w:rPr>
          <w:lang w:val="en-US"/>
        </w:rPr>
        <w:t xml:space="preserve">=.017, </w:t>
      </w:r>
      <w:proofErr w:type="spellStart"/>
      <w:r w:rsidRPr="00EB5D5F">
        <w:rPr>
          <w:lang w:val="en-US"/>
        </w:rPr>
        <w:t>BCa</w:t>
      </w:r>
      <w:proofErr w:type="spellEnd"/>
      <w:r w:rsidRPr="00EB5D5F">
        <w:rPr>
          <w:lang w:val="en-US"/>
        </w:rPr>
        <w:t xml:space="preserve"> 95%-CI: [-.000, .079]). Investigating female and male participants separately within the CONN software yielded a significant effect of CTQ sum on right amygdala connectivity to a frontal cluster (</w:t>
      </w:r>
      <w:proofErr w:type="gramStart"/>
      <w:r w:rsidRPr="00EB5D5F">
        <w:rPr>
          <w:lang w:val="en-US"/>
        </w:rPr>
        <w:t>similar to</w:t>
      </w:r>
      <w:proofErr w:type="gramEnd"/>
      <w:r w:rsidRPr="00EB5D5F">
        <w:rPr>
          <w:lang w:val="en-US"/>
        </w:rPr>
        <w:t xml:space="preserve"> the main finding) in female MDD participants only (k=83, x24, y42, z48, </w:t>
      </w:r>
      <w:proofErr w:type="spellStart"/>
      <w:r w:rsidRPr="00EB5D5F">
        <w:rPr>
          <w:lang w:val="en-US"/>
        </w:rPr>
        <w:t>p</w:t>
      </w:r>
      <w:r w:rsidRPr="00EB5D5F">
        <w:rPr>
          <w:vertAlign w:val="subscript"/>
          <w:lang w:val="en-US"/>
        </w:rPr>
        <w:t>FDR</w:t>
      </w:r>
      <w:proofErr w:type="spellEnd"/>
      <w:r w:rsidRPr="00EB5D5F">
        <w:rPr>
          <w:lang w:val="en-US"/>
        </w:rPr>
        <w:t>=.042, η²</w:t>
      </w:r>
      <w:r w:rsidRPr="00EB5D5F">
        <w:rPr>
          <w:vertAlign w:val="subscript"/>
          <w:lang w:val="en-US"/>
        </w:rPr>
        <w:t>partial</w:t>
      </w:r>
      <w:r w:rsidRPr="00EB5D5F">
        <w:rPr>
          <w:lang w:val="en-US"/>
        </w:rPr>
        <w:t xml:space="preserve">=.051, </w:t>
      </w:r>
      <w:proofErr w:type="spellStart"/>
      <w:r w:rsidRPr="00EB5D5F">
        <w:rPr>
          <w:lang w:val="en-US"/>
        </w:rPr>
        <w:t>BCa</w:t>
      </w:r>
      <w:proofErr w:type="spellEnd"/>
      <w:r w:rsidRPr="00EB5D5F">
        <w:rPr>
          <w:lang w:val="en-US"/>
        </w:rPr>
        <w:t xml:space="preserve"> 95%-CI: [.019, .099]), with no significant clusters emerging for the male MDD sample. Testing for a CTQ sum X sex interaction in CONN yielded no significant clusters for the right amygdala seed ROI when applying the combined uncorrected voxel threshold and the FDR-corrected cluster size threshold.  </w:t>
      </w:r>
    </w:p>
    <w:p w14:paraId="67E78584" w14:textId="77777777" w:rsidR="00EB068D" w:rsidRPr="00EB5D5F" w:rsidRDefault="00EB068D">
      <w:pPr>
        <w:spacing w:after="160" w:line="360" w:lineRule="auto"/>
        <w:rPr>
          <w:lang w:val="en-US"/>
        </w:rPr>
      </w:pPr>
    </w:p>
    <w:p w14:paraId="7F38A7A4" w14:textId="6B7C508B" w:rsidR="00184CCB" w:rsidRPr="0036173E" w:rsidRDefault="00184CCB">
      <w:pPr>
        <w:spacing w:after="160" w:line="360" w:lineRule="auto"/>
        <w:rPr>
          <w:i/>
          <w:lang w:val="en-US"/>
        </w:rPr>
      </w:pPr>
      <w:r w:rsidRPr="00EB5D5F">
        <w:rPr>
          <w:i/>
          <w:lang w:val="en-US"/>
        </w:rPr>
        <w:t xml:space="preserve">The role of </w:t>
      </w:r>
      <w:r w:rsidR="00834554" w:rsidRPr="0036173E">
        <w:rPr>
          <w:i/>
          <w:lang w:val="en-US"/>
        </w:rPr>
        <w:t xml:space="preserve">comorbidities </w:t>
      </w:r>
    </w:p>
    <w:p w14:paraId="7C50FEAD" w14:textId="4772CDC2" w:rsidR="007A6F6C" w:rsidRPr="00EB5D5F" w:rsidRDefault="00184CCB">
      <w:pPr>
        <w:spacing w:after="160" w:line="360" w:lineRule="auto"/>
        <w:rPr>
          <w:lang w:val="en-US"/>
        </w:rPr>
      </w:pPr>
      <w:r w:rsidRPr="0036173E">
        <w:rPr>
          <w:lang w:val="en-US"/>
        </w:rPr>
        <w:t>The utilized sample included a large subgroup of MDD patients with</w:t>
      </w:r>
      <w:r w:rsidR="00D00A8B" w:rsidRPr="0036173E">
        <w:rPr>
          <w:lang w:val="en-US"/>
        </w:rPr>
        <w:t xml:space="preserve"> various</w:t>
      </w:r>
      <w:r w:rsidRPr="0036173E">
        <w:rPr>
          <w:lang w:val="en-US"/>
        </w:rPr>
        <w:t xml:space="preserve"> comorbid disorder</w:t>
      </w:r>
      <w:r w:rsidR="00D00A8B" w:rsidRPr="0036173E">
        <w:rPr>
          <w:lang w:val="en-US"/>
        </w:rPr>
        <w:t>s (see Table S2)</w:t>
      </w:r>
      <w:r w:rsidRPr="0036173E">
        <w:rPr>
          <w:lang w:val="en-US"/>
        </w:rPr>
        <w:t xml:space="preserve">. As previous research suggests that </w:t>
      </w:r>
      <w:r w:rsidR="00834554" w:rsidRPr="0036173E">
        <w:rPr>
          <w:lang w:val="en-US"/>
        </w:rPr>
        <w:t>various mental disorders other than MDD</w:t>
      </w:r>
      <w:r w:rsidRPr="0036173E">
        <w:rPr>
          <w:lang w:val="en-US"/>
        </w:rPr>
        <w:t xml:space="preserve"> are also associated with experiences of CM</w:t>
      </w:r>
      <w:r w:rsidR="00834554" w:rsidRPr="0036173E">
        <w:rPr>
          <w:lang w:val="en-US"/>
        </w:rPr>
        <w:t xml:space="preserve">  </w:t>
      </w:r>
      <w:r w:rsidR="00834554" w:rsidRPr="0036173E">
        <w:rPr>
          <w:lang w:val="en-US"/>
        </w:rPr>
        <w:fldChar w:fldCharType="begin" w:fldLock="1"/>
      </w:r>
      <w:r w:rsidR="00A56817" w:rsidRPr="0036173E">
        <w:rPr>
          <w:lang w:val="en-US"/>
        </w:rPr>
        <w:instrText>ADDIN CSL_CITATION {"citationItems":[{"id":"ITEM-1","itemData":{"DOI":"10.1176/appi.ajp.2019.19010020","author":[{"dropping-particle":"","family":"Lippard","given":"Elizabeth T C","non-dropping-particle":"","parse-names":false,"suffix":""},{"dropping-particle":"","family":"Nemeroff","given":"Charles B","non-dropping-particle":"","parse-names":false,"suffix":""}],"container-title":"The American Journal of Psychiatry","id":"ITEM-1","issue":"1","issued":{"date-parts":[["2020"]]},"page":"20-36","title":"The Devastating Clinical Consequences of Child Abuse and Neglect: Increased Disease Vulnerability and Poor Treatment Response in Mood Disorders","type":"article-journal","volume":"177"},"uris":["http://www.mendeley.com/documents/?uuid=26efa101-3f1b-4738-b52b-73b528aaf094"]},{"id":"ITEM-2","itemData":{"DOI":"10.1016/j.psychres.2020.113398","ISSN":"18727123","PMID":"32920524","abstract":"Childhood maltreatment (CM) is a risk factor for numerous mental disorders. However, the specificity of CM types in mental disorders is still being discussed. The present study examined the prevalence of five CM types in patients with schizophrenia/schizoaffective disorder (SZ; n = 107), bipolar disorder (BD; n = 103), depression (MDD; n = 604; with the two subgroups Persistent Depressive Disorder (PDD) and non-chronic MDD), and in healthy controls (HC; n = 715). Additionally, associations between CM types, symptom severity, and age of onset were investigated. The prevalence of all CM types was higher in the patient groups compared to HC. Emotional neglect, emotional abuse, and physical neglect were reported most frequently in all groups. Notably, patients with PDD reported more CM of all types than patients with non-chronic MDD. The severity of depression was associated with emotional abuse and neglect; anxiety with emotional abuse, emotional neglect, and sexual abuse; positive SZ symptoms with physical neglect; negative symptoms with emotional and physical neglect; and mania with sexual abuse and physical neglect. CM was associated with a younger age of onset in MDD and BD. The high prevalence of CM in patients with severe mental disorders highlights the importance of considering this issue in the treatment of such patients.","author":[{"dropping-particle":"","family":"Struck","given":"Nele","non-dropping-particle":"","parse-names":false,"suffix":""},{"dropping-particle":"","family":"Krug","given":"Axel","non-dropping-particle":"","parse-names":false,"suffix":""},{"dropping-particle":"","family":"Yuksel","given":"Dilara","non-dropping-particle":"","parse-names":false,"suffix":""},{"dropping-particle":"","family":"Stein","given":"Frederike","non-dropping-particle":"","parse-names":false,"suffix":""},{"dropping-particle":"","family":"Schmitt","given":"Simon","non-dropping-particle":"","parse-names":false,"suffix":""},{"dropping-particle":"","family":"Meller","given":"Tina","non-dropping-particle":"","parse-names":false,"suffix":""},{"dropping-particle":"","family":"Brosch","given":"Katharina","non-dropping-particle":"","parse-names":false,"suffix":""},{"dropping-particle":"","family":"Dannlowski","given":"Udo","non-dropping-particle":"","parse-names":false,"suffix":""},{"dropping-particle":"","family":"Nenadić","given":"Igor","non-dropping-particle":"","parse-names":false,"suffix":""},{"dropping-particle":"","family":"Kircher","given":"Tilo","non-dropping-particle":"","parse-names":false,"suffix":""},{"dropping-particle":"","family":"Brakemeier","given":"Eva Lotta","non-dropping-particle":"","parse-names":false,"suffix":""}],"container-title":"Psychiatry Research","id":"ITEM-2","issue":"August","issued":{"date-parts":[["2020"]]},"page":"113398","publisher":"Elsevier Ireland Ltd","title":"Childhood maltreatment and adult mental disorders – the prevalence of different types of maltreatment and associations with age of onset and severity of symptoms","type":"article-journal","volume":"293"},"uris":["http://www.mendeley.com/documents/?uuid=5cfe8c5a-d04c-454a-b06d-42e2d45910d6"]}],"mendeley":{"formattedCitation":"(Lippard &amp; Nemeroff, 2020; Struck et al., 2020)","plainTextFormattedCitation":"(Lippard &amp; Nemeroff, 2020; Struck et al., 2020)","previouslyFormattedCitation":"(Lippard &amp; Nemeroff, 2020; Struck et al., 2020)"},"properties":{"noteIndex":0},"schema":"https://github.com/citation-style-language/schema/raw/master/csl-citation.json"}</w:instrText>
      </w:r>
      <w:r w:rsidR="00834554" w:rsidRPr="0036173E">
        <w:rPr>
          <w:lang w:val="en-US"/>
        </w:rPr>
        <w:fldChar w:fldCharType="separate"/>
      </w:r>
      <w:r w:rsidR="00633309" w:rsidRPr="0036173E">
        <w:rPr>
          <w:noProof/>
          <w:lang w:val="en-US"/>
        </w:rPr>
        <w:t>(Lippard &amp; Nemeroff, 2020; Struck et al., 2020)</w:t>
      </w:r>
      <w:r w:rsidR="00834554" w:rsidRPr="0036173E">
        <w:rPr>
          <w:lang w:val="en-US"/>
        </w:rPr>
        <w:fldChar w:fldCharType="end"/>
      </w:r>
      <w:r w:rsidRPr="0036173E">
        <w:rPr>
          <w:lang w:val="en-US"/>
        </w:rPr>
        <w:t>, as well as with alterations in resting-state connectivity</w:t>
      </w:r>
      <w:r w:rsidR="00D00A8B" w:rsidRPr="0036173E">
        <w:rPr>
          <w:lang w:val="en-US"/>
        </w:rPr>
        <w:t xml:space="preserve"> </w:t>
      </w:r>
      <w:r w:rsidR="00D00A8B" w:rsidRPr="0036173E">
        <w:rPr>
          <w:lang w:val="en-US"/>
        </w:rPr>
        <w:fldChar w:fldCharType="begin" w:fldLock="1"/>
      </w:r>
      <w:r w:rsidR="002C3F99" w:rsidRPr="0036173E">
        <w:rPr>
          <w:lang w:val="en-US"/>
        </w:rPr>
        <w:instrText>ADDIN CSL_CITATION {"citationItems":[{"id":"ITEM-1","itemData":{"DOI":"10.1192/j.eurpsy.2020.57","ISSN":"0924-9338","PMID":"32466812","abstract":"BACKGROUND. The default mode network (DMN) dysfunction has emerged as a consistent biological correlate of multiple psychiatric disorders. Specifically, there is evidence of alterations in DMN cohesiveness in schizophrenia, mood and anxiety disorders. The aim of this study was to synthesize at a fine spatial resolution the intra-network functional connectivity of the DMN in adults diagnosed with schizophrenia, mood and anxiety disorders, capitalizing on powerful meta-analytic tools provided by activation likelihood estimation. METHODS. Results from 70 whole-brain resting-state functional magnetic resonance imaging articles published during the last 15 years were included comprising observations from 2,789 patients and 3,002 healthy controls. RESULTS. Specific regional changes in DMN cohesiveness located in the anteromedial and posteromedial cortex emerged as shared and trans-diagnostic brain phenotypes. Disease-specific dysconnectivity was also identified. Unmedicated patients showed more DMN functional alterations, highlighting the importance of interventions targeting the functional integration of the DMN. CONCLUSION. This study highlights functional alteration in the major hubs of the DMN, suggesting common abnormalities in self-referential mental activity across psychiatric disorders.","author":[{"dropping-particle":"","family":"Doucet","given":"Gaelle E.","non-dropping-particle":"","parse-names":false,"suffix":""},{"dropping-particle":"","family":"Janiri","given":"Delfina","non-dropping-particle":"","parse-names":false,"suffix":""},{"dropping-particle":"","family":"Howard","given":"Rebecca","non-dropping-particle":"","parse-names":false,"suffix":""},{"dropping-particle":"","family":"O’Brien","given":"Madeline","non-dropping-particle":"","parse-names":false,"suffix":""},{"dropping-particle":"","family":"Andrews-Hanna","given":"Jessica R.","non-dropping-particle":"","parse-names":false,"suffix":""},{"dropping-particle":"","family":"Frangou","given":"Sophia","non-dropping-particle":"","parse-names":false,"suffix":""}],"container-title":"European Psychiatry","id":"ITEM-1","issue":"1","issued":{"date-parts":[["2020"]]},"page":"1-7","title":"Transdiagnostic and disease-specific abnormalities in the default-mode network hubs in psychiatric disorders: A meta-analysis of resting-state functional imaging studies","type":"article-journal","volume":"63"},"uris":["http://www.mendeley.com/documents/?uuid=2be55097-2679-407e-84f0-178bedf2d271"]},{"id":"ITEM-2","itemData":{"DOI":"10.1016/j.biopsych.2014.08.006","ISBN":"0006-3223","ISSN":"18732402","PMID":"25444162","abstract":"BACKGROUND: There is increasing interest in using neurobiological measures to inform psychiatric nosology. It is unclear at the present time whether anxiety and depression are neurobiologically distinct or similar processes. It is also unknown if the best way to examine these disorders neurobiologically is by contrasting categorical definitions or by examining symptom dimensions. METHODS: A cross-sectional neuroimaging study was conducted of patients with generalized anxiety disorder (GAD), major depressive disorder (MDD), comorbid GAD and MDD (GAD/MDD), or neither GAD nor MDD (control subjects). There were 90 participants, all medication-free (17 GAD, 12 MDD, 23 GAD/MDD, and 38 control subjects). Diagnosis/category and dimensions/symptoms were assessed to determine the best fit for neurobiological data. Symptoms included general distress, common to anxiety and depression, and anxiety-specific (anxious arousal) or depression-specific (anhedonia) symptoms. Low-frequency (.008-.1 Hz) signal amplitude and functional connectivity analyses of resting-state functional magnetic resonance imaging data focused on a priori cortical and subcortical regions of interest. RESULTS: Support was found for effects of diagnosis above and beyond effects related to symptom levels as well as for effects of symptom levels above and beyond effects of diagnostic categories. The specific dimensional factors of general distress and anxious arousal as well as a diagnosis of MDD explained unique proportions of variance in signal amplitude or functional connectivity. CONCLUSIONS: Using resting-state functional magnetic resonance imaging, our data show that a single conceptual model alone (i.e., categorical diagnoses or symptom dimensions) provides an incomplete mapping of psychopathology to neurobiology. Instead, the data support an additive model that best captures abnormal neural patterns in patients with anxiety and depression.","author":[{"dropping-particle":"","family":"Oathes","given":"Desmond J.","non-dropping-particle":"","parse-names":false,"suffix":""},{"dropping-particle":"","family":"Patenaude","given":"Brian","non-dropping-particle":"","parse-names":false,"suffix":""},{"dropping-particle":"","family":"Schatzberg","given":"Alan F.","non-dropping-particle":"","parse-names":false,"suffix":""},{"dropping-particle":"","family":"Etkin","given":"Amit","non-dropping-particle":"","parse-names":false,"suffix":""}],"container-title":"Biological Psychiatry","id":"ITEM-2","issue":"4","issued":{"date-parts":[["2015"]]},"page":"385-393","publisher":"Elsevier","title":"Neurobiological signatures of anxiety and depression in resting-state functional magnetic resonance imaging","type":"article-journal","volume":"77"},"uris":["http://www.mendeley.com/documents/?uuid=46a99d53-059a-4d1d-8d5a-d3f967f76816"]}],"mendeley":{"formattedCitation":"(Doucet et al., 2020; Oathes, Patenaude, Schatzberg, &amp; Etkin, 2015)","plainTextFormattedCitation":"(Doucet et al., 2020; Oathes, Patenaude, Schatzberg, &amp; Etkin, 2015)","previouslyFormattedCitation":"(Doucet et al., 2020; Oathes, Patenaude, Schatzberg, &amp; Etkin, 2015)"},"properties":{"noteIndex":0},"schema":"https://github.com/citation-style-language/schema/raw/master/csl-citation.json"}</w:instrText>
      </w:r>
      <w:r w:rsidR="00D00A8B" w:rsidRPr="0036173E">
        <w:rPr>
          <w:lang w:val="en-US"/>
        </w:rPr>
        <w:fldChar w:fldCharType="separate"/>
      </w:r>
      <w:r w:rsidR="00D00A8B" w:rsidRPr="0036173E">
        <w:rPr>
          <w:noProof/>
          <w:lang w:val="en-US"/>
        </w:rPr>
        <w:t>(Doucet et al., 2020; Oathes, Patenaude, Schatzberg, &amp; Etkin, 2015)</w:t>
      </w:r>
      <w:r w:rsidR="00D00A8B" w:rsidRPr="0036173E">
        <w:rPr>
          <w:lang w:val="en-US"/>
        </w:rPr>
        <w:fldChar w:fldCharType="end"/>
      </w:r>
      <w:r w:rsidRPr="0036173E">
        <w:rPr>
          <w:lang w:val="en-US"/>
        </w:rPr>
        <w:t xml:space="preserve"> we conducted additional analyses stratifying the MDD group for comorbidities</w:t>
      </w:r>
      <w:r w:rsidR="00B026E4" w:rsidRPr="0036173E">
        <w:rPr>
          <w:lang w:val="en-US"/>
        </w:rPr>
        <w:t xml:space="preserve"> to follow-up on our main finding with CTQ sum association with right amygdala connectivity</w:t>
      </w:r>
      <w:r w:rsidRPr="0036173E">
        <w:rPr>
          <w:lang w:val="en-US"/>
        </w:rPr>
        <w:t>. To this end, MDD subgroup</w:t>
      </w:r>
      <w:r w:rsidR="00A56817" w:rsidRPr="0036173E">
        <w:rPr>
          <w:lang w:val="en-US"/>
        </w:rPr>
        <w:t>s</w:t>
      </w:r>
      <w:r w:rsidRPr="0036173E">
        <w:rPr>
          <w:lang w:val="en-US"/>
        </w:rPr>
        <w:t xml:space="preserve"> with lifetime comorbid anxiety disorders (n=192)</w:t>
      </w:r>
      <w:r w:rsidR="00A56817" w:rsidRPr="0036173E">
        <w:rPr>
          <w:lang w:val="en-US"/>
        </w:rPr>
        <w:t xml:space="preserve"> or any other lifetime comorbidity (n=60)</w:t>
      </w:r>
      <w:r w:rsidRPr="0036173E">
        <w:rPr>
          <w:lang w:val="en-US"/>
        </w:rPr>
        <w:t xml:space="preserve"> </w:t>
      </w:r>
      <w:r w:rsidR="00A56817" w:rsidRPr="0036173E">
        <w:rPr>
          <w:lang w:val="en-US"/>
        </w:rPr>
        <w:t>were</w:t>
      </w:r>
      <w:r w:rsidRPr="0036173E">
        <w:rPr>
          <w:lang w:val="en-US"/>
        </w:rPr>
        <w:t xml:space="preserve"> investigated separately and compared to a MDD subgroup without </w:t>
      </w:r>
      <w:r w:rsidR="00A56817" w:rsidRPr="0036173E">
        <w:rPr>
          <w:lang w:val="en-US"/>
        </w:rPr>
        <w:t xml:space="preserve">any </w:t>
      </w:r>
      <w:r w:rsidRPr="0036173E">
        <w:rPr>
          <w:lang w:val="en-US"/>
        </w:rPr>
        <w:t>comorbid disorders (n=</w:t>
      </w:r>
      <w:r w:rsidR="00A56817" w:rsidRPr="0036173E">
        <w:rPr>
          <w:lang w:val="en-US"/>
        </w:rPr>
        <w:t>372</w:t>
      </w:r>
      <w:r w:rsidRPr="0036173E">
        <w:rPr>
          <w:lang w:val="en-US"/>
        </w:rPr>
        <w:t xml:space="preserve">) </w:t>
      </w:r>
      <w:proofErr w:type="gramStart"/>
      <w:r w:rsidRPr="0036173E">
        <w:rPr>
          <w:lang w:val="en-US"/>
        </w:rPr>
        <w:t>in order to</w:t>
      </w:r>
      <w:proofErr w:type="gramEnd"/>
      <w:r w:rsidRPr="0036173E">
        <w:rPr>
          <w:lang w:val="en-US"/>
        </w:rPr>
        <w:t xml:space="preserve"> investigate the role of these comorbidi</w:t>
      </w:r>
      <w:r w:rsidR="00A56817" w:rsidRPr="0036173E">
        <w:rPr>
          <w:lang w:val="en-US"/>
        </w:rPr>
        <w:t>ty profiles</w:t>
      </w:r>
      <w:r w:rsidR="00B026E4" w:rsidRPr="0036173E">
        <w:rPr>
          <w:lang w:val="en-US"/>
        </w:rPr>
        <w:t xml:space="preserve"> on the connectivity effect</w:t>
      </w:r>
      <w:r w:rsidRPr="00EB5D5F">
        <w:rPr>
          <w:lang w:val="en-US"/>
        </w:rPr>
        <w:t xml:space="preserve">. </w:t>
      </w:r>
    </w:p>
    <w:p w14:paraId="4D1D1012" w14:textId="3D7A7A01" w:rsidR="007A6F6C" w:rsidRPr="00EB5D5F" w:rsidRDefault="007A6F6C">
      <w:pPr>
        <w:spacing w:after="160" w:line="360" w:lineRule="auto"/>
        <w:rPr>
          <w:lang w:val="en-US"/>
        </w:rPr>
      </w:pPr>
      <w:r w:rsidRPr="00EB5D5F">
        <w:rPr>
          <w:lang w:val="en-US"/>
        </w:rPr>
        <w:t xml:space="preserve">Investigating the connectivity of the right amygdala seed in these groups separately within the CONN software </w:t>
      </w:r>
      <w:r w:rsidR="00B026E4" w:rsidRPr="00EB5D5F">
        <w:rPr>
          <w:lang w:val="en-US"/>
        </w:rPr>
        <w:t>using</w:t>
      </w:r>
      <w:r w:rsidRPr="00EB5D5F">
        <w:rPr>
          <w:lang w:val="en-US"/>
        </w:rPr>
        <w:t xml:space="preserve"> original significance thresholds (including correction for multiple tests) yielded no clusters </w:t>
      </w:r>
      <w:r w:rsidR="00B026E4" w:rsidRPr="00EB5D5F">
        <w:rPr>
          <w:lang w:val="en-US"/>
        </w:rPr>
        <w:t xml:space="preserve">with a significant </w:t>
      </w:r>
      <w:r w:rsidRPr="00EB5D5F">
        <w:rPr>
          <w:lang w:val="en-US"/>
        </w:rPr>
        <w:t>CTQ sum</w:t>
      </w:r>
      <w:r w:rsidR="00B026E4" w:rsidRPr="00EB5D5F">
        <w:rPr>
          <w:lang w:val="en-US"/>
        </w:rPr>
        <w:t xml:space="preserve"> main effect in either subgroup</w:t>
      </w:r>
      <w:r w:rsidRPr="00EB5D5F">
        <w:rPr>
          <w:lang w:val="en-US"/>
        </w:rPr>
        <w:t xml:space="preserve">, presumably due to lower statistical power within these </w:t>
      </w:r>
      <w:r w:rsidR="00B026E4" w:rsidRPr="00EB5D5F">
        <w:rPr>
          <w:lang w:val="en-US"/>
        </w:rPr>
        <w:t>subsamples</w:t>
      </w:r>
      <w:r w:rsidRPr="00EB5D5F">
        <w:rPr>
          <w:lang w:val="en-US"/>
        </w:rPr>
        <w:t xml:space="preserve">. Further, no clusters emerged with a significant interaction effect between CTQ sum and comorbidity groups. </w:t>
      </w:r>
    </w:p>
    <w:p w14:paraId="4DED6349" w14:textId="686A6104" w:rsidR="00184CCB" w:rsidRPr="0036173E" w:rsidRDefault="00B026E4">
      <w:pPr>
        <w:spacing w:after="160" w:line="360" w:lineRule="auto"/>
        <w:rPr>
          <w:lang w:val="en-US"/>
        </w:rPr>
      </w:pPr>
      <w:proofErr w:type="gramStart"/>
      <w:r w:rsidRPr="00EB5D5F">
        <w:rPr>
          <w:lang w:val="en-US"/>
        </w:rPr>
        <w:t>In order to</w:t>
      </w:r>
      <w:proofErr w:type="gramEnd"/>
      <w:r w:rsidRPr="00EB5D5F">
        <w:rPr>
          <w:lang w:val="en-US"/>
        </w:rPr>
        <w:t xml:space="preserve"> further investigate potential differences between these groups we calculated effect size estimates for both subsamples separately for the individual extracted right amygdala-</w:t>
      </w:r>
      <w:proofErr w:type="spellStart"/>
      <w:r w:rsidRPr="00EB5D5F">
        <w:rPr>
          <w:lang w:val="en-US"/>
        </w:rPr>
        <w:t>dlPFC</w:t>
      </w:r>
      <w:proofErr w:type="spellEnd"/>
      <w:r w:rsidRPr="00EB5D5F">
        <w:rPr>
          <w:lang w:val="en-US"/>
        </w:rPr>
        <w:t xml:space="preserve"> cluster </w:t>
      </w:r>
      <w:proofErr w:type="spellStart"/>
      <w:r w:rsidRPr="00EB5D5F">
        <w:rPr>
          <w:lang w:val="en-US"/>
        </w:rPr>
        <w:t>connectivities</w:t>
      </w:r>
      <w:proofErr w:type="spellEnd"/>
      <w:r w:rsidRPr="00EB5D5F">
        <w:rPr>
          <w:lang w:val="en-US"/>
        </w:rPr>
        <w:t xml:space="preserve"> where we located our main effect of CTQ sum within the entire MDD sample. </w:t>
      </w:r>
      <w:r w:rsidR="00184CCB" w:rsidRPr="00EB5D5F">
        <w:rPr>
          <w:lang w:val="en-US"/>
        </w:rPr>
        <w:t xml:space="preserve">The </w:t>
      </w:r>
      <w:r w:rsidR="00184CCB" w:rsidRPr="0036173E">
        <w:rPr>
          <w:lang w:val="en-US"/>
        </w:rPr>
        <w:t xml:space="preserve">effect size </w:t>
      </w:r>
      <w:r w:rsidRPr="0036173E">
        <w:rPr>
          <w:lang w:val="en-US"/>
        </w:rPr>
        <w:t xml:space="preserve">of the CTQ sum main effect on extracted cluster </w:t>
      </w:r>
      <w:proofErr w:type="spellStart"/>
      <w:r w:rsidRPr="0036173E">
        <w:rPr>
          <w:lang w:val="en-US"/>
        </w:rPr>
        <w:t>connectivities</w:t>
      </w:r>
      <w:proofErr w:type="spellEnd"/>
      <w:r w:rsidRPr="0036173E">
        <w:rPr>
          <w:lang w:val="en-US"/>
        </w:rPr>
        <w:t xml:space="preserve"> between the right amygdala and the </w:t>
      </w:r>
      <w:proofErr w:type="spellStart"/>
      <w:r w:rsidRPr="0036173E">
        <w:rPr>
          <w:lang w:val="en-US"/>
        </w:rPr>
        <w:t>dlPFC</w:t>
      </w:r>
      <w:proofErr w:type="spellEnd"/>
      <w:r w:rsidRPr="0036173E">
        <w:rPr>
          <w:lang w:val="en-US"/>
        </w:rPr>
        <w:t xml:space="preserve"> cluster </w:t>
      </w:r>
      <w:r w:rsidR="00184CCB" w:rsidRPr="0036173E">
        <w:rPr>
          <w:lang w:val="en-US"/>
        </w:rPr>
        <w:t xml:space="preserve">was descriptively </w:t>
      </w:r>
      <w:r w:rsidRPr="0036173E">
        <w:rPr>
          <w:lang w:val="en-US"/>
        </w:rPr>
        <w:t>larger</w:t>
      </w:r>
      <w:r w:rsidR="00184CCB" w:rsidRPr="0036173E">
        <w:rPr>
          <w:lang w:val="en-US"/>
        </w:rPr>
        <w:t xml:space="preserve"> within the MDD group with anxiety comorbidities (η²</w:t>
      </w:r>
      <w:r w:rsidR="00184CCB" w:rsidRPr="0036173E">
        <w:rPr>
          <w:vertAlign w:val="subscript"/>
          <w:lang w:val="en-US"/>
        </w:rPr>
        <w:t>partial</w:t>
      </w:r>
      <w:r w:rsidR="00184CCB" w:rsidRPr="0036173E">
        <w:rPr>
          <w:lang w:val="en-US"/>
        </w:rPr>
        <w:t xml:space="preserve">=.097, </w:t>
      </w:r>
      <w:proofErr w:type="spellStart"/>
      <w:r w:rsidR="00184CCB" w:rsidRPr="0036173E">
        <w:rPr>
          <w:lang w:val="en-US"/>
        </w:rPr>
        <w:t>BCa</w:t>
      </w:r>
      <w:proofErr w:type="spellEnd"/>
      <w:r w:rsidR="00184CCB" w:rsidRPr="0036173E">
        <w:rPr>
          <w:lang w:val="en-US"/>
        </w:rPr>
        <w:t xml:space="preserve"> 95%-CI: [.030, .179]) as compared to the MDD group without </w:t>
      </w:r>
      <w:r w:rsidR="00BB29CF" w:rsidRPr="0036173E">
        <w:rPr>
          <w:lang w:val="en-US"/>
        </w:rPr>
        <w:t>any</w:t>
      </w:r>
      <w:r w:rsidR="00184CCB" w:rsidRPr="0036173E">
        <w:rPr>
          <w:lang w:val="en-US"/>
        </w:rPr>
        <w:t xml:space="preserve"> comorbidities (η²</w:t>
      </w:r>
      <w:r w:rsidR="00184CCB" w:rsidRPr="0036173E">
        <w:rPr>
          <w:vertAlign w:val="subscript"/>
          <w:lang w:val="en-US"/>
        </w:rPr>
        <w:t>partial</w:t>
      </w:r>
      <w:r w:rsidR="00184CCB" w:rsidRPr="0036173E">
        <w:rPr>
          <w:lang w:val="en-US"/>
        </w:rPr>
        <w:t>=.03</w:t>
      </w:r>
      <w:r w:rsidR="00BB29CF" w:rsidRPr="0036173E">
        <w:rPr>
          <w:lang w:val="en-US"/>
        </w:rPr>
        <w:t>1</w:t>
      </w:r>
      <w:r w:rsidR="003A3876" w:rsidRPr="0036173E">
        <w:rPr>
          <w:lang w:val="en-US"/>
        </w:rPr>
        <w:t xml:space="preserve">, </w:t>
      </w:r>
      <w:proofErr w:type="spellStart"/>
      <w:r w:rsidR="003A3876" w:rsidRPr="0036173E">
        <w:rPr>
          <w:lang w:val="en-US"/>
        </w:rPr>
        <w:t>BCa</w:t>
      </w:r>
      <w:proofErr w:type="spellEnd"/>
      <w:r w:rsidR="003A3876" w:rsidRPr="0036173E">
        <w:rPr>
          <w:lang w:val="en-US"/>
        </w:rPr>
        <w:t xml:space="preserve"> 95%-CI: [.005, .074</w:t>
      </w:r>
      <w:r w:rsidR="00184CCB" w:rsidRPr="0036173E">
        <w:rPr>
          <w:lang w:val="en-US"/>
        </w:rPr>
        <w:t>]).</w:t>
      </w:r>
      <w:r w:rsidR="003A3876" w:rsidRPr="0036173E">
        <w:rPr>
          <w:lang w:val="en-US"/>
        </w:rPr>
        <w:t xml:space="preserve"> Within the MDD group with a comorbidity other than an anxiety disorder the main effect of CTQ sum on extracted cluster </w:t>
      </w:r>
      <w:proofErr w:type="spellStart"/>
      <w:r w:rsidR="003A3876" w:rsidRPr="0036173E">
        <w:rPr>
          <w:lang w:val="en-US"/>
        </w:rPr>
        <w:t>connectivities</w:t>
      </w:r>
      <w:proofErr w:type="spellEnd"/>
      <w:r w:rsidR="003A3876" w:rsidRPr="0036173E">
        <w:rPr>
          <w:lang w:val="en-US"/>
        </w:rPr>
        <w:t xml:space="preserve"> was non-significant (η²</w:t>
      </w:r>
      <w:r w:rsidR="003A3876" w:rsidRPr="0036173E">
        <w:rPr>
          <w:vertAlign w:val="subscript"/>
          <w:lang w:val="en-US"/>
        </w:rPr>
        <w:t>partial</w:t>
      </w:r>
      <w:r w:rsidR="003A3876" w:rsidRPr="0036173E">
        <w:rPr>
          <w:lang w:val="en-US"/>
        </w:rPr>
        <w:t xml:space="preserve">=.004, </w:t>
      </w:r>
      <w:proofErr w:type="spellStart"/>
      <w:r w:rsidR="003A3876" w:rsidRPr="0036173E">
        <w:rPr>
          <w:lang w:val="en-US"/>
        </w:rPr>
        <w:t>BCa</w:t>
      </w:r>
      <w:proofErr w:type="spellEnd"/>
      <w:r w:rsidR="003A3876" w:rsidRPr="0036173E">
        <w:rPr>
          <w:lang w:val="en-US"/>
        </w:rPr>
        <w:t xml:space="preserve"> 95%-CI: [.</w:t>
      </w:r>
      <w:r w:rsidR="007100E9" w:rsidRPr="0036173E">
        <w:rPr>
          <w:lang w:val="en-US"/>
        </w:rPr>
        <w:t>000</w:t>
      </w:r>
      <w:r w:rsidR="003A3876" w:rsidRPr="0036173E">
        <w:rPr>
          <w:lang w:val="en-US"/>
        </w:rPr>
        <w:t xml:space="preserve">, .120]). </w:t>
      </w:r>
      <w:r w:rsidR="00184CCB" w:rsidRPr="0036173E">
        <w:rPr>
          <w:lang w:val="en-US"/>
        </w:rPr>
        <w:t xml:space="preserve">The difference in effect sizes between groups was not </w:t>
      </w:r>
      <w:r w:rsidR="009443A2" w:rsidRPr="0036173E">
        <w:rPr>
          <w:lang w:val="en-US"/>
        </w:rPr>
        <w:t xml:space="preserve">statistically </w:t>
      </w:r>
      <w:r w:rsidR="00184CCB" w:rsidRPr="0036173E">
        <w:rPr>
          <w:lang w:val="en-US"/>
        </w:rPr>
        <w:lastRenderedPageBreak/>
        <w:t>significant as indicated by a non-significant interaction</w:t>
      </w:r>
      <w:r w:rsidR="00184CCB" w:rsidRPr="00EB5D5F">
        <w:rPr>
          <w:lang w:val="en-US"/>
        </w:rPr>
        <w:t xml:space="preserve"> term between CTQ sum and MDD comorbidity groups (p</w:t>
      </w:r>
      <w:r w:rsidR="00184CCB" w:rsidRPr="0036173E">
        <w:rPr>
          <w:lang w:val="en-US"/>
        </w:rPr>
        <w:t>=.</w:t>
      </w:r>
      <w:r w:rsidR="00BB29CF" w:rsidRPr="0036173E">
        <w:rPr>
          <w:lang w:val="en-US"/>
        </w:rPr>
        <w:t>333</w:t>
      </w:r>
      <w:r w:rsidR="00184CCB" w:rsidRPr="0036173E">
        <w:rPr>
          <w:lang w:val="en-US"/>
        </w:rPr>
        <w:t>).</w:t>
      </w:r>
      <w:r w:rsidR="0091677C" w:rsidRPr="0036173E">
        <w:rPr>
          <w:lang w:val="en-US"/>
        </w:rPr>
        <w:t xml:space="preserve"> For the CTQ sum effect on cluster </w:t>
      </w:r>
      <w:proofErr w:type="spellStart"/>
      <w:r w:rsidR="0091677C" w:rsidRPr="0036173E">
        <w:rPr>
          <w:lang w:val="en-US"/>
        </w:rPr>
        <w:t>connectivities</w:t>
      </w:r>
      <w:proofErr w:type="spellEnd"/>
      <w:r w:rsidR="0091677C" w:rsidRPr="0036173E">
        <w:rPr>
          <w:lang w:val="en-US"/>
        </w:rPr>
        <w:t xml:space="preserve"> stratified by comorbidity groups see Figure S3 A. </w:t>
      </w:r>
      <w:r w:rsidR="00184CCB" w:rsidRPr="0036173E">
        <w:rPr>
          <w:lang w:val="en-US"/>
        </w:rPr>
        <w:t xml:space="preserve"> </w:t>
      </w:r>
    </w:p>
    <w:p w14:paraId="109BE485" w14:textId="1D164D63" w:rsidR="004D5901" w:rsidRDefault="004D5901">
      <w:pPr>
        <w:spacing w:after="160" w:line="360" w:lineRule="auto"/>
        <w:rPr>
          <w:lang w:val="en-US"/>
        </w:rPr>
      </w:pPr>
      <w:r w:rsidRPr="0036173E">
        <w:rPr>
          <w:lang w:val="en-US"/>
        </w:rPr>
        <w:t xml:space="preserve">Investigating the main effect of comorbidity group on extracted cluster </w:t>
      </w:r>
      <w:proofErr w:type="spellStart"/>
      <w:r w:rsidRPr="0036173E">
        <w:rPr>
          <w:lang w:val="en-US"/>
        </w:rPr>
        <w:t>connectivities</w:t>
      </w:r>
      <w:proofErr w:type="spellEnd"/>
      <w:r w:rsidRPr="0036173E">
        <w:rPr>
          <w:lang w:val="en-US"/>
        </w:rPr>
        <w:t xml:space="preserve"> (</w:t>
      </w:r>
      <w:r w:rsidR="00FC5FF3" w:rsidRPr="0036173E">
        <w:rPr>
          <w:lang w:val="en-US"/>
        </w:rPr>
        <w:t>entering a factor with all three comorbidity groups as a predictor,</w:t>
      </w:r>
      <w:r w:rsidRPr="0036173E">
        <w:rPr>
          <w:lang w:val="en-US"/>
        </w:rPr>
        <w:t xml:space="preserve"> controlling for age, sex, and scanner specifications) yielded a significant effect (</w:t>
      </w:r>
      <w:r w:rsidR="00FC5FF3" w:rsidRPr="0036173E">
        <w:rPr>
          <w:lang w:val="en-US"/>
        </w:rPr>
        <w:t>p&lt;.001, η²</w:t>
      </w:r>
      <w:r w:rsidR="00FC5FF3" w:rsidRPr="0036173E">
        <w:rPr>
          <w:vertAlign w:val="subscript"/>
          <w:lang w:val="en-US"/>
        </w:rPr>
        <w:t>partial</w:t>
      </w:r>
      <w:r w:rsidR="00FC5FF3" w:rsidRPr="0036173E">
        <w:rPr>
          <w:lang w:val="en-US"/>
        </w:rPr>
        <w:t xml:space="preserve">=.025). Follow-up pairwise comparisons revealed that this main effect was driven by </w:t>
      </w:r>
      <w:r w:rsidR="001704AF" w:rsidRPr="0036173E">
        <w:rPr>
          <w:lang w:val="en-US"/>
        </w:rPr>
        <w:t>higher</w:t>
      </w:r>
      <w:r w:rsidR="00FC5FF3" w:rsidRPr="0036173E">
        <w:rPr>
          <w:lang w:val="en-US"/>
        </w:rPr>
        <w:t xml:space="preserve"> amygdala-</w:t>
      </w:r>
      <w:proofErr w:type="spellStart"/>
      <w:r w:rsidR="00FC5FF3" w:rsidRPr="0036173E">
        <w:rPr>
          <w:lang w:val="en-US"/>
        </w:rPr>
        <w:t>dlPFC</w:t>
      </w:r>
      <w:proofErr w:type="spellEnd"/>
      <w:r w:rsidR="001704AF" w:rsidRPr="0036173E">
        <w:rPr>
          <w:lang w:val="en-US"/>
        </w:rPr>
        <w:t xml:space="preserve"> </w:t>
      </w:r>
      <w:proofErr w:type="spellStart"/>
      <w:r w:rsidR="001704AF" w:rsidRPr="0036173E">
        <w:rPr>
          <w:lang w:val="en-US"/>
        </w:rPr>
        <w:t>connectivities</w:t>
      </w:r>
      <w:proofErr w:type="spellEnd"/>
      <w:r w:rsidR="001704AF" w:rsidRPr="0036173E">
        <w:rPr>
          <w:lang w:val="en-US"/>
        </w:rPr>
        <w:t xml:space="preserve"> in the MDD group with other comorbidities as compared to both – the group without comorbidities (p&lt;.001) and the group with anxiety comorbidities (p=.029). The latter two did not significantly differ (p=.089) (see Figure S3</w:t>
      </w:r>
      <w:r w:rsidR="0091677C" w:rsidRPr="0036173E">
        <w:rPr>
          <w:lang w:val="en-US"/>
        </w:rPr>
        <w:t xml:space="preserve"> B</w:t>
      </w:r>
      <w:r w:rsidR="001704AF" w:rsidRPr="0036173E">
        <w:rPr>
          <w:lang w:val="en-US"/>
        </w:rPr>
        <w:t>).</w:t>
      </w:r>
    </w:p>
    <w:p w14:paraId="30835C6E" w14:textId="77777777" w:rsidR="00257871" w:rsidRDefault="00257871">
      <w:pPr>
        <w:spacing w:after="160" w:line="360" w:lineRule="auto"/>
        <w:rPr>
          <w:i/>
          <w:lang w:val="en-US"/>
        </w:rPr>
      </w:pPr>
    </w:p>
    <w:p w14:paraId="74199D1C" w14:textId="4BBD1960" w:rsidR="009836BA" w:rsidRPr="00EB5D5F" w:rsidRDefault="00D362C7">
      <w:pPr>
        <w:spacing w:after="160" w:line="360" w:lineRule="auto"/>
        <w:rPr>
          <w:i/>
          <w:lang w:val="en-US"/>
        </w:rPr>
      </w:pPr>
      <w:r w:rsidRPr="00EB5D5F">
        <w:rPr>
          <w:i/>
          <w:lang w:val="en-US"/>
        </w:rPr>
        <w:t>Sensitivity analyses</w:t>
      </w:r>
    </w:p>
    <w:p w14:paraId="15AD2E57" w14:textId="77777777" w:rsidR="009836BA" w:rsidRPr="00EB5D5F" w:rsidRDefault="00D362C7">
      <w:pPr>
        <w:spacing w:after="160" w:line="360" w:lineRule="auto"/>
        <w:rPr>
          <w:lang w:val="en-US"/>
        </w:rPr>
      </w:pPr>
      <w:r w:rsidRPr="00EB5D5F">
        <w:rPr>
          <w:lang w:val="en-US"/>
        </w:rPr>
        <w:t xml:space="preserve">We conducted several sensitivity analyses </w:t>
      </w:r>
      <w:proofErr w:type="gramStart"/>
      <w:r w:rsidRPr="00EB5D5F">
        <w:rPr>
          <w:lang w:val="en-US"/>
        </w:rPr>
        <w:t>in order to</w:t>
      </w:r>
      <w:proofErr w:type="gramEnd"/>
      <w:r w:rsidRPr="00EB5D5F">
        <w:rPr>
          <w:lang w:val="en-US"/>
        </w:rPr>
        <w:t xml:space="preserve"> investigate if the observed maltreatment-associated functional connectivity of the right amygdala in MDD (main finding) was driven by certain comorbidities or medication within the MDD samples. To this aim in a first step we excluded all participants with a comorbid eating disorder, substance abuse disorder or psychotic disorder, as these diagnoses have been specifically associated with altered brain structure and function </w:t>
      </w:r>
      <w:r w:rsidRPr="00EB5D5F">
        <w:fldChar w:fldCharType="begin" w:fldLock="1"/>
      </w:r>
      <w:r w:rsidRPr="00EB5D5F">
        <w:rPr>
          <w:lang w:val="en-US"/>
        </w:rPr>
        <w:instrText>ADDIN CSL_CITATION {"citationItems":[{"id":"ITEM-1","itemData":{"DOI":"10.2147/nan.s76699","ISSN":"2230-3561","abstract":"Eating disorders are complex and serious psychiatric illnesses whose etiology includes psychological, biological, and social factors. Treatment of eating disorders is challenging as there are few evidence-based treatments and limited understanding of the mechanisms that result in sustained recovery. In the last 20 years, we have begun to identify neural pathways that are altered in eating disorders. Consideration of how these pathways may contribute to an eating disorder can provide an understanding of expected responses to treatments. Eating disorder behaviors include restrictive eating, compulsive overeating, and purging behaviors after eating. Eating disorders are associated with changes in many neural systems. In this targeted review, we focus on three cognitive processes associated with neurocircuitry differences in subjects with eating disorders such as reward, decision-making, and social behavior. We briefly examine how each of these systems function in healthy people, using Neurosynth meta-analysis to identify key regions commonly implicated in these circuits. We review the evidence for disruptions of these regions and systems in eating disorders. Finally, we describe psychiatric and psychological treatments that are likely to function by impacting these regions.","author":[{"dropping-particle":"","family":"McAdams","given":"Carrie","non-dropping-particle":"","parse-names":false,"suffix":""},{"dropping-particle":"","family":"Smith","given":"Whitney","non-dropping-particle":"","parse-names":false,"suffix":""}],"container-title":"Neuroscience and Neuroeconomics","id":"ITEM-1","issued":{"date-parts":[["2015"]]},"page":"35-49","title":"Neural correlates of eating disorders: translational potential","type":"article-journal","volume":"4"},"uris":["http://www.mendeley.com/documents/?uuid=1c2a854b-2fb3-47c3-af60-a4bcf73f991d"]},{"id":"ITEM-2","itemData":{"DOI":"10.1097/YCO.0000000000000544","ISBN":"0000000000000","ISSN":"14736578","PMID":"31306246","abstract":"Purpose of reviewEating disorders are severe psychiatric disorders with a suspected complex biopsychosocial cause. The purpose of this review is to synthesize the recent literature on brain imaging in eating disorders.Recent findingsFood restriction as well as binge eating and purging behaviors are associated with lower regional brain volumes or cortical thickness, but those changes largely return to normal with normalization of weight and eating behavior. Computational modeling has started to identify patterns of structural and functional imaging data that classify eating disorder subtypes, which could be used in the future, diagnostically and to better understand disorder-specific psychopathology. The prediction error model, a computational approach to assess dopamine-related brain reward function, helped support a brain-based model for anorexia nervosa. In that model, the conscious motivation to restrict conflicts with body signals that stimulate eating. This conflict causes anxiety and drives a vicious cycle of food restriction.SummaryNovel brain research supports the notion that eating disorders have distinct neurobiological underpinnings. This new knowledge can be used to describe disease models to patients and develop novel treatments.","author":[{"dropping-particle":"","family":"Frank","given":"Guido K.W.","non-dropping-particle":"","parse-names":false,"suffix":""}],"container-title":"Current Opinion in Psychiatry","id":"ITEM-2","issue":"6","issued":{"date-parts":[["2019"]]},"page":"478-483","title":"Neuroimaging and eating disorders","type":"article-journal","volume":"32"},"uris":["http://www.mendeley.com/documents/?uuid=34da4763-ee97-4c8b-8db6-f98d56eef22f"]},{"id":"ITEM-3","itemData":{"DOI":"10.1016/j.neubiorev.2018.03.008","ISSN":"18737528","PMID":"29535069","abstract":"While numerous studies have investigated the residual effects of cannabis use on human brain function, results of these studies have been inconsistent. Using meta-analytic approaches we summarize the effects of prolonged cannabis exposure on human brain function as measured using task-based functional MRI (fMRI) across studies employing a range of cognitive activation tasks comparing regular cannabis users with non-users. Separate meta-analyses were carried out for studies investigating adult and adolescent cannabis users. Systematic literature search identified 20 manuscripts (13 adult and 7 adolescent studies) meeting study inclusion criteria. Adult analyses compared 530 cannabis users to 580 healthy controls while adolescent analyses compared 219 cannabis users to 224 healthy controls. In adult cannabis users brain activation was increased in the superior and posterior transverse temporal and inferior frontal gyri and decreased in the striate area, insula and middle temporal gyrus. In adolescent cannabis users, activation was increased in the inferior parietal gyrus and putamen compared to healthy controls. Functional alteration in these areas may reflect compensatory neuroadaptive changes in cannabis users.","author":[{"dropping-particle":"","family":"Blest-Hopley","given":"Grace","non-dropping-particle":"","parse-names":false,"suffix":""},{"dropping-particle":"","family":"Giampietro","given":"Vincent","non-dropping-particle":"","parse-names":false,"suffix":""},{"dropping-particle":"","family":"Bhattacharyya","given":"Sagnik","non-dropping-particle":"","parse-names":false,"suffix":""}],"container-title":"Neuroscience and Biobehavioral Reviews","id":"ITEM-3","issued":{"date-parts":[["2018"]]},"page":"26-41","publisher":"Elsevier Ltd","title":"Residual effects of cannabis use in adolescent and adult brains — A meta-analysis of fMRI studies","type":"article-journal","volume":"88"},"uris":["http://www.mendeley.com/documents/?uuid=81928c0c-0fa4-4003-b78c-4c3bfeabf7b3"]},{"id":"ITEM-4","itemData":{"DOI":"10.1259/bjr.20180942","ISSN":"1748880X","PMID":"30855982","abstract":"Substance use disorder is a leading causes of preventable disease and mortality. Drugs of abuse cause molecular and cellular changes in specific brain regions and these neuroplastic changes are thought to play a role in the transition to uncontrolled drug use. Neuroimaging has identified neural substrates associated with problematic substance use and may offer clues to reduce its burden on the patient and society. Here, we provide a narrative review of neuroimaging studies that have examined the structures and circuits associated with reward, cues and craving, learning, and cognitive control in substance use disorders. Most studies use advanced MRI or positron emission tomography (PET). Many studies have focused on the dopamine neurons of the ventral tegmental area, and the regions where these neurons terminate, such as the striatum and prefrontal cortex. Decreases in dopamine receptors and transmission have been found in chronic users of drugs, alcohol, and nicotine. Recent studies also show evidence of differences in structure and function in substance users relative to controls in brain regions involved in salience evaluation, such as the insula and anterior cingulate cortex. Balancing between reward-related bottom-up and cognitive-control-related top-down processes is discussed in the context of neuromodulation as a potential treatment. Finally, some of the challenges for understanding substance use disorder using neuroimaging methods are discussed.","author":[{"dropping-particle":"","family":"Tanabe","given":"Jody","non-dropping-particle":"","parse-names":false,"suffix":""},{"dropping-particle":"","family":"Regner","given":"Michael","non-dropping-particle":"","parse-names":false,"suffix":""},{"dropping-particle":"","family":"Sakai","given":"Joseph","non-dropping-particle":"","parse-names":false,"suffix":""},{"dropping-particle":"","family":"Martinez","given":"Diana","non-dropping-particle":"","parse-names":false,"suffix":""},{"dropping-particle":"","family":"Gowin","given":"Joshua","non-dropping-particle":"","parse-names":false,"suffix":""}],"container-title":"British Journal of Radiology","id":"ITEM-4","issue":"1101","issued":{"date-parts":[["2019"]]},"title":"Neuroimaging reward, craving, learning, and cognitive control in substance use disorders: Review and implications for treatment","type":"article-journal","volume":"92"},"uris":["http://www.mendeley.com/documents/?uuid=0d69c397-0233-40f0-bb38-185db907195f"]},{"id":"ITEM-5","itemData":{"DOI":"10.1159/000505601","ISSN":"14230224","PMID":"32160619","abstract":"Introduction: Delusions are core symptoms of schizophrenia-spectrum and related disorders. Despite their clinical relevance, the neural correlates underlying such phenomena are unclear. Recent research suggests that specific delusional content may be associated with distinct neural substrates. Objective: Here, we used structural magnetic resonance imaging to investigate multiple parameters of brain morphology in patients presenting with paranoid type delusional disorder (pt-DD, n = 14) compared to those of healthy controls (HC, n = 25). Methods: Voxel- and surface-based morphometry for structural data was used to investigate gray matter volume (GMV), cortical thickness (CT) and gyrification. Results: Compared to HC, patients with pt-DD showed reduced GMV in bilateral amygdala and right inferior frontal gyrus. Higher GMV in patients was found in bilateral orbitofrontal and in left superior frontal cortices. Patients also had lower CT in frontal and temporal regions. Abnormal gyrification in patients was evident in frontal and temporal areas, as well as in bilateral insula. Conclusions: The data suggest the presence of aberrant GMV in a right prefrontal region associated with belief evaluation, as well as distinct structural abnormalities in areas that essentially subserve processing of fear, anxiety and threat in patients with pt-DD. It is possible that cortical features of distinct evolutionary and genetic origin, i.e. CT and gyrification, contribute differently to the pathogenesis of pt-DD.","author":[{"dropping-particle":"","family":"Wolf","given":"Robert Christian","non-dropping-particle":"","parse-names":false,"suffix":""},{"dropping-particle":"","family":"Hildebrandt","given":"Viviane","non-dropping-particle":"","parse-names":false,"suffix":""},{"dropping-particle":"","family":"Schmitgen","given":"Mike M.","non-dropping-particle":"","parse-names":false,"suffix":""},{"dropping-particle":"","family":"Pycha","given":"Roger","non-dropping-particle":"","parse-names":false,"suffix":""},{"dropping-particle":"","family":"Kirchler","given":"Erwin","non-dropping-particle":"","parse-names":false,"suffix":""},{"dropping-particle":"","family":"MacIna","given":"Christian","non-dropping-particle":"","parse-names":false,"suffix":""},{"dropping-particle":"","family":"Karner","given":"Martin","non-dropping-particle":"","parse-names":false,"suffix":""},{"dropping-particle":"","family":"Hirjak","given":"Dusan","non-dropping-particle":"","parse-names":false,"suffix":""},{"dropping-particle":"","family":"Kubera","given":"Katharina M.","non-dropping-particle":"","parse-names":false,"suffix":""},{"dropping-particle":"","family":"Romanov","given":"Dmitry","non-dropping-particle":"","parse-names":false,"suffix":""},{"dropping-particle":"","family":"Freudenmann","given":"Roland Wolfgang","non-dropping-particle":"","parse-names":false,"suffix":""},{"dropping-particle":"","family":"Huber","given":"Markus","non-dropping-particle":"","parse-names":false,"suffix":""}],"container-title":"Neuropsychobiology","id":"ITEM-5","issue":"4-5","issued":{"date-parts":[["2020"]]},"page":"335-344","title":"Aberrant Gray Matter Volume and Cortical Surface in Paranoid-Type Delusional Disorder","type":"article-journal","volume":"79"},"uris":["http://www.mendeley.com/documents/?uuid=ee39267d-5d90-44db-8c4a-8b2cd1e85d10"]}],"mendeley":{"formattedCitation":"(Blest-Hopley, Giampietro, &amp; Bhattacharyya, 2018; Frank, 2019; McAdams &amp; Smith, 2015; Tanabe, Regner, Sakai, Martinez, &amp; Gowin, 2019; Wolf et al., 2020)","plainTextFormattedCitation":"(Blest-Hopley, Giampietro, &amp; Bhattacharyya, 2018; Frank, 2019; McAdams &amp; Smith, 2015; Tanabe, Regner, Sakai, Martinez, &amp; Gowin, 2019; Wolf et al., 2020)","previouslyFormattedCitation":"(Blest-Hopley, Giampietro, &amp; Bhattacharyya, 2018; Frank, 2019; McAdams &amp; Smith, 2015; Tanabe, Regner, Sakai, Martinez, &amp; Gowin, 2019; Wolf et al., 2020)"},"properties":{"noteIndex":0},"schema":"https://github.com/citation-style-language/schema/raw/master/csl-citation.json"}</w:instrText>
      </w:r>
      <w:r w:rsidRPr="00EB5D5F">
        <w:rPr>
          <w:lang w:val="en-US"/>
        </w:rPr>
        <w:fldChar w:fldCharType="separate"/>
      </w:r>
      <w:r w:rsidRPr="00EB5D5F">
        <w:rPr>
          <w:noProof/>
          <w:lang w:val="en-US"/>
        </w:rPr>
        <w:t>(Blest-Hopley, Giampietro, &amp; Bhattacharyya, 2018; Frank, 2019; McAdams &amp; Smith, 2015; Tanabe, Regner, Sakai, Martinez, &amp; Gowin, 2019; Wolf et al., 2020)</w:t>
      </w:r>
      <w:r w:rsidRPr="00EB5D5F">
        <w:rPr>
          <w:lang w:val="en-US"/>
        </w:rPr>
        <w:fldChar w:fldCharType="end"/>
      </w:r>
      <w:r w:rsidRPr="00EB5D5F">
        <w:rPr>
          <w:lang w:val="en-US"/>
        </w:rPr>
        <w:t xml:space="preserve"> and could thus drive the observed connectivity effects of maltreatment. An exclusion of these participants (overall n=70 excluded) yielded highly comparable results for the main effect of CTQ sum on the right amygdala connectivity (altered connectivity with cluster in the </w:t>
      </w:r>
      <w:proofErr w:type="spellStart"/>
      <w:r w:rsidRPr="00EB5D5F">
        <w:rPr>
          <w:lang w:val="en-US"/>
        </w:rPr>
        <w:t>dlPFC</w:t>
      </w:r>
      <w:proofErr w:type="spellEnd"/>
      <w:r w:rsidRPr="00EB5D5F">
        <w:rPr>
          <w:lang w:val="en-US"/>
        </w:rPr>
        <w:t xml:space="preserve">, k=152, x21, y39, z48, </w:t>
      </w:r>
      <w:proofErr w:type="spellStart"/>
      <w:r w:rsidRPr="00EB5D5F">
        <w:rPr>
          <w:lang w:val="en-US"/>
        </w:rPr>
        <w:t>p</w:t>
      </w:r>
      <w:r w:rsidRPr="00EB5D5F">
        <w:rPr>
          <w:vertAlign w:val="subscript"/>
          <w:lang w:val="en-US"/>
        </w:rPr>
        <w:t>FDR</w:t>
      </w:r>
      <w:proofErr w:type="spellEnd"/>
      <w:r w:rsidRPr="00EB5D5F">
        <w:rPr>
          <w:lang w:val="en-US"/>
        </w:rPr>
        <w:t>=.003, η²</w:t>
      </w:r>
      <w:r w:rsidRPr="00EB5D5F">
        <w:rPr>
          <w:vertAlign w:val="subscript"/>
          <w:lang w:val="en-US"/>
        </w:rPr>
        <w:t>partial</w:t>
      </w:r>
      <w:r w:rsidRPr="00EB5D5F">
        <w:rPr>
          <w:lang w:val="en-US"/>
        </w:rPr>
        <w:t xml:space="preserve">=.046, </w:t>
      </w:r>
      <w:proofErr w:type="spellStart"/>
      <w:r w:rsidRPr="00EB5D5F">
        <w:rPr>
          <w:lang w:val="en-US"/>
        </w:rPr>
        <w:t>BCa</w:t>
      </w:r>
      <w:proofErr w:type="spellEnd"/>
      <w:r w:rsidRPr="00EB5D5F">
        <w:rPr>
          <w:lang w:val="en-US"/>
        </w:rPr>
        <w:t xml:space="preserve"> 95%-CI: [.017, .083]).</w:t>
      </w:r>
    </w:p>
    <w:p w14:paraId="7874F224" w14:textId="37C39B11" w:rsidR="009836BA" w:rsidRPr="00EB5D5F" w:rsidRDefault="00F31AC8">
      <w:pPr>
        <w:spacing w:after="160" w:line="360" w:lineRule="auto"/>
        <w:rPr>
          <w:lang w:val="en-US"/>
        </w:rPr>
      </w:pPr>
      <w:proofErr w:type="gramStart"/>
      <w:r w:rsidRPr="00EB5D5F">
        <w:rPr>
          <w:iCs/>
          <w:color w:val="000000"/>
          <w:lang w:val="en-US"/>
        </w:rPr>
        <w:t>In order to</w:t>
      </w:r>
      <w:proofErr w:type="gramEnd"/>
      <w:r w:rsidRPr="00EB5D5F">
        <w:rPr>
          <w:iCs/>
          <w:color w:val="000000"/>
          <w:lang w:val="en-US"/>
        </w:rPr>
        <w:t xml:space="preserve"> control for the impact of medication on the observed connectivity effect of the right amygdala we added the medication index variable as an additional covariate to the model in a follow-up analysis. When adding medication index to the model in the seed-to-voxel CONN analysis</w:t>
      </w:r>
      <w:r w:rsidR="0054372E" w:rsidRPr="00EB5D5F">
        <w:rPr>
          <w:iCs/>
          <w:color w:val="000000"/>
          <w:lang w:val="en-US"/>
        </w:rPr>
        <w:t xml:space="preserve"> of the right amygdala seed while</w:t>
      </w:r>
      <w:r w:rsidRPr="00EB5D5F">
        <w:rPr>
          <w:iCs/>
          <w:color w:val="000000"/>
          <w:lang w:val="en-US"/>
        </w:rPr>
        <w:t xml:space="preserve"> applying original significance thresholds also yielded highly similar results as compared to the original model in regard to the </w:t>
      </w:r>
      <w:proofErr w:type="spellStart"/>
      <w:r w:rsidRPr="00EB5D5F">
        <w:rPr>
          <w:iCs/>
          <w:color w:val="000000"/>
          <w:lang w:val="en-US"/>
        </w:rPr>
        <w:t>dlPFC</w:t>
      </w:r>
      <w:proofErr w:type="spellEnd"/>
      <w:r w:rsidRPr="00EB5D5F">
        <w:rPr>
          <w:iCs/>
          <w:color w:val="000000"/>
          <w:lang w:val="en-US"/>
        </w:rPr>
        <w:t xml:space="preserve"> cluster (k=127, </w:t>
      </w:r>
      <w:proofErr w:type="spellStart"/>
      <w:r w:rsidRPr="00EB5D5F">
        <w:rPr>
          <w:iCs/>
          <w:color w:val="000000"/>
          <w:lang w:val="en-US"/>
        </w:rPr>
        <w:t>p</w:t>
      </w:r>
      <w:r w:rsidRPr="00EB5D5F">
        <w:rPr>
          <w:iCs/>
          <w:color w:val="000000"/>
          <w:vertAlign w:val="subscript"/>
          <w:lang w:val="en-US"/>
        </w:rPr>
        <w:t>FDR</w:t>
      </w:r>
      <w:proofErr w:type="spellEnd"/>
      <w:r w:rsidRPr="00EB5D5F">
        <w:rPr>
          <w:iCs/>
          <w:color w:val="000000"/>
          <w:lang w:val="en-US"/>
        </w:rPr>
        <w:t xml:space="preserve">=.009, </w:t>
      </w:r>
      <w:r w:rsidRPr="00EB5D5F">
        <w:rPr>
          <w:iCs/>
          <w:color w:val="000000"/>
        </w:rPr>
        <w:t>η</w:t>
      </w:r>
      <w:r w:rsidRPr="00EB5D5F">
        <w:rPr>
          <w:iCs/>
          <w:color w:val="000000"/>
          <w:lang w:val="en-US"/>
        </w:rPr>
        <w:t>²</w:t>
      </w:r>
      <w:r w:rsidRPr="00EB5D5F">
        <w:rPr>
          <w:iCs/>
          <w:color w:val="000000"/>
          <w:vertAlign w:val="subscript"/>
          <w:lang w:val="en-US"/>
        </w:rPr>
        <w:t>partial</w:t>
      </w:r>
      <w:r w:rsidRPr="00EB5D5F">
        <w:rPr>
          <w:iCs/>
          <w:color w:val="000000"/>
          <w:lang w:val="en-US"/>
        </w:rPr>
        <w:t xml:space="preserve">=.039, </w:t>
      </w:r>
      <w:proofErr w:type="spellStart"/>
      <w:r w:rsidRPr="00EB5D5F">
        <w:rPr>
          <w:iCs/>
          <w:color w:val="000000"/>
          <w:lang w:val="en-US"/>
        </w:rPr>
        <w:t>BCa</w:t>
      </w:r>
      <w:proofErr w:type="spellEnd"/>
      <w:r w:rsidRPr="00EB5D5F">
        <w:rPr>
          <w:iCs/>
          <w:color w:val="000000"/>
          <w:lang w:val="en-US"/>
        </w:rPr>
        <w:t xml:space="preserve"> 95%-CI: [.013, .076], peak voxel coordinates: x21, y45, z48), as well as the middle cingulate cluster (k=76, </w:t>
      </w:r>
      <w:proofErr w:type="spellStart"/>
      <w:r w:rsidRPr="00EB5D5F">
        <w:rPr>
          <w:iCs/>
          <w:color w:val="000000"/>
          <w:lang w:val="en-US"/>
        </w:rPr>
        <w:t>p</w:t>
      </w:r>
      <w:r w:rsidRPr="00EB5D5F">
        <w:rPr>
          <w:iCs/>
          <w:color w:val="000000"/>
          <w:vertAlign w:val="subscript"/>
          <w:lang w:val="en-US"/>
        </w:rPr>
        <w:t>FDR</w:t>
      </w:r>
      <w:proofErr w:type="spellEnd"/>
      <w:r w:rsidRPr="00EB5D5F">
        <w:rPr>
          <w:iCs/>
          <w:color w:val="000000"/>
          <w:lang w:val="en-US"/>
        </w:rPr>
        <w:t xml:space="preserve">=.044, </w:t>
      </w:r>
      <w:r w:rsidRPr="00EB5D5F">
        <w:rPr>
          <w:iCs/>
          <w:color w:val="000000"/>
        </w:rPr>
        <w:t>η</w:t>
      </w:r>
      <w:r w:rsidRPr="00EB5D5F">
        <w:rPr>
          <w:iCs/>
          <w:color w:val="000000"/>
          <w:lang w:val="en-US"/>
        </w:rPr>
        <w:t>²</w:t>
      </w:r>
      <w:r w:rsidRPr="00EB5D5F">
        <w:rPr>
          <w:iCs/>
          <w:color w:val="000000"/>
          <w:vertAlign w:val="subscript"/>
          <w:lang w:val="en-US"/>
        </w:rPr>
        <w:t>partial</w:t>
      </w:r>
      <w:r w:rsidRPr="00EB5D5F">
        <w:rPr>
          <w:iCs/>
          <w:color w:val="000000"/>
          <w:lang w:val="en-US"/>
        </w:rPr>
        <w:t xml:space="preserve">=.030, </w:t>
      </w:r>
      <w:proofErr w:type="spellStart"/>
      <w:r w:rsidRPr="00EB5D5F">
        <w:rPr>
          <w:iCs/>
          <w:color w:val="000000"/>
          <w:lang w:val="en-US"/>
        </w:rPr>
        <w:t>BCa</w:t>
      </w:r>
      <w:proofErr w:type="spellEnd"/>
      <w:r w:rsidRPr="00EB5D5F">
        <w:rPr>
          <w:iCs/>
          <w:color w:val="000000"/>
          <w:lang w:val="en-US"/>
        </w:rPr>
        <w:t xml:space="preserve"> 95%-CI: [.010, .062], peak voxel coordinates: x0, y-36, z48).</w:t>
      </w:r>
    </w:p>
    <w:p w14:paraId="397A4B16" w14:textId="77777777" w:rsidR="009836BA" w:rsidRPr="00EB5D5F" w:rsidRDefault="009836BA">
      <w:pPr>
        <w:spacing w:after="160" w:line="360" w:lineRule="auto"/>
        <w:rPr>
          <w:lang w:val="en-US"/>
        </w:rPr>
      </w:pPr>
    </w:p>
    <w:p w14:paraId="4D37407C" w14:textId="77777777" w:rsidR="00EC4A90" w:rsidRDefault="00EC4A90">
      <w:pPr>
        <w:spacing w:after="160" w:line="360" w:lineRule="auto"/>
        <w:rPr>
          <w:i/>
          <w:lang w:val="en-US"/>
        </w:rPr>
      </w:pPr>
    </w:p>
    <w:p w14:paraId="239F5626" w14:textId="388B25D5" w:rsidR="009836BA" w:rsidRPr="00EB5D5F" w:rsidRDefault="00D362C7">
      <w:pPr>
        <w:spacing w:after="160" w:line="360" w:lineRule="auto"/>
        <w:rPr>
          <w:i/>
          <w:lang w:val="en-US"/>
        </w:rPr>
      </w:pPr>
      <w:r w:rsidRPr="00EB5D5F">
        <w:rPr>
          <w:i/>
          <w:lang w:val="en-US"/>
        </w:rPr>
        <w:lastRenderedPageBreak/>
        <w:t>Characteristics of acute and lifetime MDD samples</w:t>
      </w:r>
    </w:p>
    <w:p w14:paraId="32B8AA66" w14:textId="77777777" w:rsidR="009836BA" w:rsidRPr="00EB5D5F" w:rsidRDefault="00D362C7">
      <w:pPr>
        <w:spacing w:after="160" w:line="360" w:lineRule="auto"/>
        <w:rPr>
          <w:lang w:val="en-US"/>
        </w:rPr>
      </w:pPr>
      <w:proofErr w:type="gramStart"/>
      <w:r w:rsidRPr="00EB5D5F">
        <w:rPr>
          <w:lang w:val="en-US"/>
        </w:rPr>
        <w:t>In order to</w:t>
      </w:r>
      <w:proofErr w:type="gramEnd"/>
      <w:r w:rsidRPr="00EB5D5F">
        <w:rPr>
          <w:lang w:val="en-US"/>
        </w:rPr>
        <w:t xml:space="preserve"> follow up on the observed differences between the lifetime MDD sample and the acute MDD subsample we compared acute and remitted MDD participant groups with regard to demographic and clinical characteristics. Mean age (mean difference: -2.74, </w:t>
      </w:r>
      <w:proofErr w:type="spellStart"/>
      <w:r w:rsidRPr="00EB5D5F">
        <w:rPr>
          <w:lang w:val="en-US"/>
        </w:rPr>
        <w:t>BCa</w:t>
      </w:r>
      <w:proofErr w:type="spellEnd"/>
      <w:r w:rsidRPr="00EB5D5F">
        <w:rPr>
          <w:lang w:val="en-US"/>
        </w:rPr>
        <w:t xml:space="preserve"> 95%-CI [-2.301, 1.807], p=.789), as well as proportion of female participants (χ</w:t>
      </w:r>
      <w:r w:rsidRPr="00EB5D5F">
        <w:rPr>
          <w:vertAlign w:val="superscript"/>
          <w:lang w:val="en-US"/>
        </w:rPr>
        <w:t>2</w:t>
      </w:r>
      <w:r w:rsidRPr="00EB5D5F">
        <w:rPr>
          <w:lang w:val="en-US"/>
        </w:rPr>
        <w:t>(</w:t>
      </w:r>
      <w:proofErr w:type="gramStart"/>
      <w:r w:rsidRPr="00EB5D5F">
        <w:rPr>
          <w:lang w:val="en-US"/>
        </w:rPr>
        <w:t>1,N</w:t>
      </w:r>
      <w:proofErr w:type="gramEnd"/>
      <w:r w:rsidRPr="00EB5D5F">
        <w:rPr>
          <w:lang w:val="en-US"/>
        </w:rPr>
        <w:t xml:space="preserve">=624)=1.114, p=.291) did not differ across acute and remitted MDD samples. </w:t>
      </w:r>
    </w:p>
    <w:p w14:paraId="716DE68A" w14:textId="77777777" w:rsidR="009836BA" w:rsidRPr="00EB5D5F" w:rsidRDefault="00D362C7">
      <w:pPr>
        <w:spacing w:after="160" w:line="360" w:lineRule="auto"/>
        <w:rPr>
          <w:lang w:val="en-US"/>
        </w:rPr>
      </w:pPr>
      <w:r w:rsidRPr="00EB5D5F">
        <w:rPr>
          <w:lang w:val="en-US"/>
        </w:rPr>
        <w:t>Both groups did also not differ in the presence of comorbidities (any lifetime comorbidity: χ</w:t>
      </w:r>
      <w:r w:rsidRPr="00EB5D5F">
        <w:rPr>
          <w:vertAlign w:val="superscript"/>
          <w:lang w:val="en-US"/>
        </w:rPr>
        <w:t>2</w:t>
      </w:r>
      <w:r w:rsidRPr="00EB5D5F">
        <w:rPr>
          <w:lang w:val="en-US"/>
        </w:rPr>
        <w:t>(</w:t>
      </w:r>
      <w:proofErr w:type="gramStart"/>
      <w:r w:rsidRPr="00EB5D5F">
        <w:rPr>
          <w:lang w:val="en-US"/>
        </w:rPr>
        <w:t>1,N</w:t>
      </w:r>
      <w:proofErr w:type="gramEnd"/>
      <w:r w:rsidRPr="00EB5D5F">
        <w:rPr>
          <w:lang w:val="en-US"/>
        </w:rPr>
        <w:t>=624)=.524, p=.469; number of comorbidities: χ</w:t>
      </w:r>
      <w:r w:rsidRPr="00EB5D5F">
        <w:rPr>
          <w:vertAlign w:val="superscript"/>
          <w:lang w:val="en-US"/>
        </w:rPr>
        <w:t>2</w:t>
      </w:r>
      <w:r w:rsidRPr="00EB5D5F">
        <w:rPr>
          <w:lang w:val="en-US"/>
        </w:rPr>
        <w:t>(4,N=624)=1.064, p=.900; comorbid lifetime anxiety disorder: χ</w:t>
      </w:r>
      <w:r w:rsidRPr="00EB5D5F">
        <w:rPr>
          <w:vertAlign w:val="superscript"/>
          <w:lang w:val="en-US"/>
        </w:rPr>
        <w:t>2</w:t>
      </w:r>
      <w:r w:rsidRPr="00EB5D5F">
        <w:rPr>
          <w:lang w:val="en-US"/>
        </w:rPr>
        <w:t>(1,N=624)=.047, p=.829). Further, groups did not differ in presence or absence of childhood maltreatment based on the categorical CTQ cutoffs (χ</w:t>
      </w:r>
      <w:r w:rsidRPr="00EB5D5F">
        <w:rPr>
          <w:vertAlign w:val="superscript"/>
          <w:lang w:val="en-US"/>
        </w:rPr>
        <w:t>2</w:t>
      </w:r>
      <w:r w:rsidRPr="00EB5D5F">
        <w:rPr>
          <w:lang w:val="en-US"/>
        </w:rPr>
        <w:t>(</w:t>
      </w:r>
      <w:proofErr w:type="gramStart"/>
      <w:r w:rsidRPr="00EB5D5F">
        <w:rPr>
          <w:lang w:val="en-US"/>
        </w:rPr>
        <w:t>1,N</w:t>
      </w:r>
      <w:proofErr w:type="gramEnd"/>
      <w:r w:rsidRPr="00EB5D5F">
        <w:rPr>
          <w:lang w:val="en-US"/>
        </w:rPr>
        <w:t xml:space="preserve">=624)=.214, p=.644). However, the acute MDD group had on average higher CTQ sum scores (mean difference: 2.642, </w:t>
      </w:r>
      <w:proofErr w:type="spellStart"/>
      <w:r w:rsidRPr="00EB5D5F">
        <w:rPr>
          <w:lang w:val="en-US"/>
        </w:rPr>
        <w:t>BCa</w:t>
      </w:r>
      <w:proofErr w:type="spellEnd"/>
      <w:r w:rsidRPr="00EB5D5F">
        <w:rPr>
          <w:lang w:val="en-US"/>
        </w:rPr>
        <w:t xml:space="preserve"> 95%-CI [0.159, 5.191], p=.045) and more previous hospitalizations (mean difference: 0.531, </w:t>
      </w:r>
      <w:proofErr w:type="spellStart"/>
      <w:r w:rsidRPr="00EB5D5F">
        <w:rPr>
          <w:lang w:val="en-US"/>
        </w:rPr>
        <w:t>BCa</w:t>
      </w:r>
      <w:proofErr w:type="spellEnd"/>
      <w:r w:rsidRPr="00EB5D5F">
        <w:rPr>
          <w:lang w:val="en-US"/>
        </w:rPr>
        <w:t xml:space="preserve"> 95%-CI [0.204, 0.877], p=.045) as compared to the remitted MDD group. </w:t>
      </w:r>
    </w:p>
    <w:p w14:paraId="20323405" w14:textId="77777777" w:rsidR="009836BA" w:rsidRPr="00EB5D5F" w:rsidRDefault="009836BA">
      <w:pPr>
        <w:spacing w:after="160" w:line="360" w:lineRule="auto"/>
        <w:rPr>
          <w:i/>
          <w:lang w:val="en-US"/>
        </w:rPr>
      </w:pPr>
    </w:p>
    <w:p w14:paraId="41026F45" w14:textId="6DEF57E6" w:rsidR="009836BA" w:rsidRPr="00EB5D5F" w:rsidRDefault="00D362C7">
      <w:pPr>
        <w:spacing w:after="160" w:line="360" w:lineRule="auto"/>
        <w:rPr>
          <w:i/>
          <w:lang w:val="en-US"/>
        </w:rPr>
      </w:pPr>
      <w:r w:rsidRPr="00EB5D5F">
        <w:rPr>
          <w:i/>
          <w:lang w:val="en-US"/>
        </w:rPr>
        <w:t>Alternat</w:t>
      </w:r>
      <w:r w:rsidR="00EE5E42" w:rsidRPr="00EB5D5F">
        <w:rPr>
          <w:i/>
          <w:lang w:val="en-US"/>
        </w:rPr>
        <w:t>ive</w:t>
      </w:r>
      <w:r w:rsidRPr="00EB5D5F">
        <w:rPr>
          <w:i/>
          <w:lang w:val="en-US"/>
        </w:rPr>
        <w:t xml:space="preserve"> maltreatment operationalizations</w:t>
      </w:r>
    </w:p>
    <w:p w14:paraId="15738089" w14:textId="4D9D91C9" w:rsidR="009836BA" w:rsidRPr="00EB5D5F" w:rsidRDefault="00D362C7">
      <w:pPr>
        <w:spacing w:after="160" w:line="360" w:lineRule="auto"/>
        <w:rPr>
          <w:lang w:val="en-US"/>
        </w:rPr>
      </w:pPr>
      <w:r w:rsidRPr="00EB5D5F">
        <w:rPr>
          <w:lang w:val="en-US"/>
        </w:rPr>
        <w:t xml:space="preserve">Several secondary analyses were conducted </w:t>
      </w:r>
      <w:proofErr w:type="gramStart"/>
      <w:r w:rsidRPr="00EB5D5F">
        <w:rPr>
          <w:lang w:val="en-US"/>
        </w:rPr>
        <w:t>in order to</w:t>
      </w:r>
      <w:proofErr w:type="gramEnd"/>
      <w:r w:rsidRPr="00EB5D5F">
        <w:rPr>
          <w:lang w:val="en-US"/>
        </w:rPr>
        <w:t xml:space="preserve"> explore if findings from our main analysis would be robust across different CM operationalizations. Firstly, the cutoff-</w:t>
      </w:r>
      <w:proofErr w:type="gramStart"/>
      <w:r w:rsidRPr="00EB5D5F">
        <w:rPr>
          <w:lang w:val="en-US"/>
        </w:rPr>
        <w:t>based  categorization</w:t>
      </w:r>
      <w:proofErr w:type="gramEnd"/>
      <w:r w:rsidRPr="00EB5D5F">
        <w:rPr>
          <w:lang w:val="en-US"/>
        </w:rPr>
        <w:t xml:space="preserve"> approach was applied grouping the sample into individuals with and without CM (CM vs. non-CM). Secondly, we compared tail percentage CTQ groups, </w:t>
      </w:r>
      <w:proofErr w:type="gramStart"/>
      <w:r w:rsidRPr="00EB5D5F">
        <w:rPr>
          <w:lang w:val="en-US"/>
        </w:rPr>
        <w:t>i.e.</w:t>
      </w:r>
      <w:proofErr w:type="gramEnd"/>
      <w:r w:rsidRPr="00EB5D5F">
        <w:rPr>
          <w:lang w:val="en-US"/>
        </w:rPr>
        <w:t xml:space="preserve"> individuals that reported severe CM (10% highest CTQ sum points) were compared to individuals with very low reports of CM (10% lowest CTQ sum points), in order to explore if CM effects could be found particularly in groups with high CM loads. No tail percentage group comparisons (severe CM vs. non-CM) were conducted within the acute MDD sample due to insufficient cell sizes. No significant main effects of CM on resting-state functional connectivity were found for any operationalizations when pooling HC and MDD samples together in one model. Results of the subgroup analyses using different CM operationalizations are presented in Table S6.</w:t>
      </w:r>
    </w:p>
    <w:p w14:paraId="30EE98AC" w14:textId="77777777" w:rsidR="00114DFE" w:rsidRPr="00EB5D5F" w:rsidRDefault="00114DFE">
      <w:pPr>
        <w:spacing w:after="160" w:line="360" w:lineRule="auto"/>
        <w:rPr>
          <w:lang w:val="en-US"/>
        </w:rPr>
      </w:pPr>
    </w:p>
    <w:p w14:paraId="33221A59" w14:textId="17BD3670" w:rsidR="00EE5E42" w:rsidRPr="00EB5D5F" w:rsidRDefault="00EE5E42">
      <w:pPr>
        <w:spacing w:after="160" w:line="360" w:lineRule="auto"/>
        <w:rPr>
          <w:i/>
          <w:lang w:val="en-US"/>
        </w:rPr>
      </w:pPr>
      <w:r w:rsidRPr="00EB5D5F">
        <w:rPr>
          <w:i/>
          <w:lang w:val="en-US"/>
        </w:rPr>
        <w:t>Alternative multiple comparison correction</w:t>
      </w:r>
    </w:p>
    <w:p w14:paraId="2BCB8527" w14:textId="490DEC70" w:rsidR="00114DFE" w:rsidRPr="00EB5D5F" w:rsidRDefault="00114DFE">
      <w:pPr>
        <w:spacing w:after="160" w:line="360" w:lineRule="auto"/>
        <w:rPr>
          <w:lang w:val="en-US"/>
        </w:rPr>
      </w:pPr>
      <w:r w:rsidRPr="00EB5D5F">
        <w:rPr>
          <w:lang w:val="en-US"/>
        </w:rPr>
        <w:t>To correct for multiple comparisons, we conducted cluster-level multiple comparison correction usi</w:t>
      </w:r>
      <w:r w:rsidR="0062733D">
        <w:rPr>
          <w:lang w:val="en-US"/>
        </w:rPr>
        <w:t>ng a voxel-wise threshold of p&lt;</w:t>
      </w:r>
      <w:r w:rsidRPr="00EB5D5F">
        <w:rPr>
          <w:lang w:val="en-US"/>
        </w:rPr>
        <w:t>.001 and a cluster-leve</w:t>
      </w:r>
      <w:r w:rsidR="0062733D">
        <w:rPr>
          <w:lang w:val="en-US"/>
        </w:rPr>
        <w:t>l FDR-corrected threshold of p&lt;</w:t>
      </w:r>
      <w:r w:rsidRPr="00EB5D5F">
        <w:rPr>
          <w:lang w:val="en-US"/>
        </w:rPr>
        <w:t xml:space="preserve">.05 based on Gaussian Random Field theory (Worsley et al. 1996). Since </w:t>
      </w:r>
      <w:r w:rsidRPr="00EB5D5F">
        <w:rPr>
          <w:lang w:val="en-US"/>
        </w:rPr>
        <w:lastRenderedPageBreak/>
        <w:t xml:space="preserve">Eklund et al. (2016) have shown that type-I errors can be inflated in some scenarios, we repeated </w:t>
      </w:r>
      <w:r w:rsidR="00070838" w:rsidRPr="00EB5D5F">
        <w:rPr>
          <w:lang w:val="en-US"/>
        </w:rPr>
        <w:t>all analyses initially showing a significant cluster result now using a Threshold-Free Cluster Enhancement (TFCE) approach (Smith &amp; Nichols, 2009)</w:t>
      </w:r>
      <w:r w:rsidR="00F31AC8" w:rsidRPr="00EB5D5F">
        <w:rPr>
          <w:lang w:val="en-US"/>
        </w:rPr>
        <w:t xml:space="preserve"> </w:t>
      </w:r>
      <w:proofErr w:type="gramStart"/>
      <w:r w:rsidR="00F31AC8" w:rsidRPr="00EB5D5F">
        <w:rPr>
          <w:lang w:val="en-US"/>
        </w:rPr>
        <w:t>in order to</w:t>
      </w:r>
      <w:proofErr w:type="gramEnd"/>
      <w:r w:rsidR="00F31AC8" w:rsidRPr="00EB5D5F">
        <w:rPr>
          <w:lang w:val="en-US"/>
        </w:rPr>
        <w:t xml:space="preserve"> control the family-wise error (FWE). The approach</w:t>
      </w:r>
      <w:r w:rsidR="00070838" w:rsidRPr="00EB5D5F">
        <w:rPr>
          <w:lang w:val="en-US"/>
        </w:rPr>
        <w:t xml:space="preserve"> has the additional benefit of avoiding user-defined voxel- or cluster-level thresholds and takes the empirical smoothness of the data into account.</w:t>
      </w:r>
    </w:p>
    <w:p w14:paraId="5A7F540F" w14:textId="1804E757" w:rsidR="00070838" w:rsidRPr="00EB5D5F" w:rsidRDefault="00033D8B">
      <w:pPr>
        <w:spacing w:after="160" w:line="360" w:lineRule="auto"/>
        <w:rPr>
          <w:lang w:val="en-US"/>
        </w:rPr>
      </w:pPr>
      <w:r w:rsidRPr="00EB5D5F">
        <w:rPr>
          <w:lang w:val="en-US"/>
        </w:rPr>
        <w:t xml:space="preserve">Recomputing the seed-to-voxel analysis using the right Amygdala as seed region still shows a significant connectivity cluster with the </w:t>
      </w:r>
      <w:proofErr w:type="spellStart"/>
      <w:r w:rsidRPr="00EB5D5F">
        <w:rPr>
          <w:lang w:val="en-US"/>
        </w:rPr>
        <w:t>dlPFC</w:t>
      </w:r>
      <w:proofErr w:type="spellEnd"/>
      <w:r w:rsidRPr="00EB5D5F">
        <w:rPr>
          <w:lang w:val="en-US"/>
        </w:rPr>
        <w:t xml:space="preserve">, </w:t>
      </w:r>
      <w:proofErr w:type="gramStart"/>
      <w:r w:rsidRPr="00EB5D5F">
        <w:rPr>
          <w:lang w:val="en-US"/>
        </w:rPr>
        <w:t>similar to</w:t>
      </w:r>
      <w:proofErr w:type="gramEnd"/>
      <w:r w:rsidRPr="00EB5D5F">
        <w:rPr>
          <w:lang w:val="en-US"/>
        </w:rPr>
        <w:t xml:space="preserve"> the results we report using Random Field FDR-cluster correction, although the TFCE-corrected cluster is smaller in size (peak-coordinates: +24 +39 +45, size=24, TFCE=430.87, </w:t>
      </w:r>
      <w:r w:rsidR="0062733D">
        <w:rPr>
          <w:lang w:val="en-US"/>
        </w:rPr>
        <w:t>peak p-FWE=</w:t>
      </w:r>
      <w:r w:rsidR="00D362C7" w:rsidRPr="00EB5D5F">
        <w:rPr>
          <w:lang w:val="en-US"/>
        </w:rPr>
        <w:t>.046).</w:t>
      </w:r>
    </w:p>
    <w:p w14:paraId="0B16D2C7" w14:textId="77777777" w:rsidR="009836BA" w:rsidRPr="00EB5D5F" w:rsidRDefault="009836BA">
      <w:pPr>
        <w:spacing w:after="160" w:line="360" w:lineRule="auto"/>
        <w:rPr>
          <w:lang w:val="en-US"/>
        </w:rPr>
      </w:pPr>
    </w:p>
    <w:p w14:paraId="05A0C8F4" w14:textId="77777777" w:rsidR="009836BA" w:rsidRPr="00EB5D5F" w:rsidRDefault="00D362C7">
      <w:pPr>
        <w:spacing w:after="160" w:line="360" w:lineRule="auto"/>
        <w:rPr>
          <w:b/>
          <w:bCs/>
          <w:lang w:val="en-US"/>
        </w:rPr>
      </w:pPr>
      <w:r w:rsidRPr="00EB5D5F">
        <w:rPr>
          <w:b/>
          <w:bCs/>
          <w:lang w:val="en-US"/>
        </w:rPr>
        <w:t>References</w:t>
      </w:r>
    </w:p>
    <w:p w14:paraId="7EF875E0" w14:textId="27482361" w:rsidR="00A56817" w:rsidRPr="00A56817" w:rsidRDefault="00D362C7" w:rsidP="00A56817">
      <w:pPr>
        <w:widowControl w:val="0"/>
        <w:autoSpaceDE w:val="0"/>
        <w:autoSpaceDN w:val="0"/>
        <w:adjustRightInd w:val="0"/>
        <w:spacing w:after="160" w:line="360" w:lineRule="auto"/>
        <w:ind w:left="480" w:hanging="480"/>
        <w:rPr>
          <w:noProof/>
          <w:szCs w:val="24"/>
        </w:rPr>
      </w:pPr>
      <w:r w:rsidRPr="00EB5D5F">
        <w:fldChar w:fldCharType="begin" w:fldLock="1"/>
      </w:r>
      <w:r w:rsidRPr="00EB5D5F">
        <w:rPr>
          <w:lang w:val="en-US"/>
        </w:rPr>
        <w:instrText>ADDIN Mendeley Bibliography CSL_BIBLIOGRAPHY</w:instrText>
      </w:r>
      <w:r w:rsidRPr="00EB5D5F">
        <w:fldChar w:fldCharType="separate"/>
      </w:r>
      <w:r w:rsidR="00A56817" w:rsidRPr="00EC4A90">
        <w:rPr>
          <w:noProof/>
          <w:szCs w:val="24"/>
          <w:lang w:val="en-US"/>
        </w:rPr>
        <w:t xml:space="preserve">Benkert, O., &amp; Hippius, H. (Eds.). </w:t>
      </w:r>
      <w:r w:rsidR="00A56817" w:rsidRPr="00A56817">
        <w:rPr>
          <w:noProof/>
          <w:szCs w:val="24"/>
        </w:rPr>
        <w:t xml:space="preserve">(2015). </w:t>
      </w:r>
      <w:r w:rsidR="00A56817" w:rsidRPr="00A56817">
        <w:rPr>
          <w:i/>
          <w:iCs/>
          <w:noProof/>
          <w:szCs w:val="24"/>
        </w:rPr>
        <w:t>Kompendium der Psychiatrischen Pharmakotherapie</w:t>
      </w:r>
      <w:r w:rsidR="00A56817" w:rsidRPr="00A56817">
        <w:rPr>
          <w:noProof/>
          <w:szCs w:val="24"/>
        </w:rPr>
        <w:t xml:space="preserve"> (10th ed.). Berlin Heidelberg: Springer Verlag.</w:t>
      </w:r>
    </w:p>
    <w:p w14:paraId="1CCF113B" w14:textId="77777777" w:rsidR="00A56817" w:rsidRPr="00EC4A90" w:rsidRDefault="00A56817" w:rsidP="00A56817">
      <w:pPr>
        <w:widowControl w:val="0"/>
        <w:autoSpaceDE w:val="0"/>
        <w:autoSpaceDN w:val="0"/>
        <w:adjustRightInd w:val="0"/>
        <w:spacing w:after="160" w:line="360" w:lineRule="auto"/>
        <w:ind w:left="480" w:hanging="480"/>
        <w:rPr>
          <w:noProof/>
          <w:szCs w:val="24"/>
          <w:lang w:val="en-US"/>
        </w:rPr>
      </w:pPr>
      <w:r w:rsidRPr="00EC4A90">
        <w:rPr>
          <w:noProof/>
          <w:szCs w:val="24"/>
          <w:lang w:val="en-US"/>
        </w:rPr>
        <w:t xml:space="preserve">Blest-Hopley, G., Giampietro, V., &amp; Bhattacharyya, S. (2018). Residual effects of cannabis use in adolescent and adult brains — A meta-analysis of fMRI studies. </w:t>
      </w:r>
      <w:r w:rsidRPr="00EC4A90">
        <w:rPr>
          <w:i/>
          <w:iCs/>
          <w:noProof/>
          <w:szCs w:val="24"/>
          <w:lang w:val="en-US"/>
        </w:rPr>
        <w:t>Neuroscience and Biobehavioral Reviews</w:t>
      </w:r>
      <w:r w:rsidRPr="00EC4A90">
        <w:rPr>
          <w:noProof/>
          <w:szCs w:val="24"/>
          <w:lang w:val="en-US"/>
        </w:rPr>
        <w:t xml:space="preserve">, </w:t>
      </w:r>
      <w:r w:rsidRPr="00EC4A90">
        <w:rPr>
          <w:i/>
          <w:iCs/>
          <w:noProof/>
          <w:szCs w:val="24"/>
          <w:lang w:val="en-US"/>
        </w:rPr>
        <w:t>88</w:t>
      </w:r>
      <w:r w:rsidRPr="00EC4A90">
        <w:rPr>
          <w:noProof/>
          <w:szCs w:val="24"/>
          <w:lang w:val="en-US"/>
        </w:rPr>
        <w:t>, 26–41. https://doi.org/10.1016/j.neubiorev.2018.03.008</w:t>
      </w:r>
    </w:p>
    <w:p w14:paraId="4ED4CBD7" w14:textId="77777777" w:rsidR="00A56817" w:rsidRPr="00EC4A90" w:rsidRDefault="00A56817" w:rsidP="00A56817">
      <w:pPr>
        <w:widowControl w:val="0"/>
        <w:autoSpaceDE w:val="0"/>
        <w:autoSpaceDN w:val="0"/>
        <w:adjustRightInd w:val="0"/>
        <w:spacing w:after="160" w:line="360" w:lineRule="auto"/>
        <w:ind w:left="480" w:hanging="480"/>
        <w:rPr>
          <w:noProof/>
          <w:szCs w:val="24"/>
          <w:lang w:val="en-US"/>
        </w:rPr>
      </w:pPr>
      <w:r w:rsidRPr="00EC4A90">
        <w:rPr>
          <w:noProof/>
          <w:szCs w:val="24"/>
          <w:lang w:val="en-US"/>
        </w:rPr>
        <w:t xml:space="preserve">Ciric, R., Wolf, D. H., Power, J. D., Roalf, D. R., Baum, G. L., Ruparel, K., … Satterthwaite, T. D. (2017). Benchmarking of participant-level confound regression strategies for the control of motion artifact in studies of functional connectivity. </w:t>
      </w:r>
      <w:r w:rsidRPr="00EC4A90">
        <w:rPr>
          <w:i/>
          <w:iCs/>
          <w:noProof/>
          <w:szCs w:val="24"/>
          <w:lang w:val="en-US"/>
        </w:rPr>
        <w:t>NeuroImage</w:t>
      </w:r>
      <w:r w:rsidRPr="00EC4A90">
        <w:rPr>
          <w:noProof/>
          <w:szCs w:val="24"/>
          <w:lang w:val="en-US"/>
        </w:rPr>
        <w:t xml:space="preserve">, </w:t>
      </w:r>
      <w:r w:rsidRPr="00EC4A90">
        <w:rPr>
          <w:i/>
          <w:iCs/>
          <w:noProof/>
          <w:szCs w:val="24"/>
          <w:lang w:val="en-US"/>
        </w:rPr>
        <w:t>154</w:t>
      </w:r>
      <w:r w:rsidRPr="00EC4A90">
        <w:rPr>
          <w:noProof/>
          <w:szCs w:val="24"/>
          <w:lang w:val="en-US"/>
        </w:rPr>
        <w:t>, 174–187. https://doi.org/10.1016/j.neuroimage.2017.03.020</w:t>
      </w:r>
    </w:p>
    <w:p w14:paraId="549CD4EA" w14:textId="77777777" w:rsidR="00A56817" w:rsidRPr="00EC4A90" w:rsidRDefault="00A56817" w:rsidP="00A56817">
      <w:pPr>
        <w:widowControl w:val="0"/>
        <w:autoSpaceDE w:val="0"/>
        <w:autoSpaceDN w:val="0"/>
        <w:adjustRightInd w:val="0"/>
        <w:spacing w:after="160" w:line="360" w:lineRule="auto"/>
        <w:ind w:left="480" w:hanging="480"/>
        <w:rPr>
          <w:noProof/>
          <w:szCs w:val="24"/>
          <w:lang w:val="en-US"/>
        </w:rPr>
      </w:pPr>
      <w:r w:rsidRPr="00EC4A90">
        <w:rPr>
          <w:noProof/>
          <w:szCs w:val="24"/>
          <w:lang w:val="en-US"/>
        </w:rPr>
        <w:t xml:space="preserve">Cohen, J. (1988). </w:t>
      </w:r>
      <w:r w:rsidRPr="00EC4A90">
        <w:rPr>
          <w:i/>
          <w:iCs/>
          <w:noProof/>
          <w:szCs w:val="24"/>
          <w:lang w:val="en-US"/>
        </w:rPr>
        <w:t>Statistical Power Analysis for the Behavioral Sciences</w:t>
      </w:r>
      <w:r w:rsidRPr="00EC4A90">
        <w:rPr>
          <w:noProof/>
          <w:szCs w:val="24"/>
          <w:lang w:val="en-US"/>
        </w:rPr>
        <w:t xml:space="preserve"> (2nd ed.). New York, NY: Academic Press.</w:t>
      </w:r>
    </w:p>
    <w:p w14:paraId="1FA0FEBC" w14:textId="77777777" w:rsidR="00A56817" w:rsidRPr="00A56817" w:rsidRDefault="00A56817" w:rsidP="00A56817">
      <w:pPr>
        <w:widowControl w:val="0"/>
        <w:autoSpaceDE w:val="0"/>
        <w:autoSpaceDN w:val="0"/>
        <w:adjustRightInd w:val="0"/>
        <w:spacing w:after="160" w:line="360" w:lineRule="auto"/>
        <w:ind w:left="480" w:hanging="480"/>
        <w:rPr>
          <w:noProof/>
          <w:szCs w:val="24"/>
        </w:rPr>
      </w:pPr>
      <w:r w:rsidRPr="00EC4A90">
        <w:rPr>
          <w:noProof/>
          <w:szCs w:val="24"/>
          <w:lang w:val="en-US"/>
        </w:rPr>
        <w:t xml:space="preserve">Doucet, G. E., Janiri, D., Howard, R., O’Brien, M., Andrews-Hanna, J. R., &amp; Frangou, S. (2020). Transdiagnostic and disease-specific abnormalities in the default-mode network hubs in psychiatric disorders: A meta-analysis of resting-state functional imaging studies. </w:t>
      </w:r>
      <w:r w:rsidRPr="00A56817">
        <w:rPr>
          <w:i/>
          <w:iCs/>
          <w:noProof/>
          <w:szCs w:val="24"/>
        </w:rPr>
        <w:t>European Psychiatry</w:t>
      </w:r>
      <w:r w:rsidRPr="00A56817">
        <w:rPr>
          <w:noProof/>
          <w:szCs w:val="24"/>
        </w:rPr>
        <w:t xml:space="preserve">, </w:t>
      </w:r>
      <w:r w:rsidRPr="00A56817">
        <w:rPr>
          <w:i/>
          <w:iCs/>
          <w:noProof/>
          <w:szCs w:val="24"/>
        </w:rPr>
        <w:t>63</w:t>
      </w:r>
      <w:r w:rsidRPr="00A56817">
        <w:rPr>
          <w:noProof/>
          <w:szCs w:val="24"/>
        </w:rPr>
        <w:t>(1), 1–7. https://doi.org/10.1192/j.eurpsy.2020.57</w:t>
      </w:r>
    </w:p>
    <w:p w14:paraId="7E593115" w14:textId="77777777" w:rsidR="00A56817" w:rsidRPr="00EC4A90" w:rsidRDefault="00A56817" w:rsidP="00A56817">
      <w:pPr>
        <w:widowControl w:val="0"/>
        <w:autoSpaceDE w:val="0"/>
        <w:autoSpaceDN w:val="0"/>
        <w:adjustRightInd w:val="0"/>
        <w:spacing w:after="160" w:line="360" w:lineRule="auto"/>
        <w:ind w:left="480" w:hanging="480"/>
        <w:rPr>
          <w:noProof/>
          <w:szCs w:val="24"/>
          <w:lang w:val="en-US"/>
        </w:rPr>
      </w:pPr>
      <w:r w:rsidRPr="00A56817">
        <w:rPr>
          <w:noProof/>
          <w:szCs w:val="24"/>
        </w:rPr>
        <w:t xml:space="preserve">Faul, F., Erdfelder, E., Lang, A.-G., &amp; Buchner, A. (2007). </w:t>
      </w:r>
      <w:r w:rsidRPr="00EC4A90">
        <w:rPr>
          <w:noProof/>
          <w:szCs w:val="24"/>
          <w:lang w:val="en-US"/>
        </w:rPr>
        <w:t xml:space="preserve">G*Power 3: A flexible statistical power analysis program for the social, behavioral, and biomedical sciences. </w:t>
      </w:r>
      <w:r w:rsidRPr="00EC4A90">
        <w:rPr>
          <w:i/>
          <w:iCs/>
          <w:noProof/>
          <w:szCs w:val="24"/>
          <w:lang w:val="en-US"/>
        </w:rPr>
        <w:t>Behavior Research Methods</w:t>
      </w:r>
      <w:r w:rsidRPr="00EC4A90">
        <w:rPr>
          <w:noProof/>
          <w:szCs w:val="24"/>
          <w:lang w:val="en-US"/>
        </w:rPr>
        <w:t xml:space="preserve">, </w:t>
      </w:r>
      <w:r w:rsidRPr="00EC4A90">
        <w:rPr>
          <w:i/>
          <w:iCs/>
          <w:noProof/>
          <w:szCs w:val="24"/>
          <w:lang w:val="en-US"/>
        </w:rPr>
        <w:t>39</w:t>
      </w:r>
      <w:r w:rsidRPr="00EC4A90">
        <w:rPr>
          <w:noProof/>
          <w:szCs w:val="24"/>
          <w:lang w:val="en-US"/>
        </w:rPr>
        <w:t>(2), 175–191.</w:t>
      </w:r>
    </w:p>
    <w:p w14:paraId="3EBCFB13" w14:textId="77777777" w:rsidR="00A56817" w:rsidRPr="00EC4A90" w:rsidRDefault="00A56817" w:rsidP="00A56817">
      <w:pPr>
        <w:widowControl w:val="0"/>
        <w:autoSpaceDE w:val="0"/>
        <w:autoSpaceDN w:val="0"/>
        <w:adjustRightInd w:val="0"/>
        <w:spacing w:after="160" w:line="360" w:lineRule="auto"/>
        <w:ind w:left="480" w:hanging="480"/>
        <w:rPr>
          <w:noProof/>
          <w:szCs w:val="24"/>
          <w:lang w:val="en-US"/>
        </w:rPr>
      </w:pPr>
      <w:r w:rsidRPr="00EC4A90">
        <w:rPr>
          <w:noProof/>
          <w:szCs w:val="24"/>
          <w:lang w:val="en-US"/>
        </w:rPr>
        <w:t xml:space="preserve">Frank, G. K. W. (2019). Neuroimaging and eating disorders. </w:t>
      </w:r>
      <w:r w:rsidRPr="00EC4A90">
        <w:rPr>
          <w:i/>
          <w:iCs/>
          <w:noProof/>
          <w:szCs w:val="24"/>
          <w:lang w:val="en-US"/>
        </w:rPr>
        <w:t>Current Opinion in Psychiatry</w:t>
      </w:r>
      <w:r w:rsidRPr="00EC4A90">
        <w:rPr>
          <w:noProof/>
          <w:szCs w:val="24"/>
          <w:lang w:val="en-US"/>
        </w:rPr>
        <w:t xml:space="preserve">, </w:t>
      </w:r>
      <w:r w:rsidRPr="00EC4A90">
        <w:rPr>
          <w:i/>
          <w:iCs/>
          <w:noProof/>
          <w:szCs w:val="24"/>
          <w:lang w:val="en-US"/>
        </w:rPr>
        <w:t>32</w:t>
      </w:r>
      <w:r w:rsidRPr="00EC4A90">
        <w:rPr>
          <w:noProof/>
          <w:szCs w:val="24"/>
          <w:lang w:val="en-US"/>
        </w:rPr>
        <w:t>(6), 478–483. https://doi.org/10.1097/YCO.0000000000000544</w:t>
      </w:r>
    </w:p>
    <w:p w14:paraId="72F8D8E6" w14:textId="77777777" w:rsidR="00A56817" w:rsidRPr="00EC4A90" w:rsidRDefault="00A56817" w:rsidP="00A56817">
      <w:pPr>
        <w:widowControl w:val="0"/>
        <w:autoSpaceDE w:val="0"/>
        <w:autoSpaceDN w:val="0"/>
        <w:adjustRightInd w:val="0"/>
        <w:spacing w:after="160" w:line="360" w:lineRule="auto"/>
        <w:ind w:left="480" w:hanging="480"/>
        <w:rPr>
          <w:noProof/>
          <w:szCs w:val="24"/>
          <w:lang w:val="en-US"/>
        </w:rPr>
      </w:pPr>
      <w:r w:rsidRPr="00EC4A90">
        <w:rPr>
          <w:noProof/>
          <w:szCs w:val="24"/>
          <w:lang w:val="en-US"/>
        </w:rPr>
        <w:lastRenderedPageBreak/>
        <w:t xml:space="preserve">Lippard, E. T. C., &amp; Nemeroff, C. B. (2020). The Devastating Clinical Consequences of Child Abuse and Neglect: Increased Disease Vulnerability and Poor Treatment Response in Mood Disorders. </w:t>
      </w:r>
      <w:r w:rsidRPr="00EC4A90">
        <w:rPr>
          <w:i/>
          <w:iCs/>
          <w:noProof/>
          <w:szCs w:val="24"/>
          <w:lang w:val="en-US"/>
        </w:rPr>
        <w:t>The American Journal of Psychiatry</w:t>
      </w:r>
      <w:r w:rsidRPr="00EC4A90">
        <w:rPr>
          <w:noProof/>
          <w:szCs w:val="24"/>
          <w:lang w:val="en-US"/>
        </w:rPr>
        <w:t xml:space="preserve">, </w:t>
      </w:r>
      <w:r w:rsidRPr="00EC4A90">
        <w:rPr>
          <w:i/>
          <w:iCs/>
          <w:noProof/>
          <w:szCs w:val="24"/>
          <w:lang w:val="en-US"/>
        </w:rPr>
        <w:t>177</w:t>
      </w:r>
      <w:r w:rsidRPr="00EC4A90">
        <w:rPr>
          <w:noProof/>
          <w:szCs w:val="24"/>
          <w:lang w:val="en-US"/>
        </w:rPr>
        <w:t>(1), 20–36. https://doi.org/10.1176/appi.ajp.2019.19010020</w:t>
      </w:r>
    </w:p>
    <w:p w14:paraId="4FA5D6F5" w14:textId="77777777" w:rsidR="00A56817" w:rsidRPr="00EC4A90" w:rsidRDefault="00A56817" w:rsidP="00A56817">
      <w:pPr>
        <w:widowControl w:val="0"/>
        <w:autoSpaceDE w:val="0"/>
        <w:autoSpaceDN w:val="0"/>
        <w:adjustRightInd w:val="0"/>
        <w:spacing w:after="160" w:line="360" w:lineRule="auto"/>
        <w:ind w:left="480" w:hanging="480"/>
        <w:rPr>
          <w:noProof/>
          <w:szCs w:val="24"/>
          <w:lang w:val="en-US"/>
        </w:rPr>
      </w:pPr>
      <w:r w:rsidRPr="00EC4A90">
        <w:rPr>
          <w:noProof/>
          <w:szCs w:val="24"/>
          <w:lang w:val="en-US"/>
        </w:rPr>
        <w:t xml:space="preserve">McAdams, C., &amp; Smith, W. (2015). Neural correlates of eating disorders: translational potential. </w:t>
      </w:r>
      <w:r w:rsidRPr="00EC4A90">
        <w:rPr>
          <w:i/>
          <w:iCs/>
          <w:noProof/>
          <w:szCs w:val="24"/>
          <w:lang w:val="en-US"/>
        </w:rPr>
        <w:t>Neuroscience and Neuroeconomics</w:t>
      </w:r>
      <w:r w:rsidRPr="00EC4A90">
        <w:rPr>
          <w:noProof/>
          <w:szCs w:val="24"/>
          <w:lang w:val="en-US"/>
        </w:rPr>
        <w:t xml:space="preserve">, </w:t>
      </w:r>
      <w:r w:rsidRPr="00EC4A90">
        <w:rPr>
          <w:i/>
          <w:iCs/>
          <w:noProof/>
          <w:szCs w:val="24"/>
          <w:lang w:val="en-US"/>
        </w:rPr>
        <w:t>4</w:t>
      </w:r>
      <w:r w:rsidRPr="00EC4A90">
        <w:rPr>
          <w:noProof/>
          <w:szCs w:val="24"/>
          <w:lang w:val="en-US"/>
        </w:rPr>
        <w:t>, 35–49. https://doi.org/10.2147/nan.s76699</w:t>
      </w:r>
    </w:p>
    <w:p w14:paraId="283441F5" w14:textId="77777777" w:rsidR="00A56817" w:rsidRPr="00EC4A90" w:rsidRDefault="00A56817" w:rsidP="00A56817">
      <w:pPr>
        <w:widowControl w:val="0"/>
        <w:autoSpaceDE w:val="0"/>
        <w:autoSpaceDN w:val="0"/>
        <w:adjustRightInd w:val="0"/>
        <w:spacing w:after="160" w:line="360" w:lineRule="auto"/>
        <w:ind w:left="480" w:hanging="480"/>
        <w:rPr>
          <w:noProof/>
          <w:szCs w:val="24"/>
          <w:lang w:val="en-US"/>
        </w:rPr>
      </w:pPr>
      <w:r w:rsidRPr="00EC4A90">
        <w:rPr>
          <w:noProof/>
          <w:szCs w:val="24"/>
          <w:lang w:val="en-US"/>
        </w:rPr>
        <w:t xml:space="preserve">Oathes, D. J., Patenaude, B., Schatzberg, A. F., &amp; Etkin, A. (2015). Neurobiological signatures of anxiety and depression in resting-state functional magnetic resonance imaging. </w:t>
      </w:r>
      <w:r w:rsidRPr="00EC4A90">
        <w:rPr>
          <w:i/>
          <w:iCs/>
          <w:noProof/>
          <w:szCs w:val="24"/>
          <w:lang w:val="en-US"/>
        </w:rPr>
        <w:t>Biological Psychiatry</w:t>
      </w:r>
      <w:r w:rsidRPr="00EC4A90">
        <w:rPr>
          <w:noProof/>
          <w:szCs w:val="24"/>
          <w:lang w:val="en-US"/>
        </w:rPr>
        <w:t xml:space="preserve">, </w:t>
      </w:r>
      <w:r w:rsidRPr="00EC4A90">
        <w:rPr>
          <w:i/>
          <w:iCs/>
          <w:noProof/>
          <w:szCs w:val="24"/>
          <w:lang w:val="en-US"/>
        </w:rPr>
        <w:t>77</w:t>
      </w:r>
      <w:r w:rsidRPr="00EC4A90">
        <w:rPr>
          <w:noProof/>
          <w:szCs w:val="24"/>
          <w:lang w:val="en-US"/>
        </w:rPr>
        <w:t>(4), 385–393. https://doi.org/10.1016/j.biopsych.2014.08.006</w:t>
      </w:r>
    </w:p>
    <w:p w14:paraId="77D31C62" w14:textId="77777777" w:rsidR="00A56817" w:rsidRPr="00A56817" w:rsidRDefault="00A56817" w:rsidP="00A56817">
      <w:pPr>
        <w:widowControl w:val="0"/>
        <w:autoSpaceDE w:val="0"/>
        <w:autoSpaceDN w:val="0"/>
        <w:adjustRightInd w:val="0"/>
        <w:spacing w:after="160" w:line="360" w:lineRule="auto"/>
        <w:ind w:left="480" w:hanging="480"/>
        <w:rPr>
          <w:noProof/>
          <w:szCs w:val="24"/>
        </w:rPr>
      </w:pPr>
      <w:r w:rsidRPr="00EC4A90">
        <w:rPr>
          <w:noProof/>
          <w:szCs w:val="24"/>
          <w:lang w:val="en-US"/>
        </w:rPr>
        <w:t xml:space="preserve">Redlich, R., Almeida, J. R., Grotegerd, D., Opel, N., Kugel, H., Heindel, W., … Dannlowski, U. (2014). Brain Morphometric Biomarkers Distinguishing Unipolar and Bipolar Depression: A Voxel-Based Morphometry-Pattern Classification Approach. </w:t>
      </w:r>
      <w:r w:rsidRPr="00A56817">
        <w:rPr>
          <w:i/>
          <w:iCs/>
          <w:noProof/>
          <w:szCs w:val="24"/>
        </w:rPr>
        <w:t>JAMA Psychiatry</w:t>
      </w:r>
      <w:r w:rsidRPr="00A56817">
        <w:rPr>
          <w:noProof/>
          <w:szCs w:val="24"/>
        </w:rPr>
        <w:t xml:space="preserve">, </w:t>
      </w:r>
      <w:r w:rsidRPr="00A56817">
        <w:rPr>
          <w:i/>
          <w:iCs/>
          <w:noProof/>
          <w:szCs w:val="24"/>
        </w:rPr>
        <w:t>71</w:t>
      </w:r>
      <w:r w:rsidRPr="00A56817">
        <w:rPr>
          <w:noProof/>
          <w:szCs w:val="24"/>
        </w:rPr>
        <w:t>(11), 1222–1230. https://doi.org/10.1001/jamapsychiatry.2014.1100</w:t>
      </w:r>
    </w:p>
    <w:p w14:paraId="78F4C745" w14:textId="77777777" w:rsidR="00A56817" w:rsidRPr="00EC4A90" w:rsidRDefault="00A56817" w:rsidP="00A56817">
      <w:pPr>
        <w:widowControl w:val="0"/>
        <w:autoSpaceDE w:val="0"/>
        <w:autoSpaceDN w:val="0"/>
        <w:adjustRightInd w:val="0"/>
        <w:spacing w:after="160" w:line="360" w:lineRule="auto"/>
        <w:ind w:left="480" w:hanging="480"/>
        <w:rPr>
          <w:noProof/>
          <w:szCs w:val="24"/>
          <w:lang w:val="en-US"/>
        </w:rPr>
      </w:pPr>
      <w:r w:rsidRPr="00A56817">
        <w:rPr>
          <w:noProof/>
          <w:szCs w:val="24"/>
        </w:rPr>
        <w:t xml:space="preserve">Redlich, R., Dohm, K., Grotegerd, D., Opel, N., Zwitserlood, P., Heindel, W., … </w:t>
      </w:r>
      <w:r w:rsidRPr="00EC4A90">
        <w:rPr>
          <w:noProof/>
          <w:szCs w:val="24"/>
          <w:lang w:val="en-US"/>
        </w:rPr>
        <w:t xml:space="preserve">Dannlowski, U. (2015). Reward Processing in Unipolar and Bipolar Depression: A Functional MRI Study. </w:t>
      </w:r>
      <w:r w:rsidRPr="00EC4A90">
        <w:rPr>
          <w:i/>
          <w:iCs/>
          <w:noProof/>
          <w:szCs w:val="24"/>
          <w:lang w:val="en-US"/>
        </w:rPr>
        <w:t>Neuropsychopharmacology : Official Publication of the American College of Neuropsychopharmacology</w:t>
      </w:r>
      <w:r w:rsidRPr="00EC4A90">
        <w:rPr>
          <w:noProof/>
          <w:szCs w:val="24"/>
          <w:lang w:val="en-US"/>
        </w:rPr>
        <w:t xml:space="preserve">, </w:t>
      </w:r>
      <w:r w:rsidRPr="00EC4A90">
        <w:rPr>
          <w:i/>
          <w:iCs/>
          <w:noProof/>
          <w:szCs w:val="24"/>
          <w:lang w:val="en-US"/>
        </w:rPr>
        <w:t>40</w:t>
      </w:r>
      <w:r w:rsidRPr="00EC4A90">
        <w:rPr>
          <w:noProof/>
          <w:szCs w:val="24"/>
          <w:lang w:val="en-US"/>
        </w:rPr>
        <w:t>(11), 2623–2631. https://doi.org/10.1038/npp.2015.110</w:t>
      </w:r>
    </w:p>
    <w:p w14:paraId="618DA304" w14:textId="77777777" w:rsidR="00A56817" w:rsidRPr="00EC4A90" w:rsidRDefault="00A56817" w:rsidP="00A56817">
      <w:pPr>
        <w:widowControl w:val="0"/>
        <w:autoSpaceDE w:val="0"/>
        <w:autoSpaceDN w:val="0"/>
        <w:adjustRightInd w:val="0"/>
        <w:spacing w:after="160" w:line="360" w:lineRule="auto"/>
        <w:ind w:left="480" w:hanging="480"/>
        <w:rPr>
          <w:noProof/>
          <w:szCs w:val="24"/>
          <w:lang w:val="en-US"/>
        </w:rPr>
      </w:pPr>
      <w:r w:rsidRPr="00EC4A90">
        <w:rPr>
          <w:noProof/>
          <w:szCs w:val="24"/>
          <w:lang w:val="en-US"/>
        </w:rPr>
        <w:t xml:space="preserve">Reynolds, C. R. (2008). Physicians’ Desk Reference. In </w:t>
      </w:r>
      <w:r w:rsidRPr="00EC4A90">
        <w:rPr>
          <w:i/>
          <w:iCs/>
          <w:noProof/>
          <w:szCs w:val="24"/>
          <w:lang w:val="en-US"/>
        </w:rPr>
        <w:t>Encyclopedia of Special Education</w:t>
      </w:r>
      <w:r w:rsidRPr="00EC4A90">
        <w:rPr>
          <w:noProof/>
          <w:szCs w:val="24"/>
          <w:lang w:val="en-US"/>
        </w:rPr>
        <w:t>. Vol Hoboken, JK, USA: John Wiley Sons, Inc.</w:t>
      </w:r>
    </w:p>
    <w:p w14:paraId="11B3C186" w14:textId="77777777" w:rsidR="00A56817" w:rsidRPr="00EC4A90" w:rsidRDefault="00A56817" w:rsidP="00A56817">
      <w:pPr>
        <w:widowControl w:val="0"/>
        <w:autoSpaceDE w:val="0"/>
        <w:autoSpaceDN w:val="0"/>
        <w:adjustRightInd w:val="0"/>
        <w:spacing w:after="160" w:line="360" w:lineRule="auto"/>
        <w:ind w:left="480" w:hanging="480"/>
        <w:rPr>
          <w:noProof/>
          <w:szCs w:val="24"/>
          <w:lang w:val="en-US"/>
        </w:rPr>
      </w:pPr>
      <w:r w:rsidRPr="00EC4A90">
        <w:rPr>
          <w:noProof/>
          <w:szCs w:val="24"/>
          <w:lang w:val="en-US"/>
        </w:rPr>
        <w:t xml:space="preserve">Rolls, E. T., Huang, C. C., Lin, C. P., Feng, J., &amp; Joliot, M. (2020). Automated anatomical labelling atlas 3. </w:t>
      </w:r>
      <w:r w:rsidRPr="00EC4A90">
        <w:rPr>
          <w:i/>
          <w:iCs/>
          <w:noProof/>
          <w:szCs w:val="24"/>
          <w:lang w:val="en-US"/>
        </w:rPr>
        <w:t>NeuroImage</w:t>
      </w:r>
      <w:r w:rsidRPr="00EC4A90">
        <w:rPr>
          <w:noProof/>
          <w:szCs w:val="24"/>
          <w:lang w:val="en-US"/>
        </w:rPr>
        <w:t xml:space="preserve">, </w:t>
      </w:r>
      <w:r w:rsidRPr="00EC4A90">
        <w:rPr>
          <w:i/>
          <w:iCs/>
          <w:noProof/>
          <w:szCs w:val="24"/>
          <w:lang w:val="en-US"/>
        </w:rPr>
        <w:t>206</w:t>
      </w:r>
      <w:r w:rsidRPr="00EC4A90">
        <w:rPr>
          <w:noProof/>
          <w:szCs w:val="24"/>
          <w:lang w:val="en-US"/>
        </w:rPr>
        <w:t>(August 2019), 116189. https://doi.org/10.1016/j.neuroimage.2019.116189</w:t>
      </w:r>
    </w:p>
    <w:p w14:paraId="3813E8D4" w14:textId="77777777" w:rsidR="00A56817" w:rsidRPr="00EC4A90" w:rsidRDefault="00A56817" w:rsidP="00A56817">
      <w:pPr>
        <w:widowControl w:val="0"/>
        <w:autoSpaceDE w:val="0"/>
        <w:autoSpaceDN w:val="0"/>
        <w:adjustRightInd w:val="0"/>
        <w:spacing w:after="160" w:line="360" w:lineRule="auto"/>
        <w:ind w:left="480" w:hanging="480"/>
        <w:rPr>
          <w:noProof/>
          <w:szCs w:val="24"/>
          <w:lang w:val="en-US"/>
        </w:rPr>
      </w:pPr>
      <w:r w:rsidRPr="00EC4A90">
        <w:rPr>
          <w:noProof/>
          <w:szCs w:val="24"/>
          <w:lang w:val="en-US"/>
        </w:rPr>
        <w:t xml:space="preserve">Rosenthal, R., &amp; Rosnow, R. L. (2008). </w:t>
      </w:r>
      <w:r w:rsidRPr="00EC4A90">
        <w:rPr>
          <w:i/>
          <w:iCs/>
          <w:noProof/>
          <w:szCs w:val="24"/>
          <w:lang w:val="en-US"/>
        </w:rPr>
        <w:t>Essentials of Behavioral Research</w:t>
      </w:r>
      <w:r w:rsidRPr="00EC4A90">
        <w:rPr>
          <w:noProof/>
          <w:szCs w:val="24"/>
          <w:lang w:val="en-US"/>
        </w:rPr>
        <w:t xml:space="preserve"> (3rd ed.; E. Barrosse, ed.). New York: McGraw-Hill.</w:t>
      </w:r>
    </w:p>
    <w:p w14:paraId="6ED7DADD" w14:textId="77777777" w:rsidR="00A56817" w:rsidRPr="00EC4A90" w:rsidRDefault="00A56817" w:rsidP="00A56817">
      <w:pPr>
        <w:widowControl w:val="0"/>
        <w:autoSpaceDE w:val="0"/>
        <w:autoSpaceDN w:val="0"/>
        <w:adjustRightInd w:val="0"/>
        <w:spacing w:after="160" w:line="360" w:lineRule="auto"/>
        <w:ind w:left="480" w:hanging="480"/>
        <w:rPr>
          <w:noProof/>
          <w:szCs w:val="24"/>
          <w:lang w:val="en-US"/>
        </w:rPr>
      </w:pPr>
      <w:r w:rsidRPr="00EC4A90">
        <w:rPr>
          <w:noProof/>
          <w:szCs w:val="24"/>
          <w:lang w:val="en-US"/>
        </w:rPr>
        <w:t xml:space="preserve">Satterthwaite, T. D., Elliott, M. A., Gerraty, R. T., Ruparel, K., Loughead, J., Calkins, M. E., … Wolf, D. H. (2013). An improved framework for confound regression and filtering for control of motion artifact in the preprocessing of resting-state functional connectivity data. </w:t>
      </w:r>
      <w:r w:rsidRPr="00EC4A90">
        <w:rPr>
          <w:i/>
          <w:iCs/>
          <w:noProof/>
          <w:szCs w:val="24"/>
          <w:lang w:val="en-US"/>
        </w:rPr>
        <w:t>NeuroImage</w:t>
      </w:r>
      <w:r w:rsidRPr="00EC4A90">
        <w:rPr>
          <w:noProof/>
          <w:szCs w:val="24"/>
          <w:lang w:val="en-US"/>
        </w:rPr>
        <w:t xml:space="preserve">, </w:t>
      </w:r>
      <w:r w:rsidRPr="00EC4A90">
        <w:rPr>
          <w:i/>
          <w:iCs/>
          <w:noProof/>
          <w:szCs w:val="24"/>
          <w:lang w:val="en-US"/>
        </w:rPr>
        <w:t>64</w:t>
      </w:r>
      <w:r w:rsidRPr="00EC4A90">
        <w:rPr>
          <w:noProof/>
          <w:szCs w:val="24"/>
          <w:lang w:val="en-US"/>
        </w:rPr>
        <w:t>(1), 240–256. https://doi.org/10.1016/j.neuroimage.2012.08.052</w:t>
      </w:r>
    </w:p>
    <w:p w14:paraId="69F445EC" w14:textId="77777777" w:rsidR="00A56817" w:rsidRPr="00EC4A90" w:rsidRDefault="00A56817" w:rsidP="00A56817">
      <w:pPr>
        <w:widowControl w:val="0"/>
        <w:autoSpaceDE w:val="0"/>
        <w:autoSpaceDN w:val="0"/>
        <w:adjustRightInd w:val="0"/>
        <w:spacing w:after="160" w:line="360" w:lineRule="auto"/>
        <w:ind w:left="480" w:hanging="480"/>
        <w:rPr>
          <w:noProof/>
          <w:szCs w:val="24"/>
          <w:lang w:val="en-US"/>
        </w:rPr>
      </w:pPr>
      <w:r w:rsidRPr="00EC4A90">
        <w:rPr>
          <w:noProof/>
          <w:szCs w:val="24"/>
          <w:lang w:val="en-US"/>
        </w:rPr>
        <w:t xml:space="preserve">Smith, K. E., &amp; Pollak, S. D. (2021). Rethinking Concepts and Categories for Understanding the Neurodevelopmental Effects of Childhood Adversity. </w:t>
      </w:r>
      <w:r w:rsidRPr="00EC4A90">
        <w:rPr>
          <w:i/>
          <w:iCs/>
          <w:noProof/>
          <w:szCs w:val="24"/>
          <w:lang w:val="en-US"/>
        </w:rPr>
        <w:t>Perspectives on Psychological Science</w:t>
      </w:r>
      <w:r w:rsidRPr="00EC4A90">
        <w:rPr>
          <w:noProof/>
          <w:szCs w:val="24"/>
          <w:lang w:val="en-US"/>
        </w:rPr>
        <w:t xml:space="preserve">, </w:t>
      </w:r>
      <w:r w:rsidRPr="00EC4A90">
        <w:rPr>
          <w:i/>
          <w:iCs/>
          <w:noProof/>
          <w:szCs w:val="24"/>
          <w:lang w:val="en-US"/>
        </w:rPr>
        <w:t>16</w:t>
      </w:r>
      <w:r w:rsidRPr="00EC4A90">
        <w:rPr>
          <w:noProof/>
          <w:szCs w:val="24"/>
          <w:lang w:val="en-US"/>
        </w:rPr>
        <w:t>(1), 67–93. https://doi.org/10.1177/1745691620920725</w:t>
      </w:r>
    </w:p>
    <w:p w14:paraId="5B2B4F77" w14:textId="77777777" w:rsidR="00A56817" w:rsidRPr="00EC4A90" w:rsidRDefault="00A56817" w:rsidP="00A56817">
      <w:pPr>
        <w:widowControl w:val="0"/>
        <w:autoSpaceDE w:val="0"/>
        <w:autoSpaceDN w:val="0"/>
        <w:adjustRightInd w:val="0"/>
        <w:spacing w:after="160" w:line="360" w:lineRule="auto"/>
        <w:ind w:left="480" w:hanging="480"/>
        <w:rPr>
          <w:noProof/>
          <w:szCs w:val="24"/>
          <w:lang w:val="en-US"/>
        </w:rPr>
      </w:pPr>
      <w:r w:rsidRPr="00EC4A90">
        <w:rPr>
          <w:noProof/>
          <w:szCs w:val="24"/>
          <w:lang w:val="en-US"/>
        </w:rPr>
        <w:lastRenderedPageBreak/>
        <w:t xml:space="preserve">Struck, N., Krug, A., Yuksel, D., Stein, F., Schmitt, S., Meller, T., … Brakemeier, E. L. (2020). Childhood maltreatment and adult mental disorders – the prevalence of different types of maltreatment and associations with age of onset and severity of symptoms. </w:t>
      </w:r>
      <w:r w:rsidRPr="00EC4A90">
        <w:rPr>
          <w:i/>
          <w:iCs/>
          <w:noProof/>
          <w:szCs w:val="24"/>
          <w:lang w:val="en-US"/>
        </w:rPr>
        <w:t>Psychiatry Research</w:t>
      </w:r>
      <w:r w:rsidRPr="00EC4A90">
        <w:rPr>
          <w:noProof/>
          <w:szCs w:val="24"/>
          <w:lang w:val="en-US"/>
        </w:rPr>
        <w:t xml:space="preserve">, </w:t>
      </w:r>
      <w:r w:rsidRPr="00EC4A90">
        <w:rPr>
          <w:i/>
          <w:iCs/>
          <w:noProof/>
          <w:szCs w:val="24"/>
          <w:lang w:val="en-US"/>
        </w:rPr>
        <w:t>293</w:t>
      </w:r>
      <w:r w:rsidRPr="00EC4A90">
        <w:rPr>
          <w:noProof/>
          <w:szCs w:val="24"/>
          <w:lang w:val="en-US"/>
        </w:rPr>
        <w:t>(August), 113398. https://doi.org/10.1016/j.psychres.2020.113398</w:t>
      </w:r>
    </w:p>
    <w:p w14:paraId="2794752E" w14:textId="77777777" w:rsidR="00A56817" w:rsidRPr="00A56817" w:rsidRDefault="00A56817" w:rsidP="00A56817">
      <w:pPr>
        <w:widowControl w:val="0"/>
        <w:autoSpaceDE w:val="0"/>
        <w:autoSpaceDN w:val="0"/>
        <w:adjustRightInd w:val="0"/>
        <w:spacing w:after="160" w:line="360" w:lineRule="auto"/>
        <w:ind w:left="480" w:hanging="480"/>
        <w:rPr>
          <w:noProof/>
          <w:szCs w:val="24"/>
        </w:rPr>
      </w:pPr>
      <w:r w:rsidRPr="00EC4A90">
        <w:rPr>
          <w:noProof/>
          <w:szCs w:val="24"/>
          <w:lang w:val="en-US"/>
        </w:rPr>
        <w:t xml:space="preserve">Tanabe, J., Regner, M., Sakai, J., Martinez, D., &amp; Gowin, J. (2019). Neuroimaging reward, craving, learning, and cognitive control in substance use disorders: Review and implications for treatment. </w:t>
      </w:r>
      <w:r w:rsidRPr="00A56817">
        <w:rPr>
          <w:i/>
          <w:iCs/>
          <w:noProof/>
          <w:szCs w:val="24"/>
        </w:rPr>
        <w:t>British Journal of Radiology</w:t>
      </w:r>
      <w:r w:rsidRPr="00A56817">
        <w:rPr>
          <w:noProof/>
          <w:szCs w:val="24"/>
        </w:rPr>
        <w:t xml:space="preserve">, </w:t>
      </w:r>
      <w:r w:rsidRPr="00A56817">
        <w:rPr>
          <w:i/>
          <w:iCs/>
          <w:noProof/>
          <w:szCs w:val="24"/>
        </w:rPr>
        <w:t>92</w:t>
      </w:r>
      <w:r w:rsidRPr="00A56817">
        <w:rPr>
          <w:noProof/>
          <w:szCs w:val="24"/>
        </w:rPr>
        <w:t>(1101). https://doi.org/10.1259/bjr.20180942</w:t>
      </w:r>
    </w:p>
    <w:p w14:paraId="05601D3D" w14:textId="77777777" w:rsidR="00A56817" w:rsidRPr="00EC4A90" w:rsidRDefault="00A56817" w:rsidP="00A56817">
      <w:pPr>
        <w:widowControl w:val="0"/>
        <w:autoSpaceDE w:val="0"/>
        <w:autoSpaceDN w:val="0"/>
        <w:adjustRightInd w:val="0"/>
        <w:spacing w:after="160" w:line="360" w:lineRule="auto"/>
        <w:ind w:left="480" w:hanging="480"/>
        <w:rPr>
          <w:noProof/>
          <w:szCs w:val="24"/>
          <w:lang w:val="en-US"/>
        </w:rPr>
      </w:pPr>
      <w:r w:rsidRPr="00A56817">
        <w:rPr>
          <w:noProof/>
          <w:szCs w:val="24"/>
        </w:rPr>
        <w:t xml:space="preserve">Walker, E. A., Gelfand, A., Katon, W. J., Koss, M. P., Korff, M. Von, Bernstein, D., &amp; Russo, J. (1999). </w:t>
      </w:r>
      <w:r w:rsidRPr="00EC4A90">
        <w:rPr>
          <w:noProof/>
          <w:szCs w:val="24"/>
          <w:lang w:val="en-US"/>
        </w:rPr>
        <w:t xml:space="preserve">Adult Health Status of Women with Histories of Childhood Abuse and Neglect. </w:t>
      </w:r>
      <w:r w:rsidRPr="00EC4A90">
        <w:rPr>
          <w:i/>
          <w:iCs/>
          <w:noProof/>
          <w:szCs w:val="24"/>
          <w:lang w:val="en-US"/>
        </w:rPr>
        <w:t>The American Journal of Medicine</w:t>
      </w:r>
      <w:r w:rsidRPr="00EC4A90">
        <w:rPr>
          <w:noProof/>
          <w:szCs w:val="24"/>
          <w:lang w:val="en-US"/>
        </w:rPr>
        <w:t xml:space="preserve">, </w:t>
      </w:r>
      <w:r w:rsidRPr="00EC4A90">
        <w:rPr>
          <w:i/>
          <w:iCs/>
          <w:noProof/>
          <w:szCs w:val="24"/>
          <w:lang w:val="en-US"/>
        </w:rPr>
        <w:t>107</w:t>
      </w:r>
      <w:r w:rsidRPr="00EC4A90">
        <w:rPr>
          <w:noProof/>
          <w:szCs w:val="24"/>
          <w:lang w:val="en-US"/>
        </w:rPr>
        <w:t>, 332–339.</w:t>
      </w:r>
    </w:p>
    <w:p w14:paraId="534E5120" w14:textId="77777777" w:rsidR="00A56817" w:rsidRPr="00EC4A90" w:rsidRDefault="00A56817" w:rsidP="00A56817">
      <w:pPr>
        <w:widowControl w:val="0"/>
        <w:autoSpaceDE w:val="0"/>
        <w:autoSpaceDN w:val="0"/>
        <w:adjustRightInd w:val="0"/>
        <w:spacing w:after="160" w:line="360" w:lineRule="auto"/>
        <w:ind w:left="480" w:hanging="480"/>
        <w:rPr>
          <w:noProof/>
          <w:szCs w:val="24"/>
          <w:lang w:val="en-US"/>
        </w:rPr>
      </w:pPr>
      <w:r w:rsidRPr="00EC4A90">
        <w:rPr>
          <w:noProof/>
          <w:szCs w:val="24"/>
          <w:lang w:val="en-US"/>
        </w:rPr>
        <w:t xml:space="preserve">Whitfield-Gabrieli, S., &amp; Nieto-Castanon, A. (2012). Conn: A Functional Connectivity Toolbox for Correlated and Anticorrelated Brain Networks. </w:t>
      </w:r>
      <w:r w:rsidRPr="00EC4A90">
        <w:rPr>
          <w:i/>
          <w:iCs/>
          <w:noProof/>
          <w:szCs w:val="24"/>
          <w:lang w:val="en-US"/>
        </w:rPr>
        <w:t>Brain Connectivity</w:t>
      </w:r>
      <w:r w:rsidRPr="00EC4A90">
        <w:rPr>
          <w:noProof/>
          <w:szCs w:val="24"/>
          <w:lang w:val="en-US"/>
        </w:rPr>
        <w:t xml:space="preserve">, </w:t>
      </w:r>
      <w:r w:rsidRPr="00EC4A90">
        <w:rPr>
          <w:i/>
          <w:iCs/>
          <w:noProof/>
          <w:szCs w:val="24"/>
          <w:lang w:val="en-US"/>
        </w:rPr>
        <w:t>2</w:t>
      </w:r>
      <w:r w:rsidRPr="00EC4A90">
        <w:rPr>
          <w:noProof/>
          <w:szCs w:val="24"/>
          <w:lang w:val="en-US"/>
        </w:rPr>
        <w:t>(3), 125–141. https://doi.org/10.1089/brain.2012.0073</w:t>
      </w:r>
    </w:p>
    <w:p w14:paraId="7E8B19A7" w14:textId="77777777" w:rsidR="00A56817" w:rsidRPr="00A56817" w:rsidRDefault="00A56817" w:rsidP="00A56817">
      <w:pPr>
        <w:widowControl w:val="0"/>
        <w:autoSpaceDE w:val="0"/>
        <w:autoSpaceDN w:val="0"/>
        <w:adjustRightInd w:val="0"/>
        <w:spacing w:after="160" w:line="360" w:lineRule="auto"/>
        <w:ind w:left="480" w:hanging="480"/>
        <w:rPr>
          <w:noProof/>
          <w:szCs w:val="24"/>
        </w:rPr>
      </w:pPr>
      <w:r w:rsidRPr="00EC4A90">
        <w:rPr>
          <w:noProof/>
          <w:szCs w:val="24"/>
          <w:lang w:val="en-US"/>
        </w:rPr>
        <w:t xml:space="preserve">Wingenfeld, K., Schäfer, I., Terfehr, K., Grabski, H., Driessen, M., Grabe, H., … Spitzer, C. (2011). The Reliable, Valid and Economic Assessment of Early Traumatization: First Psychometric Characteristics of the German Version of the Adverse Childhood Experiences Questionnaire (ACE). </w:t>
      </w:r>
      <w:r w:rsidRPr="00A56817">
        <w:rPr>
          <w:i/>
          <w:iCs/>
          <w:noProof/>
          <w:szCs w:val="24"/>
        </w:rPr>
        <w:t>Psychotherapie Psychosomatik Medizinische Psychologie</w:t>
      </w:r>
      <w:r w:rsidRPr="00A56817">
        <w:rPr>
          <w:noProof/>
          <w:szCs w:val="24"/>
        </w:rPr>
        <w:t xml:space="preserve">, </w:t>
      </w:r>
      <w:r w:rsidRPr="00A56817">
        <w:rPr>
          <w:i/>
          <w:iCs/>
          <w:noProof/>
          <w:szCs w:val="24"/>
        </w:rPr>
        <w:t>61</w:t>
      </w:r>
      <w:r w:rsidRPr="00A56817">
        <w:rPr>
          <w:noProof/>
          <w:szCs w:val="24"/>
        </w:rPr>
        <w:t>(1), e10–e14. https://doi.org/10.1055/s-0030-1263161</w:t>
      </w:r>
    </w:p>
    <w:p w14:paraId="3964247D" w14:textId="77777777" w:rsidR="00A56817" w:rsidRPr="00EC4A90" w:rsidRDefault="00A56817" w:rsidP="00A56817">
      <w:pPr>
        <w:widowControl w:val="0"/>
        <w:autoSpaceDE w:val="0"/>
        <w:autoSpaceDN w:val="0"/>
        <w:adjustRightInd w:val="0"/>
        <w:spacing w:after="160" w:line="360" w:lineRule="auto"/>
        <w:ind w:left="480" w:hanging="480"/>
        <w:rPr>
          <w:noProof/>
          <w:lang w:val="en-US"/>
        </w:rPr>
      </w:pPr>
      <w:r w:rsidRPr="00A56817">
        <w:rPr>
          <w:noProof/>
          <w:szCs w:val="24"/>
        </w:rPr>
        <w:t xml:space="preserve">Wolf, R. C., Hildebrandt, V., Schmitgen, M. M., Pycha, R., Kirchler, E., MacIna, C., … </w:t>
      </w:r>
      <w:r w:rsidRPr="00EC4A90">
        <w:rPr>
          <w:noProof/>
          <w:szCs w:val="24"/>
          <w:lang w:val="en-US"/>
        </w:rPr>
        <w:t xml:space="preserve">Huber, M. (2020). Aberrant Gray Matter Volume and Cortical Surface in Paranoid-Type Delusional Disorder. </w:t>
      </w:r>
      <w:r w:rsidRPr="00EC4A90">
        <w:rPr>
          <w:i/>
          <w:iCs/>
          <w:noProof/>
          <w:szCs w:val="24"/>
          <w:lang w:val="en-US"/>
        </w:rPr>
        <w:t>Neuropsychobiology</w:t>
      </w:r>
      <w:r w:rsidRPr="00EC4A90">
        <w:rPr>
          <w:noProof/>
          <w:szCs w:val="24"/>
          <w:lang w:val="en-US"/>
        </w:rPr>
        <w:t xml:space="preserve">, </w:t>
      </w:r>
      <w:r w:rsidRPr="00EC4A90">
        <w:rPr>
          <w:i/>
          <w:iCs/>
          <w:noProof/>
          <w:szCs w:val="24"/>
          <w:lang w:val="en-US"/>
        </w:rPr>
        <w:t>79</w:t>
      </w:r>
      <w:r w:rsidRPr="00EC4A90">
        <w:rPr>
          <w:noProof/>
          <w:szCs w:val="24"/>
          <w:lang w:val="en-US"/>
        </w:rPr>
        <w:t>(4–5), 335–344. https://doi.org/10.1159/000505601</w:t>
      </w:r>
    </w:p>
    <w:p w14:paraId="3CEBDBA1" w14:textId="2CA26693" w:rsidR="009836BA" w:rsidRPr="00EB5D5F" w:rsidRDefault="00D362C7" w:rsidP="00633309">
      <w:pPr>
        <w:widowControl w:val="0"/>
        <w:autoSpaceDE w:val="0"/>
        <w:autoSpaceDN w:val="0"/>
        <w:adjustRightInd w:val="0"/>
        <w:spacing w:after="160" w:line="360" w:lineRule="auto"/>
        <w:ind w:left="480" w:hanging="480"/>
        <w:rPr>
          <w:lang w:val="en-US"/>
        </w:rPr>
      </w:pPr>
      <w:r w:rsidRPr="00EB5D5F">
        <w:fldChar w:fldCharType="end"/>
      </w:r>
      <w:r w:rsidRPr="00EB5D5F">
        <w:rPr>
          <w:lang w:val="en-US"/>
        </w:rPr>
        <w:br w:type="page"/>
      </w:r>
    </w:p>
    <w:p w14:paraId="3F558714" w14:textId="77777777" w:rsidR="009836BA" w:rsidRPr="00EB5D5F" w:rsidRDefault="00D362C7">
      <w:pPr>
        <w:spacing w:line="360" w:lineRule="auto"/>
        <w:rPr>
          <w:lang w:val="en-US"/>
        </w:rPr>
      </w:pPr>
      <w:r w:rsidRPr="00EB5D5F">
        <w:rPr>
          <w:lang w:val="en-US"/>
        </w:rPr>
        <w:lastRenderedPageBreak/>
        <w:t>Table S1. Demographic and clinical characteristics of healthy control and lifetime major depressive disorder samples.</w:t>
      </w:r>
    </w:p>
    <w:p w14:paraId="4F2BF111" w14:textId="77777777" w:rsidR="009836BA" w:rsidRPr="00EB5D5F" w:rsidRDefault="009836BA">
      <w:pPr>
        <w:spacing w:line="252" w:lineRule="auto"/>
        <w:rPr>
          <w:lang w:val="en-US"/>
        </w:rPr>
      </w:pPr>
    </w:p>
    <w:tbl>
      <w:tblPr>
        <w:tblW w:w="5000" w:type="pct"/>
        <w:tblCellMar>
          <w:left w:w="70" w:type="dxa"/>
          <w:right w:w="70" w:type="dxa"/>
        </w:tblCellMar>
        <w:tblLook w:val="04A0" w:firstRow="1" w:lastRow="0" w:firstColumn="1" w:lastColumn="0" w:noHBand="0" w:noVBand="1"/>
      </w:tblPr>
      <w:tblGrid>
        <w:gridCol w:w="1446"/>
        <w:gridCol w:w="1241"/>
        <w:gridCol w:w="1031"/>
        <w:gridCol w:w="414"/>
        <w:gridCol w:w="1345"/>
        <w:gridCol w:w="1103"/>
        <w:gridCol w:w="2446"/>
      </w:tblGrid>
      <w:tr w:rsidR="009836BA" w:rsidRPr="00EB5D5F" w14:paraId="437F19AE" w14:textId="77777777">
        <w:trPr>
          <w:trHeight w:val="300"/>
        </w:trPr>
        <w:tc>
          <w:tcPr>
            <w:tcW w:w="1445" w:type="dxa"/>
            <w:tcBorders>
              <w:top w:val="single" w:sz="4" w:space="0" w:color="000000"/>
            </w:tcBorders>
            <w:shd w:val="clear" w:color="auto" w:fill="auto"/>
            <w:vAlign w:val="center"/>
          </w:tcPr>
          <w:p w14:paraId="63CBFB1B" w14:textId="77777777" w:rsidR="009836BA" w:rsidRPr="00EB5D5F" w:rsidRDefault="009836BA">
            <w:pPr>
              <w:spacing w:line="480" w:lineRule="auto"/>
              <w:rPr>
                <w:rFonts w:eastAsia="Times New Roman"/>
                <w:color w:val="000000"/>
                <w:sz w:val="18"/>
                <w:szCs w:val="18"/>
                <w:lang w:val="en-US"/>
              </w:rPr>
            </w:pPr>
          </w:p>
        </w:tc>
        <w:tc>
          <w:tcPr>
            <w:tcW w:w="2272" w:type="dxa"/>
            <w:gridSpan w:val="2"/>
            <w:tcBorders>
              <w:top w:val="single" w:sz="4" w:space="0" w:color="000000"/>
            </w:tcBorders>
            <w:shd w:val="clear" w:color="auto" w:fill="auto"/>
            <w:vAlign w:val="center"/>
          </w:tcPr>
          <w:p w14:paraId="236D2429" w14:textId="77777777" w:rsidR="009836BA" w:rsidRPr="00EB5D5F" w:rsidRDefault="00D362C7">
            <w:pPr>
              <w:spacing w:line="480" w:lineRule="auto"/>
              <w:jc w:val="center"/>
              <w:rPr>
                <w:rFonts w:eastAsia="Times New Roman"/>
                <w:color w:val="000000"/>
                <w:sz w:val="18"/>
                <w:szCs w:val="18"/>
              </w:rPr>
            </w:pPr>
            <w:r w:rsidRPr="00EB5D5F">
              <w:rPr>
                <w:rFonts w:eastAsia="Times New Roman"/>
                <w:color w:val="000000"/>
                <w:sz w:val="18"/>
                <w:szCs w:val="18"/>
              </w:rPr>
              <w:t>HC</w:t>
            </w:r>
          </w:p>
        </w:tc>
        <w:tc>
          <w:tcPr>
            <w:tcW w:w="414" w:type="dxa"/>
            <w:tcBorders>
              <w:top w:val="single" w:sz="4" w:space="0" w:color="000000"/>
            </w:tcBorders>
            <w:shd w:val="clear" w:color="auto" w:fill="auto"/>
            <w:vAlign w:val="center"/>
          </w:tcPr>
          <w:p w14:paraId="2D10FB35" w14:textId="77777777" w:rsidR="009836BA" w:rsidRPr="00EB5D5F" w:rsidRDefault="009836BA">
            <w:pPr>
              <w:spacing w:line="480" w:lineRule="auto"/>
              <w:jc w:val="center"/>
              <w:rPr>
                <w:rFonts w:eastAsia="Times New Roman"/>
                <w:color w:val="000000"/>
                <w:sz w:val="18"/>
                <w:szCs w:val="18"/>
              </w:rPr>
            </w:pPr>
          </w:p>
        </w:tc>
        <w:tc>
          <w:tcPr>
            <w:tcW w:w="2448" w:type="dxa"/>
            <w:gridSpan w:val="2"/>
            <w:tcBorders>
              <w:top w:val="single" w:sz="4" w:space="0" w:color="000000"/>
            </w:tcBorders>
            <w:shd w:val="clear" w:color="auto" w:fill="auto"/>
            <w:vAlign w:val="center"/>
          </w:tcPr>
          <w:p w14:paraId="7F81F093" w14:textId="77777777" w:rsidR="009836BA" w:rsidRPr="00EB5D5F" w:rsidRDefault="00D362C7">
            <w:pPr>
              <w:spacing w:line="480" w:lineRule="auto"/>
              <w:jc w:val="center"/>
              <w:rPr>
                <w:rFonts w:eastAsia="Times New Roman"/>
                <w:color w:val="000000"/>
                <w:sz w:val="18"/>
                <w:szCs w:val="18"/>
              </w:rPr>
            </w:pPr>
            <w:r w:rsidRPr="00EB5D5F">
              <w:rPr>
                <w:rFonts w:eastAsia="Times New Roman"/>
                <w:color w:val="000000"/>
                <w:sz w:val="18"/>
                <w:szCs w:val="18"/>
              </w:rPr>
              <w:t>MDD</w:t>
            </w:r>
          </w:p>
        </w:tc>
        <w:tc>
          <w:tcPr>
            <w:tcW w:w="2446" w:type="dxa"/>
            <w:tcBorders>
              <w:top w:val="single" w:sz="4" w:space="0" w:color="000000"/>
            </w:tcBorders>
            <w:vAlign w:val="center"/>
          </w:tcPr>
          <w:p w14:paraId="36F72CD1" w14:textId="77777777" w:rsidR="009836BA" w:rsidRPr="00EB5D5F" w:rsidRDefault="00D362C7">
            <w:pPr>
              <w:spacing w:line="480" w:lineRule="auto"/>
              <w:jc w:val="center"/>
              <w:rPr>
                <w:rFonts w:eastAsia="Times New Roman"/>
                <w:color w:val="000000"/>
                <w:sz w:val="18"/>
                <w:szCs w:val="18"/>
              </w:rPr>
            </w:pPr>
            <w:r w:rsidRPr="00EB5D5F">
              <w:rPr>
                <w:rFonts w:eastAsia="Times New Roman"/>
                <w:color w:val="000000"/>
                <w:sz w:val="18"/>
                <w:szCs w:val="18"/>
              </w:rPr>
              <w:t>p-</w:t>
            </w:r>
            <w:proofErr w:type="spellStart"/>
            <w:r w:rsidRPr="00EB5D5F">
              <w:rPr>
                <w:rFonts w:eastAsia="Times New Roman"/>
                <w:color w:val="000000"/>
                <w:sz w:val="18"/>
                <w:szCs w:val="18"/>
              </w:rPr>
              <w:t>value</w:t>
            </w:r>
            <w:proofErr w:type="spellEnd"/>
          </w:p>
        </w:tc>
      </w:tr>
      <w:tr w:rsidR="009836BA" w:rsidRPr="00EB5D5F" w14:paraId="1DE1A79B" w14:textId="77777777">
        <w:trPr>
          <w:trHeight w:val="300"/>
        </w:trPr>
        <w:tc>
          <w:tcPr>
            <w:tcW w:w="1445" w:type="dxa"/>
            <w:shd w:val="clear" w:color="auto" w:fill="auto"/>
            <w:vAlign w:val="center"/>
          </w:tcPr>
          <w:p w14:paraId="7E08F42F" w14:textId="77777777" w:rsidR="009836BA" w:rsidRPr="00EB5D5F" w:rsidRDefault="009836BA">
            <w:pPr>
              <w:spacing w:line="480" w:lineRule="auto"/>
              <w:rPr>
                <w:rFonts w:eastAsia="Times New Roman"/>
                <w:color w:val="000000"/>
                <w:sz w:val="18"/>
                <w:szCs w:val="18"/>
              </w:rPr>
            </w:pPr>
          </w:p>
        </w:tc>
        <w:tc>
          <w:tcPr>
            <w:tcW w:w="1241" w:type="dxa"/>
            <w:tcBorders>
              <w:top w:val="single" w:sz="4" w:space="0" w:color="000000"/>
              <w:bottom w:val="single" w:sz="4" w:space="0" w:color="000000"/>
            </w:tcBorders>
            <w:shd w:val="clear" w:color="auto" w:fill="auto"/>
            <w:vAlign w:val="center"/>
          </w:tcPr>
          <w:p w14:paraId="388CB652" w14:textId="77777777" w:rsidR="009836BA" w:rsidRPr="00EB5D5F" w:rsidRDefault="00D362C7">
            <w:pPr>
              <w:spacing w:line="480" w:lineRule="auto"/>
              <w:jc w:val="center"/>
              <w:rPr>
                <w:rFonts w:eastAsia="Times New Roman"/>
                <w:color w:val="000000"/>
                <w:sz w:val="18"/>
                <w:szCs w:val="18"/>
              </w:rPr>
            </w:pPr>
            <w:proofErr w:type="spellStart"/>
            <w:r w:rsidRPr="00EB5D5F">
              <w:rPr>
                <w:rFonts w:eastAsia="Times New Roman"/>
                <w:color w:val="000000"/>
                <w:sz w:val="18"/>
                <w:szCs w:val="18"/>
              </w:rPr>
              <w:t>mean</w:t>
            </w:r>
            <w:proofErr w:type="spellEnd"/>
            <w:r w:rsidRPr="00EB5D5F">
              <w:rPr>
                <w:rFonts w:eastAsia="Times New Roman"/>
                <w:color w:val="000000"/>
                <w:sz w:val="18"/>
                <w:szCs w:val="18"/>
              </w:rPr>
              <w:t xml:space="preserve"> (SD)</w:t>
            </w:r>
          </w:p>
        </w:tc>
        <w:tc>
          <w:tcPr>
            <w:tcW w:w="1031" w:type="dxa"/>
            <w:tcBorders>
              <w:top w:val="single" w:sz="4" w:space="0" w:color="000000"/>
              <w:bottom w:val="single" w:sz="4" w:space="0" w:color="000000"/>
            </w:tcBorders>
            <w:shd w:val="clear" w:color="auto" w:fill="auto"/>
            <w:vAlign w:val="center"/>
          </w:tcPr>
          <w:p w14:paraId="093B3C63" w14:textId="77777777" w:rsidR="009836BA" w:rsidRPr="00EB5D5F" w:rsidRDefault="00D362C7">
            <w:pPr>
              <w:spacing w:line="480" w:lineRule="auto"/>
              <w:jc w:val="center"/>
              <w:rPr>
                <w:rFonts w:eastAsia="Times New Roman"/>
                <w:color w:val="000000"/>
                <w:sz w:val="18"/>
                <w:szCs w:val="18"/>
              </w:rPr>
            </w:pPr>
            <w:proofErr w:type="spellStart"/>
            <w:r w:rsidRPr="00EB5D5F">
              <w:rPr>
                <w:rFonts w:eastAsia="Times New Roman"/>
                <w:color w:val="000000"/>
                <w:sz w:val="18"/>
                <w:szCs w:val="18"/>
              </w:rPr>
              <w:t>count</w:t>
            </w:r>
            <w:proofErr w:type="spellEnd"/>
          </w:p>
        </w:tc>
        <w:tc>
          <w:tcPr>
            <w:tcW w:w="414" w:type="dxa"/>
            <w:shd w:val="clear" w:color="auto" w:fill="auto"/>
            <w:vAlign w:val="center"/>
          </w:tcPr>
          <w:p w14:paraId="40885837" w14:textId="77777777" w:rsidR="009836BA" w:rsidRPr="00EB5D5F" w:rsidRDefault="009836BA">
            <w:pPr>
              <w:spacing w:line="480" w:lineRule="auto"/>
              <w:jc w:val="center"/>
              <w:rPr>
                <w:rFonts w:eastAsia="Times New Roman"/>
                <w:color w:val="000000"/>
                <w:sz w:val="18"/>
                <w:szCs w:val="18"/>
              </w:rPr>
            </w:pPr>
          </w:p>
        </w:tc>
        <w:tc>
          <w:tcPr>
            <w:tcW w:w="1345" w:type="dxa"/>
            <w:tcBorders>
              <w:top w:val="single" w:sz="4" w:space="0" w:color="000000"/>
              <w:bottom w:val="single" w:sz="4" w:space="0" w:color="000000"/>
            </w:tcBorders>
            <w:shd w:val="clear" w:color="auto" w:fill="auto"/>
            <w:vAlign w:val="center"/>
          </w:tcPr>
          <w:p w14:paraId="49ACFCF0" w14:textId="77777777" w:rsidR="009836BA" w:rsidRPr="00EB5D5F" w:rsidRDefault="00D362C7">
            <w:pPr>
              <w:spacing w:line="480" w:lineRule="auto"/>
              <w:jc w:val="center"/>
              <w:rPr>
                <w:rFonts w:eastAsia="Times New Roman"/>
                <w:color w:val="000000"/>
                <w:sz w:val="18"/>
                <w:szCs w:val="18"/>
              </w:rPr>
            </w:pPr>
            <w:proofErr w:type="spellStart"/>
            <w:r w:rsidRPr="00EB5D5F">
              <w:rPr>
                <w:rFonts w:eastAsia="Times New Roman"/>
                <w:color w:val="000000"/>
                <w:sz w:val="18"/>
                <w:szCs w:val="18"/>
              </w:rPr>
              <w:t>mean</w:t>
            </w:r>
            <w:proofErr w:type="spellEnd"/>
            <w:r w:rsidRPr="00EB5D5F">
              <w:rPr>
                <w:rFonts w:eastAsia="Times New Roman"/>
                <w:color w:val="000000"/>
                <w:sz w:val="18"/>
                <w:szCs w:val="18"/>
              </w:rPr>
              <w:t xml:space="preserve"> (SD)</w:t>
            </w:r>
          </w:p>
        </w:tc>
        <w:tc>
          <w:tcPr>
            <w:tcW w:w="1103" w:type="dxa"/>
            <w:tcBorders>
              <w:top w:val="single" w:sz="4" w:space="0" w:color="000000"/>
              <w:bottom w:val="single" w:sz="4" w:space="0" w:color="000000"/>
            </w:tcBorders>
            <w:shd w:val="clear" w:color="auto" w:fill="auto"/>
            <w:vAlign w:val="center"/>
          </w:tcPr>
          <w:p w14:paraId="0C705D8E" w14:textId="77777777" w:rsidR="009836BA" w:rsidRPr="00EB5D5F" w:rsidRDefault="00D362C7">
            <w:pPr>
              <w:spacing w:line="480" w:lineRule="auto"/>
              <w:jc w:val="center"/>
              <w:rPr>
                <w:rFonts w:eastAsia="Times New Roman"/>
                <w:color w:val="000000"/>
                <w:sz w:val="18"/>
                <w:szCs w:val="18"/>
              </w:rPr>
            </w:pPr>
            <w:proofErr w:type="spellStart"/>
            <w:r w:rsidRPr="00EB5D5F">
              <w:rPr>
                <w:rFonts w:eastAsia="Times New Roman"/>
                <w:color w:val="000000"/>
                <w:sz w:val="18"/>
                <w:szCs w:val="18"/>
              </w:rPr>
              <w:t>count</w:t>
            </w:r>
            <w:proofErr w:type="spellEnd"/>
          </w:p>
        </w:tc>
        <w:tc>
          <w:tcPr>
            <w:tcW w:w="2446" w:type="dxa"/>
            <w:tcBorders>
              <w:top w:val="single" w:sz="4" w:space="0" w:color="000000"/>
              <w:bottom w:val="single" w:sz="4" w:space="0" w:color="000000"/>
            </w:tcBorders>
            <w:vAlign w:val="center"/>
          </w:tcPr>
          <w:p w14:paraId="4DC1C64F" w14:textId="77777777" w:rsidR="009836BA" w:rsidRPr="00EB5D5F" w:rsidRDefault="009836BA">
            <w:pPr>
              <w:spacing w:line="480" w:lineRule="auto"/>
              <w:jc w:val="center"/>
              <w:rPr>
                <w:rFonts w:eastAsia="Times New Roman"/>
                <w:color w:val="000000"/>
                <w:sz w:val="18"/>
                <w:szCs w:val="18"/>
              </w:rPr>
            </w:pPr>
          </w:p>
        </w:tc>
      </w:tr>
      <w:tr w:rsidR="009836BA" w:rsidRPr="00EB5D5F" w14:paraId="6290B7B6" w14:textId="77777777">
        <w:trPr>
          <w:trHeight w:val="300"/>
        </w:trPr>
        <w:tc>
          <w:tcPr>
            <w:tcW w:w="1445" w:type="dxa"/>
            <w:tcBorders>
              <w:top w:val="single" w:sz="4" w:space="0" w:color="000000"/>
            </w:tcBorders>
            <w:shd w:val="clear" w:color="auto" w:fill="auto"/>
            <w:vAlign w:val="center"/>
          </w:tcPr>
          <w:p w14:paraId="74E7B627" w14:textId="77777777" w:rsidR="009836BA" w:rsidRPr="00EB5D5F" w:rsidRDefault="00D362C7">
            <w:pPr>
              <w:spacing w:line="480" w:lineRule="auto"/>
              <w:rPr>
                <w:rFonts w:eastAsia="Times New Roman"/>
                <w:color w:val="000000"/>
                <w:sz w:val="18"/>
                <w:szCs w:val="18"/>
              </w:rPr>
            </w:pPr>
            <w:r w:rsidRPr="00EB5D5F">
              <w:rPr>
                <w:rFonts w:eastAsia="Times New Roman"/>
                <w:color w:val="000000"/>
                <w:sz w:val="18"/>
                <w:szCs w:val="18"/>
              </w:rPr>
              <w:t>Age</w:t>
            </w:r>
          </w:p>
        </w:tc>
        <w:tc>
          <w:tcPr>
            <w:tcW w:w="1241" w:type="dxa"/>
            <w:shd w:val="clear" w:color="auto" w:fill="auto"/>
            <w:vAlign w:val="center"/>
          </w:tcPr>
          <w:p w14:paraId="7843F5FE" w14:textId="77777777" w:rsidR="009836BA" w:rsidRPr="00EB5D5F" w:rsidRDefault="00D362C7">
            <w:pPr>
              <w:spacing w:line="480" w:lineRule="auto"/>
              <w:jc w:val="center"/>
              <w:rPr>
                <w:rFonts w:eastAsia="Times New Roman"/>
                <w:color w:val="000000"/>
                <w:sz w:val="18"/>
                <w:szCs w:val="18"/>
              </w:rPr>
            </w:pPr>
            <w:r w:rsidRPr="00EB5D5F">
              <w:rPr>
                <w:rFonts w:eastAsia="Times New Roman"/>
                <w:color w:val="000000"/>
                <w:sz w:val="18"/>
                <w:szCs w:val="18"/>
              </w:rPr>
              <w:t>35.75 (13.02)</w:t>
            </w:r>
          </w:p>
        </w:tc>
        <w:tc>
          <w:tcPr>
            <w:tcW w:w="1031" w:type="dxa"/>
            <w:shd w:val="clear" w:color="auto" w:fill="auto"/>
            <w:vAlign w:val="center"/>
          </w:tcPr>
          <w:p w14:paraId="62410CFA" w14:textId="77777777" w:rsidR="009836BA" w:rsidRPr="00EB5D5F" w:rsidRDefault="00D362C7">
            <w:pPr>
              <w:spacing w:line="480" w:lineRule="auto"/>
              <w:jc w:val="center"/>
              <w:rPr>
                <w:rFonts w:eastAsia="Times New Roman"/>
                <w:color w:val="000000"/>
                <w:sz w:val="18"/>
                <w:szCs w:val="18"/>
              </w:rPr>
            </w:pPr>
            <w:r w:rsidRPr="00EB5D5F">
              <w:rPr>
                <w:rFonts w:eastAsia="Times New Roman"/>
                <w:color w:val="000000"/>
                <w:sz w:val="18"/>
                <w:szCs w:val="18"/>
              </w:rPr>
              <w:t>-</w:t>
            </w:r>
          </w:p>
        </w:tc>
        <w:tc>
          <w:tcPr>
            <w:tcW w:w="414" w:type="dxa"/>
            <w:tcBorders>
              <w:top w:val="single" w:sz="4" w:space="0" w:color="000000"/>
            </w:tcBorders>
            <w:shd w:val="clear" w:color="auto" w:fill="auto"/>
            <w:vAlign w:val="center"/>
          </w:tcPr>
          <w:p w14:paraId="749BCED3" w14:textId="77777777" w:rsidR="009836BA" w:rsidRPr="00EB5D5F" w:rsidRDefault="009836BA">
            <w:pPr>
              <w:spacing w:line="480" w:lineRule="auto"/>
              <w:jc w:val="center"/>
              <w:rPr>
                <w:rFonts w:eastAsia="Times New Roman"/>
                <w:color w:val="000000"/>
                <w:sz w:val="18"/>
                <w:szCs w:val="18"/>
              </w:rPr>
            </w:pPr>
          </w:p>
        </w:tc>
        <w:tc>
          <w:tcPr>
            <w:tcW w:w="1345" w:type="dxa"/>
            <w:shd w:val="clear" w:color="auto" w:fill="auto"/>
            <w:vAlign w:val="center"/>
          </w:tcPr>
          <w:p w14:paraId="185A6619" w14:textId="77777777" w:rsidR="009836BA" w:rsidRPr="00EB5D5F" w:rsidRDefault="00D362C7">
            <w:pPr>
              <w:spacing w:line="480" w:lineRule="auto"/>
              <w:jc w:val="center"/>
              <w:rPr>
                <w:rFonts w:eastAsia="Times New Roman"/>
                <w:color w:val="000000"/>
                <w:sz w:val="18"/>
                <w:szCs w:val="18"/>
              </w:rPr>
            </w:pPr>
            <w:r w:rsidRPr="00EB5D5F">
              <w:rPr>
                <w:rFonts w:eastAsia="Times New Roman"/>
                <w:color w:val="000000"/>
                <w:sz w:val="18"/>
                <w:szCs w:val="18"/>
              </w:rPr>
              <w:t>36.64 (13.10)</w:t>
            </w:r>
          </w:p>
        </w:tc>
        <w:tc>
          <w:tcPr>
            <w:tcW w:w="1103" w:type="dxa"/>
            <w:shd w:val="clear" w:color="auto" w:fill="auto"/>
            <w:vAlign w:val="center"/>
          </w:tcPr>
          <w:p w14:paraId="5F0B80DB" w14:textId="77777777" w:rsidR="009836BA" w:rsidRPr="00EB5D5F" w:rsidRDefault="00D362C7">
            <w:pPr>
              <w:spacing w:line="480" w:lineRule="auto"/>
              <w:jc w:val="center"/>
              <w:rPr>
                <w:rFonts w:eastAsia="Times New Roman"/>
                <w:color w:val="000000"/>
                <w:sz w:val="18"/>
                <w:szCs w:val="18"/>
              </w:rPr>
            </w:pPr>
            <w:r w:rsidRPr="00EB5D5F">
              <w:rPr>
                <w:rFonts w:eastAsia="Times New Roman"/>
                <w:color w:val="000000"/>
                <w:sz w:val="18"/>
                <w:szCs w:val="18"/>
              </w:rPr>
              <w:t>-</w:t>
            </w:r>
          </w:p>
        </w:tc>
        <w:tc>
          <w:tcPr>
            <w:tcW w:w="2446" w:type="dxa"/>
            <w:vAlign w:val="center"/>
          </w:tcPr>
          <w:p w14:paraId="575B3F1A" w14:textId="77777777" w:rsidR="009836BA" w:rsidRPr="00EB5D5F" w:rsidRDefault="00D362C7">
            <w:pPr>
              <w:spacing w:line="480" w:lineRule="auto"/>
              <w:jc w:val="center"/>
              <w:rPr>
                <w:rFonts w:eastAsia="Times New Roman"/>
                <w:color w:val="000000"/>
                <w:sz w:val="18"/>
                <w:szCs w:val="18"/>
              </w:rPr>
            </w:pPr>
            <w:r w:rsidRPr="00EB5D5F">
              <w:rPr>
                <w:rFonts w:eastAsia="Times New Roman"/>
                <w:color w:val="000000"/>
                <w:sz w:val="18"/>
                <w:szCs w:val="18"/>
              </w:rPr>
              <w:t>.215</w:t>
            </w:r>
          </w:p>
        </w:tc>
      </w:tr>
      <w:tr w:rsidR="009836BA" w:rsidRPr="00EB5D5F" w14:paraId="6E182683" w14:textId="77777777">
        <w:trPr>
          <w:trHeight w:val="300"/>
        </w:trPr>
        <w:tc>
          <w:tcPr>
            <w:tcW w:w="1445" w:type="dxa"/>
            <w:shd w:val="clear" w:color="auto" w:fill="auto"/>
            <w:vAlign w:val="center"/>
          </w:tcPr>
          <w:p w14:paraId="64E4B734" w14:textId="77777777" w:rsidR="009836BA" w:rsidRPr="00EB5D5F" w:rsidRDefault="00D362C7">
            <w:pPr>
              <w:spacing w:line="480" w:lineRule="auto"/>
              <w:rPr>
                <w:rFonts w:eastAsia="Times New Roman"/>
                <w:color w:val="000000"/>
                <w:sz w:val="18"/>
                <w:szCs w:val="18"/>
              </w:rPr>
            </w:pPr>
            <w:r w:rsidRPr="00EB5D5F">
              <w:rPr>
                <w:rFonts w:eastAsia="Times New Roman"/>
                <w:color w:val="000000"/>
                <w:sz w:val="18"/>
                <w:szCs w:val="18"/>
              </w:rPr>
              <w:t>Sex f/m</w:t>
            </w:r>
          </w:p>
        </w:tc>
        <w:tc>
          <w:tcPr>
            <w:tcW w:w="1241" w:type="dxa"/>
            <w:shd w:val="clear" w:color="auto" w:fill="auto"/>
            <w:vAlign w:val="center"/>
          </w:tcPr>
          <w:p w14:paraId="355529EC" w14:textId="77777777" w:rsidR="009836BA" w:rsidRPr="00EB5D5F" w:rsidRDefault="00D362C7">
            <w:pPr>
              <w:spacing w:line="480" w:lineRule="auto"/>
              <w:jc w:val="center"/>
              <w:rPr>
                <w:rFonts w:eastAsia="Times New Roman"/>
                <w:color w:val="000000"/>
                <w:sz w:val="18"/>
                <w:szCs w:val="18"/>
              </w:rPr>
            </w:pPr>
            <w:r w:rsidRPr="00EB5D5F">
              <w:rPr>
                <w:rFonts w:eastAsia="Times New Roman"/>
                <w:color w:val="000000"/>
                <w:sz w:val="18"/>
                <w:szCs w:val="18"/>
              </w:rPr>
              <w:t>-</w:t>
            </w:r>
          </w:p>
        </w:tc>
        <w:tc>
          <w:tcPr>
            <w:tcW w:w="1031" w:type="dxa"/>
            <w:shd w:val="clear" w:color="auto" w:fill="auto"/>
            <w:vAlign w:val="center"/>
          </w:tcPr>
          <w:p w14:paraId="1F360905" w14:textId="77777777" w:rsidR="009836BA" w:rsidRPr="00EB5D5F" w:rsidRDefault="00D362C7">
            <w:pPr>
              <w:spacing w:line="480" w:lineRule="auto"/>
              <w:jc w:val="center"/>
              <w:rPr>
                <w:rFonts w:eastAsia="Times New Roman"/>
                <w:color w:val="000000"/>
                <w:sz w:val="18"/>
                <w:szCs w:val="18"/>
              </w:rPr>
            </w:pPr>
            <w:r w:rsidRPr="00EB5D5F">
              <w:rPr>
                <w:rFonts w:eastAsia="Times New Roman"/>
                <w:color w:val="000000"/>
                <w:sz w:val="18"/>
                <w:szCs w:val="18"/>
              </w:rPr>
              <w:t>453/248</w:t>
            </w:r>
          </w:p>
        </w:tc>
        <w:tc>
          <w:tcPr>
            <w:tcW w:w="414" w:type="dxa"/>
            <w:shd w:val="clear" w:color="auto" w:fill="auto"/>
            <w:vAlign w:val="center"/>
          </w:tcPr>
          <w:p w14:paraId="7704C6D3" w14:textId="77777777" w:rsidR="009836BA" w:rsidRPr="00EB5D5F" w:rsidRDefault="009836BA">
            <w:pPr>
              <w:spacing w:line="480" w:lineRule="auto"/>
              <w:jc w:val="center"/>
              <w:rPr>
                <w:rFonts w:eastAsia="Times New Roman"/>
                <w:color w:val="000000"/>
                <w:sz w:val="18"/>
                <w:szCs w:val="18"/>
              </w:rPr>
            </w:pPr>
          </w:p>
        </w:tc>
        <w:tc>
          <w:tcPr>
            <w:tcW w:w="1345" w:type="dxa"/>
            <w:shd w:val="clear" w:color="auto" w:fill="auto"/>
            <w:vAlign w:val="center"/>
          </w:tcPr>
          <w:p w14:paraId="0D4C8DD5" w14:textId="77777777" w:rsidR="009836BA" w:rsidRPr="00EB5D5F" w:rsidRDefault="00D362C7">
            <w:pPr>
              <w:spacing w:line="480" w:lineRule="auto"/>
              <w:jc w:val="center"/>
              <w:rPr>
                <w:rFonts w:eastAsia="Times New Roman"/>
                <w:color w:val="000000"/>
                <w:sz w:val="18"/>
                <w:szCs w:val="18"/>
              </w:rPr>
            </w:pPr>
            <w:r w:rsidRPr="00EB5D5F">
              <w:rPr>
                <w:rFonts w:eastAsia="Times New Roman"/>
                <w:color w:val="000000"/>
                <w:sz w:val="18"/>
                <w:szCs w:val="18"/>
              </w:rPr>
              <w:t>-</w:t>
            </w:r>
          </w:p>
        </w:tc>
        <w:tc>
          <w:tcPr>
            <w:tcW w:w="1103" w:type="dxa"/>
            <w:shd w:val="clear" w:color="auto" w:fill="auto"/>
            <w:vAlign w:val="center"/>
          </w:tcPr>
          <w:p w14:paraId="4CE9DD8C" w14:textId="77777777" w:rsidR="009836BA" w:rsidRPr="00EB5D5F" w:rsidRDefault="00D362C7">
            <w:pPr>
              <w:spacing w:line="480" w:lineRule="auto"/>
              <w:jc w:val="center"/>
              <w:rPr>
                <w:rFonts w:eastAsia="Times New Roman"/>
                <w:color w:val="000000"/>
                <w:sz w:val="18"/>
                <w:szCs w:val="18"/>
              </w:rPr>
            </w:pPr>
            <w:r w:rsidRPr="00EB5D5F">
              <w:rPr>
                <w:rFonts w:eastAsia="Times New Roman"/>
                <w:color w:val="000000"/>
                <w:sz w:val="18"/>
                <w:szCs w:val="18"/>
              </w:rPr>
              <w:t>414/210</w:t>
            </w:r>
          </w:p>
        </w:tc>
        <w:tc>
          <w:tcPr>
            <w:tcW w:w="2446" w:type="dxa"/>
            <w:vAlign w:val="center"/>
          </w:tcPr>
          <w:p w14:paraId="42E53467" w14:textId="77777777" w:rsidR="009836BA" w:rsidRPr="00EB5D5F" w:rsidRDefault="00D362C7">
            <w:pPr>
              <w:spacing w:line="480" w:lineRule="auto"/>
              <w:jc w:val="center"/>
              <w:rPr>
                <w:rFonts w:eastAsia="Times New Roman"/>
                <w:color w:val="000000"/>
                <w:sz w:val="18"/>
                <w:szCs w:val="18"/>
              </w:rPr>
            </w:pPr>
            <w:r w:rsidRPr="00EB5D5F">
              <w:rPr>
                <w:rFonts w:eastAsia="Times New Roman"/>
                <w:color w:val="000000"/>
                <w:sz w:val="18"/>
                <w:szCs w:val="18"/>
              </w:rPr>
              <w:t>.510</w:t>
            </w:r>
          </w:p>
        </w:tc>
      </w:tr>
      <w:tr w:rsidR="009836BA" w:rsidRPr="00EB5D5F" w14:paraId="3AB82121" w14:textId="77777777">
        <w:trPr>
          <w:trHeight w:val="300"/>
        </w:trPr>
        <w:tc>
          <w:tcPr>
            <w:tcW w:w="1445" w:type="dxa"/>
            <w:shd w:val="clear" w:color="auto" w:fill="auto"/>
            <w:vAlign w:val="center"/>
          </w:tcPr>
          <w:p w14:paraId="2F8A5A4A" w14:textId="77777777" w:rsidR="009836BA" w:rsidRPr="00EB5D5F" w:rsidRDefault="00D362C7">
            <w:pPr>
              <w:spacing w:line="480" w:lineRule="auto"/>
              <w:rPr>
                <w:rFonts w:eastAsia="Times New Roman"/>
                <w:color w:val="000000"/>
                <w:sz w:val="18"/>
                <w:szCs w:val="18"/>
              </w:rPr>
            </w:pPr>
            <w:r w:rsidRPr="00EB5D5F">
              <w:rPr>
                <w:rFonts w:eastAsia="Times New Roman"/>
                <w:color w:val="000000"/>
                <w:sz w:val="18"/>
                <w:szCs w:val="18"/>
              </w:rPr>
              <w:t xml:space="preserve">CTQ </w:t>
            </w:r>
            <w:proofErr w:type="spellStart"/>
            <w:r w:rsidRPr="00EB5D5F">
              <w:rPr>
                <w:rFonts w:eastAsia="Times New Roman"/>
                <w:color w:val="000000"/>
                <w:sz w:val="18"/>
                <w:szCs w:val="18"/>
              </w:rPr>
              <w:t>sum</w:t>
            </w:r>
            <w:proofErr w:type="spellEnd"/>
          </w:p>
        </w:tc>
        <w:tc>
          <w:tcPr>
            <w:tcW w:w="1241" w:type="dxa"/>
            <w:shd w:val="clear" w:color="auto" w:fill="auto"/>
            <w:vAlign w:val="center"/>
          </w:tcPr>
          <w:p w14:paraId="69B69588" w14:textId="77777777" w:rsidR="009836BA" w:rsidRPr="00EB5D5F" w:rsidRDefault="00D362C7">
            <w:pPr>
              <w:spacing w:line="480" w:lineRule="auto"/>
              <w:jc w:val="center"/>
              <w:rPr>
                <w:rFonts w:eastAsia="Times New Roman"/>
                <w:color w:val="000000"/>
                <w:sz w:val="18"/>
                <w:szCs w:val="18"/>
              </w:rPr>
            </w:pPr>
            <w:r w:rsidRPr="00EB5D5F">
              <w:rPr>
                <w:rFonts w:eastAsia="Times New Roman"/>
                <w:color w:val="000000"/>
                <w:sz w:val="18"/>
                <w:szCs w:val="18"/>
              </w:rPr>
              <w:t>32.99 (8.93)</w:t>
            </w:r>
          </w:p>
        </w:tc>
        <w:tc>
          <w:tcPr>
            <w:tcW w:w="1031" w:type="dxa"/>
            <w:shd w:val="clear" w:color="auto" w:fill="auto"/>
            <w:vAlign w:val="center"/>
          </w:tcPr>
          <w:p w14:paraId="1C937BA5" w14:textId="77777777" w:rsidR="009836BA" w:rsidRPr="00EB5D5F" w:rsidRDefault="00D362C7">
            <w:pPr>
              <w:spacing w:line="480" w:lineRule="auto"/>
              <w:jc w:val="center"/>
              <w:rPr>
                <w:rFonts w:eastAsia="Times New Roman"/>
                <w:color w:val="000000"/>
                <w:sz w:val="18"/>
                <w:szCs w:val="18"/>
              </w:rPr>
            </w:pPr>
            <w:r w:rsidRPr="00EB5D5F">
              <w:rPr>
                <w:rFonts w:eastAsia="Times New Roman"/>
                <w:color w:val="000000"/>
                <w:sz w:val="18"/>
                <w:szCs w:val="18"/>
              </w:rPr>
              <w:t>-</w:t>
            </w:r>
          </w:p>
        </w:tc>
        <w:tc>
          <w:tcPr>
            <w:tcW w:w="414" w:type="dxa"/>
            <w:shd w:val="clear" w:color="auto" w:fill="auto"/>
            <w:vAlign w:val="center"/>
          </w:tcPr>
          <w:p w14:paraId="60FB185F" w14:textId="77777777" w:rsidR="009836BA" w:rsidRPr="00EB5D5F" w:rsidRDefault="009836BA">
            <w:pPr>
              <w:spacing w:line="480" w:lineRule="auto"/>
              <w:jc w:val="center"/>
              <w:rPr>
                <w:rFonts w:eastAsia="Times New Roman"/>
                <w:color w:val="000000"/>
                <w:sz w:val="18"/>
                <w:szCs w:val="18"/>
              </w:rPr>
            </w:pPr>
          </w:p>
        </w:tc>
        <w:tc>
          <w:tcPr>
            <w:tcW w:w="1345" w:type="dxa"/>
            <w:shd w:val="clear" w:color="auto" w:fill="auto"/>
            <w:vAlign w:val="center"/>
          </w:tcPr>
          <w:p w14:paraId="1BE2CD87" w14:textId="77777777" w:rsidR="009836BA" w:rsidRPr="00EB5D5F" w:rsidRDefault="00D362C7">
            <w:pPr>
              <w:spacing w:line="480" w:lineRule="auto"/>
              <w:jc w:val="center"/>
              <w:rPr>
                <w:rFonts w:eastAsia="Times New Roman"/>
                <w:color w:val="000000"/>
                <w:sz w:val="18"/>
                <w:szCs w:val="18"/>
              </w:rPr>
            </w:pPr>
            <w:r w:rsidRPr="00EB5D5F">
              <w:rPr>
                <w:rFonts w:eastAsia="Times New Roman"/>
                <w:color w:val="000000"/>
                <w:sz w:val="18"/>
                <w:szCs w:val="18"/>
              </w:rPr>
              <w:t>45.36 (15.96)</w:t>
            </w:r>
          </w:p>
        </w:tc>
        <w:tc>
          <w:tcPr>
            <w:tcW w:w="1103" w:type="dxa"/>
            <w:shd w:val="clear" w:color="auto" w:fill="auto"/>
            <w:vAlign w:val="center"/>
          </w:tcPr>
          <w:p w14:paraId="66F385CA" w14:textId="77777777" w:rsidR="009836BA" w:rsidRPr="00EB5D5F" w:rsidRDefault="00D362C7">
            <w:pPr>
              <w:spacing w:line="480" w:lineRule="auto"/>
              <w:jc w:val="center"/>
              <w:rPr>
                <w:rFonts w:eastAsia="Times New Roman"/>
                <w:color w:val="000000"/>
                <w:sz w:val="18"/>
                <w:szCs w:val="18"/>
              </w:rPr>
            </w:pPr>
            <w:r w:rsidRPr="00EB5D5F">
              <w:rPr>
                <w:rFonts w:eastAsia="Times New Roman"/>
                <w:color w:val="000000"/>
                <w:sz w:val="18"/>
                <w:szCs w:val="18"/>
              </w:rPr>
              <w:t>-</w:t>
            </w:r>
          </w:p>
        </w:tc>
        <w:tc>
          <w:tcPr>
            <w:tcW w:w="2446" w:type="dxa"/>
            <w:vAlign w:val="center"/>
          </w:tcPr>
          <w:p w14:paraId="276076BE" w14:textId="77777777" w:rsidR="009836BA" w:rsidRPr="00EB5D5F" w:rsidRDefault="00D362C7">
            <w:pPr>
              <w:spacing w:line="480" w:lineRule="auto"/>
              <w:jc w:val="center"/>
              <w:rPr>
                <w:rFonts w:eastAsia="Times New Roman"/>
                <w:color w:val="000000"/>
                <w:sz w:val="18"/>
                <w:szCs w:val="18"/>
              </w:rPr>
            </w:pPr>
            <w:r w:rsidRPr="00EB5D5F">
              <w:rPr>
                <w:rFonts w:eastAsia="Times New Roman"/>
                <w:color w:val="000000"/>
                <w:sz w:val="18"/>
                <w:szCs w:val="18"/>
              </w:rPr>
              <w:t>&lt;.001</w:t>
            </w:r>
          </w:p>
        </w:tc>
      </w:tr>
      <w:tr w:rsidR="009836BA" w:rsidRPr="00EB5D5F" w14:paraId="08BF55BE" w14:textId="77777777">
        <w:trPr>
          <w:trHeight w:val="300"/>
        </w:trPr>
        <w:tc>
          <w:tcPr>
            <w:tcW w:w="1445" w:type="dxa"/>
            <w:shd w:val="clear" w:color="auto" w:fill="auto"/>
            <w:vAlign w:val="center"/>
          </w:tcPr>
          <w:p w14:paraId="44DBBB1E" w14:textId="77777777" w:rsidR="009836BA" w:rsidRPr="00EB5D5F" w:rsidRDefault="00D362C7">
            <w:pPr>
              <w:spacing w:line="480" w:lineRule="auto"/>
              <w:rPr>
                <w:rFonts w:eastAsia="Times New Roman"/>
                <w:color w:val="000000"/>
                <w:sz w:val="18"/>
                <w:szCs w:val="18"/>
              </w:rPr>
            </w:pPr>
            <w:r w:rsidRPr="00EB5D5F">
              <w:rPr>
                <w:rFonts w:eastAsia="Times New Roman"/>
                <w:color w:val="000000"/>
                <w:sz w:val="18"/>
                <w:szCs w:val="18"/>
              </w:rPr>
              <w:t xml:space="preserve">CM </w:t>
            </w:r>
            <w:proofErr w:type="spellStart"/>
            <w:r w:rsidRPr="00EB5D5F">
              <w:rPr>
                <w:rFonts w:eastAsia="Times New Roman"/>
                <w:color w:val="000000"/>
                <w:sz w:val="18"/>
                <w:szCs w:val="18"/>
              </w:rPr>
              <w:t>yes</w:t>
            </w:r>
            <w:proofErr w:type="spellEnd"/>
            <w:r w:rsidRPr="00EB5D5F">
              <w:rPr>
                <w:rFonts w:eastAsia="Times New Roman"/>
                <w:color w:val="000000"/>
                <w:sz w:val="18"/>
                <w:szCs w:val="18"/>
              </w:rPr>
              <w:t>/</w:t>
            </w:r>
            <w:proofErr w:type="spellStart"/>
            <w:r w:rsidRPr="00EB5D5F">
              <w:rPr>
                <w:rFonts w:eastAsia="Times New Roman"/>
                <w:color w:val="000000"/>
                <w:sz w:val="18"/>
                <w:szCs w:val="18"/>
              </w:rPr>
              <w:t>no</w:t>
            </w:r>
            <w:proofErr w:type="spellEnd"/>
          </w:p>
        </w:tc>
        <w:tc>
          <w:tcPr>
            <w:tcW w:w="1241" w:type="dxa"/>
            <w:shd w:val="clear" w:color="auto" w:fill="auto"/>
            <w:vAlign w:val="center"/>
          </w:tcPr>
          <w:p w14:paraId="3CA6365B" w14:textId="77777777" w:rsidR="009836BA" w:rsidRPr="00EB5D5F" w:rsidRDefault="00D362C7">
            <w:pPr>
              <w:spacing w:line="480" w:lineRule="auto"/>
              <w:jc w:val="center"/>
              <w:rPr>
                <w:rFonts w:eastAsia="Times New Roman"/>
                <w:color w:val="000000"/>
                <w:sz w:val="18"/>
                <w:szCs w:val="18"/>
              </w:rPr>
            </w:pPr>
            <w:r w:rsidRPr="00EB5D5F">
              <w:rPr>
                <w:rFonts w:eastAsia="Times New Roman"/>
                <w:color w:val="000000"/>
                <w:sz w:val="18"/>
                <w:szCs w:val="18"/>
              </w:rPr>
              <w:t>-</w:t>
            </w:r>
          </w:p>
        </w:tc>
        <w:tc>
          <w:tcPr>
            <w:tcW w:w="1031" w:type="dxa"/>
            <w:shd w:val="clear" w:color="auto" w:fill="auto"/>
            <w:vAlign w:val="center"/>
          </w:tcPr>
          <w:p w14:paraId="4F800D56" w14:textId="77777777" w:rsidR="009836BA" w:rsidRPr="00EB5D5F" w:rsidRDefault="00D362C7">
            <w:pPr>
              <w:spacing w:line="480" w:lineRule="auto"/>
              <w:jc w:val="center"/>
              <w:rPr>
                <w:rFonts w:eastAsia="Times New Roman"/>
                <w:color w:val="000000"/>
                <w:sz w:val="18"/>
                <w:szCs w:val="18"/>
              </w:rPr>
            </w:pPr>
            <w:r w:rsidRPr="00EB5D5F">
              <w:rPr>
                <w:rFonts w:eastAsia="Times New Roman"/>
                <w:color w:val="000000"/>
                <w:sz w:val="18"/>
                <w:szCs w:val="18"/>
              </w:rPr>
              <w:t>217/484</w:t>
            </w:r>
          </w:p>
        </w:tc>
        <w:tc>
          <w:tcPr>
            <w:tcW w:w="414" w:type="dxa"/>
            <w:shd w:val="clear" w:color="auto" w:fill="auto"/>
            <w:vAlign w:val="center"/>
          </w:tcPr>
          <w:p w14:paraId="7E8C72A2" w14:textId="77777777" w:rsidR="009836BA" w:rsidRPr="00EB5D5F" w:rsidRDefault="009836BA">
            <w:pPr>
              <w:spacing w:line="480" w:lineRule="auto"/>
              <w:jc w:val="center"/>
              <w:rPr>
                <w:rFonts w:eastAsia="Times New Roman"/>
                <w:color w:val="000000"/>
                <w:sz w:val="18"/>
                <w:szCs w:val="18"/>
              </w:rPr>
            </w:pPr>
          </w:p>
        </w:tc>
        <w:tc>
          <w:tcPr>
            <w:tcW w:w="1345" w:type="dxa"/>
            <w:shd w:val="clear" w:color="auto" w:fill="auto"/>
            <w:vAlign w:val="center"/>
          </w:tcPr>
          <w:p w14:paraId="6D169B3F" w14:textId="77777777" w:rsidR="009836BA" w:rsidRPr="00EB5D5F" w:rsidRDefault="00D362C7">
            <w:pPr>
              <w:spacing w:line="480" w:lineRule="auto"/>
              <w:jc w:val="center"/>
              <w:rPr>
                <w:rFonts w:eastAsia="Times New Roman"/>
                <w:color w:val="000000"/>
                <w:sz w:val="18"/>
                <w:szCs w:val="18"/>
              </w:rPr>
            </w:pPr>
            <w:r w:rsidRPr="00EB5D5F">
              <w:rPr>
                <w:rFonts w:eastAsia="Times New Roman"/>
                <w:color w:val="000000"/>
                <w:sz w:val="18"/>
                <w:szCs w:val="18"/>
              </w:rPr>
              <w:t>-</w:t>
            </w:r>
          </w:p>
        </w:tc>
        <w:tc>
          <w:tcPr>
            <w:tcW w:w="1103" w:type="dxa"/>
            <w:shd w:val="clear" w:color="auto" w:fill="auto"/>
            <w:vAlign w:val="center"/>
          </w:tcPr>
          <w:p w14:paraId="174EBD65" w14:textId="77777777" w:rsidR="009836BA" w:rsidRPr="00EB5D5F" w:rsidRDefault="00D362C7">
            <w:pPr>
              <w:spacing w:line="480" w:lineRule="auto"/>
              <w:jc w:val="center"/>
              <w:rPr>
                <w:rFonts w:eastAsia="Times New Roman"/>
                <w:color w:val="000000"/>
                <w:sz w:val="18"/>
                <w:szCs w:val="18"/>
              </w:rPr>
            </w:pPr>
            <w:r w:rsidRPr="00EB5D5F">
              <w:rPr>
                <w:rFonts w:eastAsia="Times New Roman"/>
                <w:color w:val="000000"/>
                <w:sz w:val="18"/>
                <w:szCs w:val="18"/>
              </w:rPr>
              <w:t>427/197</w:t>
            </w:r>
          </w:p>
        </w:tc>
        <w:tc>
          <w:tcPr>
            <w:tcW w:w="2446" w:type="dxa"/>
            <w:vAlign w:val="center"/>
          </w:tcPr>
          <w:p w14:paraId="42C488C2" w14:textId="77777777" w:rsidR="009836BA" w:rsidRPr="00EB5D5F" w:rsidRDefault="00D362C7">
            <w:pPr>
              <w:spacing w:line="480" w:lineRule="auto"/>
              <w:jc w:val="center"/>
              <w:rPr>
                <w:rFonts w:eastAsia="Times New Roman"/>
                <w:color w:val="000000"/>
                <w:sz w:val="18"/>
                <w:szCs w:val="18"/>
              </w:rPr>
            </w:pPr>
            <w:r w:rsidRPr="00EB5D5F">
              <w:rPr>
                <w:rFonts w:eastAsia="Times New Roman"/>
                <w:color w:val="000000"/>
                <w:sz w:val="18"/>
                <w:szCs w:val="18"/>
              </w:rPr>
              <w:t>&lt;.001</w:t>
            </w:r>
          </w:p>
        </w:tc>
      </w:tr>
      <w:tr w:rsidR="009836BA" w:rsidRPr="00EB5D5F" w14:paraId="4B913199" w14:textId="77777777">
        <w:trPr>
          <w:trHeight w:val="300"/>
        </w:trPr>
        <w:tc>
          <w:tcPr>
            <w:tcW w:w="1445" w:type="dxa"/>
            <w:shd w:val="clear" w:color="auto" w:fill="auto"/>
            <w:vAlign w:val="center"/>
          </w:tcPr>
          <w:p w14:paraId="2F4916A4" w14:textId="77777777" w:rsidR="009836BA" w:rsidRPr="00EB5D5F" w:rsidRDefault="00D362C7">
            <w:pPr>
              <w:spacing w:line="480" w:lineRule="auto"/>
              <w:rPr>
                <w:rFonts w:eastAsia="Times New Roman"/>
                <w:color w:val="000000"/>
                <w:sz w:val="18"/>
                <w:szCs w:val="18"/>
              </w:rPr>
            </w:pPr>
            <w:r w:rsidRPr="00EB5D5F">
              <w:rPr>
                <w:rFonts w:eastAsia="Times New Roman"/>
                <w:color w:val="000000"/>
                <w:sz w:val="18"/>
                <w:szCs w:val="18"/>
              </w:rPr>
              <w:t xml:space="preserve">BDI </w:t>
            </w:r>
            <w:proofErr w:type="spellStart"/>
            <w:r w:rsidRPr="00EB5D5F">
              <w:rPr>
                <w:rFonts w:eastAsia="Times New Roman"/>
                <w:color w:val="000000"/>
                <w:sz w:val="18"/>
                <w:szCs w:val="18"/>
              </w:rPr>
              <w:t>sum</w:t>
            </w:r>
            <w:proofErr w:type="spellEnd"/>
          </w:p>
        </w:tc>
        <w:tc>
          <w:tcPr>
            <w:tcW w:w="1241" w:type="dxa"/>
            <w:shd w:val="clear" w:color="auto" w:fill="auto"/>
            <w:vAlign w:val="center"/>
          </w:tcPr>
          <w:p w14:paraId="21F66965" w14:textId="77777777" w:rsidR="009836BA" w:rsidRPr="00EB5D5F" w:rsidRDefault="00D362C7">
            <w:pPr>
              <w:spacing w:line="480" w:lineRule="auto"/>
              <w:jc w:val="center"/>
              <w:rPr>
                <w:rFonts w:eastAsia="Times New Roman"/>
                <w:color w:val="000000"/>
                <w:sz w:val="18"/>
                <w:szCs w:val="18"/>
              </w:rPr>
            </w:pPr>
            <w:r w:rsidRPr="00EB5D5F">
              <w:rPr>
                <w:rFonts w:eastAsia="Times New Roman"/>
                <w:color w:val="000000"/>
                <w:sz w:val="18"/>
                <w:szCs w:val="18"/>
              </w:rPr>
              <w:t>4.50 (4.37)</w:t>
            </w:r>
          </w:p>
        </w:tc>
        <w:tc>
          <w:tcPr>
            <w:tcW w:w="1031" w:type="dxa"/>
            <w:shd w:val="clear" w:color="auto" w:fill="auto"/>
            <w:vAlign w:val="center"/>
          </w:tcPr>
          <w:p w14:paraId="05361D0A" w14:textId="77777777" w:rsidR="009836BA" w:rsidRPr="00EB5D5F" w:rsidRDefault="00D362C7">
            <w:pPr>
              <w:spacing w:line="480" w:lineRule="auto"/>
              <w:jc w:val="center"/>
              <w:rPr>
                <w:rFonts w:eastAsia="Times New Roman"/>
                <w:color w:val="000000"/>
                <w:sz w:val="18"/>
                <w:szCs w:val="18"/>
              </w:rPr>
            </w:pPr>
            <w:r w:rsidRPr="00EB5D5F">
              <w:rPr>
                <w:rFonts w:eastAsia="Times New Roman"/>
                <w:color w:val="000000"/>
                <w:sz w:val="18"/>
                <w:szCs w:val="18"/>
              </w:rPr>
              <w:t>-</w:t>
            </w:r>
          </w:p>
        </w:tc>
        <w:tc>
          <w:tcPr>
            <w:tcW w:w="414" w:type="dxa"/>
            <w:shd w:val="clear" w:color="auto" w:fill="auto"/>
            <w:vAlign w:val="center"/>
          </w:tcPr>
          <w:p w14:paraId="0804B7D7" w14:textId="77777777" w:rsidR="009836BA" w:rsidRPr="00EB5D5F" w:rsidRDefault="009836BA">
            <w:pPr>
              <w:spacing w:line="480" w:lineRule="auto"/>
              <w:jc w:val="center"/>
              <w:rPr>
                <w:rFonts w:eastAsia="Times New Roman"/>
                <w:color w:val="000000"/>
                <w:sz w:val="18"/>
                <w:szCs w:val="18"/>
              </w:rPr>
            </w:pPr>
          </w:p>
        </w:tc>
        <w:tc>
          <w:tcPr>
            <w:tcW w:w="1345" w:type="dxa"/>
            <w:shd w:val="clear" w:color="auto" w:fill="auto"/>
            <w:vAlign w:val="center"/>
          </w:tcPr>
          <w:p w14:paraId="380D7737" w14:textId="77777777" w:rsidR="009836BA" w:rsidRPr="00EB5D5F" w:rsidRDefault="00D362C7">
            <w:pPr>
              <w:spacing w:line="480" w:lineRule="auto"/>
              <w:jc w:val="center"/>
              <w:rPr>
                <w:rFonts w:eastAsia="Times New Roman"/>
                <w:color w:val="000000"/>
                <w:sz w:val="18"/>
                <w:szCs w:val="18"/>
              </w:rPr>
            </w:pPr>
            <w:r w:rsidRPr="00EB5D5F">
              <w:rPr>
                <w:rFonts w:eastAsia="Times New Roman"/>
                <w:color w:val="000000"/>
                <w:sz w:val="18"/>
                <w:szCs w:val="18"/>
              </w:rPr>
              <w:t>17.32 (10.90)</w:t>
            </w:r>
          </w:p>
        </w:tc>
        <w:tc>
          <w:tcPr>
            <w:tcW w:w="1103" w:type="dxa"/>
            <w:shd w:val="clear" w:color="auto" w:fill="auto"/>
            <w:vAlign w:val="center"/>
          </w:tcPr>
          <w:p w14:paraId="77A35716" w14:textId="77777777" w:rsidR="009836BA" w:rsidRPr="00EB5D5F" w:rsidRDefault="00D362C7">
            <w:pPr>
              <w:spacing w:line="480" w:lineRule="auto"/>
              <w:jc w:val="center"/>
              <w:rPr>
                <w:rFonts w:eastAsia="Times New Roman"/>
                <w:color w:val="000000"/>
                <w:sz w:val="18"/>
                <w:szCs w:val="18"/>
              </w:rPr>
            </w:pPr>
            <w:r w:rsidRPr="00EB5D5F">
              <w:rPr>
                <w:rFonts w:eastAsia="Times New Roman"/>
                <w:color w:val="000000"/>
                <w:sz w:val="18"/>
                <w:szCs w:val="18"/>
              </w:rPr>
              <w:t>-</w:t>
            </w:r>
          </w:p>
        </w:tc>
        <w:tc>
          <w:tcPr>
            <w:tcW w:w="2446" w:type="dxa"/>
            <w:vAlign w:val="center"/>
          </w:tcPr>
          <w:p w14:paraId="5050EC97" w14:textId="77777777" w:rsidR="009836BA" w:rsidRPr="00EB5D5F" w:rsidRDefault="00D362C7">
            <w:pPr>
              <w:spacing w:line="480" w:lineRule="auto"/>
              <w:jc w:val="center"/>
              <w:rPr>
                <w:rFonts w:eastAsia="Times New Roman"/>
                <w:color w:val="000000"/>
                <w:sz w:val="18"/>
                <w:szCs w:val="18"/>
              </w:rPr>
            </w:pPr>
            <w:r w:rsidRPr="00EB5D5F">
              <w:rPr>
                <w:rFonts w:eastAsia="Times New Roman"/>
                <w:color w:val="000000"/>
                <w:sz w:val="18"/>
                <w:szCs w:val="18"/>
              </w:rPr>
              <w:t>&lt;.001</w:t>
            </w:r>
          </w:p>
        </w:tc>
      </w:tr>
      <w:tr w:rsidR="009836BA" w:rsidRPr="00EB5D5F" w14:paraId="13B9501F" w14:textId="77777777">
        <w:trPr>
          <w:trHeight w:val="300"/>
        </w:trPr>
        <w:tc>
          <w:tcPr>
            <w:tcW w:w="1445" w:type="dxa"/>
            <w:shd w:val="clear" w:color="auto" w:fill="auto"/>
            <w:vAlign w:val="center"/>
          </w:tcPr>
          <w:p w14:paraId="1C28A522" w14:textId="77777777" w:rsidR="009836BA" w:rsidRPr="00EB5D5F" w:rsidRDefault="00D362C7">
            <w:pPr>
              <w:spacing w:line="480" w:lineRule="auto"/>
              <w:rPr>
                <w:rFonts w:eastAsia="Times New Roman"/>
                <w:color w:val="000000"/>
                <w:sz w:val="18"/>
                <w:szCs w:val="18"/>
              </w:rPr>
            </w:pPr>
            <w:r w:rsidRPr="00EB5D5F">
              <w:rPr>
                <w:rFonts w:eastAsia="Times New Roman"/>
                <w:color w:val="000000"/>
                <w:sz w:val="18"/>
                <w:szCs w:val="18"/>
              </w:rPr>
              <w:t>GAF</w:t>
            </w:r>
          </w:p>
        </w:tc>
        <w:tc>
          <w:tcPr>
            <w:tcW w:w="1241" w:type="dxa"/>
            <w:shd w:val="clear" w:color="auto" w:fill="auto"/>
            <w:vAlign w:val="center"/>
          </w:tcPr>
          <w:p w14:paraId="5E53C811" w14:textId="77777777" w:rsidR="009836BA" w:rsidRPr="00EB5D5F" w:rsidRDefault="00D362C7">
            <w:pPr>
              <w:spacing w:line="480" w:lineRule="auto"/>
              <w:jc w:val="center"/>
              <w:rPr>
                <w:rFonts w:eastAsia="Times New Roman"/>
                <w:color w:val="000000"/>
                <w:sz w:val="18"/>
                <w:szCs w:val="18"/>
              </w:rPr>
            </w:pPr>
            <w:r w:rsidRPr="00EB5D5F">
              <w:rPr>
                <w:rFonts w:eastAsia="Times New Roman"/>
                <w:color w:val="000000"/>
                <w:sz w:val="18"/>
                <w:szCs w:val="18"/>
              </w:rPr>
              <w:t>89.30 (13.56)</w:t>
            </w:r>
          </w:p>
        </w:tc>
        <w:tc>
          <w:tcPr>
            <w:tcW w:w="1031" w:type="dxa"/>
            <w:shd w:val="clear" w:color="auto" w:fill="auto"/>
            <w:vAlign w:val="center"/>
          </w:tcPr>
          <w:p w14:paraId="4F2F0F4A" w14:textId="77777777" w:rsidR="009836BA" w:rsidRPr="00EB5D5F" w:rsidRDefault="00D362C7">
            <w:pPr>
              <w:spacing w:line="480" w:lineRule="auto"/>
              <w:jc w:val="center"/>
              <w:rPr>
                <w:rFonts w:eastAsia="Times New Roman"/>
                <w:color w:val="000000"/>
                <w:sz w:val="18"/>
                <w:szCs w:val="18"/>
              </w:rPr>
            </w:pPr>
            <w:r w:rsidRPr="00EB5D5F">
              <w:rPr>
                <w:rFonts w:eastAsia="Times New Roman"/>
                <w:color w:val="000000"/>
                <w:sz w:val="18"/>
                <w:szCs w:val="18"/>
              </w:rPr>
              <w:t>-</w:t>
            </w:r>
          </w:p>
        </w:tc>
        <w:tc>
          <w:tcPr>
            <w:tcW w:w="414" w:type="dxa"/>
            <w:shd w:val="clear" w:color="auto" w:fill="auto"/>
            <w:vAlign w:val="center"/>
          </w:tcPr>
          <w:p w14:paraId="5B6A5EED" w14:textId="77777777" w:rsidR="009836BA" w:rsidRPr="00EB5D5F" w:rsidRDefault="009836BA">
            <w:pPr>
              <w:spacing w:line="480" w:lineRule="auto"/>
              <w:jc w:val="center"/>
              <w:rPr>
                <w:rFonts w:eastAsia="Times New Roman"/>
                <w:color w:val="000000"/>
                <w:sz w:val="18"/>
                <w:szCs w:val="18"/>
              </w:rPr>
            </w:pPr>
          </w:p>
        </w:tc>
        <w:tc>
          <w:tcPr>
            <w:tcW w:w="1345" w:type="dxa"/>
            <w:shd w:val="clear" w:color="auto" w:fill="auto"/>
            <w:vAlign w:val="center"/>
          </w:tcPr>
          <w:p w14:paraId="1AC88A29" w14:textId="77777777" w:rsidR="009836BA" w:rsidRPr="00EB5D5F" w:rsidRDefault="00D362C7">
            <w:pPr>
              <w:spacing w:line="480" w:lineRule="auto"/>
              <w:jc w:val="center"/>
              <w:rPr>
                <w:rFonts w:eastAsia="Times New Roman"/>
                <w:color w:val="000000"/>
                <w:sz w:val="18"/>
                <w:szCs w:val="18"/>
              </w:rPr>
            </w:pPr>
            <w:r w:rsidRPr="00EB5D5F">
              <w:rPr>
                <w:rFonts w:eastAsia="Times New Roman"/>
                <w:color w:val="000000"/>
                <w:sz w:val="18"/>
                <w:szCs w:val="18"/>
              </w:rPr>
              <w:t>63.71 (15.77)</w:t>
            </w:r>
          </w:p>
        </w:tc>
        <w:tc>
          <w:tcPr>
            <w:tcW w:w="1103" w:type="dxa"/>
            <w:shd w:val="clear" w:color="auto" w:fill="auto"/>
            <w:vAlign w:val="center"/>
          </w:tcPr>
          <w:p w14:paraId="1A68F521" w14:textId="77777777" w:rsidR="009836BA" w:rsidRPr="00EB5D5F" w:rsidRDefault="00D362C7">
            <w:pPr>
              <w:spacing w:line="480" w:lineRule="auto"/>
              <w:jc w:val="center"/>
              <w:rPr>
                <w:rFonts w:eastAsia="Times New Roman"/>
                <w:color w:val="000000"/>
                <w:sz w:val="18"/>
                <w:szCs w:val="18"/>
              </w:rPr>
            </w:pPr>
            <w:r w:rsidRPr="00EB5D5F">
              <w:rPr>
                <w:rFonts w:eastAsia="Times New Roman"/>
                <w:color w:val="000000"/>
                <w:sz w:val="18"/>
                <w:szCs w:val="18"/>
              </w:rPr>
              <w:t>-</w:t>
            </w:r>
          </w:p>
        </w:tc>
        <w:tc>
          <w:tcPr>
            <w:tcW w:w="2446" w:type="dxa"/>
            <w:vAlign w:val="center"/>
          </w:tcPr>
          <w:p w14:paraId="4790A93C" w14:textId="77777777" w:rsidR="009836BA" w:rsidRPr="00EB5D5F" w:rsidRDefault="00D362C7">
            <w:pPr>
              <w:spacing w:line="480" w:lineRule="auto"/>
              <w:jc w:val="center"/>
              <w:rPr>
                <w:rFonts w:eastAsia="Times New Roman"/>
                <w:color w:val="000000"/>
                <w:sz w:val="18"/>
                <w:szCs w:val="18"/>
              </w:rPr>
            </w:pPr>
            <w:bookmarkStart w:id="0" w:name="__DdeLink__1792_367101506"/>
            <w:r w:rsidRPr="00EB5D5F">
              <w:rPr>
                <w:rFonts w:eastAsia="Times New Roman"/>
                <w:color w:val="000000"/>
                <w:sz w:val="18"/>
                <w:szCs w:val="18"/>
              </w:rPr>
              <w:t>&lt;.001</w:t>
            </w:r>
            <w:bookmarkEnd w:id="0"/>
          </w:p>
        </w:tc>
      </w:tr>
      <w:tr w:rsidR="009836BA" w:rsidRPr="00EB5D5F" w14:paraId="29F3F94E" w14:textId="77777777">
        <w:trPr>
          <w:trHeight w:val="472"/>
        </w:trPr>
        <w:tc>
          <w:tcPr>
            <w:tcW w:w="1445" w:type="dxa"/>
            <w:shd w:val="clear" w:color="auto" w:fill="auto"/>
            <w:tcMar>
              <w:top w:w="55" w:type="dxa"/>
              <w:bottom w:w="55" w:type="dxa"/>
            </w:tcMar>
            <w:vAlign w:val="center"/>
          </w:tcPr>
          <w:p w14:paraId="47436943" w14:textId="77777777" w:rsidR="009836BA" w:rsidRPr="00EB5D5F" w:rsidRDefault="00D362C7">
            <w:pPr>
              <w:rPr>
                <w:rFonts w:eastAsia="Times New Roman"/>
                <w:color w:val="000000"/>
                <w:sz w:val="18"/>
                <w:szCs w:val="18"/>
              </w:rPr>
            </w:pPr>
            <w:proofErr w:type="spellStart"/>
            <w:r w:rsidRPr="00EB5D5F">
              <w:rPr>
                <w:rFonts w:eastAsia="Times New Roman"/>
                <w:color w:val="000000"/>
                <w:sz w:val="18"/>
                <w:szCs w:val="18"/>
              </w:rPr>
              <w:t>Number</w:t>
            </w:r>
            <w:proofErr w:type="spellEnd"/>
            <w:r w:rsidRPr="00EB5D5F">
              <w:rPr>
                <w:rFonts w:eastAsia="Times New Roman"/>
                <w:color w:val="000000"/>
                <w:sz w:val="18"/>
                <w:szCs w:val="18"/>
              </w:rPr>
              <w:t xml:space="preserve"> </w:t>
            </w:r>
            <w:proofErr w:type="spellStart"/>
            <w:r w:rsidRPr="00EB5D5F">
              <w:rPr>
                <w:rFonts w:eastAsia="Times New Roman"/>
                <w:color w:val="000000"/>
                <w:sz w:val="18"/>
                <w:szCs w:val="18"/>
              </w:rPr>
              <w:t>of</w:t>
            </w:r>
            <w:proofErr w:type="spellEnd"/>
            <w:r w:rsidRPr="00EB5D5F">
              <w:rPr>
                <w:rFonts w:eastAsia="Times New Roman"/>
                <w:color w:val="000000"/>
                <w:sz w:val="18"/>
                <w:szCs w:val="18"/>
              </w:rPr>
              <w:t xml:space="preserve"> </w:t>
            </w:r>
            <w:proofErr w:type="spellStart"/>
            <w:r w:rsidRPr="00EB5D5F">
              <w:rPr>
                <w:rFonts w:eastAsia="Times New Roman"/>
                <w:color w:val="000000"/>
                <w:sz w:val="18"/>
                <w:szCs w:val="18"/>
              </w:rPr>
              <w:t>psychiatric</w:t>
            </w:r>
            <w:proofErr w:type="spellEnd"/>
            <w:r w:rsidRPr="00EB5D5F">
              <w:rPr>
                <w:rFonts w:eastAsia="Times New Roman"/>
                <w:color w:val="000000"/>
                <w:sz w:val="18"/>
                <w:szCs w:val="18"/>
              </w:rPr>
              <w:t xml:space="preserve"> </w:t>
            </w:r>
            <w:proofErr w:type="spellStart"/>
            <w:r w:rsidRPr="00EB5D5F">
              <w:rPr>
                <w:rFonts w:eastAsia="Times New Roman"/>
                <w:color w:val="000000"/>
                <w:sz w:val="18"/>
                <w:szCs w:val="18"/>
              </w:rPr>
              <w:t>hospitalizations</w:t>
            </w:r>
            <w:proofErr w:type="spellEnd"/>
          </w:p>
        </w:tc>
        <w:tc>
          <w:tcPr>
            <w:tcW w:w="1241" w:type="dxa"/>
            <w:shd w:val="clear" w:color="auto" w:fill="auto"/>
            <w:tcMar>
              <w:top w:w="55" w:type="dxa"/>
              <w:bottom w:w="55" w:type="dxa"/>
            </w:tcMar>
            <w:vAlign w:val="center"/>
          </w:tcPr>
          <w:p w14:paraId="002A0B6E" w14:textId="77777777" w:rsidR="009836BA" w:rsidRPr="00EB5D5F" w:rsidRDefault="00D362C7">
            <w:pPr>
              <w:spacing w:line="480" w:lineRule="auto"/>
              <w:jc w:val="center"/>
              <w:rPr>
                <w:rFonts w:eastAsia="Times New Roman"/>
                <w:color w:val="000000"/>
                <w:sz w:val="18"/>
                <w:szCs w:val="18"/>
              </w:rPr>
            </w:pPr>
            <w:r w:rsidRPr="00EB5D5F">
              <w:rPr>
                <w:rFonts w:eastAsia="Times New Roman"/>
                <w:color w:val="000000"/>
                <w:sz w:val="18"/>
                <w:szCs w:val="18"/>
              </w:rPr>
              <w:t>-</w:t>
            </w:r>
          </w:p>
        </w:tc>
        <w:tc>
          <w:tcPr>
            <w:tcW w:w="1031" w:type="dxa"/>
            <w:shd w:val="clear" w:color="auto" w:fill="auto"/>
            <w:tcMar>
              <w:top w:w="55" w:type="dxa"/>
              <w:bottom w:w="55" w:type="dxa"/>
            </w:tcMar>
            <w:vAlign w:val="center"/>
          </w:tcPr>
          <w:p w14:paraId="68053780" w14:textId="77777777" w:rsidR="009836BA" w:rsidRPr="00EB5D5F" w:rsidRDefault="00D362C7">
            <w:pPr>
              <w:spacing w:line="480" w:lineRule="auto"/>
              <w:jc w:val="center"/>
              <w:rPr>
                <w:rFonts w:eastAsia="Times New Roman"/>
                <w:color w:val="000000"/>
                <w:sz w:val="18"/>
                <w:szCs w:val="18"/>
              </w:rPr>
            </w:pPr>
            <w:r w:rsidRPr="00EB5D5F">
              <w:rPr>
                <w:rFonts w:eastAsia="Times New Roman"/>
                <w:color w:val="000000"/>
                <w:sz w:val="18"/>
                <w:szCs w:val="18"/>
              </w:rPr>
              <w:t>-</w:t>
            </w:r>
          </w:p>
        </w:tc>
        <w:tc>
          <w:tcPr>
            <w:tcW w:w="414" w:type="dxa"/>
            <w:shd w:val="clear" w:color="auto" w:fill="auto"/>
            <w:tcMar>
              <w:top w:w="55" w:type="dxa"/>
              <w:bottom w:w="55" w:type="dxa"/>
            </w:tcMar>
            <w:vAlign w:val="center"/>
          </w:tcPr>
          <w:p w14:paraId="2B2F20B7" w14:textId="77777777" w:rsidR="009836BA" w:rsidRPr="00EB5D5F" w:rsidRDefault="009836BA">
            <w:pPr>
              <w:spacing w:line="480" w:lineRule="auto"/>
              <w:jc w:val="center"/>
              <w:rPr>
                <w:rFonts w:eastAsia="Times New Roman"/>
                <w:color w:val="000000"/>
                <w:sz w:val="18"/>
                <w:szCs w:val="18"/>
              </w:rPr>
            </w:pPr>
          </w:p>
        </w:tc>
        <w:tc>
          <w:tcPr>
            <w:tcW w:w="1345" w:type="dxa"/>
            <w:shd w:val="clear" w:color="auto" w:fill="auto"/>
            <w:tcMar>
              <w:top w:w="55" w:type="dxa"/>
              <w:bottom w:w="55" w:type="dxa"/>
            </w:tcMar>
            <w:vAlign w:val="center"/>
          </w:tcPr>
          <w:p w14:paraId="4A06CDF8" w14:textId="77777777" w:rsidR="009836BA" w:rsidRPr="00EB5D5F" w:rsidRDefault="00D362C7">
            <w:pPr>
              <w:spacing w:line="480" w:lineRule="auto"/>
              <w:jc w:val="center"/>
              <w:rPr>
                <w:rFonts w:eastAsia="Times New Roman"/>
                <w:color w:val="000000"/>
                <w:sz w:val="18"/>
                <w:szCs w:val="18"/>
              </w:rPr>
            </w:pPr>
            <w:r w:rsidRPr="00EB5D5F">
              <w:rPr>
                <w:rFonts w:eastAsia="Times New Roman"/>
                <w:color w:val="000000"/>
                <w:sz w:val="18"/>
                <w:szCs w:val="18"/>
              </w:rPr>
              <w:t>1.53 (2.02)</w:t>
            </w:r>
          </w:p>
        </w:tc>
        <w:tc>
          <w:tcPr>
            <w:tcW w:w="1103" w:type="dxa"/>
            <w:shd w:val="clear" w:color="auto" w:fill="auto"/>
            <w:tcMar>
              <w:top w:w="55" w:type="dxa"/>
              <w:bottom w:w="55" w:type="dxa"/>
            </w:tcMar>
            <w:vAlign w:val="center"/>
          </w:tcPr>
          <w:p w14:paraId="0218737F" w14:textId="77777777" w:rsidR="009836BA" w:rsidRPr="00EB5D5F" w:rsidRDefault="00D362C7">
            <w:pPr>
              <w:spacing w:line="480" w:lineRule="auto"/>
              <w:jc w:val="center"/>
              <w:rPr>
                <w:rFonts w:eastAsia="Times New Roman"/>
                <w:color w:val="000000"/>
                <w:sz w:val="18"/>
                <w:szCs w:val="18"/>
              </w:rPr>
            </w:pPr>
            <w:r w:rsidRPr="00EB5D5F">
              <w:rPr>
                <w:rFonts w:eastAsia="Times New Roman"/>
                <w:color w:val="000000"/>
                <w:sz w:val="18"/>
                <w:szCs w:val="18"/>
              </w:rPr>
              <w:t>-</w:t>
            </w:r>
          </w:p>
        </w:tc>
        <w:tc>
          <w:tcPr>
            <w:tcW w:w="2446" w:type="dxa"/>
            <w:tcMar>
              <w:top w:w="55" w:type="dxa"/>
              <w:bottom w:w="55" w:type="dxa"/>
            </w:tcMar>
            <w:vAlign w:val="center"/>
          </w:tcPr>
          <w:p w14:paraId="7F137ECA" w14:textId="77777777" w:rsidR="009836BA" w:rsidRPr="00EB5D5F" w:rsidRDefault="00D362C7">
            <w:pPr>
              <w:spacing w:line="480" w:lineRule="auto"/>
              <w:jc w:val="center"/>
              <w:rPr>
                <w:rFonts w:eastAsia="Times New Roman"/>
                <w:color w:val="000000"/>
                <w:sz w:val="18"/>
                <w:szCs w:val="18"/>
              </w:rPr>
            </w:pPr>
            <w:r w:rsidRPr="00EB5D5F">
              <w:rPr>
                <w:rFonts w:eastAsia="Times New Roman"/>
                <w:color w:val="000000"/>
                <w:sz w:val="18"/>
                <w:szCs w:val="18"/>
              </w:rPr>
              <w:t>-</w:t>
            </w:r>
          </w:p>
        </w:tc>
      </w:tr>
      <w:tr w:rsidR="009836BA" w:rsidRPr="00EB5D5F" w14:paraId="4413965A" w14:textId="77777777">
        <w:trPr>
          <w:trHeight w:val="472"/>
        </w:trPr>
        <w:tc>
          <w:tcPr>
            <w:tcW w:w="1445" w:type="dxa"/>
            <w:tcBorders>
              <w:bottom w:val="single" w:sz="4" w:space="0" w:color="000000"/>
            </w:tcBorders>
            <w:shd w:val="clear" w:color="auto" w:fill="auto"/>
            <w:vAlign w:val="center"/>
          </w:tcPr>
          <w:p w14:paraId="0FB001BA" w14:textId="77777777" w:rsidR="009836BA" w:rsidRPr="00EB5D5F" w:rsidRDefault="00D362C7">
            <w:proofErr w:type="spellStart"/>
            <w:r w:rsidRPr="00EB5D5F">
              <w:rPr>
                <w:sz w:val="18"/>
                <w:szCs w:val="18"/>
              </w:rPr>
              <w:t>Years</w:t>
            </w:r>
            <w:proofErr w:type="spellEnd"/>
            <w:r w:rsidRPr="00EB5D5F">
              <w:rPr>
                <w:sz w:val="18"/>
                <w:szCs w:val="18"/>
              </w:rPr>
              <w:t xml:space="preserve"> </w:t>
            </w:r>
            <w:proofErr w:type="spellStart"/>
            <w:r w:rsidRPr="00EB5D5F">
              <w:rPr>
                <w:sz w:val="18"/>
                <w:szCs w:val="18"/>
              </w:rPr>
              <w:t>of</w:t>
            </w:r>
            <w:proofErr w:type="spellEnd"/>
            <w:r w:rsidRPr="00EB5D5F">
              <w:rPr>
                <w:sz w:val="18"/>
                <w:szCs w:val="18"/>
              </w:rPr>
              <w:t xml:space="preserve"> </w:t>
            </w:r>
            <w:proofErr w:type="spellStart"/>
            <w:r w:rsidRPr="00EB5D5F">
              <w:rPr>
                <w:sz w:val="18"/>
                <w:szCs w:val="18"/>
              </w:rPr>
              <w:t>education</w:t>
            </w:r>
            <w:proofErr w:type="spellEnd"/>
          </w:p>
        </w:tc>
        <w:tc>
          <w:tcPr>
            <w:tcW w:w="1241" w:type="dxa"/>
            <w:tcBorders>
              <w:bottom w:val="single" w:sz="4" w:space="0" w:color="000000"/>
            </w:tcBorders>
            <w:shd w:val="clear" w:color="auto" w:fill="auto"/>
            <w:vAlign w:val="center"/>
          </w:tcPr>
          <w:p w14:paraId="6E3EEE9F" w14:textId="77777777" w:rsidR="009836BA" w:rsidRPr="00EB5D5F" w:rsidRDefault="00D362C7">
            <w:pPr>
              <w:spacing w:line="480" w:lineRule="auto"/>
              <w:jc w:val="center"/>
              <w:rPr>
                <w:sz w:val="18"/>
                <w:szCs w:val="18"/>
              </w:rPr>
            </w:pPr>
            <w:r w:rsidRPr="00EB5D5F">
              <w:rPr>
                <w:sz w:val="18"/>
                <w:szCs w:val="18"/>
              </w:rPr>
              <w:t>13.93 (2.68)</w:t>
            </w:r>
          </w:p>
        </w:tc>
        <w:tc>
          <w:tcPr>
            <w:tcW w:w="1031" w:type="dxa"/>
            <w:tcBorders>
              <w:bottom w:val="single" w:sz="4" w:space="0" w:color="000000"/>
            </w:tcBorders>
            <w:shd w:val="clear" w:color="auto" w:fill="auto"/>
            <w:vAlign w:val="center"/>
          </w:tcPr>
          <w:p w14:paraId="7F55307C" w14:textId="77777777" w:rsidR="009836BA" w:rsidRPr="00EB5D5F" w:rsidRDefault="00D362C7">
            <w:pPr>
              <w:spacing w:line="480" w:lineRule="auto"/>
              <w:jc w:val="center"/>
              <w:rPr>
                <w:sz w:val="18"/>
                <w:szCs w:val="18"/>
              </w:rPr>
            </w:pPr>
            <w:r w:rsidRPr="00EB5D5F">
              <w:rPr>
                <w:sz w:val="18"/>
                <w:szCs w:val="18"/>
              </w:rPr>
              <w:t>-</w:t>
            </w:r>
          </w:p>
        </w:tc>
        <w:tc>
          <w:tcPr>
            <w:tcW w:w="414" w:type="dxa"/>
            <w:tcBorders>
              <w:bottom w:val="single" w:sz="4" w:space="0" w:color="000000"/>
            </w:tcBorders>
            <w:shd w:val="clear" w:color="auto" w:fill="auto"/>
            <w:vAlign w:val="center"/>
          </w:tcPr>
          <w:p w14:paraId="02320674" w14:textId="77777777" w:rsidR="009836BA" w:rsidRPr="00EB5D5F" w:rsidRDefault="009836BA">
            <w:pPr>
              <w:spacing w:line="480" w:lineRule="auto"/>
              <w:jc w:val="center"/>
              <w:rPr>
                <w:rFonts w:eastAsia="Times New Roman"/>
                <w:color w:val="000000"/>
                <w:sz w:val="18"/>
                <w:szCs w:val="18"/>
              </w:rPr>
            </w:pPr>
          </w:p>
        </w:tc>
        <w:tc>
          <w:tcPr>
            <w:tcW w:w="1345" w:type="dxa"/>
            <w:tcBorders>
              <w:bottom w:val="single" w:sz="4" w:space="0" w:color="000000"/>
            </w:tcBorders>
            <w:shd w:val="clear" w:color="auto" w:fill="auto"/>
            <w:vAlign w:val="center"/>
          </w:tcPr>
          <w:p w14:paraId="542E37ED" w14:textId="77777777" w:rsidR="009836BA" w:rsidRPr="00EB5D5F" w:rsidRDefault="00D362C7">
            <w:pPr>
              <w:spacing w:line="480" w:lineRule="auto"/>
              <w:jc w:val="center"/>
              <w:rPr>
                <w:sz w:val="18"/>
                <w:szCs w:val="18"/>
              </w:rPr>
            </w:pPr>
            <w:r w:rsidRPr="00EB5D5F">
              <w:rPr>
                <w:sz w:val="18"/>
                <w:szCs w:val="18"/>
              </w:rPr>
              <w:t>13.16 (2.74)</w:t>
            </w:r>
          </w:p>
        </w:tc>
        <w:tc>
          <w:tcPr>
            <w:tcW w:w="1103" w:type="dxa"/>
            <w:tcBorders>
              <w:bottom w:val="single" w:sz="4" w:space="0" w:color="000000"/>
            </w:tcBorders>
            <w:shd w:val="clear" w:color="auto" w:fill="auto"/>
            <w:vAlign w:val="center"/>
          </w:tcPr>
          <w:p w14:paraId="0C246A40" w14:textId="77777777" w:rsidR="009836BA" w:rsidRPr="00EB5D5F" w:rsidRDefault="00D362C7">
            <w:pPr>
              <w:spacing w:line="480" w:lineRule="auto"/>
              <w:jc w:val="center"/>
              <w:rPr>
                <w:sz w:val="18"/>
                <w:szCs w:val="18"/>
              </w:rPr>
            </w:pPr>
            <w:r w:rsidRPr="00EB5D5F">
              <w:rPr>
                <w:sz w:val="18"/>
                <w:szCs w:val="18"/>
              </w:rPr>
              <w:t>-</w:t>
            </w:r>
          </w:p>
        </w:tc>
        <w:tc>
          <w:tcPr>
            <w:tcW w:w="2446" w:type="dxa"/>
            <w:tcBorders>
              <w:bottom w:val="single" w:sz="4" w:space="0" w:color="000000"/>
            </w:tcBorders>
            <w:vAlign w:val="center"/>
          </w:tcPr>
          <w:p w14:paraId="6C0CD9FC" w14:textId="77777777" w:rsidR="009836BA" w:rsidRPr="00EB5D5F" w:rsidRDefault="00D362C7">
            <w:pPr>
              <w:spacing w:line="480" w:lineRule="auto"/>
              <w:jc w:val="center"/>
              <w:rPr>
                <w:rFonts w:eastAsia="Times New Roman"/>
                <w:color w:val="000000"/>
                <w:sz w:val="18"/>
                <w:szCs w:val="18"/>
              </w:rPr>
            </w:pPr>
            <w:r w:rsidRPr="00EB5D5F">
              <w:rPr>
                <w:rFonts w:eastAsia="Times New Roman"/>
                <w:color w:val="000000"/>
                <w:sz w:val="18"/>
                <w:szCs w:val="18"/>
              </w:rPr>
              <w:t>&lt;.001</w:t>
            </w:r>
          </w:p>
        </w:tc>
      </w:tr>
    </w:tbl>
    <w:p w14:paraId="3E7BD3A3" w14:textId="77777777" w:rsidR="009836BA" w:rsidRPr="00EB5D5F" w:rsidRDefault="00D362C7">
      <w:pPr>
        <w:widowControl w:val="0"/>
        <w:spacing w:after="160" w:line="360" w:lineRule="auto"/>
        <w:rPr>
          <w:lang w:val="en-US"/>
        </w:rPr>
      </w:pPr>
      <w:r w:rsidRPr="00EB5D5F">
        <w:rPr>
          <w:i/>
          <w:sz w:val="20"/>
          <w:lang w:val="en-US"/>
        </w:rPr>
        <w:t xml:space="preserve">Note. </w:t>
      </w:r>
      <w:r w:rsidRPr="00EB5D5F">
        <w:rPr>
          <w:sz w:val="20"/>
          <w:lang w:val="en-US"/>
        </w:rPr>
        <w:t xml:space="preserve">Statistical tests of group differences were done via t-tests for continuous and χ²-tests for categorical variables. As CTQ sum, BDI sum and GAF all produced significant </w:t>
      </w:r>
      <w:proofErr w:type="spellStart"/>
      <w:r w:rsidRPr="00EB5D5F">
        <w:rPr>
          <w:sz w:val="20"/>
          <w:lang w:val="en-US"/>
        </w:rPr>
        <w:t>Levene’s</w:t>
      </w:r>
      <w:proofErr w:type="spellEnd"/>
      <w:r w:rsidRPr="00EB5D5F">
        <w:rPr>
          <w:sz w:val="20"/>
          <w:lang w:val="en-US"/>
        </w:rPr>
        <w:t xml:space="preserve"> tests, t-tests for unequal variance were conducted. HC, healthy controls; MDD, major depressive disorder; f, female; m, male; CTQ, Childhood Trauma Questionnaire; CM, childhood maltreatment; BDI, Beck Depression Inventory; GAF, Global Assessment of Functioning Scale.</w:t>
      </w:r>
    </w:p>
    <w:p w14:paraId="2F72DEFF" w14:textId="77777777" w:rsidR="009836BA" w:rsidRPr="00EB5D5F" w:rsidRDefault="00D362C7">
      <w:pPr>
        <w:spacing w:after="160" w:line="259" w:lineRule="auto"/>
        <w:rPr>
          <w:lang w:val="en-US"/>
        </w:rPr>
      </w:pPr>
      <w:r w:rsidRPr="00EB5D5F">
        <w:rPr>
          <w:lang w:val="en-US"/>
        </w:rPr>
        <w:br w:type="page"/>
      </w:r>
    </w:p>
    <w:p w14:paraId="64E19AC0" w14:textId="77777777" w:rsidR="009836BA" w:rsidRPr="00EB5D5F" w:rsidRDefault="00D362C7">
      <w:pPr>
        <w:spacing w:line="360" w:lineRule="auto"/>
        <w:rPr>
          <w:lang w:val="en-US"/>
        </w:rPr>
      </w:pPr>
      <w:r w:rsidRPr="00EB5D5F">
        <w:rPr>
          <w:lang w:val="en-US"/>
        </w:rPr>
        <w:lastRenderedPageBreak/>
        <w:t>Table S2. Lifetime comorbidities, incidences of childhood maltreatment subtypes, and medication of the sample with a lifetime depressive disorder diagnosis (N=624).</w:t>
      </w:r>
    </w:p>
    <w:tbl>
      <w:tblPr>
        <w:tblStyle w:val="Tabellenraster"/>
        <w:tblW w:w="901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3006"/>
        <w:gridCol w:w="3007"/>
      </w:tblGrid>
      <w:tr w:rsidR="009836BA" w:rsidRPr="00EB5D5F" w14:paraId="34CE17C6" w14:textId="77777777" w:rsidTr="00606A27">
        <w:tc>
          <w:tcPr>
            <w:tcW w:w="3006" w:type="dxa"/>
            <w:tcBorders>
              <w:top w:val="single" w:sz="4" w:space="0" w:color="auto"/>
              <w:bottom w:val="single" w:sz="4" w:space="0" w:color="auto"/>
            </w:tcBorders>
          </w:tcPr>
          <w:p w14:paraId="3DFAA7D8" w14:textId="77777777" w:rsidR="009836BA" w:rsidRPr="00EB5D5F" w:rsidRDefault="009836BA">
            <w:pPr>
              <w:spacing w:after="160" w:line="259" w:lineRule="auto"/>
              <w:rPr>
                <w:rFonts w:eastAsia="Times New Roman"/>
                <w:color w:val="000000"/>
                <w:sz w:val="18"/>
                <w:szCs w:val="18"/>
                <w:lang w:val="en-US"/>
              </w:rPr>
            </w:pPr>
          </w:p>
        </w:tc>
        <w:tc>
          <w:tcPr>
            <w:tcW w:w="3006" w:type="dxa"/>
            <w:tcBorders>
              <w:top w:val="single" w:sz="4" w:space="0" w:color="auto"/>
              <w:bottom w:val="single" w:sz="4" w:space="0" w:color="auto"/>
            </w:tcBorders>
          </w:tcPr>
          <w:p w14:paraId="5405D91E" w14:textId="77777777" w:rsidR="009836BA" w:rsidRPr="00EB5D5F" w:rsidRDefault="00D362C7">
            <w:pPr>
              <w:spacing w:after="160" w:line="259" w:lineRule="auto"/>
              <w:jc w:val="center"/>
              <w:rPr>
                <w:rFonts w:eastAsia="Times New Roman"/>
                <w:color w:val="000000"/>
                <w:sz w:val="18"/>
                <w:szCs w:val="18"/>
              </w:rPr>
            </w:pPr>
            <w:r w:rsidRPr="00EB5D5F">
              <w:rPr>
                <w:rFonts w:eastAsia="Times New Roman"/>
                <w:color w:val="000000"/>
                <w:sz w:val="18"/>
                <w:szCs w:val="18"/>
              </w:rPr>
              <w:t>N</w:t>
            </w:r>
          </w:p>
        </w:tc>
        <w:tc>
          <w:tcPr>
            <w:tcW w:w="3007" w:type="dxa"/>
            <w:tcBorders>
              <w:top w:val="single" w:sz="4" w:space="0" w:color="auto"/>
              <w:bottom w:val="single" w:sz="4" w:space="0" w:color="auto"/>
            </w:tcBorders>
          </w:tcPr>
          <w:p w14:paraId="7F6730F5" w14:textId="77777777" w:rsidR="009836BA" w:rsidRPr="00EB5D5F" w:rsidRDefault="00D362C7">
            <w:pPr>
              <w:spacing w:after="160" w:line="259" w:lineRule="auto"/>
              <w:jc w:val="center"/>
              <w:rPr>
                <w:rFonts w:eastAsia="Times New Roman"/>
                <w:color w:val="000000"/>
                <w:sz w:val="18"/>
                <w:szCs w:val="18"/>
              </w:rPr>
            </w:pPr>
            <w:r w:rsidRPr="00EB5D5F">
              <w:rPr>
                <w:rFonts w:eastAsia="Times New Roman"/>
                <w:color w:val="000000"/>
                <w:sz w:val="18"/>
                <w:szCs w:val="18"/>
              </w:rPr>
              <w:t>%</w:t>
            </w:r>
          </w:p>
        </w:tc>
      </w:tr>
      <w:tr w:rsidR="009836BA" w:rsidRPr="00EB5D5F" w14:paraId="5567A628" w14:textId="77777777" w:rsidTr="00606A27">
        <w:tc>
          <w:tcPr>
            <w:tcW w:w="3006" w:type="dxa"/>
            <w:tcBorders>
              <w:top w:val="single" w:sz="4" w:space="0" w:color="auto"/>
            </w:tcBorders>
          </w:tcPr>
          <w:p w14:paraId="6172C8A4" w14:textId="77777777" w:rsidR="009836BA" w:rsidRPr="00EB5D5F" w:rsidRDefault="00D362C7">
            <w:pPr>
              <w:spacing w:after="160" w:line="259" w:lineRule="auto"/>
              <w:rPr>
                <w:rFonts w:eastAsia="Times New Roman"/>
                <w:i/>
                <w:color w:val="000000"/>
                <w:sz w:val="18"/>
                <w:szCs w:val="18"/>
              </w:rPr>
            </w:pPr>
            <w:proofErr w:type="spellStart"/>
            <w:r w:rsidRPr="00EB5D5F">
              <w:rPr>
                <w:rFonts w:eastAsia="Times New Roman"/>
                <w:i/>
                <w:color w:val="000000"/>
                <w:sz w:val="18"/>
                <w:szCs w:val="18"/>
              </w:rPr>
              <w:t>Comorbid</w:t>
            </w:r>
            <w:proofErr w:type="spellEnd"/>
            <w:r w:rsidRPr="00EB5D5F">
              <w:rPr>
                <w:rFonts w:eastAsia="Times New Roman"/>
                <w:i/>
                <w:color w:val="000000"/>
                <w:sz w:val="18"/>
                <w:szCs w:val="18"/>
              </w:rPr>
              <w:t xml:space="preserve"> </w:t>
            </w:r>
            <w:proofErr w:type="spellStart"/>
            <w:r w:rsidRPr="00EB5D5F">
              <w:rPr>
                <w:rFonts w:eastAsia="Times New Roman"/>
                <w:i/>
                <w:color w:val="000000"/>
                <w:sz w:val="18"/>
                <w:szCs w:val="18"/>
              </w:rPr>
              <w:t>diagnoses</w:t>
            </w:r>
            <w:proofErr w:type="spellEnd"/>
          </w:p>
        </w:tc>
        <w:tc>
          <w:tcPr>
            <w:tcW w:w="3006" w:type="dxa"/>
            <w:tcBorders>
              <w:top w:val="single" w:sz="4" w:space="0" w:color="auto"/>
            </w:tcBorders>
          </w:tcPr>
          <w:p w14:paraId="0B8820E2" w14:textId="77777777" w:rsidR="009836BA" w:rsidRPr="00EB5D5F" w:rsidRDefault="009836BA">
            <w:pPr>
              <w:spacing w:after="160" w:line="259" w:lineRule="auto"/>
              <w:jc w:val="center"/>
              <w:rPr>
                <w:rFonts w:eastAsia="Times New Roman"/>
                <w:color w:val="000000"/>
                <w:sz w:val="18"/>
                <w:szCs w:val="18"/>
              </w:rPr>
            </w:pPr>
          </w:p>
        </w:tc>
        <w:tc>
          <w:tcPr>
            <w:tcW w:w="3007" w:type="dxa"/>
            <w:tcBorders>
              <w:top w:val="single" w:sz="4" w:space="0" w:color="auto"/>
            </w:tcBorders>
          </w:tcPr>
          <w:p w14:paraId="006247C3" w14:textId="77777777" w:rsidR="009836BA" w:rsidRPr="00EB5D5F" w:rsidRDefault="009836BA">
            <w:pPr>
              <w:spacing w:after="160" w:line="259" w:lineRule="auto"/>
              <w:jc w:val="center"/>
              <w:rPr>
                <w:rFonts w:eastAsia="Times New Roman"/>
                <w:color w:val="000000"/>
                <w:sz w:val="18"/>
                <w:szCs w:val="18"/>
              </w:rPr>
            </w:pPr>
          </w:p>
        </w:tc>
      </w:tr>
      <w:tr w:rsidR="009836BA" w:rsidRPr="00EB5D5F" w14:paraId="06515257" w14:textId="77777777" w:rsidTr="00606A27">
        <w:tc>
          <w:tcPr>
            <w:tcW w:w="3006" w:type="dxa"/>
          </w:tcPr>
          <w:p w14:paraId="045E2DB8" w14:textId="77777777" w:rsidR="009836BA" w:rsidRPr="00EB5D5F" w:rsidRDefault="00D362C7">
            <w:pPr>
              <w:spacing w:after="160" w:line="259" w:lineRule="auto"/>
              <w:rPr>
                <w:rFonts w:eastAsia="Times New Roman"/>
                <w:color w:val="000000"/>
                <w:sz w:val="18"/>
                <w:szCs w:val="18"/>
              </w:rPr>
            </w:pPr>
            <w:r w:rsidRPr="00EB5D5F">
              <w:rPr>
                <w:rFonts w:eastAsia="Times New Roman"/>
                <w:color w:val="000000"/>
                <w:sz w:val="18"/>
                <w:szCs w:val="18"/>
              </w:rPr>
              <w:t xml:space="preserve">   </w:t>
            </w:r>
            <w:proofErr w:type="spellStart"/>
            <w:r w:rsidRPr="00EB5D5F">
              <w:rPr>
                <w:rFonts w:eastAsia="Times New Roman"/>
                <w:color w:val="000000"/>
                <w:sz w:val="18"/>
                <w:szCs w:val="18"/>
              </w:rPr>
              <w:t>Anxiety</w:t>
            </w:r>
            <w:proofErr w:type="spellEnd"/>
            <w:r w:rsidRPr="00EB5D5F">
              <w:rPr>
                <w:rFonts w:eastAsia="Times New Roman"/>
                <w:color w:val="000000"/>
                <w:sz w:val="18"/>
                <w:szCs w:val="18"/>
              </w:rPr>
              <w:t xml:space="preserve"> </w:t>
            </w:r>
            <w:proofErr w:type="spellStart"/>
            <w:r w:rsidRPr="00EB5D5F">
              <w:rPr>
                <w:rFonts w:eastAsia="Times New Roman"/>
                <w:color w:val="000000"/>
                <w:sz w:val="18"/>
                <w:szCs w:val="18"/>
              </w:rPr>
              <w:t>disorders</w:t>
            </w:r>
            <w:proofErr w:type="spellEnd"/>
          </w:p>
        </w:tc>
        <w:tc>
          <w:tcPr>
            <w:tcW w:w="3006" w:type="dxa"/>
          </w:tcPr>
          <w:p w14:paraId="2C0C9DE6" w14:textId="77777777" w:rsidR="009836BA" w:rsidRPr="00EB5D5F" w:rsidRDefault="00D362C7">
            <w:pPr>
              <w:spacing w:after="160" w:line="259" w:lineRule="auto"/>
              <w:jc w:val="center"/>
              <w:rPr>
                <w:rFonts w:eastAsia="Times New Roman"/>
                <w:color w:val="000000"/>
                <w:sz w:val="18"/>
                <w:szCs w:val="18"/>
              </w:rPr>
            </w:pPr>
            <w:r w:rsidRPr="00EB5D5F">
              <w:rPr>
                <w:rFonts w:eastAsia="Times New Roman"/>
                <w:color w:val="000000"/>
                <w:sz w:val="18"/>
                <w:szCs w:val="18"/>
              </w:rPr>
              <w:t>192</w:t>
            </w:r>
          </w:p>
        </w:tc>
        <w:tc>
          <w:tcPr>
            <w:tcW w:w="3007" w:type="dxa"/>
          </w:tcPr>
          <w:p w14:paraId="7B1240EA" w14:textId="77777777" w:rsidR="009836BA" w:rsidRPr="00EB5D5F" w:rsidRDefault="00D362C7">
            <w:pPr>
              <w:spacing w:after="160" w:line="259" w:lineRule="auto"/>
              <w:jc w:val="center"/>
              <w:rPr>
                <w:rFonts w:eastAsia="Times New Roman"/>
                <w:color w:val="000000"/>
                <w:sz w:val="18"/>
                <w:szCs w:val="18"/>
              </w:rPr>
            </w:pPr>
            <w:r w:rsidRPr="00EB5D5F">
              <w:rPr>
                <w:rFonts w:eastAsia="Times New Roman"/>
                <w:color w:val="000000"/>
                <w:sz w:val="18"/>
                <w:szCs w:val="18"/>
              </w:rPr>
              <w:t>30.8</w:t>
            </w:r>
          </w:p>
        </w:tc>
      </w:tr>
      <w:tr w:rsidR="009836BA" w:rsidRPr="00EB5D5F" w14:paraId="3C2F548B" w14:textId="77777777" w:rsidTr="00606A27">
        <w:tc>
          <w:tcPr>
            <w:tcW w:w="3006" w:type="dxa"/>
          </w:tcPr>
          <w:p w14:paraId="78D0747F" w14:textId="77777777" w:rsidR="009836BA" w:rsidRPr="00EB5D5F" w:rsidRDefault="00D362C7">
            <w:pPr>
              <w:spacing w:after="160" w:line="259" w:lineRule="auto"/>
              <w:rPr>
                <w:rFonts w:eastAsia="Times New Roman"/>
                <w:color w:val="000000"/>
                <w:sz w:val="18"/>
                <w:szCs w:val="18"/>
              </w:rPr>
            </w:pPr>
            <w:r w:rsidRPr="00EB5D5F">
              <w:rPr>
                <w:rFonts w:eastAsia="Times New Roman"/>
                <w:color w:val="000000"/>
                <w:sz w:val="18"/>
                <w:szCs w:val="18"/>
              </w:rPr>
              <w:t xml:space="preserve">   Eating </w:t>
            </w:r>
            <w:proofErr w:type="spellStart"/>
            <w:r w:rsidRPr="00EB5D5F">
              <w:rPr>
                <w:rFonts w:eastAsia="Times New Roman"/>
                <w:color w:val="000000"/>
                <w:sz w:val="18"/>
                <w:szCs w:val="18"/>
              </w:rPr>
              <w:t>disorders</w:t>
            </w:r>
            <w:proofErr w:type="spellEnd"/>
          </w:p>
        </w:tc>
        <w:tc>
          <w:tcPr>
            <w:tcW w:w="3006" w:type="dxa"/>
          </w:tcPr>
          <w:p w14:paraId="7012225F" w14:textId="77777777" w:rsidR="009836BA" w:rsidRPr="00EB5D5F" w:rsidRDefault="00D362C7">
            <w:pPr>
              <w:spacing w:after="160" w:line="259" w:lineRule="auto"/>
              <w:jc w:val="center"/>
              <w:rPr>
                <w:rFonts w:eastAsia="Times New Roman"/>
                <w:color w:val="000000"/>
                <w:sz w:val="18"/>
                <w:szCs w:val="18"/>
              </w:rPr>
            </w:pPr>
            <w:r w:rsidRPr="00EB5D5F">
              <w:rPr>
                <w:rFonts w:eastAsia="Times New Roman"/>
                <w:color w:val="000000"/>
                <w:sz w:val="18"/>
                <w:szCs w:val="18"/>
              </w:rPr>
              <w:t>36</w:t>
            </w:r>
          </w:p>
        </w:tc>
        <w:tc>
          <w:tcPr>
            <w:tcW w:w="3007" w:type="dxa"/>
          </w:tcPr>
          <w:p w14:paraId="02BD88A2" w14:textId="77777777" w:rsidR="009836BA" w:rsidRPr="00EB5D5F" w:rsidRDefault="00D362C7">
            <w:pPr>
              <w:spacing w:after="160" w:line="259" w:lineRule="auto"/>
              <w:jc w:val="center"/>
              <w:rPr>
                <w:rFonts w:eastAsia="Times New Roman"/>
                <w:color w:val="000000"/>
                <w:sz w:val="18"/>
                <w:szCs w:val="18"/>
              </w:rPr>
            </w:pPr>
            <w:r w:rsidRPr="00EB5D5F">
              <w:rPr>
                <w:rFonts w:eastAsia="Times New Roman"/>
                <w:color w:val="000000"/>
                <w:sz w:val="18"/>
                <w:szCs w:val="18"/>
              </w:rPr>
              <w:t>5.8</w:t>
            </w:r>
          </w:p>
        </w:tc>
      </w:tr>
      <w:tr w:rsidR="009836BA" w:rsidRPr="00EB5D5F" w14:paraId="22E991D1" w14:textId="77777777" w:rsidTr="00606A27">
        <w:tc>
          <w:tcPr>
            <w:tcW w:w="3006" w:type="dxa"/>
          </w:tcPr>
          <w:p w14:paraId="7ECB19FB" w14:textId="77777777" w:rsidR="009836BA" w:rsidRPr="00EB5D5F" w:rsidRDefault="00D362C7">
            <w:pPr>
              <w:spacing w:after="160" w:line="259" w:lineRule="auto"/>
              <w:rPr>
                <w:rFonts w:eastAsia="Times New Roman"/>
                <w:color w:val="000000"/>
                <w:sz w:val="18"/>
                <w:szCs w:val="18"/>
              </w:rPr>
            </w:pPr>
            <w:r w:rsidRPr="00EB5D5F">
              <w:rPr>
                <w:rFonts w:eastAsia="Times New Roman"/>
                <w:color w:val="000000"/>
                <w:sz w:val="18"/>
                <w:szCs w:val="18"/>
              </w:rPr>
              <w:t xml:space="preserve">   </w:t>
            </w:r>
            <w:proofErr w:type="spellStart"/>
            <w:r w:rsidRPr="00EB5D5F">
              <w:rPr>
                <w:rFonts w:eastAsia="Times New Roman"/>
                <w:color w:val="000000"/>
                <w:sz w:val="18"/>
                <w:szCs w:val="18"/>
              </w:rPr>
              <w:t>Substance</w:t>
            </w:r>
            <w:proofErr w:type="spellEnd"/>
            <w:r w:rsidRPr="00EB5D5F">
              <w:rPr>
                <w:rFonts w:eastAsia="Times New Roman"/>
                <w:color w:val="000000"/>
                <w:sz w:val="18"/>
                <w:szCs w:val="18"/>
              </w:rPr>
              <w:t xml:space="preserve"> </w:t>
            </w:r>
            <w:proofErr w:type="spellStart"/>
            <w:r w:rsidRPr="00EB5D5F">
              <w:rPr>
                <w:rFonts w:eastAsia="Times New Roman"/>
                <w:color w:val="000000"/>
                <w:sz w:val="18"/>
                <w:szCs w:val="18"/>
              </w:rPr>
              <w:t>disorders</w:t>
            </w:r>
            <w:proofErr w:type="spellEnd"/>
          </w:p>
        </w:tc>
        <w:tc>
          <w:tcPr>
            <w:tcW w:w="3006" w:type="dxa"/>
          </w:tcPr>
          <w:p w14:paraId="50B0BFF2" w14:textId="77777777" w:rsidR="009836BA" w:rsidRPr="00EB5D5F" w:rsidRDefault="00D362C7">
            <w:pPr>
              <w:spacing w:after="160" w:line="259" w:lineRule="auto"/>
              <w:jc w:val="center"/>
              <w:rPr>
                <w:rFonts w:eastAsia="Times New Roman"/>
                <w:color w:val="000000"/>
                <w:sz w:val="18"/>
                <w:szCs w:val="18"/>
              </w:rPr>
            </w:pPr>
            <w:r w:rsidRPr="00EB5D5F">
              <w:rPr>
                <w:rFonts w:eastAsia="Times New Roman"/>
                <w:color w:val="000000"/>
                <w:sz w:val="18"/>
                <w:szCs w:val="18"/>
              </w:rPr>
              <w:t>30</w:t>
            </w:r>
          </w:p>
        </w:tc>
        <w:tc>
          <w:tcPr>
            <w:tcW w:w="3007" w:type="dxa"/>
          </w:tcPr>
          <w:p w14:paraId="27C09A3B" w14:textId="77777777" w:rsidR="009836BA" w:rsidRPr="00EB5D5F" w:rsidRDefault="00D362C7">
            <w:pPr>
              <w:spacing w:after="160" w:line="259" w:lineRule="auto"/>
              <w:jc w:val="center"/>
              <w:rPr>
                <w:rFonts w:eastAsia="Times New Roman"/>
                <w:color w:val="000000"/>
                <w:sz w:val="18"/>
                <w:szCs w:val="18"/>
              </w:rPr>
            </w:pPr>
            <w:r w:rsidRPr="00EB5D5F">
              <w:rPr>
                <w:rFonts w:eastAsia="Times New Roman"/>
                <w:color w:val="000000"/>
                <w:sz w:val="18"/>
                <w:szCs w:val="18"/>
              </w:rPr>
              <w:t>4.8</w:t>
            </w:r>
          </w:p>
        </w:tc>
      </w:tr>
      <w:tr w:rsidR="009836BA" w:rsidRPr="00EB5D5F" w14:paraId="351FBFDF" w14:textId="77777777" w:rsidTr="00606A27">
        <w:tc>
          <w:tcPr>
            <w:tcW w:w="3006" w:type="dxa"/>
          </w:tcPr>
          <w:p w14:paraId="758BC43B" w14:textId="77777777" w:rsidR="009836BA" w:rsidRPr="00EB5D5F" w:rsidRDefault="00D362C7">
            <w:pPr>
              <w:spacing w:after="160" w:line="259" w:lineRule="auto"/>
              <w:rPr>
                <w:rFonts w:eastAsia="Times New Roman"/>
                <w:color w:val="000000"/>
                <w:sz w:val="18"/>
                <w:szCs w:val="18"/>
              </w:rPr>
            </w:pPr>
            <w:r w:rsidRPr="00EB5D5F">
              <w:rPr>
                <w:rFonts w:eastAsia="Times New Roman"/>
                <w:color w:val="000000"/>
                <w:sz w:val="18"/>
                <w:szCs w:val="18"/>
              </w:rPr>
              <w:t xml:space="preserve">   </w:t>
            </w:r>
            <w:proofErr w:type="spellStart"/>
            <w:r w:rsidRPr="00EB5D5F">
              <w:rPr>
                <w:rFonts w:eastAsia="Times New Roman"/>
                <w:color w:val="000000"/>
                <w:sz w:val="18"/>
                <w:szCs w:val="18"/>
              </w:rPr>
              <w:t>Dysthymic</w:t>
            </w:r>
            <w:proofErr w:type="spellEnd"/>
            <w:r w:rsidRPr="00EB5D5F">
              <w:rPr>
                <w:rFonts w:eastAsia="Times New Roman"/>
                <w:color w:val="000000"/>
                <w:sz w:val="18"/>
                <w:szCs w:val="18"/>
              </w:rPr>
              <w:t xml:space="preserve"> </w:t>
            </w:r>
            <w:proofErr w:type="spellStart"/>
            <w:r w:rsidRPr="00EB5D5F">
              <w:rPr>
                <w:rFonts w:eastAsia="Times New Roman"/>
                <w:color w:val="000000"/>
                <w:sz w:val="18"/>
                <w:szCs w:val="18"/>
              </w:rPr>
              <w:t>disorder</w:t>
            </w:r>
            <w:proofErr w:type="spellEnd"/>
          </w:p>
        </w:tc>
        <w:tc>
          <w:tcPr>
            <w:tcW w:w="3006" w:type="dxa"/>
          </w:tcPr>
          <w:p w14:paraId="0DF40C50" w14:textId="77777777" w:rsidR="009836BA" w:rsidRPr="00EB5D5F" w:rsidRDefault="00D362C7">
            <w:pPr>
              <w:spacing w:after="160" w:line="259" w:lineRule="auto"/>
              <w:jc w:val="center"/>
              <w:rPr>
                <w:rFonts w:eastAsia="Times New Roman"/>
                <w:color w:val="000000"/>
                <w:sz w:val="18"/>
                <w:szCs w:val="18"/>
              </w:rPr>
            </w:pPr>
            <w:r w:rsidRPr="00EB5D5F">
              <w:rPr>
                <w:rFonts w:eastAsia="Times New Roman"/>
                <w:color w:val="000000"/>
                <w:sz w:val="18"/>
                <w:szCs w:val="18"/>
              </w:rPr>
              <w:t>29</w:t>
            </w:r>
          </w:p>
        </w:tc>
        <w:tc>
          <w:tcPr>
            <w:tcW w:w="3007" w:type="dxa"/>
          </w:tcPr>
          <w:p w14:paraId="66891CB9" w14:textId="77777777" w:rsidR="009836BA" w:rsidRPr="00EB5D5F" w:rsidRDefault="00D362C7">
            <w:pPr>
              <w:spacing w:after="160" w:line="259" w:lineRule="auto"/>
              <w:jc w:val="center"/>
              <w:rPr>
                <w:rFonts w:eastAsia="Times New Roman"/>
                <w:color w:val="000000"/>
                <w:sz w:val="18"/>
                <w:szCs w:val="18"/>
              </w:rPr>
            </w:pPr>
            <w:r w:rsidRPr="00EB5D5F">
              <w:rPr>
                <w:rFonts w:eastAsia="Times New Roman"/>
                <w:color w:val="000000"/>
                <w:sz w:val="18"/>
                <w:szCs w:val="18"/>
              </w:rPr>
              <w:t>4.6</w:t>
            </w:r>
          </w:p>
        </w:tc>
      </w:tr>
      <w:tr w:rsidR="009836BA" w:rsidRPr="00EB5D5F" w14:paraId="15865CA2" w14:textId="77777777" w:rsidTr="00606A27">
        <w:tc>
          <w:tcPr>
            <w:tcW w:w="3006" w:type="dxa"/>
          </w:tcPr>
          <w:p w14:paraId="1E109F9C" w14:textId="77777777" w:rsidR="009836BA" w:rsidRPr="00EB5D5F" w:rsidRDefault="00D362C7">
            <w:pPr>
              <w:spacing w:after="160" w:line="259" w:lineRule="auto"/>
              <w:rPr>
                <w:rFonts w:eastAsia="Times New Roman"/>
                <w:color w:val="000000"/>
                <w:sz w:val="18"/>
                <w:szCs w:val="18"/>
              </w:rPr>
            </w:pPr>
            <w:r w:rsidRPr="00EB5D5F">
              <w:rPr>
                <w:rFonts w:eastAsia="Times New Roman"/>
                <w:color w:val="000000"/>
                <w:sz w:val="18"/>
                <w:szCs w:val="18"/>
              </w:rPr>
              <w:t xml:space="preserve">   Somatoforme </w:t>
            </w:r>
            <w:proofErr w:type="spellStart"/>
            <w:r w:rsidRPr="00EB5D5F">
              <w:rPr>
                <w:rFonts w:eastAsia="Times New Roman"/>
                <w:color w:val="000000"/>
                <w:sz w:val="18"/>
                <w:szCs w:val="18"/>
              </w:rPr>
              <w:t>disorders</w:t>
            </w:r>
            <w:proofErr w:type="spellEnd"/>
          </w:p>
        </w:tc>
        <w:tc>
          <w:tcPr>
            <w:tcW w:w="3006" w:type="dxa"/>
          </w:tcPr>
          <w:p w14:paraId="7EC7F617" w14:textId="77777777" w:rsidR="009836BA" w:rsidRPr="00EB5D5F" w:rsidRDefault="00D362C7">
            <w:pPr>
              <w:spacing w:after="160" w:line="259" w:lineRule="auto"/>
              <w:jc w:val="center"/>
              <w:rPr>
                <w:rFonts w:eastAsia="Times New Roman"/>
                <w:color w:val="000000"/>
                <w:sz w:val="18"/>
                <w:szCs w:val="18"/>
              </w:rPr>
            </w:pPr>
            <w:r w:rsidRPr="00EB5D5F">
              <w:rPr>
                <w:rFonts w:eastAsia="Times New Roman"/>
                <w:color w:val="000000"/>
                <w:sz w:val="18"/>
                <w:szCs w:val="18"/>
              </w:rPr>
              <w:t>17</w:t>
            </w:r>
          </w:p>
        </w:tc>
        <w:tc>
          <w:tcPr>
            <w:tcW w:w="3007" w:type="dxa"/>
          </w:tcPr>
          <w:p w14:paraId="5838C910" w14:textId="77777777" w:rsidR="009836BA" w:rsidRPr="00EB5D5F" w:rsidRDefault="00D362C7">
            <w:pPr>
              <w:spacing w:after="160" w:line="259" w:lineRule="auto"/>
              <w:jc w:val="center"/>
              <w:rPr>
                <w:rFonts w:eastAsia="Times New Roman"/>
                <w:color w:val="000000"/>
                <w:sz w:val="18"/>
                <w:szCs w:val="18"/>
              </w:rPr>
            </w:pPr>
            <w:r w:rsidRPr="00EB5D5F">
              <w:rPr>
                <w:rFonts w:eastAsia="Times New Roman"/>
                <w:color w:val="000000"/>
                <w:sz w:val="18"/>
                <w:szCs w:val="18"/>
              </w:rPr>
              <w:t>2.7</w:t>
            </w:r>
          </w:p>
        </w:tc>
      </w:tr>
      <w:tr w:rsidR="009836BA" w:rsidRPr="00EB5D5F" w14:paraId="11FEC21F" w14:textId="77777777" w:rsidTr="00606A27">
        <w:tc>
          <w:tcPr>
            <w:tcW w:w="3006" w:type="dxa"/>
          </w:tcPr>
          <w:p w14:paraId="5E9C62F4" w14:textId="77777777" w:rsidR="009836BA" w:rsidRPr="00EB5D5F" w:rsidRDefault="00D362C7">
            <w:pPr>
              <w:spacing w:after="160" w:line="259" w:lineRule="auto"/>
              <w:rPr>
                <w:rFonts w:eastAsia="Times New Roman"/>
                <w:i/>
                <w:color w:val="000000"/>
                <w:sz w:val="18"/>
                <w:szCs w:val="18"/>
              </w:rPr>
            </w:pPr>
            <w:r w:rsidRPr="00EB5D5F">
              <w:rPr>
                <w:rFonts w:eastAsia="Times New Roman"/>
                <w:color w:val="000000"/>
                <w:sz w:val="18"/>
                <w:szCs w:val="18"/>
              </w:rPr>
              <w:t xml:space="preserve">   </w:t>
            </w:r>
            <w:proofErr w:type="spellStart"/>
            <w:r w:rsidRPr="00EB5D5F">
              <w:rPr>
                <w:rFonts w:eastAsia="Times New Roman"/>
                <w:color w:val="000000"/>
                <w:sz w:val="18"/>
                <w:szCs w:val="18"/>
              </w:rPr>
              <w:t>Psychotic</w:t>
            </w:r>
            <w:proofErr w:type="spellEnd"/>
            <w:r w:rsidRPr="00EB5D5F">
              <w:rPr>
                <w:rFonts w:eastAsia="Times New Roman"/>
                <w:color w:val="000000"/>
                <w:sz w:val="18"/>
                <w:szCs w:val="18"/>
              </w:rPr>
              <w:t xml:space="preserve"> </w:t>
            </w:r>
            <w:proofErr w:type="spellStart"/>
            <w:r w:rsidRPr="00EB5D5F">
              <w:rPr>
                <w:rFonts w:eastAsia="Times New Roman"/>
                <w:color w:val="000000"/>
                <w:sz w:val="18"/>
                <w:szCs w:val="18"/>
              </w:rPr>
              <w:t>disorders</w:t>
            </w:r>
            <w:proofErr w:type="spellEnd"/>
          </w:p>
        </w:tc>
        <w:tc>
          <w:tcPr>
            <w:tcW w:w="3006" w:type="dxa"/>
          </w:tcPr>
          <w:p w14:paraId="308D1C02" w14:textId="77777777" w:rsidR="009836BA" w:rsidRPr="00EB5D5F" w:rsidRDefault="00D362C7">
            <w:pPr>
              <w:spacing w:after="160" w:line="259" w:lineRule="auto"/>
              <w:jc w:val="center"/>
              <w:rPr>
                <w:rFonts w:eastAsia="Times New Roman"/>
                <w:color w:val="000000"/>
                <w:sz w:val="18"/>
                <w:szCs w:val="18"/>
              </w:rPr>
            </w:pPr>
            <w:r w:rsidRPr="00EB5D5F">
              <w:rPr>
                <w:rFonts w:eastAsia="Times New Roman"/>
                <w:color w:val="000000"/>
                <w:sz w:val="18"/>
                <w:szCs w:val="18"/>
              </w:rPr>
              <w:t>6</w:t>
            </w:r>
          </w:p>
        </w:tc>
        <w:tc>
          <w:tcPr>
            <w:tcW w:w="3007" w:type="dxa"/>
          </w:tcPr>
          <w:p w14:paraId="30784BC0" w14:textId="77777777" w:rsidR="009836BA" w:rsidRPr="00EB5D5F" w:rsidRDefault="00D362C7">
            <w:pPr>
              <w:spacing w:after="160" w:line="259" w:lineRule="auto"/>
              <w:jc w:val="center"/>
              <w:rPr>
                <w:rFonts w:eastAsia="Times New Roman"/>
                <w:color w:val="000000"/>
                <w:sz w:val="18"/>
                <w:szCs w:val="18"/>
              </w:rPr>
            </w:pPr>
            <w:r w:rsidRPr="00EB5D5F">
              <w:rPr>
                <w:rFonts w:eastAsia="Times New Roman"/>
                <w:color w:val="000000"/>
                <w:sz w:val="18"/>
                <w:szCs w:val="18"/>
              </w:rPr>
              <w:t>1</w:t>
            </w:r>
          </w:p>
        </w:tc>
      </w:tr>
      <w:tr w:rsidR="009836BA" w:rsidRPr="00EB5D5F" w14:paraId="4C99F8B4" w14:textId="77777777" w:rsidTr="00606A27">
        <w:tc>
          <w:tcPr>
            <w:tcW w:w="3006" w:type="dxa"/>
          </w:tcPr>
          <w:p w14:paraId="7569C9AB" w14:textId="77777777" w:rsidR="009836BA" w:rsidRPr="00EB5D5F" w:rsidRDefault="00D362C7">
            <w:pPr>
              <w:spacing w:after="160" w:line="259" w:lineRule="auto"/>
              <w:rPr>
                <w:rFonts w:eastAsia="Times New Roman"/>
                <w:color w:val="000000"/>
                <w:sz w:val="18"/>
                <w:szCs w:val="18"/>
              </w:rPr>
            </w:pPr>
            <w:proofErr w:type="spellStart"/>
            <w:r w:rsidRPr="00EB5D5F">
              <w:rPr>
                <w:rFonts w:eastAsia="Times New Roman"/>
                <w:i/>
                <w:color w:val="000000"/>
                <w:sz w:val="18"/>
                <w:szCs w:val="18"/>
              </w:rPr>
              <w:t>Number</w:t>
            </w:r>
            <w:proofErr w:type="spellEnd"/>
            <w:r w:rsidRPr="00EB5D5F">
              <w:rPr>
                <w:rFonts w:eastAsia="Times New Roman"/>
                <w:i/>
                <w:color w:val="000000"/>
                <w:sz w:val="18"/>
                <w:szCs w:val="18"/>
              </w:rPr>
              <w:t xml:space="preserve"> </w:t>
            </w:r>
            <w:proofErr w:type="spellStart"/>
            <w:r w:rsidRPr="00EB5D5F">
              <w:rPr>
                <w:rFonts w:eastAsia="Times New Roman"/>
                <w:i/>
                <w:color w:val="000000"/>
                <w:sz w:val="18"/>
                <w:szCs w:val="18"/>
              </w:rPr>
              <w:t>of</w:t>
            </w:r>
            <w:proofErr w:type="spellEnd"/>
            <w:r w:rsidRPr="00EB5D5F">
              <w:rPr>
                <w:rFonts w:eastAsia="Times New Roman"/>
                <w:i/>
                <w:color w:val="000000"/>
                <w:sz w:val="18"/>
                <w:szCs w:val="18"/>
              </w:rPr>
              <w:t xml:space="preserve"> </w:t>
            </w:r>
            <w:proofErr w:type="spellStart"/>
            <w:r w:rsidRPr="00EB5D5F">
              <w:rPr>
                <w:rFonts w:eastAsia="Times New Roman"/>
                <w:i/>
                <w:color w:val="000000"/>
                <w:sz w:val="18"/>
                <w:szCs w:val="18"/>
              </w:rPr>
              <w:t>comorbidities</w:t>
            </w:r>
            <w:proofErr w:type="spellEnd"/>
          </w:p>
        </w:tc>
        <w:tc>
          <w:tcPr>
            <w:tcW w:w="3006" w:type="dxa"/>
          </w:tcPr>
          <w:p w14:paraId="766A9DFA" w14:textId="77777777" w:rsidR="009836BA" w:rsidRPr="00EB5D5F" w:rsidRDefault="009836BA">
            <w:pPr>
              <w:spacing w:after="160" w:line="259" w:lineRule="auto"/>
              <w:jc w:val="center"/>
              <w:rPr>
                <w:rFonts w:eastAsia="Times New Roman"/>
                <w:color w:val="000000"/>
                <w:sz w:val="18"/>
                <w:szCs w:val="18"/>
              </w:rPr>
            </w:pPr>
          </w:p>
        </w:tc>
        <w:tc>
          <w:tcPr>
            <w:tcW w:w="3007" w:type="dxa"/>
          </w:tcPr>
          <w:p w14:paraId="733B7F92" w14:textId="77777777" w:rsidR="009836BA" w:rsidRPr="00EB5D5F" w:rsidRDefault="009836BA">
            <w:pPr>
              <w:spacing w:after="160" w:line="259" w:lineRule="auto"/>
              <w:jc w:val="center"/>
              <w:rPr>
                <w:rFonts w:eastAsia="Times New Roman"/>
                <w:color w:val="000000"/>
                <w:sz w:val="18"/>
                <w:szCs w:val="18"/>
              </w:rPr>
            </w:pPr>
          </w:p>
        </w:tc>
      </w:tr>
      <w:tr w:rsidR="009836BA" w:rsidRPr="00EB5D5F" w14:paraId="1F1178B2" w14:textId="77777777" w:rsidTr="00606A27">
        <w:tc>
          <w:tcPr>
            <w:tcW w:w="3006" w:type="dxa"/>
          </w:tcPr>
          <w:p w14:paraId="49E6E430" w14:textId="77777777" w:rsidR="009836BA" w:rsidRPr="00EB5D5F" w:rsidRDefault="00D362C7">
            <w:pPr>
              <w:spacing w:after="160" w:line="259" w:lineRule="auto"/>
              <w:rPr>
                <w:rFonts w:eastAsia="Times New Roman"/>
                <w:color w:val="000000"/>
                <w:sz w:val="18"/>
                <w:szCs w:val="18"/>
              </w:rPr>
            </w:pPr>
            <w:r w:rsidRPr="00EB5D5F">
              <w:rPr>
                <w:rFonts w:eastAsia="Times New Roman"/>
                <w:color w:val="000000"/>
                <w:sz w:val="18"/>
                <w:szCs w:val="18"/>
              </w:rPr>
              <w:t xml:space="preserve">   0</w:t>
            </w:r>
          </w:p>
        </w:tc>
        <w:tc>
          <w:tcPr>
            <w:tcW w:w="3006" w:type="dxa"/>
          </w:tcPr>
          <w:p w14:paraId="39CCD443" w14:textId="77777777" w:rsidR="009836BA" w:rsidRPr="00EB5D5F" w:rsidRDefault="00D362C7">
            <w:pPr>
              <w:spacing w:after="160" w:line="259" w:lineRule="auto"/>
              <w:jc w:val="center"/>
              <w:rPr>
                <w:rFonts w:eastAsia="Times New Roman"/>
                <w:color w:val="000000"/>
                <w:sz w:val="18"/>
                <w:szCs w:val="18"/>
              </w:rPr>
            </w:pPr>
            <w:r w:rsidRPr="00EB5D5F">
              <w:rPr>
                <w:rFonts w:eastAsia="Times New Roman"/>
                <w:color w:val="000000"/>
                <w:sz w:val="18"/>
                <w:szCs w:val="18"/>
              </w:rPr>
              <w:t>372</w:t>
            </w:r>
          </w:p>
        </w:tc>
        <w:tc>
          <w:tcPr>
            <w:tcW w:w="3007" w:type="dxa"/>
          </w:tcPr>
          <w:p w14:paraId="01F7EB7B" w14:textId="77777777" w:rsidR="009836BA" w:rsidRPr="00EB5D5F" w:rsidRDefault="00D362C7">
            <w:pPr>
              <w:spacing w:after="160" w:line="259" w:lineRule="auto"/>
              <w:jc w:val="center"/>
              <w:rPr>
                <w:rFonts w:eastAsia="Times New Roman"/>
                <w:color w:val="000000"/>
                <w:sz w:val="18"/>
                <w:szCs w:val="18"/>
              </w:rPr>
            </w:pPr>
            <w:r w:rsidRPr="00EB5D5F">
              <w:rPr>
                <w:rFonts w:eastAsia="Times New Roman"/>
                <w:color w:val="000000"/>
                <w:sz w:val="18"/>
                <w:szCs w:val="18"/>
              </w:rPr>
              <w:t>59.6</w:t>
            </w:r>
          </w:p>
        </w:tc>
      </w:tr>
      <w:tr w:rsidR="009836BA" w:rsidRPr="00EB5D5F" w14:paraId="6BAB0BC7" w14:textId="77777777" w:rsidTr="00606A27">
        <w:tc>
          <w:tcPr>
            <w:tcW w:w="3006" w:type="dxa"/>
          </w:tcPr>
          <w:p w14:paraId="7C50022E" w14:textId="77777777" w:rsidR="009836BA" w:rsidRPr="00EB5D5F" w:rsidRDefault="00D362C7">
            <w:pPr>
              <w:spacing w:after="160" w:line="259" w:lineRule="auto"/>
              <w:rPr>
                <w:rFonts w:eastAsia="Times New Roman"/>
                <w:color w:val="000000"/>
                <w:sz w:val="18"/>
                <w:szCs w:val="18"/>
              </w:rPr>
            </w:pPr>
            <w:r w:rsidRPr="00EB5D5F">
              <w:rPr>
                <w:rFonts w:eastAsia="Times New Roman"/>
                <w:color w:val="000000"/>
                <w:sz w:val="18"/>
                <w:szCs w:val="18"/>
              </w:rPr>
              <w:t xml:space="preserve">   1</w:t>
            </w:r>
          </w:p>
        </w:tc>
        <w:tc>
          <w:tcPr>
            <w:tcW w:w="3006" w:type="dxa"/>
          </w:tcPr>
          <w:p w14:paraId="2470946D" w14:textId="77777777" w:rsidR="009836BA" w:rsidRPr="00EB5D5F" w:rsidRDefault="00D362C7">
            <w:pPr>
              <w:spacing w:after="160" w:line="259" w:lineRule="auto"/>
              <w:jc w:val="center"/>
              <w:rPr>
                <w:rFonts w:eastAsia="Times New Roman"/>
                <w:color w:val="000000"/>
                <w:sz w:val="18"/>
                <w:szCs w:val="18"/>
              </w:rPr>
            </w:pPr>
            <w:r w:rsidRPr="00EB5D5F">
              <w:rPr>
                <w:rFonts w:eastAsia="Times New Roman"/>
                <w:color w:val="000000"/>
                <w:sz w:val="18"/>
                <w:szCs w:val="18"/>
              </w:rPr>
              <w:t>159</w:t>
            </w:r>
          </w:p>
        </w:tc>
        <w:tc>
          <w:tcPr>
            <w:tcW w:w="3007" w:type="dxa"/>
          </w:tcPr>
          <w:p w14:paraId="0DFADADD" w14:textId="77777777" w:rsidR="009836BA" w:rsidRPr="00EB5D5F" w:rsidRDefault="00D362C7">
            <w:pPr>
              <w:spacing w:after="160" w:line="259" w:lineRule="auto"/>
              <w:jc w:val="center"/>
              <w:rPr>
                <w:rFonts w:eastAsia="Times New Roman"/>
                <w:color w:val="000000"/>
                <w:sz w:val="18"/>
                <w:szCs w:val="18"/>
              </w:rPr>
            </w:pPr>
            <w:r w:rsidRPr="00EB5D5F">
              <w:rPr>
                <w:rFonts w:eastAsia="Times New Roman"/>
                <w:color w:val="000000"/>
                <w:sz w:val="18"/>
                <w:szCs w:val="18"/>
              </w:rPr>
              <w:t>25.5</w:t>
            </w:r>
          </w:p>
        </w:tc>
      </w:tr>
      <w:tr w:rsidR="009836BA" w:rsidRPr="00EB5D5F" w14:paraId="2AD64446" w14:textId="77777777" w:rsidTr="00606A27">
        <w:tc>
          <w:tcPr>
            <w:tcW w:w="3006" w:type="dxa"/>
          </w:tcPr>
          <w:p w14:paraId="1BEFB3AD" w14:textId="77777777" w:rsidR="009836BA" w:rsidRPr="00EB5D5F" w:rsidRDefault="00D362C7">
            <w:pPr>
              <w:spacing w:after="160" w:line="259" w:lineRule="auto"/>
              <w:rPr>
                <w:rFonts w:eastAsia="Times New Roman"/>
                <w:color w:val="000000"/>
                <w:sz w:val="18"/>
                <w:szCs w:val="18"/>
              </w:rPr>
            </w:pPr>
            <w:r w:rsidRPr="00EB5D5F">
              <w:rPr>
                <w:rFonts w:eastAsia="Times New Roman"/>
                <w:color w:val="000000"/>
                <w:sz w:val="18"/>
                <w:szCs w:val="18"/>
              </w:rPr>
              <w:t xml:space="preserve">   2</w:t>
            </w:r>
          </w:p>
        </w:tc>
        <w:tc>
          <w:tcPr>
            <w:tcW w:w="3006" w:type="dxa"/>
          </w:tcPr>
          <w:p w14:paraId="55CCBA5B" w14:textId="77777777" w:rsidR="009836BA" w:rsidRPr="00EB5D5F" w:rsidRDefault="00D362C7">
            <w:pPr>
              <w:spacing w:after="160" w:line="259" w:lineRule="auto"/>
              <w:jc w:val="center"/>
              <w:rPr>
                <w:rFonts w:eastAsia="Times New Roman"/>
                <w:color w:val="000000"/>
                <w:sz w:val="18"/>
                <w:szCs w:val="18"/>
              </w:rPr>
            </w:pPr>
            <w:r w:rsidRPr="00EB5D5F">
              <w:rPr>
                <w:rFonts w:eastAsia="Times New Roman"/>
                <w:color w:val="000000"/>
                <w:sz w:val="18"/>
                <w:szCs w:val="18"/>
              </w:rPr>
              <w:t>64</w:t>
            </w:r>
          </w:p>
        </w:tc>
        <w:tc>
          <w:tcPr>
            <w:tcW w:w="3007" w:type="dxa"/>
          </w:tcPr>
          <w:p w14:paraId="2A160BFA" w14:textId="77777777" w:rsidR="009836BA" w:rsidRPr="00EB5D5F" w:rsidRDefault="00D362C7">
            <w:pPr>
              <w:spacing w:after="160" w:line="259" w:lineRule="auto"/>
              <w:jc w:val="center"/>
              <w:rPr>
                <w:rFonts w:eastAsia="Times New Roman"/>
                <w:color w:val="000000"/>
                <w:sz w:val="18"/>
                <w:szCs w:val="18"/>
              </w:rPr>
            </w:pPr>
            <w:r w:rsidRPr="00EB5D5F">
              <w:rPr>
                <w:rFonts w:eastAsia="Times New Roman"/>
                <w:color w:val="000000"/>
                <w:sz w:val="18"/>
                <w:szCs w:val="18"/>
              </w:rPr>
              <w:t>10.3</w:t>
            </w:r>
          </w:p>
        </w:tc>
      </w:tr>
      <w:tr w:rsidR="009836BA" w:rsidRPr="00EB5D5F" w14:paraId="057B5688" w14:textId="77777777" w:rsidTr="00606A27">
        <w:tc>
          <w:tcPr>
            <w:tcW w:w="3006" w:type="dxa"/>
          </w:tcPr>
          <w:p w14:paraId="7905EBB9" w14:textId="77777777" w:rsidR="009836BA" w:rsidRPr="00EB5D5F" w:rsidRDefault="00D362C7">
            <w:pPr>
              <w:spacing w:after="160" w:line="259" w:lineRule="auto"/>
              <w:rPr>
                <w:rFonts w:eastAsia="Times New Roman"/>
                <w:color w:val="000000"/>
                <w:sz w:val="18"/>
                <w:szCs w:val="18"/>
              </w:rPr>
            </w:pPr>
            <w:r w:rsidRPr="00EB5D5F">
              <w:rPr>
                <w:rFonts w:eastAsia="Times New Roman"/>
                <w:color w:val="000000"/>
                <w:sz w:val="18"/>
                <w:szCs w:val="18"/>
              </w:rPr>
              <w:t xml:space="preserve">   3</w:t>
            </w:r>
          </w:p>
        </w:tc>
        <w:tc>
          <w:tcPr>
            <w:tcW w:w="3006" w:type="dxa"/>
          </w:tcPr>
          <w:p w14:paraId="7330FE2F" w14:textId="77777777" w:rsidR="009836BA" w:rsidRPr="00EB5D5F" w:rsidRDefault="00D362C7">
            <w:pPr>
              <w:spacing w:after="160" w:line="259" w:lineRule="auto"/>
              <w:jc w:val="center"/>
              <w:rPr>
                <w:rFonts w:eastAsia="Times New Roman"/>
                <w:color w:val="000000"/>
                <w:sz w:val="18"/>
                <w:szCs w:val="18"/>
              </w:rPr>
            </w:pPr>
            <w:r w:rsidRPr="00EB5D5F">
              <w:rPr>
                <w:rFonts w:eastAsia="Times New Roman"/>
                <w:color w:val="000000"/>
                <w:sz w:val="18"/>
                <w:szCs w:val="18"/>
              </w:rPr>
              <w:t>22</w:t>
            </w:r>
          </w:p>
        </w:tc>
        <w:tc>
          <w:tcPr>
            <w:tcW w:w="3007" w:type="dxa"/>
          </w:tcPr>
          <w:p w14:paraId="39943328" w14:textId="77777777" w:rsidR="009836BA" w:rsidRPr="00EB5D5F" w:rsidRDefault="00D362C7">
            <w:pPr>
              <w:spacing w:after="160" w:line="259" w:lineRule="auto"/>
              <w:jc w:val="center"/>
              <w:rPr>
                <w:rFonts w:eastAsia="Times New Roman"/>
                <w:color w:val="000000"/>
                <w:sz w:val="18"/>
                <w:szCs w:val="18"/>
              </w:rPr>
            </w:pPr>
            <w:r w:rsidRPr="00EB5D5F">
              <w:rPr>
                <w:rFonts w:eastAsia="Times New Roman"/>
                <w:color w:val="000000"/>
                <w:sz w:val="18"/>
                <w:szCs w:val="18"/>
              </w:rPr>
              <w:t>3.5</w:t>
            </w:r>
          </w:p>
        </w:tc>
      </w:tr>
      <w:tr w:rsidR="009836BA" w:rsidRPr="00EB5D5F" w14:paraId="32A91EB7" w14:textId="77777777" w:rsidTr="00606A27">
        <w:tc>
          <w:tcPr>
            <w:tcW w:w="3006" w:type="dxa"/>
          </w:tcPr>
          <w:p w14:paraId="67B36071" w14:textId="77777777" w:rsidR="009836BA" w:rsidRPr="00EB5D5F" w:rsidRDefault="00D362C7">
            <w:pPr>
              <w:spacing w:after="160" w:line="259" w:lineRule="auto"/>
              <w:rPr>
                <w:rFonts w:eastAsia="Times New Roman"/>
                <w:color w:val="000000"/>
                <w:sz w:val="18"/>
                <w:szCs w:val="18"/>
              </w:rPr>
            </w:pPr>
            <w:r w:rsidRPr="00EB5D5F">
              <w:rPr>
                <w:rFonts w:eastAsia="Times New Roman"/>
                <w:color w:val="000000"/>
                <w:sz w:val="18"/>
                <w:szCs w:val="18"/>
              </w:rPr>
              <w:t xml:space="preserve">   4</w:t>
            </w:r>
          </w:p>
        </w:tc>
        <w:tc>
          <w:tcPr>
            <w:tcW w:w="3006" w:type="dxa"/>
          </w:tcPr>
          <w:p w14:paraId="6787C25D" w14:textId="77777777" w:rsidR="009836BA" w:rsidRPr="00EB5D5F" w:rsidRDefault="00D362C7">
            <w:pPr>
              <w:spacing w:after="160" w:line="259" w:lineRule="auto"/>
              <w:jc w:val="center"/>
              <w:rPr>
                <w:rFonts w:eastAsia="Times New Roman"/>
                <w:color w:val="000000"/>
                <w:sz w:val="18"/>
                <w:szCs w:val="18"/>
              </w:rPr>
            </w:pPr>
            <w:r w:rsidRPr="00EB5D5F">
              <w:rPr>
                <w:rFonts w:eastAsia="Times New Roman"/>
                <w:color w:val="000000"/>
                <w:sz w:val="18"/>
                <w:szCs w:val="18"/>
              </w:rPr>
              <w:t>7</w:t>
            </w:r>
          </w:p>
        </w:tc>
        <w:tc>
          <w:tcPr>
            <w:tcW w:w="3007" w:type="dxa"/>
          </w:tcPr>
          <w:p w14:paraId="5E385887" w14:textId="77777777" w:rsidR="009836BA" w:rsidRPr="00EB5D5F" w:rsidRDefault="00D362C7">
            <w:pPr>
              <w:spacing w:after="160" w:line="259" w:lineRule="auto"/>
              <w:jc w:val="center"/>
              <w:rPr>
                <w:rFonts w:eastAsia="Times New Roman"/>
                <w:color w:val="000000"/>
                <w:sz w:val="18"/>
                <w:szCs w:val="18"/>
              </w:rPr>
            </w:pPr>
            <w:r w:rsidRPr="00EB5D5F">
              <w:rPr>
                <w:rFonts w:eastAsia="Times New Roman"/>
                <w:color w:val="000000"/>
                <w:sz w:val="18"/>
                <w:szCs w:val="18"/>
              </w:rPr>
              <w:t>1.1</w:t>
            </w:r>
          </w:p>
        </w:tc>
      </w:tr>
    </w:tbl>
    <w:p w14:paraId="5C06CDB4" w14:textId="77777777" w:rsidR="009836BA" w:rsidRPr="00EB5D5F" w:rsidRDefault="009836BA">
      <w:pPr>
        <w:spacing w:after="160" w:line="259" w:lineRule="auto"/>
        <w:rPr>
          <w:lang w:val="en-US"/>
        </w:rPr>
      </w:pPr>
    </w:p>
    <w:p w14:paraId="0C0E62DD" w14:textId="77777777" w:rsidR="009836BA" w:rsidRPr="00EB5D5F" w:rsidRDefault="00D362C7">
      <w:pPr>
        <w:spacing w:after="160" w:line="259" w:lineRule="auto"/>
        <w:rPr>
          <w:sz w:val="20"/>
          <w:lang w:val="en-US"/>
        </w:rPr>
      </w:pPr>
      <w:r w:rsidRPr="00EB5D5F">
        <w:rPr>
          <w:i/>
          <w:sz w:val="20"/>
          <w:lang w:val="en-US"/>
        </w:rPr>
        <w:t xml:space="preserve">Note. </w:t>
      </w:r>
      <w:r w:rsidRPr="00EB5D5F">
        <w:rPr>
          <w:sz w:val="20"/>
          <w:lang w:val="en-US"/>
        </w:rPr>
        <w:t xml:space="preserve">Lifetime comorbidities were derived from the structured clinical interview for DSM-IV (SCID). Lifetime anxiety disorders implicated specific phobias, social anxiety disorder, </w:t>
      </w:r>
      <w:proofErr w:type="gramStart"/>
      <w:r w:rsidRPr="00EB5D5F">
        <w:rPr>
          <w:sz w:val="20"/>
          <w:lang w:val="en-US"/>
        </w:rPr>
        <w:t>panic</w:t>
      </w:r>
      <w:proofErr w:type="gramEnd"/>
      <w:r w:rsidRPr="00EB5D5F">
        <w:rPr>
          <w:sz w:val="20"/>
          <w:lang w:val="en-US"/>
        </w:rPr>
        <w:t xml:space="preserve"> and agoraphobic disorders, generalized anxiety disorder, posttraumatic stress disorder, obsessive-compulsive disorder, anxiety disorder not otherwise specified (NOS) and adjustment disorder with mixed anxiety and depressed mood. Eating disorders implicated bulimia nervosa and eating disorder NOS. Among the category of substance disorders were cannabis abuse and alcohol abuse, as well as abuse of other substances. The group of participants with </w:t>
      </w:r>
      <w:proofErr w:type="spellStart"/>
      <w:r w:rsidRPr="00EB5D5F">
        <w:rPr>
          <w:sz w:val="20"/>
          <w:lang w:val="en-US"/>
        </w:rPr>
        <w:t>somatoforme</w:t>
      </w:r>
      <w:proofErr w:type="spellEnd"/>
      <w:r w:rsidRPr="00EB5D5F">
        <w:rPr>
          <w:sz w:val="20"/>
          <w:lang w:val="en-US"/>
        </w:rPr>
        <w:t xml:space="preserve"> disorders entailed </w:t>
      </w:r>
      <w:proofErr w:type="spellStart"/>
      <w:r w:rsidRPr="00EB5D5F">
        <w:rPr>
          <w:sz w:val="20"/>
          <w:lang w:val="en-US"/>
        </w:rPr>
        <w:t>somatoforme</w:t>
      </w:r>
      <w:proofErr w:type="spellEnd"/>
      <w:r w:rsidRPr="00EB5D5F">
        <w:rPr>
          <w:sz w:val="20"/>
          <w:lang w:val="en-US"/>
        </w:rPr>
        <w:t xml:space="preserve"> pain disorder, somatization disorder or somatization disorder NOS. The category of psychotic disorders included delusional disorder, brief psychotic disorder and psychotic disorder NOS.</w:t>
      </w:r>
    </w:p>
    <w:p w14:paraId="1EF35E0D" w14:textId="77777777" w:rsidR="009836BA" w:rsidRPr="00EB5D5F" w:rsidRDefault="00D362C7">
      <w:pPr>
        <w:spacing w:after="160" w:line="259" w:lineRule="auto"/>
        <w:rPr>
          <w:sz w:val="20"/>
          <w:lang w:val="en-US"/>
        </w:rPr>
      </w:pPr>
      <w:r w:rsidRPr="00EB5D5F">
        <w:rPr>
          <w:lang w:val="en-US"/>
        </w:rPr>
        <w:br w:type="page"/>
      </w:r>
    </w:p>
    <w:p w14:paraId="796BE12D" w14:textId="3B6E64A4" w:rsidR="009836BA" w:rsidRPr="00EB5D5F" w:rsidRDefault="00D362C7">
      <w:pPr>
        <w:spacing w:line="360" w:lineRule="auto"/>
        <w:rPr>
          <w:lang w:val="en-US"/>
        </w:rPr>
      </w:pPr>
      <w:r w:rsidRPr="00EB5D5F">
        <w:rPr>
          <w:lang w:val="en-US"/>
        </w:rPr>
        <w:lastRenderedPageBreak/>
        <w:t xml:space="preserve">Table S3. Categorical </w:t>
      </w:r>
      <w:r w:rsidR="00C2397F" w:rsidRPr="00EB5D5F">
        <w:rPr>
          <w:lang w:val="en-US"/>
        </w:rPr>
        <w:t xml:space="preserve">prevalence </w:t>
      </w:r>
      <w:r w:rsidRPr="00EB5D5F">
        <w:rPr>
          <w:lang w:val="en-US"/>
        </w:rPr>
        <w:t>of childhood maltreatment subtypes across healthy control and major depressive disorder participants.</w:t>
      </w:r>
    </w:p>
    <w:tbl>
      <w:tblPr>
        <w:tblStyle w:val="Tabellenraster"/>
        <w:tblW w:w="80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708"/>
        <w:gridCol w:w="1276"/>
        <w:gridCol w:w="284"/>
        <w:gridCol w:w="1417"/>
        <w:gridCol w:w="1134"/>
      </w:tblGrid>
      <w:tr w:rsidR="00606A27" w:rsidRPr="00EB5D5F" w14:paraId="24D6EC70" w14:textId="77777777" w:rsidTr="00606A27">
        <w:tc>
          <w:tcPr>
            <w:tcW w:w="3261" w:type="dxa"/>
          </w:tcPr>
          <w:p w14:paraId="3AAA6DFD" w14:textId="77777777" w:rsidR="00606A27" w:rsidRPr="00EB5D5F" w:rsidRDefault="00606A27">
            <w:pPr>
              <w:spacing w:after="160" w:line="259" w:lineRule="auto"/>
              <w:rPr>
                <w:rFonts w:eastAsia="Times New Roman"/>
                <w:color w:val="000000"/>
                <w:sz w:val="18"/>
                <w:szCs w:val="18"/>
                <w:lang w:val="en-US"/>
              </w:rPr>
            </w:pPr>
          </w:p>
        </w:tc>
        <w:tc>
          <w:tcPr>
            <w:tcW w:w="1984" w:type="dxa"/>
            <w:gridSpan w:val="2"/>
            <w:tcBorders>
              <w:top w:val="single" w:sz="4" w:space="0" w:color="auto"/>
              <w:bottom w:val="single" w:sz="4" w:space="0" w:color="auto"/>
            </w:tcBorders>
          </w:tcPr>
          <w:p w14:paraId="374A5974" w14:textId="77777777"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HC (n=701)</w:t>
            </w:r>
          </w:p>
        </w:tc>
        <w:tc>
          <w:tcPr>
            <w:tcW w:w="284" w:type="dxa"/>
            <w:tcBorders>
              <w:top w:val="single" w:sz="4" w:space="0" w:color="auto"/>
              <w:bottom w:val="nil"/>
            </w:tcBorders>
          </w:tcPr>
          <w:p w14:paraId="654895CB" w14:textId="77777777" w:rsidR="00606A27" w:rsidRPr="00EB5D5F" w:rsidRDefault="00606A27">
            <w:pPr>
              <w:spacing w:after="160" w:line="259" w:lineRule="auto"/>
              <w:jc w:val="center"/>
              <w:rPr>
                <w:rFonts w:eastAsia="Times New Roman"/>
                <w:color w:val="000000"/>
                <w:sz w:val="18"/>
                <w:szCs w:val="18"/>
              </w:rPr>
            </w:pPr>
          </w:p>
        </w:tc>
        <w:tc>
          <w:tcPr>
            <w:tcW w:w="2551" w:type="dxa"/>
            <w:gridSpan w:val="2"/>
            <w:tcBorders>
              <w:top w:val="single" w:sz="4" w:space="0" w:color="auto"/>
              <w:bottom w:val="single" w:sz="4" w:space="0" w:color="auto"/>
            </w:tcBorders>
          </w:tcPr>
          <w:p w14:paraId="3A56891D" w14:textId="27403546"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Lifetime MDD (n=624</w:t>
            </w:r>
          </w:p>
        </w:tc>
      </w:tr>
      <w:tr w:rsidR="00606A27" w:rsidRPr="00EB5D5F" w14:paraId="40D9B110" w14:textId="77777777" w:rsidTr="00606A27">
        <w:tc>
          <w:tcPr>
            <w:tcW w:w="3261" w:type="dxa"/>
            <w:tcBorders>
              <w:bottom w:val="single" w:sz="4" w:space="0" w:color="auto"/>
            </w:tcBorders>
          </w:tcPr>
          <w:p w14:paraId="6439426D" w14:textId="77777777" w:rsidR="00606A27" w:rsidRPr="00EB5D5F" w:rsidRDefault="00606A27">
            <w:pPr>
              <w:spacing w:after="160" w:line="259" w:lineRule="auto"/>
              <w:rPr>
                <w:rFonts w:eastAsia="Times New Roman"/>
                <w:color w:val="000000"/>
                <w:sz w:val="18"/>
                <w:szCs w:val="18"/>
                <w:lang w:val="en-US"/>
              </w:rPr>
            </w:pPr>
          </w:p>
        </w:tc>
        <w:tc>
          <w:tcPr>
            <w:tcW w:w="708" w:type="dxa"/>
            <w:tcBorders>
              <w:top w:val="single" w:sz="4" w:space="0" w:color="auto"/>
              <w:bottom w:val="single" w:sz="4" w:space="0" w:color="auto"/>
            </w:tcBorders>
          </w:tcPr>
          <w:p w14:paraId="03B64337" w14:textId="77777777"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N</w:t>
            </w:r>
          </w:p>
        </w:tc>
        <w:tc>
          <w:tcPr>
            <w:tcW w:w="1276" w:type="dxa"/>
            <w:tcBorders>
              <w:top w:val="single" w:sz="4" w:space="0" w:color="auto"/>
              <w:bottom w:val="single" w:sz="4" w:space="0" w:color="auto"/>
            </w:tcBorders>
          </w:tcPr>
          <w:p w14:paraId="023D52E0" w14:textId="77777777"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w:t>
            </w:r>
          </w:p>
        </w:tc>
        <w:tc>
          <w:tcPr>
            <w:tcW w:w="284" w:type="dxa"/>
            <w:tcBorders>
              <w:top w:val="nil"/>
              <w:bottom w:val="single" w:sz="4" w:space="0" w:color="auto"/>
            </w:tcBorders>
          </w:tcPr>
          <w:p w14:paraId="31A665A9" w14:textId="77777777" w:rsidR="00606A27" w:rsidRPr="00EB5D5F" w:rsidRDefault="00606A27">
            <w:pPr>
              <w:spacing w:after="160" w:line="259" w:lineRule="auto"/>
              <w:jc w:val="center"/>
              <w:rPr>
                <w:rFonts w:eastAsia="Times New Roman"/>
                <w:color w:val="000000"/>
                <w:sz w:val="18"/>
                <w:szCs w:val="18"/>
              </w:rPr>
            </w:pPr>
          </w:p>
        </w:tc>
        <w:tc>
          <w:tcPr>
            <w:tcW w:w="1417" w:type="dxa"/>
            <w:tcBorders>
              <w:top w:val="single" w:sz="4" w:space="0" w:color="auto"/>
              <w:bottom w:val="single" w:sz="4" w:space="0" w:color="auto"/>
            </w:tcBorders>
          </w:tcPr>
          <w:p w14:paraId="05A11034" w14:textId="2CA78502"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N</w:t>
            </w:r>
          </w:p>
        </w:tc>
        <w:tc>
          <w:tcPr>
            <w:tcW w:w="1134" w:type="dxa"/>
            <w:tcBorders>
              <w:top w:val="single" w:sz="4" w:space="0" w:color="auto"/>
              <w:bottom w:val="single" w:sz="4" w:space="0" w:color="auto"/>
            </w:tcBorders>
          </w:tcPr>
          <w:p w14:paraId="0EF7508C" w14:textId="77777777"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w:t>
            </w:r>
          </w:p>
        </w:tc>
      </w:tr>
      <w:tr w:rsidR="00606A27" w:rsidRPr="00EC4A90" w14:paraId="1A04085F" w14:textId="77777777" w:rsidTr="00606A27">
        <w:tc>
          <w:tcPr>
            <w:tcW w:w="3261" w:type="dxa"/>
            <w:tcBorders>
              <w:top w:val="single" w:sz="4" w:space="0" w:color="auto"/>
            </w:tcBorders>
          </w:tcPr>
          <w:p w14:paraId="7A6A95D4" w14:textId="1517C6AA" w:rsidR="00606A27" w:rsidRPr="00EB5D5F" w:rsidRDefault="00606A27">
            <w:pPr>
              <w:spacing w:after="160" w:line="259" w:lineRule="auto"/>
              <w:rPr>
                <w:rFonts w:eastAsia="Times New Roman"/>
                <w:i/>
                <w:color w:val="000000"/>
                <w:sz w:val="18"/>
                <w:szCs w:val="18"/>
                <w:lang w:val="en-US"/>
              </w:rPr>
            </w:pPr>
            <w:r w:rsidRPr="00EB5D5F">
              <w:rPr>
                <w:rFonts w:eastAsia="Times New Roman"/>
                <w:i/>
                <w:color w:val="000000"/>
                <w:sz w:val="18"/>
                <w:szCs w:val="18"/>
                <w:lang w:val="en-US"/>
              </w:rPr>
              <w:t>Prevalence of categorical childhood maltreatment subtypes</w:t>
            </w:r>
          </w:p>
        </w:tc>
        <w:tc>
          <w:tcPr>
            <w:tcW w:w="708" w:type="dxa"/>
            <w:tcBorders>
              <w:top w:val="single" w:sz="4" w:space="0" w:color="auto"/>
            </w:tcBorders>
          </w:tcPr>
          <w:p w14:paraId="6602D475" w14:textId="77777777" w:rsidR="00606A27" w:rsidRPr="00EB5D5F" w:rsidRDefault="00606A27">
            <w:pPr>
              <w:spacing w:after="160" w:line="259" w:lineRule="auto"/>
              <w:jc w:val="center"/>
              <w:rPr>
                <w:rFonts w:eastAsia="Times New Roman"/>
                <w:color w:val="000000"/>
                <w:sz w:val="18"/>
                <w:szCs w:val="18"/>
                <w:lang w:val="en-US"/>
              </w:rPr>
            </w:pPr>
          </w:p>
        </w:tc>
        <w:tc>
          <w:tcPr>
            <w:tcW w:w="1276" w:type="dxa"/>
            <w:tcBorders>
              <w:top w:val="single" w:sz="4" w:space="0" w:color="auto"/>
            </w:tcBorders>
          </w:tcPr>
          <w:p w14:paraId="159D82D2" w14:textId="77777777" w:rsidR="00606A27" w:rsidRPr="00EB5D5F" w:rsidRDefault="00606A27">
            <w:pPr>
              <w:spacing w:after="160" w:line="259" w:lineRule="auto"/>
              <w:jc w:val="center"/>
              <w:rPr>
                <w:rFonts w:eastAsia="Times New Roman"/>
                <w:color w:val="000000"/>
                <w:sz w:val="18"/>
                <w:szCs w:val="18"/>
                <w:lang w:val="en-US"/>
              </w:rPr>
            </w:pPr>
          </w:p>
        </w:tc>
        <w:tc>
          <w:tcPr>
            <w:tcW w:w="284" w:type="dxa"/>
            <w:tcBorders>
              <w:top w:val="single" w:sz="4" w:space="0" w:color="auto"/>
            </w:tcBorders>
          </w:tcPr>
          <w:p w14:paraId="4E409EDA" w14:textId="77777777" w:rsidR="00606A27" w:rsidRPr="00EB5D5F" w:rsidRDefault="00606A27">
            <w:pPr>
              <w:spacing w:after="160" w:line="259" w:lineRule="auto"/>
              <w:jc w:val="center"/>
              <w:rPr>
                <w:rFonts w:eastAsia="Times New Roman"/>
                <w:color w:val="000000"/>
                <w:sz w:val="18"/>
                <w:szCs w:val="18"/>
                <w:lang w:val="en-US"/>
              </w:rPr>
            </w:pPr>
          </w:p>
        </w:tc>
        <w:tc>
          <w:tcPr>
            <w:tcW w:w="1417" w:type="dxa"/>
            <w:tcBorders>
              <w:top w:val="single" w:sz="4" w:space="0" w:color="auto"/>
            </w:tcBorders>
          </w:tcPr>
          <w:p w14:paraId="56B05E7F" w14:textId="5796C641" w:rsidR="00606A27" w:rsidRPr="00EB5D5F" w:rsidRDefault="00606A27">
            <w:pPr>
              <w:spacing w:after="160" w:line="259" w:lineRule="auto"/>
              <w:jc w:val="center"/>
              <w:rPr>
                <w:rFonts w:eastAsia="Times New Roman"/>
                <w:color w:val="000000"/>
                <w:sz w:val="18"/>
                <w:szCs w:val="18"/>
                <w:lang w:val="en-US"/>
              </w:rPr>
            </w:pPr>
          </w:p>
        </w:tc>
        <w:tc>
          <w:tcPr>
            <w:tcW w:w="1134" w:type="dxa"/>
            <w:tcBorders>
              <w:top w:val="single" w:sz="4" w:space="0" w:color="auto"/>
            </w:tcBorders>
          </w:tcPr>
          <w:p w14:paraId="47260E6B" w14:textId="77777777" w:rsidR="00606A27" w:rsidRPr="00EB5D5F" w:rsidRDefault="00606A27">
            <w:pPr>
              <w:spacing w:after="160" w:line="259" w:lineRule="auto"/>
              <w:jc w:val="center"/>
              <w:rPr>
                <w:rFonts w:eastAsia="Times New Roman"/>
                <w:color w:val="000000"/>
                <w:sz w:val="18"/>
                <w:szCs w:val="18"/>
                <w:lang w:val="en-US"/>
              </w:rPr>
            </w:pPr>
          </w:p>
        </w:tc>
      </w:tr>
      <w:tr w:rsidR="00606A27" w:rsidRPr="00EB5D5F" w14:paraId="2AC9124D" w14:textId="77777777" w:rsidTr="00606A27">
        <w:tc>
          <w:tcPr>
            <w:tcW w:w="3261" w:type="dxa"/>
          </w:tcPr>
          <w:p w14:paraId="27C1F4C3" w14:textId="77777777" w:rsidR="00606A27" w:rsidRPr="00EB5D5F" w:rsidRDefault="00606A27">
            <w:pPr>
              <w:spacing w:after="160" w:line="259" w:lineRule="auto"/>
              <w:rPr>
                <w:rFonts w:eastAsia="Times New Roman"/>
                <w:color w:val="000000"/>
                <w:sz w:val="18"/>
                <w:szCs w:val="18"/>
              </w:rPr>
            </w:pPr>
            <w:r w:rsidRPr="00EB5D5F">
              <w:rPr>
                <w:rFonts w:eastAsia="Times New Roman"/>
                <w:color w:val="000000"/>
                <w:sz w:val="18"/>
                <w:szCs w:val="18"/>
                <w:lang w:val="en-US"/>
              </w:rPr>
              <w:t xml:space="preserve">   </w:t>
            </w:r>
            <w:r w:rsidRPr="00EB5D5F">
              <w:rPr>
                <w:rFonts w:eastAsia="Times New Roman"/>
                <w:color w:val="000000"/>
                <w:sz w:val="18"/>
                <w:szCs w:val="18"/>
              </w:rPr>
              <w:t xml:space="preserve">Emotional </w:t>
            </w:r>
            <w:proofErr w:type="spellStart"/>
            <w:r w:rsidRPr="00EB5D5F">
              <w:rPr>
                <w:rFonts w:eastAsia="Times New Roman"/>
                <w:color w:val="000000"/>
                <w:sz w:val="18"/>
                <w:szCs w:val="18"/>
              </w:rPr>
              <w:t>abuse</w:t>
            </w:r>
            <w:proofErr w:type="spellEnd"/>
          </w:p>
        </w:tc>
        <w:tc>
          <w:tcPr>
            <w:tcW w:w="708" w:type="dxa"/>
          </w:tcPr>
          <w:p w14:paraId="56D7A4EB" w14:textId="77777777"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99</w:t>
            </w:r>
          </w:p>
        </w:tc>
        <w:tc>
          <w:tcPr>
            <w:tcW w:w="1276" w:type="dxa"/>
          </w:tcPr>
          <w:p w14:paraId="29DEC189" w14:textId="77777777"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14.1</w:t>
            </w:r>
          </w:p>
        </w:tc>
        <w:tc>
          <w:tcPr>
            <w:tcW w:w="284" w:type="dxa"/>
          </w:tcPr>
          <w:p w14:paraId="45CE31E3" w14:textId="77777777" w:rsidR="00606A27" w:rsidRPr="00EB5D5F" w:rsidRDefault="00606A27">
            <w:pPr>
              <w:spacing w:after="160" w:line="259" w:lineRule="auto"/>
              <w:jc w:val="center"/>
              <w:rPr>
                <w:rFonts w:eastAsia="Times New Roman"/>
                <w:color w:val="000000"/>
                <w:sz w:val="18"/>
                <w:szCs w:val="18"/>
              </w:rPr>
            </w:pPr>
          </w:p>
        </w:tc>
        <w:tc>
          <w:tcPr>
            <w:tcW w:w="1417" w:type="dxa"/>
          </w:tcPr>
          <w:p w14:paraId="61B36967" w14:textId="201AF8F9"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317</w:t>
            </w:r>
          </w:p>
        </w:tc>
        <w:tc>
          <w:tcPr>
            <w:tcW w:w="1134" w:type="dxa"/>
          </w:tcPr>
          <w:p w14:paraId="3ADF7CF2" w14:textId="77777777"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50.8</w:t>
            </w:r>
          </w:p>
        </w:tc>
      </w:tr>
      <w:tr w:rsidR="00606A27" w:rsidRPr="00EB5D5F" w14:paraId="4C4AFBBF" w14:textId="77777777" w:rsidTr="00606A27">
        <w:tc>
          <w:tcPr>
            <w:tcW w:w="3261" w:type="dxa"/>
          </w:tcPr>
          <w:p w14:paraId="7ECFEB43" w14:textId="77777777" w:rsidR="00606A27" w:rsidRPr="00EB5D5F" w:rsidRDefault="00606A27">
            <w:pPr>
              <w:spacing w:after="160" w:line="259" w:lineRule="auto"/>
              <w:rPr>
                <w:rFonts w:eastAsia="Times New Roman"/>
                <w:color w:val="000000"/>
                <w:sz w:val="18"/>
                <w:szCs w:val="18"/>
              </w:rPr>
            </w:pPr>
            <w:r w:rsidRPr="00EB5D5F">
              <w:rPr>
                <w:rFonts w:eastAsia="Times New Roman"/>
                <w:color w:val="000000"/>
                <w:sz w:val="18"/>
                <w:szCs w:val="18"/>
              </w:rPr>
              <w:t xml:space="preserve">   </w:t>
            </w:r>
            <w:proofErr w:type="spellStart"/>
            <w:r w:rsidRPr="00EB5D5F">
              <w:rPr>
                <w:rFonts w:eastAsia="Times New Roman"/>
                <w:color w:val="000000"/>
                <w:sz w:val="18"/>
                <w:szCs w:val="18"/>
              </w:rPr>
              <w:t>Physical</w:t>
            </w:r>
            <w:proofErr w:type="spellEnd"/>
            <w:r w:rsidRPr="00EB5D5F">
              <w:rPr>
                <w:rFonts w:eastAsia="Times New Roman"/>
                <w:color w:val="000000"/>
                <w:sz w:val="18"/>
                <w:szCs w:val="18"/>
              </w:rPr>
              <w:t xml:space="preserve"> </w:t>
            </w:r>
            <w:proofErr w:type="spellStart"/>
            <w:r w:rsidRPr="00EB5D5F">
              <w:rPr>
                <w:rFonts w:eastAsia="Times New Roman"/>
                <w:color w:val="000000"/>
                <w:sz w:val="18"/>
                <w:szCs w:val="18"/>
              </w:rPr>
              <w:t>abuse</w:t>
            </w:r>
            <w:proofErr w:type="spellEnd"/>
          </w:p>
        </w:tc>
        <w:tc>
          <w:tcPr>
            <w:tcW w:w="708" w:type="dxa"/>
          </w:tcPr>
          <w:p w14:paraId="09815AA3" w14:textId="77777777"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61</w:t>
            </w:r>
          </w:p>
        </w:tc>
        <w:tc>
          <w:tcPr>
            <w:tcW w:w="1276" w:type="dxa"/>
          </w:tcPr>
          <w:p w14:paraId="427EC4E7" w14:textId="77777777"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8.7</w:t>
            </w:r>
          </w:p>
        </w:tc>
        <w:tc>
          <w:tcPr>
            <w:tcW w:w="284" w:type="dxa"/>
          </w:tcPr>
          <w:p w14:paraId="0830207F" w14:textId="77777777" w:rsidR="00606A27" w:rsidRPr="00EB5D5F" w:rsidRDefault="00606A27">
            <w:pPr>
              <w:spacing w:after="160" w:line="259" w:lineRule="auto"/>
              <w:jc w:val="center"/>
              <w:rPr>
                <w:rFonts w:eastAsia="Times New Roman"/>
                <w:color w:val="000000"/>
                <w:sz w:val="18"/>
                <w:szCs w:val="18"/>
              </w:rPr>
            </w:pPr>
          </w:p>
        </w:tc>
        <w:tc>
          <w:tcPr>
            <w:tcW w:w="1417" w:type="dxa"/>
          </w:tcPr>
          <w:p w14:paraId="1454B9C6" w14:textId="125CAB9B"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144</w:t>
            </w:r>
          </w:p>
        </w:tc>
        <w:tc>
          <w:tcPr>
            <w:tcW w:w="1134" w:type="dxa"/>
          </w:tcPr>
          <w:p w14:paraId="11678AF8" w14:textId="77777777"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23.1</w:t>
            </w:r>
          </w:p>
        </w:tc>
      </w:tr>
      <w:tr w:rsidR="00606A27" w:rsidRPr="00EB5D5F" w14:paraId="2F1CF608" w14:textId="77777777" w:rsidTr="00606A27">
        <w:tc>
          <w:tcPr>
            <w:tcW w:w="3261" w:type="dxa"/>
          </w:tcPr>
          <w:p w14:paraId="73A8BC4E" w14:textId="77777777" w:rsidR="00606A27" w:rsidRPr="00EB5D5F" w:rsidRDefault="00606A27">
            <w:pPr>
              <w:spacing w:after="160" w:line="259" w:lineRule="auto"/>
              <w:rPr>
                <w:rFonts w:eastAsia="Times New Roman"/>
                <w:color w:val="000000"/>
                <w:sz w:val="18"/>
                <w:szCs w:val="18"/>
              </w:rPr>
            </w:pPr>
            <w:r w:rsidRPr="00EB5D5F">
              <w:rPr>
                <w:rFonts w:eastAsia="Times New Roman"/>
                <w:color w:val="000000"/>
                <w:sz w:val="18"/>
                <w:szCs w:val="18"/>
              </w:rPr>
              <w:t xml:space="preserve">   Sexual </w:t>
            </w:r>
            <w:proofErr w:type="spellStart"/>
            <w:r w:rsidRPr="00EB5D5F">
              <w:rPr>
                <w:rFonts w:eastAsia="Times New Roman"/>
                <w:color w:val="000000"/>
                <w:sz w:val="18"/>
                <w:szCs w:val="18"/>
              </w:rPr>
              <w:t>abuse</w:t>
            </w:r>
            <w:proofErr w:type="spellEnd"/>
          </w:p>
        </w:tc>
        <w:tc>
          <w:tcPr>
            <w:tcW w:w="708" w:type="dxa"/>
          </w:tcPr>
          <w:p w14:paraId="2B4CE816" w14:textId="77777777"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29</w:t>
            </w:r>
          </w:p>
        </w:tc>
        <w:tc>
          <w:tcPr>
            <w:tcW w:w="1276" w:type="dxa"/>
          </w:tcPr>
          <w:p w14:paraId="40704F43" w14:textId="77777777"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4.1</w:t>
            </w:r>
          </w:p>
        </w:tc>
        <w:tc>
          <w:tcPr>
            <w:tcW w:w="284" w:type="dxa"/>
          </w:tcPr>
          <w:p w14:paraId="7E4CC4EE" w14:textId="77777777" w:rsidR="00606A27" w:rsidRPr="00EB5D5F" w:rsidRDefault="00606A27">
            <w:pPr>
              <w:spacing w:after="160" w:line="259" w:lineRule="auto"/>
              <w:jc w:val="center"/>
              <w:rPr>
                <w:rFonts w:eastAsia="Times New Roman"/>
                <w:color w:val="000000"/>
                <w:sz w:val="18"/>
                <w:szCs w:val="18"/>
              </w:rPr>
            </w:pPr>
          </w:p>
        </w:tc>
        <w:tc>
          <w:tcPr>
            <w:tcW w:w="1417" w:type="dxa"/>
          </w:tcPr>
          <w:p w14:paraId="2F9D8AD1" w14:textId="395B4AAE"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109</w:t>
            </w:r>
          </w:p>
        </w:tc>
        <w:tc>
          <w:tcPr>
            <w:tcW w:w="1134" w:type="dxa"/>
          </w:tcPr>
          <w:p w14:paraId="49E346B9" w14:textId="77777777"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17.5</w:t>
            </w:r>
          </w:p>
        </w:tc>
      </w:tr>
      <w:tr w:rsidR="00606A27" w:rsidRPr="00EB5D5F" w14:paraId="331CD57A" w14:textId="77777777" w:rsidTr="00606A27">
        <w:tc>
          <w:tcPr>
            <w:tcW w:w="3261" w:type="dxa"/>
          </w:tcPr>
          <w:p w14:paraId="05176E0C" w14:textId="77777777" w:rsidR="00606A27" w:rsidRPr="00EB5D5F" w:rsidRDefault="00606A27">
            <w:pPr>
              <w:spacing w:after="160" w:line="259" w:lineRule="auto"/>
              <w:rPr>
                <w:rFonts w:eastAsia="Times New Roman"/>
                <w:color w:val="000000"/>
                <w:sz w:val="18"/>
                <w:szCs w:val="18"/>
              </w:rPr>
            </w:pPr>
            <w:r w:rsidRPr="00EB5D5F">
              <w:rPr>
                <w:rFonts w:eastAsia="Times New Roman"/>
                <w:color w:val="000000"/>
                <w:sz w:val="18"/>
                <w:szCs w:val="18"/>
              </w:rPr>
              <w:t xml:space="preserve">   Emotional </w:t>
            </w:r>
            <w:proofErr w:type="spellStart"/>
            <w:r w:rsidRPr="00EB5D5F">
              <w:rPr>
                <w:rFonts w:eastAsia="Times New Roman"/>
                <w:color w:val="000000"/>
                <w:sz w:val="18"/>
                <w:szCs w:val="18"/>
              </w:rPr>
              <w:t>neglect</w:t>
            </w:r>
            <w:proofErr w:type="spellEnd"/>
          </w:p>
        </w:tc>
        <w:tc>
          <w:tcPr>
            <w:tcW w:w="708" w:type="dxa"/>
          </w:tcPr>
          <w:p w14:paraId="6EE56D5E" w14:textId="77777777"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61</w:t>
            </w:r>
          </w:p>
        </w:tc>
        <w:tc>
          <w:tcPr>
            <w:tcW w:w="1276" w:type="dxa"/>
          </w:tcPr>
          <w:p w14:paraId="72A19306" w14:textId="77777777"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8.7</w:t>
            </w:r>
          </w:p>
        </w:tc>
        <w:tc>
          <w:tcPr>
            <w:tcW w:w="284" w:type="dxa"/>
          </w:tcPr>
          <w:p w14:paraId="4990DFEA" w14:textId="77777777" w:rsidR="00606A27" w:rsidRPr="00EB5D5F" w:rsidRDefault="00606A27">
            <w:pPr>
              <w:spacing w:after="160" w:line="259" w:lineRule="auto"/>
              <w:jc w:val="center"/>
              <w:rPr>
                <w:rFonts w:eastAsia="Times New Roman"/>
                <w:color w:val="000000"/>
                <w:sz w:val="18"/>
                <w:szCs w:val="18"/>
              </w:rPr>
            </w:pPr>
          </w:p>
        </w:tc>
        <w:tc>
          <w:tcPr>
            <w:tcW w:w="1417" w:type="dxa"/>
          </w:tcPr>
          <w:p w14:paraId="3B925254" w14:textId="622BE8DA"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244</w:t>
            </w:r>
          </w:p>
        </w:tc>
        <w:tc>
          <w:tcPr>
            <w:tcW w:w="1134" w:type="dxa"/>
          </w:tcPr>
          <w:p w14:paraId="776D31CF" w14:textId="77777777"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39.1</w:t>
            </w:r>
          </w:p>
        </w:tc>
      </w:tr>
      <w:tr w:rsidR="00606A27" w:rsidRPr="00EB5D5F" w14:paraId="3505AB0B" w14:textId="77777777" w:rsidTr="00606A27">
        <w:tc>
          <w:tcPr>
            <w:tcW w:w="3261" w:type="dxa"/>
          </w:tcPr>
          <w:p w14:paraId="743665C9" w14:textId="77777777" w:rsidR="00606A27" w:rsidRPr="00EB5D5F" w:rsidRDefault="00606A27">
            <w:pPr>
              <w:spacing w:after="160" w:line="259" w:lineRule="auto"/>
              <w:rPr>
                <w:rFonts w:eastAsia="Times New Roman"/>
                <w:color w:val="000000"/>
                <w:sz w:val="18"/>
                <w:szCs w:val="18"/>
              </w:rPr>
            </w:pPr>
            <w:r w:rsidRPr="00EB5D5F">
              <w:rPr>
                <w:rFonts w:eastAsia="Times New Roman"/>
                <w:color w:val="000000"/>
                <w:sz w:val="18"/>
                <w:szCs w:val="18"/>
              </w:rPr>
              <w:t xml:space="preserve">   </w:t>
            </w:r>
            <w:proofErr w:type="spellStart"/>
            <w:r w:rsidRPr="00EB5D5F">
              <w:rPr>
                <w:rFonts w:eastAsia="Times New Roman"/>
                <w:color w:val="000000"/>
                <w:sz w:val="18"/>
                <w:szCs w:val="18"/>
              </w:rPr>
              <w:t>Physical</w:t>
            </w:r>
            <w:proofErr w:type="spellEnd"/>
            <w:r w:rsidRPr="00EB5D5F">
              <w:rPr>
                <w:rFonts w:eastAsia="Times New Roman"/>
                <w:color w:val="000000"/>
                <w:sz w:val="18"/>
                <w:szCs w:val="18"/>
              </w:rPr>
              <w:t xml:space="preserve"> </w:t>
            </w:r>
            <w:proofErr w:type="spellStart"/>
            <w:r w:rsidRPr="00EB5D5F">
              <w:rPr>
                <w:rFonts w:eastAsia="Times New Roman"/>
                <w:color w:val="000000"/>
                <w:sz w:val="18"/>
                <w:szCs w:val="18"/>
              </w:rPr>
              <w:t>neglect</w:t>
            </w:r>
            <w:proofErr w:type="spellEnd"/>
          </w:p>
        </w:tc>
        <w:tc>
          <w:tcPr>
            <w:tcW w:w="708" w:type="dxa"/>
          </w:tcPr>
          <w:p w14:paraId="65EBC043" w14:textId="77777777"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138</w:t>
            </w:r>
          </w:p>
        </w:tc>
        <w:tc>
          <w:tcPr>
            <w:tcW w:w="1276" w:type="dxa"/>
          </w:tcPr>
          <w:p w14:paraId="203BA814" w14:textId="77777777"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19.7</w:t>
            </w:r>
          </w:p>
        </w:tc>
        <w:tc>
          <w:tcPr>
            <w:tcW w:w="284" w:type="dxa"/>
          </w:tcPr>
          <w:p w14:paraId="33EC6A63" w14:textId="77777777" w:rsidR="00606A27" w:rsidRPr="00EB5D5F" w:rsidRDefault="00606A27">
            <w:pPr>
              <w:spacing w:after="160" w:line="259" w:lineRule="auto"/>
              <w:jc w:val="center"/>
              <w:rPr>
                <w:rFonts w:eastAsia="Times New Roman"/>
                <w:color w:val="000000"/>
                <w:sz w:val="18"/>
                <w:szCs w:val="18"/>
              </w:rPr>
            </w:pPr>
          </w:p>
        </w:tc>
        <w:tc>
          <w:tcPr>
            <w:tcW w:w="1417" w:type="dxa"/>
          </w:tcPr>
          <w:p w14:paraId="2BABC3A9" w14:textId="55EB035A"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274</w:t>
            </w:r>
          </w:p>
        </w:tc>
        <w:tc>
          <w:tcPr>
            <w:tcW w:w="1134" w:type="dxa"/>
          </w:tcPr>
          <w:p w14:paraId="777DED4D" w14:textId="77777777"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43.9</w:t>
            </w:r>
          </w:p>
        </w:tc>
      </w:tr>
      <w:tr w:rsidR="00606A27" w:rsidRPr="00EC4A90" w14:paraId="7A1EC1BF" w14:textId="77777777" w:rsidTr="00606A27">
        <w:tc>
          <w:tcPr>
            <w:tcW w:w="3261" w:type="dxa"/>
          </w:tcPr>
          <w:p w14:paraId="357F9971" w14:textId="77777777" w:rsidR="00606A27" w:rsidRPr="00EB5D5F" w:rsidRDefault="00606A27">
            <w:pPr>
              <w:spacing w:after="160" w:line="259" w:lineRule="auto"/>
              <w:rPr>
                <w:rFonts w:eastAsia="Times New Roman"/>
                <w:i/>
                <w:color w:val="000000"/>
                <w:sz w:val="18"/>
                <w:szCs w:val="18"/>
                <w:lang w:val="en-US"/>
              </w:rPr>
            </w:pPr>
            <w:r w:rsidRPr="00EB5D5F">
              <w:rPr>
                <w:rFonts w:eastAsia="Times New Roman"/>
                <w:i/>
                <w:color w:val="000000"/>
                <w:sz w:val="18"/>
                <w:szCs w:val="18"/>
                <w:lang w:val="en-US"/>
              </w:rPr>
              <w:t>Number of categorical maltreatment subtypes per person</w:t>
            </w:r>
          </w:p>
        </w:tc>
        <w:tc>
          <w:tcPr>
            <w:tcW w:w="708" w:type="dxa"/>
          </w:tcPr>
          <w:p w14:paraId="7B2E52B9" w14:textId="77777777" w:rsidR="00606A27" w:rsidRPr="00EB5D5F" w:rsidRDefault="00606A27">
            <w:pPr>
              <w:spacing w:after="160" w:line="259" w:lineRule="auto"/>
              <w:jc w:val="center"/>
              <w:rPr>
                <w:rFonts w:eastAsia="Times New Roman"/>
                <w:color w:val="000000"/>
                <w:sz w:val="18"/>
                <w:szCs w:val="18"/>
                <w:lang w:val="en-US"/>
              </w:rPr>
            </w:pPr>
          </w:p>
        </w:tc>
        <w:tc>
          <w:tcPr>
            <w:tcW w:w="1276" w:type="dxa"/>
          </w:tcPr>
          <w:p w14:paraId="3B2878C5" w14:textId="77777777" w:rsidR="00606A27" w:rsidRPr="00EB5D5F" w:rsidRDefault="00606A27">
            <w:pPr>
              <w:spacing w:after="160" w:line="259" w:lineRule="auto"/>
              <w:jc w:val="center"/>
              <w:rPr>
                <w:rFonts w:eastAsia="Times New Roman"/>
                <w:color w:val="000000"/>
                <w:sz w:val="18"/>
                <w:szCs w:val="18"/>
                <w:lang w:val="en-US"/>
              </w:rPr>
            </w:pPr>
          </w:p>
        </w:tc>
        <w:tc>
          <w:tcPr>
            <w:tcW w:w="284" w:type="dxa"/>
          </w:tcPr>
          <w:p w14:paraId="75FE5308" w14:textId="77777777" w:rsidR="00606A27" w:rsidRPr="00EB5D5F" w:rsidRDefault="00606A27">
            <w:pPr>
              <w:spacing w:after="160" w:line="259" w:lineRule="auto"/>
              <w:jc w:val="center"/>
              <w:rPr>
                <w:rFonts w:eastAsia="Times New Roman"/>
                <w:color w:val="000000"/>
                <w:sz w:val="18"/>
                <w:szCs w:val="18"/>
                <w:lang w:val="en-US"/>
              </w:rPr>
            </w:pPr>
          </w:p>
        </w:tc>
        <w:tc>
          <w:tcPr>
            <w:tcW w:w="1417" w:type="dxa"/>
          </w:tcPr>
          <w:p w14:paraId="1AADF742" w14:textId="0FBA37E0" w:rsidR="00606A27" w:rsidRPr="00EB5D5F" w:rsidRDefault="00606A27">
            <w:pPr>
              <w:spacing w:after="160" w:line="259" w:lineRule="auto"/>
              <w:jc w:val="center"/>
              <w:rPr>
                <w:rFonts w:eastAsia="Times New Roman"/>
                <w:color w:val="000000"/>
                <w:sz w:val="18"/>
                <w:szCs w:val="18"/>
                <w:lang w:val="en-US"/>
              </w:rPr>
            </w:pPr>
          </w:p>
        </w:tc>
        <w:tc>
          <w:tcPr>
            <w:tcW w:w="1134" w:type="dxa"/>
          </w:tcPr>
          <w:p w14:paraId="1EF362B7" w14:textId="77777777" w:rsidR="00606A27" w:rsidRPr="00EB5D5F" w:rsidRDefault="00606A27">
            <w:pPr>
              <w:spacing w:after="160" w:line="259" w:lineRule="auto"/>
              <w:jc w:val="center"/>
              <w:rPr>
                <w:rFonts w:eastAsia="Times New Roman"/>
                <w:color w:val="000000"/>
                <w:sz w:val="18"/>
                <w:szCs w:val="18"/>
                <w:lang w:val="en-US"/>
              </w:rPr>
            </w:pPr>
          </w:p>
        </w:tc>
      </w:tr>
      <w:tr w:rsidR="00606A27" w:rsidRPr="00EB5D5F" w14:paraId="75E2FFF8" w14:textId="77777777" w:rsidTr="00606A27">
        <w:tc>
          <w:tcPr>
            <w:tcW w:w="3261" w:type="dxa"/>
          </w:tcPr>
          <w:p w14:paraId="08FBB03B" w14:textId="77777777" w:rsidR="00606A27" w:rsidRPr="00EB5D5F" w:rsidRDefault="00606A27">
            <w:pPr>
              <w:spacing w:after="160" w:line="259" w:lineRule="auto"/>
              <w:rPr>
                <w:rFonts w:eastAsia="Times New Roman"/>
                <w:color w:val="000000"/>
                <w:sz w:val="18"/>
                <w:szCs w:val="18"/>
                <w:lang w:val="en-US"/>
              </w:rPr>
            </w:pPr>
            <w:r w:rsidRPr="00EB5D5F">
              <w:rPr>
                <w:rFonts w:eastAsia="Times New Roman"/>
                <w:color w:val="000000"/>
                <w:sz w:val="18"/>
                <w:szCs w:val="18"/>
                <w:lang w:val="en-US"/>
              </w:rPr>
              <w:t xml:space="preserve">   0</w:t>
            </w:r>
          </w:p>
        </w:tc>
        <w:tc>
          <w:tcPr>
            <w:tcW w:w="708" w:type="dxa"/>
            <w:shd w:val="clear" w:color="000000" w:fill="FFFFFF"/>
          </w:tcPr>
          <w:p w14:paraId="3AA47404" w14:textId="77777777"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484</w:t>
            </w:r>
          </w:p>
        </w:tc>
        <w:tc>
          <w:tcPr>
            <w:tcW w:w="1276" w:type="dxa"/>
            <w:shd w:val="clear" w:color="000000" w:fill="FFFFFF"/>
          </w:tcPr>
          <w:p w14:paraId="52039A37" w14:textId="77777777"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69.0</w:t>
            </w:r>
          </w:p>
        </w:tc>
        <w:tc>
          <w:tcPr>
            <w:tcW w:w="284" w:type="dxa"/>
            <w:shd w:val="clear" w:color="000000" w:fill="FFFFFF"/>
          </w:tcPr>
          <w:p w14:paraId="5BA88532" w14:textId="77777777" w:rsidR="00606A27" w:rsidRPr="00EB5D5F" w:rsidRDefault="00606A27">
            <w:pPr>
              <w:spacing w:after="160" w:line="259" w:lineRule="auto"/>
              <w:jc w:val="center"/>
              <w:rPr>
                <w:rFonts w:eastAsia="Times New Roman"/>
                <w:color w:val="000000"/>
                <w:sz w:val="18"/>
                <w:szCs w:val="18"/>
              </w:rPr>
            </w:pPr>
          </w:p>
        </w:tc>
        <w:tc>
          <w:tcPr>
            <w:tcW w:w="1417" w:type="dxa"/>
            <w:shd w:val="clear" w:color="000000" w:fill="FFFFFF"/>
          </w:tcPr>
          <w:p w14:paraId="6F4004DF" w14:textId="38C43EC3"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197</w:t>
            </w:r>
          </w:p>
        </w:tc>
        <w:tc>
          <w:tcPr>
            <w:tcW w:w="1134" w:type="dxa"/>
            <w:shd w:val="clear" w:color="000000" w:fill="FFFFFF"/>
          </w:tcPr>
          <w:p w14:paraId="0607D780" w14:textId="77777777"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31.6</w:t>
            </w:r>
          </w:p>
        </w:tc>
      </w:tr>
      <w:tr w:rsidR="00606A27" w:rsidRPr="00EB5D5F" w14:paraId="0AEA9194" w14:textId="77777777" w:rsidTr="00606A27">
        <w:tc>
          <w:tcPr>
            <w:tcW w:w="3261" w:type="dxa"/>
          </w:tcPr>
          <w:p w14:paraId="2082CF52" w14:textId="77777777" w:rsidR="00606A27" w:rsidRPr="00EB5D5F" w:rsidRDefault="00606A27">
            <w:pPr>
              <w:spacing w:after="160" w:line="259" w:lineRule="auto"/>
              <w:rPr>
                <w:rFonts w:eastAsia="Times New Roman"/>
                <w:color w:val="000000"/>
                <w:sz w:val="18"/>
                <w:szCs w:val="18"/>
                <w:lang w:val="en-US"/>
              </w:rPr>
            </w:pPr>
            <w:r w:rsidRPr="00EB5D5F">
              <w:rPr>
                <w:rFonts w:eastAsia="Times New Roman"/>
                <w:color w:val="000000"/>
                <w:sz w:val="18"/>
                <w:szCs w:val="18"/>
                <w:lang w:val="en-US"/>
              </w:rPr>
              <w:t xml:space="preserve">   1</w:t>
            </w:r>
          </w:p>
        </w:tc>
        <w:tc>
          <w:tcPr>
            <w:tcW w:w="708" w:type="dxa"/>
            <w:shd w:val="clear" w:color="000000" w:fill="FFFFFF"/>
          </w:tcPr>
          <w:p w14:paraId="55584AF0" w14:textId="77777777"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127</w:t>
            </w:r>
          </w:p>
        </w:tc>
        <w:tc>
          <w:tcPr>
            <w:tcW w:w="1276" w:type="dxa"/>
            <w:shd w:val="clear" w:color="000000" w:fill="FFFFFF"/>
          </w:tcPr>
          <w:p w14:paraId="373FC456" w14:textId="77777777"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18.1</w:t>
            </w:r>
          </w:p>
        </w:tc>
        <w:tc>
          <w:tcPr>
            <w:tcW w:w="284" w:type="dxa"/>
            <w:shd w:val="clear" w:color="000000" w:fill="FFFFFF"/>
          </w:tcPr>
          <w:p w14:paraId="163B57EC" w14:textId="77777777" w:rsidR="00606A27" w:rsidRPr="00EB5D5F" w:rsidRDefault="00606A27">
            <w:pPr>
              <w:spacing w:after="160" w:line="259" w:lineRule="auto"/>
              <w:jc w:val="center"/>
              <w:rPr>
                <w:rFonts w:eastAsia="Times New Roman"/>
                <w:color w:val="000000"/>
                <w:sz w:val="18"/>
                <w:szCs w:val="18"/>
              </w:rPr>
            </w:pPr>
          </w:p>
        </w:tc>
        <w:tc>
          <w:tcPr>
            <w:tcW w:w="1417" w:type="dxa"/>
            <w:shd w:val="clear" w:color="000000" w:fill="FFFFFF"/>
          </w:tcPr>
          <w:p w14:paraId="245BE758" w14:textId="6B0ABE81"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129</w:t>
            </w:r>
          </w:p>
        </w:tc>
        <w:tc>
          <w:tcPr>
            <w:tcW w:w="1134" w:type="dxa"/>
            <w:shd w:val="clear" w:color="000000" w:fill="FFFFFF"/>
          </w:tcPr>
          <w:p w14:paraId="74C6D51C" w14:textId="77777777"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20.7</w:t>
            </w:r>
          </w:p>
        </w:tc>
      </w:tr>
      <w:tr w:rsidR="00606A27" w:rsidRPr="00EB5D5F" w14:paraId="23CDABE6" w14:textId="77777777" w:rsidTr="00606A27">
        <w:tc>
          <w:tcPr>
            <w:tcW w:w="3261" w:type="dxa"/>
          </w:tcPr>
          <w:p w14:paraId="63DF9EB9" w14:textId="77777777" w:rsidR="00606A27" w:rsidRPr="00EB5D5F" w:rsidRDefault="00606A27">
            <w:pPr>
              <w:spacing w:after="160" w:line="259" w:lineRule="auto"/>
              <w:rPr>
                <w:rFonts w:eastAsia="Times New Roman"/>
                <w:color w:val="000000"/>
                <w:sz w:val="18"/>
                <w:szCs w:val="18"/>
                <w:lang w:val="en-US"/>
              </w:rPr>
            </w:pPr>
            <w:r w:rsidRPr="00EB5D5F">
              <w:rPr>
                <w:rFonts w:eastAsia="Times New Roman"/>
                <w:color w:val="000000"/>
                <w:sz w:val="18"/>
                <w:szCs w:val="18"/>
                <w:lang w:val="en-US"/>
              </w:rPr>
              <w:t xml:space="preserve">   2</w:t>
            </w:r>
          </w:p>
        </w:tc>
        <w:tc>
          <w:tcPr>
            <w:tcW w:w="708" w:type="dxa"/>
            <w:shd w:val="clear" w:color="000000" w:fill="FFFFFF"/>
          </w:tcPr>
          <w:p w14:paraId="14D915BF" w14:textId="77777777"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40</w:t>
            </w:r>
          </w:p>
        </w:tc>
        <w:tc>
          <w:tcPr>
            <w:tcW w:w="1276" w:type="dxa"/>
            <w:shd w:val="clear" w:color="000000" w:fill="FFFFFF"/>
          </w:tcPr>
          <w:p w14:paraId="6724017F" w14:textId="77777777"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5.7</w:t>
            </w:r>
          </w:p>
        </w:tc>
        <w:tc>
          <w:tcPr>
            <w:tcW w:w="284" w:type="dxa"/>
            <w:shd w:val="clear" w:color="000000" w:fill="FFFFFF"/>
          </w:tcPr>
          <w:p w14:paraId="4BCF1AAF" w14:textId="77777777" w:rsidR="00606A27" w:rsidRPr="00EB5D5F" w:rsidRDefault="00606A27">
            <w:pPr>
              <w:spacing w:after="160" w:line="259" w:lineRule="auto"/>
              <w:jc w:val="center"/>
              <w:rPr>
                <w:rFonts w:eastAsia="Times New Roman"/>
                <w:color w:val="000000"/>
                <w:sz w:val="18"/>
                <w:szCs w:val="18"/>
              </w:rPr>
            </w:pPr>
          </w:p>
        </w:tc>
        <w:tc>
          <w:tcPr>
            <w:tcW w:w="1417" w:type="dxa"/>
            <w:shd w:val="clear" w:color="000000" w:fill="FFFFFF"/>
          </w:tcPr>
          <w:p w14:paraId="6B5A5F6B" w14:textId="7DA8B25A"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88</w:t>
            </w:r>
          </w:p>
        </w:tc>
        <w:tc>
          <w:tcPr>
            <w:tcW w:w="1134" w:type="dxa"/>
            <w:shd w:val="clear" w:color="000000" w:fill="FFFFFF"/>
          </w:tcPr>
          <w:p w14:paraId="050B767F" w14:textId="77777777"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14.1</w:t>
            </w:r>
          </w:p>
        </w:tc>
      </w:tr>
      <w:tr w:rsidR="00606A27" w:rsidRPr="00EB5D5F" w14:paraId="720EBE43" w14:textId="77777777" w:rsidTr="00606A27">
        <w:tc>
          <w:tcPr>
            <w:tcW w:w="3261" w:type="dxa"/>
          </w:tcPr>
          <w:p w14:paraId="24484E27" w14:textId="77777777" w:rsidR="00606A27" w:rsidRPr="00EB5D5F" w:rsidRDefault="00606A27">
            <w:pPr>
              <w:spacing w:after="160" w:line="259" w:lineRule="auto"/>
              <w:rPr>
                <w:rFonts w:eastAsia="Times New Roman"/>
                <w:color w:val="000000"/>
                <w:sz w:val="18"/>
                <w:szCs w:val="18"/>
                <w:lang w:val="en-US"/>
              </w:rPr>
            </w:pPr>
            <w:r w:rsidRPr="00EB5D5F">
              <w:rPr>
                <w:rFonts w:eastAsia="Times New Roman"/>
                <w:color w:val="000000"/>
                <w:sz w:val="18"/>
                <w:szCs w:val="18"/>
                <w:lang w:val="en-US"/>
              </w:rPr>
              <w:t xml:space="preserve">   3</w:t>
            </w:r>
          </w:p>
        </w:tc>
        <w:tc>
          <w:tcPr>
            <w:tcW w:w="708" w:type="dxa"/>
            <w:shd w:val="clear" w:color="000000" w:fill="FFFFFF"/>
          </w:tcPr>
          <w:p w14:paraId="04EAFF78" w14:textId="77777777"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26</w:t>
            </w:r>
          </w:p>
        </w:tc>
        <w:tc>
          <w:tcPr>
            <w:tcW w:w="1276" w:type="dxa"/>
            <w:shd w:val="clear" w:color="000000" w:fill="FFFFFF"/>
          </w:tcPr>
          <w:p w14:paraId="46575524" w14:textId="77777777"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3.7</w:t>
            </w:r>
          </w:p>
        </w:tc>
        <w:tc>
          <w:tcPr>
            <w:tcW w:w="284" w:type="dxa"/>
            <w:shd w:val="clear" w:color="000000" w:fill="FFFFFF"/>
          </w:tcPr>
          <w:p w14:paraId="17F67949" w14:textId="77777777" w:rsidR="00606A27" w:rsidRPr="00EB5D5F" w:rsidRDefault="00606A27">
            <w:pPr>
              <w:spacing w:after="160" w:line="259" w:lineRule="auto"/>
              <w:jc w:val="center"/>
              <w:rPr>
                <w:rFonts w:eastAsia="Times New Roman"/>
                <w:color w:val="000000"/>
                <w:sz w:val="18"/>
                <w:szCs w:val="18"/>
              </w:rPr>
            </w:pPr>
          </w:p>
        </w:tc>
        <w:tc>
          <w:tcPr>
            <w:tcW w:w="1417" w:type="dxa"/>
            <w:shd w:val="clear" w:color="000000" w:fill="FFFFFF"/>
          </w:tcPr>
          <w:p w14:paraId="1F6A28E9" w14:textId="633F8C4E"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92</w:t>
            </w:r>
          </w:p>
        </w:tc>
        <w:tc>
          <w:tcPr>
            <w:tcW w:w="1134" w:type="dxa"/>
            <w:shd w:val="clear" w:color="000000" w:fill="FFFFFF"/>
          </w:tcPr>
          <w:p w14:paraId="46B03C86" w14:textId="77777777"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14.7</w:t>
            </w:r>
          </w:p>
        </w:tc>
      </w:tr>
      <w:tr w:rsidR="00606A27" w:rsidRPr="00EB5D5F" w14:paraId="33F5D6F6" w14:textId="77777777" w:rsidTr="00606A27">
        <w:tc>
          <w:tcPr>
            <w:tcW w:w="3261" w:type="dxa"/>
          </w:tcPr>
          <w:p w14:paraId="3AA60B86" w14:textId="77777777" w:rsidR="00606A27" w:rsidRPr="00EB5D5F" w:rsidRDefault="00606A27">
            <w:pPr>
              <w:spacing w:after="160" w:line="259" w:lineRule="auto"/>
              <w:rPr>
                <w:rFonts w:eastAsia="Times New Roman"/>
                <w:color w:val="000000"/>
                <w:sz w:val="18"/>
                <w:szCs w:val="18"/>
                <w:lang w:val="en-US"/>
              </w:rPr>
            </w:pPr>
            <w:r w:rsidRPr="00EB5D5F">
              <w:rPr>
                <w:rFonts w:eastAsia="Times New Roman"/>
                <w:color w:val="000000"/>
                <w:sz w:val="18"/>
                <w:szCs w:val="18"/>
                <w:lang w:val="en-US"/>
              </w:rPr>
              <w:t xml:space="preserve">   4</w:t>
            </w:r>
          </w:p>
        </w:tc>
        <w:tc>
          <w:tcPr>
            <w:tcW w:w="708" w:type="dxa"/>
            <w:shd w:val="clear" w:color="000000" w:fill="FFFFFF"/>
          </w:tcPr>
          <w:p w14:paraId="0F14DED6" w14:textId="77777777"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17</w:t>
            </w:r>
          </w:p>
        </w:tc>
        <w:tc>
          <w:tcPr>
            <w:tcW w:w="1276" w:type="dxa"/>
            <w:shd w:val="clear" w:color="000000" w:fill="FFFFFF"/>
          </w:tcPr>
          <w:p w14:paraId="2EB57256" w14:textId="77777777"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2.4</w:t>
            </w:r>
          </w:p>
        </w:tc>
        <w:tc>
          <w:tcPr>
            <w:tcW w:w="284" w:type="dxa"/>
            <w:shd w:val="clear" w:color="000000" w:fill="FFFFFF"/>
          </w:tcPr>
          <w:p w14:paraId="04707954" w14:textId="77777777" w:rsidR="00606A27" w:rsidRPr="00EB5D5F" w:rsidRDefault="00606A27">
            <w:pPr>
              <w:spacing w:after="160" w:line="259" w:lineRule="auto"/>
              <w:jc w:val="center"/>
              <w:rPr>
                <w:rFonts w:eastAsia="Times New Roman"/>
                <w:color w:val="000000"/>
                <w:sz w:val="18"/>
                <w:szCs w:val="18"/>
              </w:rPr>
            </w:pPr>
          </w:p>
        </w:tc>
        <w:tc>
          <w:tcPr>
            <w:tcW w:w="1417" w:type="dxa"/>
            <w:shd w:val="clear" w:color="000000" w:fill="FFFFFF"/>
          </w:tcPr>
          <w:p w14:paraId="01F028BC" w14:textId="65979D0A"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83</w:t>
            </w:r>
          </w:p>
        </w:tc>
        <w:tc>
          <w:tcPr>
            <w:tcW w:w="1134" w:type="dxa"/>
            <w:shd w:val="clear" w:color="000000" w:fill="FFFFFF"/>
          </w:tcPr>
          <w:p w14:paraId="75575F74" w14:textId="77777777"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13.3</w:t>
            </w:r>
          </w:p>
        </w:tc>
      </w:tr>
      <w:tr w:rsidR="00606A27" w:rsidRPr="00EB5D5F" w14:paraId="52F80C76" w14:textId="77777777" w:rsidTr="00606A27">
        <w:tc>
          <w:tcPr>
            <w:tcW w:w="3261" w:type="dxa"/>
          </w:tcPr>
          <w:p w14:paraId="79446279" w14:textId="77777777" w:rsidR="00606A27" w:rsidRPr="00EB5D5F" w:rsidRDefault="00606A27">
            <w:pPr>
              <w:spacing w:after="160" w:line="259" w:lineRule="auto"/>
              <w:rPr>
                <w:rFonts w:eastAsia="Times New Roman"/>
                <w:color w:val="000000"/>
                <w:sz w:val="18"/>
                <w:szCs w:val="18"/>
                <w:lang w:val="en-US"/>
              </w:rPr>
            </w:pPr>
            <w:r w:rsidRPr="00EB5D5F">
              <w:rPr>
                <w:rFonts w:eastAsia="Times New Roman"/>
                <w:color w:val="000000"/>
                <w:sz w:val="18"/>
                <w:szCs w:val="18"/>
                <w:lang w:val="en-US"/>
              </w:rPr>
              <w:t xml:space="preserve">   5</w:t>
            </w:r>
          </w:p>
        </w:tc>
        <w:tc>
          <w:tcPr>
            <w:tcW w:w="708" w:type="dxa"/>
            <w:shd w:val="clear" w:color="000000" w:fill="FFFFFF"/>
          </w:tcPr>
          <w:p w14:paraId="4F82A442" w14:textId="77777777"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7</w:t>
            </w:r>
          </w:p>
        </w:tc>
        <w:tc>
          <w:tcPr>
            <w:tcW w:w="1276" w:type="dxa"/>
            <w:shd w:val="clear" w:color="000000" w:fill="FFFFFF"/>
          </w:tcPr>
          <w:p w14:paraId="61E44BD2" w14:textId="77777777"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1.0</w:t>
            </w:r>
          </w:p>
        </w:tc>
        <w:tc>
          <w:tcPr>
            <w:tcW w:w="284" w:type="dxa"/>
            <w:shd w:val="clear" w:color="000000" w:fill="FFFFFF"/>
          </w:tcPr>
          <w:p w14:paraId="01F05B89" w14:textId="77777777" w:rsidR="00606A27" w:rsidRPr="00EB5D5F" w:rsidRDefault="00606A27">
            <w:pPr>
              <w:spacing w:after="160" w:line="259" w:lineRule="auto"/>
              <w:jc w:val="center"/>
              <w:rPr>
                <w:rFonts w:eastAsia="Times New Roman"/>
                <w:color w:val="000000"/>
                <w:sz w:val="18"/>
                <w:szCs w:val="18"/>
              </w:rPr>
            </w:pPr>
          </w:p>
        </w:tc>
        <w:tc>
          <w:tcPr>
            <w:tcW w:w="1417" w:type="dxa"/>
            <w:shd w:val="clear" w:color="000000" w:fill="FFFFFF"/>
          </w:tcPr>
          <w:p w14:paraId="0E3D9AF2" w14:textId="69EB462F"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35</w:t>
            </w:r>
          </w:p>
        </w:tc>
        <w:tc>
          <w:tcPr>
            <w:tcW w:w="1134" w:type="dxa"/>
            <w:shd w:val="clear" w:color="000000" w:fill="FFFFFF"/>
          </w:tcPr>
          <w:p w14:paraId="6C6DFFB7" w14:textId="77777777" w:rsidR="00606A27" w:rsidRPr="00EB5D5F" w:rsidRDefault="00606A27">
            <w:pPr>
              <w:spacing w:after="160" w:line="259" w:lineRule="auto"/>
              <w:jc w:val="center"/>
              <w:rPr>
                <w:rFonts w:eastAsia="Times New Roman"/>
                <w:color w:val="000000"/>
                <w:sz w:val="18"/>
                <w:szCs w:val="18"/>
              </w:rPr>
            </w:pPr>
            <w:r w:rsidRPr="00EB5D5F">
              <w:rPr>
                <w:rFonts w:eastAsia="Times New Roman"/>
                <w:color w:val="000000"/>
                <w:sz w:val="18"/>
                <w:szCs w:val="18"/>
              </w:rPr>
              <w:t>5.6</w:t>
            </w:r>
          </w:p>
        </w:tc>
      </w:tr>
    </w:tbl>
    <w:p w14:paraId="36EA46FB" w14:textId="4C2D2E7D" w:rsidR="009836BA" w:rsidRPr="00EB5D5F" w:rsidRDefault="00D362C7">
      <w:pPr>
        <w:spacing w:after="160" w:line="259" w:lineRule="auto"/>
        <w:rPr>
          <w:lang w:val="en-US"/>
        </w:rPr>
      </w:pPr>
      <w:r w:rsidRPr="00EB5D5F">
        <w:rPr>
          <w:i/>
          <w:sz w:val="20"/>
          <w:lang w:val="en-US"/>
        </w:rPr>
        <w:t xml:space="preserve">Note. </w:t>
      </w:r>
      <w:r w:rsidR="000D142A" w:rsidRPr="00EB5D5F">
        <w:rPr>
          <w:sz w:val="20"/>
          <w:lang w:val="en-US"/>
        </w:rPr>
        <w:t xml:space="preserve">Prevalence </w:t>
      </w:r>
      <w:r w:rsidRPr="00EB5D5F">
        <w:rPr>
          <w:sz w:val="20"/>
          <w:lang w:val="en-US"/>
        </w:rPr>
        <w:t xml:space="preserve">of childhood maltreatment subtypes were based on categorical subscale cutoffs established by Walker et al. </w:t>
      </w:r>
      <w:r w:rsidRPr="00EB5D5F">
        <w:fldChar w:fldCharType="begin" w:fldLock="1"/>
      </w:r>
      <w:r w:rsidRPr="00EB5D5F">
        <w:rPr>
          <w:sz w:val="20"/>
          <w:lang w:val="en-US"/>
        </w:rPr>
        <w:instrText>ADDIN CSL_CITATION {"citationItems":[{"id":"ITEM-1","itemData":{"author":[{"dropping-particle":"","family":"Walker","given":"Edward A","non-dropping-particle":"","parse-names":false,"suffix":""},{"dropping-particle":"","family":"Gelfand","given":"Ann","non-dropping-particle":"","parse-names":false,"suffix":""},{"dropping-particle":"","family":"Katon","given":"Wayne J","non-dropping-particle":"","parse-names":false,"suffix":""},{"dropping-particle":"","family":"Koss","given":"Mary P","non-dropping-particle":"","parse-names":false,"suffix":""},{"dropping-particle":"Von","family":"Korff","given":"Michael","non-dropping-particle":"","parse-names":false,"suffix":""},{"dropping-particle":"","family":"Bernstein","given":"David","non-dropping-particle":"","parse-names":false,"suffix":""},{"dropping-particle":"","family":"Russo","given":"Joan","non-dropping-particle":"","parse-names":false,"suffix":""}],"container-title":"The American Journal of Medicine","id":"ITEM-1","issued":{"date-parts":[["1999"]]},"page":"332-339","title":"Adult Health Status of Women with Histories of Childhood Abuse and Neglect","type":"article-journal","volume":"107"},"suppress-author":1,"uris":["http://www.mendeley.com/documents/?uuid=6eb2c218-911b-4153-a4ff-9c47b9bd99eb"]}],"mendeley":{"formattedCitation":"(1999)","plainTextFormattedCitation":"(1999)","previouslyFormattedCitation":"(1999)"},"properties":{"noteIndex":0},"schema":"https://github.com/citation-style-language/schema/raw/master/csl-citation.json"}</w:instrText>
      </w:r>
      <w:r w:rsidRPr="00EB5D5F">
        <w:rPr>
          <w:sz w:val="20"/>
          <w:lang w:val="en-US"/>
        </w:rPr>
        <w:fldChar w:fldCharType="separate"/>
      </w:r>
      <w:r w:rsidRPr="00EB5D5F">
        <w:rPr>
          <w:noProof/>
          <w:sz w:val="20"/>
          <w:lang w:val="en-US"/>
        </w:rPr>
        <w:t>(1999)</w:t>
      </w:r>
      <w:r w:rsidRPr="00EB5D5F">
        <w:rPr>
          <w:sz w:val="20"/>
          <w:lang w:val="en-US"/>
        </w:rPr>
        <w:fldChar w:fldCharType="end"/>
      </w:r>
      <w:r w:rsidRPr="00EB5D5F">
        <w:rPr>
          <w:sz w:val="20"/>
          <w:lang w:val="en-US"/>
        </w:rPr>
        <w:t xml:space="preserve">. HC, healthy control; MDD, major depressive disorder. </w:t>
      </w:r>
    </w:p>
    <w:p w14:paraId="54B1C94C" w14:textId="77777777" w:rsidR="009836BA" w:rsidRPr="00EB5D5F" w:rsidRDefault="00D362C7">
      <w:pPr>
        <w:spacing w:after="160" w:line="259" w:lineRule="auto"/>
        <w:rPr>
          <w:lang w:val="en-US"/>
        </w:rPr>
      </w:pPr>
      <w:r w:rsidRPr="00EB5D5F">
        <w:rPr>
          <w:lang w:val="en-US"/>
        </w:rPr>
        <w:br w:type="page"/>
      </w:r>
    </w:p>
    <w:p w14:paraId="438458B4" w14:textId="77777777" w:rsidR="009836BA" w:rsidRPr="00EB5D5F" w:rsidRDefault="00D362C7">
      <w:pPr>
        <w:spacing w:line="360" w:lineRule="auto"/>
        <w:rPr>
          <w:lang w:val="en-US"/>
        </w:rPr>
      </w:pPr>
      <w:r w:rsidRPr="00EB5D5F">
        <w:rPr>
          <w:lang w:val="en-US"/>
        </w:rPr>
        <w:lastRenderedPageBreak/>
        <w:t xml:space="preserve">Table S4. Association of maltreatment subtypes of the CTQ with extracted </w:t>
      </w:r>
      <w:proofErr w:type="spellStart"/>
      <w:r w:rsidRPr="00EB5D5F">
        <w:rPr>
          <w:lang w:val="en-US"/>
        </w:rPr>
        <w:t>connectivities</w:t>
      </w:r>
      <w:proofErr w:type="spellEnd"/>
      <w:r w:rsidRPr="00EB5D5F">
        <w:rPr>
          <w:lang w:val="en-US"/>
        </w:rPr>
        <w:t xml:space="preserve"> between right amygdala seed ROI and the dorsolateral prefrontal cluster that was found to significantly correlate with CTQ sum in the major depressive disorder sample (frontal cluster in Figure 1). </w:t>
      </w:r>
    </w:p>
    <w:tbl>
      <w:tblPr>
        <w:tblStyle w:val="Tabellenraster"/>
        <w:tblW w:w="6765" w:type="dxa"/>
        <w:tblLook w:val="04A0" w:firstRow="1" w:lastRow="0" w:firstColumn="1" w:lastColumn="0" w:noHBand="0" w:noVBand="1"/>
      </w:tblPr>
      <w:tblGrid>
        <w:gridCol w:w="2255"/>
        <w:gridCol w:w="2255"/>
        <w:gridCol w:w="2255"/>
      </w:tblGrid>
      <w:tr w:rsidR="009836BA" w:rsidRPr="00EB5D5F" w14:paraId="7684B02C" w14:textId="77777777">
        <w:tc>
          <w:tcPr>
            <w:tcW w:w="2255" w:type="dxa"/>
            <w:tcBorders>
              <w:left w:val="nil"/>
              <w:right w:val="nil"/>
            </w:tcBorders>
          </w:tcPr>
          <w:p w14:paraId="474BC10A" w14:textId="77777777" w:rsidR="009836BA" w:rsidRPr="00EB5D5F" w:rsidRDefault="009836BA">
            <w:pPr>
              <w:spacing w:after="160" w:line="360" w:lineRule="auto"/>
              <w:rPr>
                <w:sz w:val="18"/>
                <w:szCs w:val="18"/>
                <w:lang w:val="en-US"/>
              </w:rPr>
            </w:pPr>
          </w:p>
        </w:tc>
        <w:tc>
          <w:tcPr>
            <w:tcW w:w="2255" w:type="dxa"/>
            <w:tcBorders>
              <w:left w:val="nil"/>
              <w:right w:val="nil"/>
            </w:tcBorders>
            <w:vAlign w:val="center"/>
          </w:tcPr>
          <w:p w14:paraId="403979B2" w14:textId="77777777" w:rsidR="009836BA" w:rsidRPr="00EB5D5F" w:rsidRDefault="00D362C7">
            <w:pPr>
              <w:spacing w:after="160" w:line="360" w:lineRule="auto"/>
              <w:jc w:val="center"/>
              <w:rPr>
                <w:sz w:val="18"/>
                <w:szCs w:val="18"/>
                <w:lang w:val="en-US"/>
              </w:rPr>
            </w:pPr>
            <w:r w:rsidRPr="00EB5D5F">
              <w:rPr>
                <w:sz w:val="18"/>
                <w:szCs w:val="18"/>
                <w:lang w:val="en-US"/>
              </w:rPr>
              <w:t>p-value</w:t>
            </w:r>
          </w:p>
        </w:tc>
        <w:tc>
          <w:tcPr>
            <w:tcW w:w="2255" w:type="dxa"/>
            <w:tcBorders>
              <w:left w:val="nil"/>
              <w:right w:val="nil"/>
            </w:tcBorders>
            <w:vAlign w:val="center"/>
          </w:tcPr>
          <w:p w14:paraId="77FE6C11" w14:textId="77777777" w:rsidR="009836BA" w:rsidRPr="00EB5D5F" w:rsidRDefault="00D362C7">
            <w:pPr>
              <w:spacing w:after="160" w:line="360" w:lineRule="auto"/>
              <w:jc w:val="center"/>
              <w:rPr>
                <w:sz w:val="18"/>
                <w:szCs w:val="18"/>
                <w:lang w:val="en-US"/>
              </w:rPr>
            </w:pPr>
            <w:r w:rsidRPr="00EB5D5F">
              <w:rPr>
                <w:sz w:val="18"/>
                <w:szCs w:val="18"/>
                <w:lang w:val="en-US"/>
              </w:rPr>
              <w:t>Partial η² [</w:t>
            </w:r>
            <w:proofErr w:type="spellStart"/>
            <w:r w:rsidRPr="00EB5D5F">
              <w:rPr>
                <w:sz w:val="18"/>
                <w:szCs w:val="18"/>
                <w:lang w:val="en-US"/>
              </w:rPr>
              <w:t>BCa</w:t>
            </w:r>
            <w:proofErr w:type="spellEnd"/>
            <w:r w:rsidRPr="00EB5D5F">
              <w:rPr>
                <w:sz w:val="18"/>
                <w:szCs w:val="18"/>
                <w:lang w:val="en-US"/>
              </w:rPr>
              <w:t xml:space="preserve"> 95%-CI]</w:t>
            </w:r>
          </w:p>
        </w:tc>
      </w:tr>
      <w:tr w:rsidR="009836BA" w:rsidRPr="00EB5D5F" w14:paraId="35519A98" w14:textId="77777777">
        <w:tc>
          <w:tcPr>
            <w:tcW w:w="2255" w:type="dxa"/>
            <w:tcBorders>
              <w:left w:val="nil"/>
              <w:bottom w:val="nil"/>
              <w:right w:val="nil"/>
            </w:tcBorders>
          </w:tcPr>
          <w:p w14:paraId="5B678CAE" w14:textId="77777777" w:rsidR="009836BA" w:rsidRPr="00EB5D5F" w:rsidRDefault="00D362C7">
            <w:pPr>
              <w:spacing w:after="160" w:line="360" w:lineRule="auto"/>
              <w:rPr>
                <w:sz w:val="18"/>
                <w:szCs w:val="18"/>
                <w:lang w:val="en-US"/>
              </w:rPr>
            </w:pPr>
            <w:r w:rsidRPr="00EB5D5F">
              <w:rPr>
                <w:sz w:val="18"/>
                <w:szCs w:val="18"/>
                <w:lang w:val="en-US"/>
              </w:rPr>
              <w:t>CTQ sum</w:t>
            </w:r>
          </w:p>
        </w:tc>
        <w:tc>
          <w:tcPr>
            <w:tcW w:w="2255" w:type="dxa"/>
            <w:tcBorders>
              <w:left w:val="nil"/>
              <w:bottom w:val="nil"/>
              <w:right w:val="nil"/>
            </w:tcBorders>
            <w:vAlign w:val="center"/>
          </w:tcPr>
          <w:p w14:paraId="2E8CE36D" w14:textId="77777777" w:rsidR="009836BA" w:rsidRPr="00EB5D5F" w:rsidRDefault="00D362C7">
            <w:pPr>
              <w:spacing w:after="160" w:line="360" w:lineRule="auto"/>
              <w:jc w:val="center"/>
              <w:rPr>
                <w:sz w:val="18"/>
                <w:szCs w:val="18"/>
                <w:lang w:val="en-US"/>
              </w:rPr>
            </w:pPr>
            <w:r w:rsidRPr="00EB5D5F">
              <w:rPr>
                <w:sz w:val="18"/>
                <w:szCs w:val="18"/>
                <w:lang w:val="en-US"/>
              </w:rPr>
              <w:t>&lt;.001</w:t>
            </w:r>
          </w:p>
        </w:tc>
        <w:tc>
          <w:tcPr>
            <w:tcW w:w="2255" w:type="dxa"/>
            <w:tcBorders>
              <w:left w:val="nil"/>
              <w:bottom w:val="nil"/>
              <w:right w:val="nil"/>
            </w:tcBorders>
            <w:vAlign w:val="center"/>
          </w:tcPr>
          <w:p w14:paraId="6DFD9BDF" w14:textId="77777777" w:rsidR="009836BA" w:rsidRPr="00EB5D5F" w:rsidRDefault="00D362C7">
            <w:pPr>
              <w:spacing w:after="160" w:line="360" w:lineRule="auto"/>
              <w:jc w:val="center"/>
              <w:rPr>
                <w:sz w:val="18"/>
                <w:szCs w:val="18"/>
                <w:lang w:val="en-US"/>
              </w:rPr>
            </w:pPr>
            <w:r w:rsidRPr="00EB5D5F">
              <w:rPr>
                <w:sz w:val="18"/>
                <w:szCs w:val="18"/>
                <w:lang w:val="en-US"/>
              </w:rPr>
              <w:t>.050 [.023, .085]</w:t>
            </w:r>
          </w:p>
        </w:tc>
      </w:tr>
      <w:tr w:rsidR="009836BA" w:rsidRPr="00EB5D5F" w14:paraId="2A82C117" w14:textId="77777777">
        <w:tc>
          <w:tcPr>
            <w:tcW w:w="2255" w:type="dxa"/>
            <w:tcBorders>
              <w:top w:val="nil"/>
              <w:left w:val="nil"/>
              <w:bottom w:val="nil"/>
              <w:right w:val="nil"/>
            </w:tcBorders>
          </w:tcPr>
          <w:p w14:paraId="16A4984E" w14:textId="77777777" w:rsidR="009836BA" w:rsidRPr="00EB5D5F" w:rsidRDefault="00D362C7">
            <w:pPr>
              <w:spacing w:after="160" w:line="360" w:lineRule="auto"/>
              <w:rPr>
                <w:sz w:val="18"/>
                <w:szCs w:val="18"/>
                <w:lang w:val="en-US"/>
              </w:rPr>
            </w:pPr>
            <w:r w:rsidRPr="00EB5D5F">
              <w:rPr>
                <w:sz w:val="18"/>
                <w:szCs w:val="18"/>
                <w:lang w:val="en-US"/>
              </w:rPr>
              <w:t>Emotional abuse</w:t>
            </w:r>
          </w:p>
        </w:tc>
        <w:tc>
          <w:tcPr>
            <w:tcW w:w="2255" w:type="dxa"/>
            <w:tcBorders>
              <w:top w:val="nil"/>
              <w:left w:val="nil"/>
              <w:bottom w:val="nil"/>
              <w:right w:val="nil"/>
            </w:tcBorders>
            <w:vAlign w:val="center"/>
          </w:tcPr>
          <w:p w14:paraId="4373AF12" w14:textId="77777777" w:rsidR="009836BA" w:rsidRPr="00EB5D5F" w:rsidRDefault="00D362C7">
            <w:pPr>
              <w:spacing w:after="160" w:line="360" w:lineRule="auto"/>
              <w:jc w:val="center"/>
              <w:rPr>
                <w:sz w:val="18"/>
                <w:szCs w:val="18"/>
                <w:lang w:val="en-US"/>
              </w:rPr>
            </w:pPr>
            <w:r w:rsidRPr="00EB5D5F">
              <w:rPr>
                <w:sz w:val="18"/>
                <w:szCs w:val="18"/>
                <w:lang w:val="en-US"/>
              </w:rPr>
              <w:t>&lt;.001</w:t>
            </w:r>
          </w:p>
        </w:tc>
        <w:tc>
          <w:tcPr>
            <w:tcW w:w="2255" w:type="dxa"/>
            <w:tcBorders>
              <w:top w:val="nil"/>
              <w:left w:val="nil"/>
              <w:bottom w:val="nil"/>
              <w:right w:val="nil"/>
            </w:tcBorders>
            <w:vAlign w:val="center"/>
          </w:tcPr>
          <w:p w14:paraId="48100AFF" w14:textId="77777777" w:rsidR="009836BA" w:rsidRPr="00EB5D5F" w:rsidRDefault="00D362C7">
            <w:pPr>
              <w:spacing w:after="160" w:line="360" w:lineRule="auto"/>
              <w:jc w:val="center"/>
              <w:rPr>
                <w:sz w:val="18"/>
                <w:szCs w:val="18"/>
                <w:lang w:val="en-US"/>
              </w:rPr>
            </w:pPr>
            <w:r w:rsidRPr="00EB5D5F">
              <w:rPr>
                <w:sz w:val="18"/>
                <w:szCs w:val="18"/>
                <w:lang w:val="en-US"/>
              </w:rPr>
              <w:t>.049 [.023, .086]</w:t>
            </w:r>
          </w:p>
        </w:tc>
      </w:tr>
      <w:tr w:rsidR="009836BA" w:rsidRPr="00EB5D5F" w14:paraId="739B2740" w14:textId="77777777">
        <w:tc>
          <w:tcPr>
            <w:tcW w:w="2255" w:type="dxa"/>
            <w:tcBorders>
              <w:top w:val="nil"/>
              <w:left w:val="nil"/>
              <w:bottom w:val="nil"/>
              <w:right w:val="nil"/>
            </w:tcBorders>
          </w:tcPr>
          <w:p w14:paraId="75364AC5" w14:textId="77777777" w:rsidR="009836BA" w:rsidRPr="00EB5D5F" w:rsidRDefault="00D362C7">
            <w:pPr>
              <w:spacing w:after="160" w:line="360" w:lineRule="auto"/>
              <w:rPr>
                <w:sz w:val="18"/>
                <w:szCs w:val="18"/>
                <w:lang w:val="en-US"/>
              </w:rPr>
            </w:pPr>
            <w:r w:rsidRPr="00EB5D5F">
              <w:rPr>
                <w:sz w:val="18"/>
                <w:szCs w:val="18"/>
                <w:lang w:val="en-US"/>
              </w:rPr>
              <w:t>Physical abuse</w:t>
            </w:r>
          </w:p>
        </w:tc>
        <w:tc>
          <w:tcPr>
            <w:tcW w:w="2255" w:type="dxa"/>
            <w:tcBorders>
              <w:top w:val="nil"/>
              <w:left w:val="nil"/>
              <w:bottom w:val="nil"/>
              <w:right w:val="nil"/>
            </w:tcBorders>
            <w:vAlign w:val="center"/>
          </w:tcPr>
          <w:p w14:paraId="3EDF6958" w14:textId="77777777" w:rsidR="009836BA" w:rsidRPr="00EB5D5F" w:rsidRDefault="00D362C7">
            <w:pPr>
              <w:spacing w:after="160" w:line="360" w:lineRule="auto"/>
              <w:jc w:val="center"/>
              <w:rPr>
                <w:sz w:val="18"/>
                <w:szCs w:val="18"/>
                <w:lang w:val="en-US"/>
              </w:rPr>
            </w:pPr>
            <w:r w:rsidRPr="00EB5D5F">
              <w:rPr>
                <w:sz w:val="18"/>
                <w:szCs w:val="18"/>
                <w:lang w:val="en-US"/>
              </w:rPr>
              <w:t>&lt;.001</w:t>
            </w:r>
          </w:p>
        </w:tc>
        <w:tc>
          <w:tcPr>
            <w:tcW w:w="2255" w:type="dxa"/>
            <w:tcBorders>
              <w:top w:val="nil"/>
              <w:left w:val="nil"/>
              <w:bottom w:val="nil"/>
              <w:right w:val="nil"/>
            </w:tcBorders>
            <w:vAlign w:val="center"/>
          </w:tcPr>
          <w:p w14:paraId="1BD91F86" w14:textId="77777777" w:rsidR="009836BA" w:rsidRPr="00EB5D5F" w:rsidRDefault="00D362C7">
            <w:pPr>
              <w:spacing w:after="160" w:line="360" w:lineRule="auto"/>
              <w:jc w:val="center"/>
              <w:rPr>
                <w:sz w:val="18"/>
                <w:szCs w:val="18"/>
                <w:lang w:val="en-US"/>
              </w:rPr>
            </w:pPr>
            <w:r w:rsidRPr="00EB5D5F">
              <w:rPr>
                <w:sz w:val="18"/>
                <w:szCs w:val="18"/>
                <w:lang w:val="en-US"/>
              </w:rPr>
              <w:t>.018 [.003, .047]</w:t>
            </w:r>
          </w:p>
        </w:tc>
      </w:tr>
      <w:tr w:rsidR="009836BA" w:rsidRPr="00EB5D5F" w14:paraId="4047679E" w14:textId="77777777">
        <w:tc>
          <w:tcPr>
            <w:tcW w:w="2255" w:type="dxa"/>
            <w:tcBorders>
              <w:top w:val="nil"/>
              <w:left w:val="nil"/>
              <w:bottom w:val="nil"/>
              <w:right w:val="nil"/>
            </w:tcBorders>
          </w:tcPr>
          <w:p w14:paraId="223DBEB5" w14:textId="77777777" w:rsidR="009836BA" w:rsidRPr="00EB5D5F" w:rsidRDefault="00D362C7">
            <w:pPr>
              <w:spacing w:after="160" w:line="360" w:lineRule="auto"/>
              <w:rPr>
                <w:sz w:val="18"/>
                <w:szCs w:val="18"/>
                <w:lang w:val="en-US"/>
              </w:rPr>
            </w:pPr>
            <w:r w:rsidRPr="00EB5D5F">
              <w:rPr>
                <w:sz w:val="18"/>
                <w:szCs w:val="18"/>
                <w:lang w:val="en-US"/>
              </w:rPr>
              <w:t>Sexual abuse</w:t>
            </w:r>
          </w:p>
        </w:tc>
        <w:tc>
          <w:tcPr>
            <w:tcW w:w="2255" w:type="dxa"/>
            <w:tcBorders>
              <w:top w:val="nil"/>
              <w:left w:val="nil"/>
              <w:bottom w:val="nil"/>
              <w:right w:val="nil"/>
            </w:tcBorders>
            <w:vAlign w:val="center"/>
          </w:tcPr>
          <w:p w14:paraId="35C9F45B" w14:textId="77777777" w:rsidR="009836BA" w:rsidRPr="00EB5D5F" w:rsidRDefault="00D362C7">
            <w:pPr>
              <w:spacing w:after="160" w:line="360" w:lineRule="auto"/>
              <w:jc w:val="center"/>
              <w:rPr>
                <w:sz w:val="18"/>
                <w:szCs w:val="18"/>
                <w:lang w:val="en-US"/>
              </w:rPr>
            </w:pPr>
            <w:r w:rsidRPr="00EB5D5F">
              <w:rPr>
                <w:sz w:val="18"/>
                <w:szCs w:val="18"/>
                <w:lang w:val="en-US"/>
              </w:rPr>
              <w:t>.020</w:t>
            </w:r>
          </w:p>
        </w:tc>
        <w:tc>
          <w:tcPr>
            <w:tcW w:w="2255" w:type="dxa"/>
            <w:tcBorders>
              <w:top w:val="nil"/>
              <w:left w:val="nil"/>
              <w:bottom w:val="nil"/>
              <w:right w:val="nil"/>
            </w:tcBorders>
            <w:vAlign w:val="center"/>
          </w:tcPr>
          <w:p w14:paraId="1FB00F4B" w14:textId="32AE74C1" w:rsidR="009836BA" w:rsidRPr="00EB5D5F" w:rsidRDefault="0024404F">
            <w:pPr>
              <w:spacing w:after="160" w:line="360" w:lineRule="auto"/>
              <w:jc w:val="center"/>
              <w:rPr>
                <w:sz w:val="18"/>
                <w:szCs w:val="18"/>
                <w:lang w:val="en-US"/>
              </w:rPr>
            </w:pPr>
            <w:r>
              <w:rPr>
                <w:sz w:val="18"/>
                <w:szCs w:val="18"/>
                <w:lang w:val="en-US"/>
              </w:rPr>
              <w:t>.009 [&lt;.001</w:t>
            </w:r>
            <w:r w:rsidR="00D362C7" w:rsidRPr="00EB5D5F">
              <w:rPr>
                <w:sz w:val="18"/>
                <w:szCs w:val="18"/>
                <w:lang w:val="en-US"/>
              </w:rPr>
              <w:t>, .030]</w:t>
            </w:r>
          </w:p>
        </w:tc>
      </w:tr>
      <w:tr w:rsidR="009836BA" w:rsidRPr="00EB5D5F" w14:paraId="5807E6EB" w14:textId="77777777">
        <w:tc>
          <w:tcPr>
            <w:tcW w:w="2255" w:type="dxa"/>
            <w:tcBorders>
              <w:top w:val="nil"/>
              <w:left w:val="nil"/>
              <w:bottom w:val="nil"/>
              <w:right w:val="nil"/>
            </w:tcBorders>
          </w:tcPr>
          <w:p w14:paraId="0E5EFB28" w14:textId="77777777" w:rsidR="009836BA" w:rsidRPr="00EB5D5F" w:rsidRDefault="00D362C7">
            <w:pPr>
              <w:spacing w:after="160" w:line="360" w:lineRule="auto"/>
              <w:rPr>
                <w:sz w:val="18"/>
                <w:szCs w:val="18"/>
                <w:lang w:val="en-US"/>
              </w:rPr>
            </w:pPr>
            <w:r w:rsidRPr="00EB5D5F">
              <w:rPr>
                <w:sz w:val="18"/>
                <w:szCs w:val="18"/>
                <w:lang w:val="en-US"/>
              </w:rPr>
              <w:t>Emotional neglect</w:t>
            </w:r>
          </w:p>
        </w:tc>
        <w:tc>
          <w:tcPr>
            <w:tcW w:w="2255" w:type="dxa"/>
            <w:tcBorders>
              <w:top w:val="nil"/>
              <w:left w:val="nil"/>
              <w:bottom w:val="nil"/>
              <w:right w:val="nil"/>
            </w:tcBorders>
            <w:vAlign w:val="center"/>
          </w:tcPr>
          <w:p w14:paraId="6CD5F071" w14:textId="77777777" w:rsidR="009836BA" w:rsidRPr="00EB5D5F" w:rsidRDefault="00D362C7">
            <w:pPr>
              <w:spacing w:after="160" w:line="360" w:lineRule="auto"/>
              <w:jc w:val="center"/>
              <w:rPr>
                <w:sz w:val="18"/>
                <w:szCs w:val="18"/>
                <w:lang w:val="en-US"/>
              </w:rPr>
            </w:pPr>
            <w:r w:rsidRPr="00EB5D5F">
              <w:rPr>
                <w:sz w:val="18"/>
                <w:szCs w:val="18"/>
                <w:lang w:val="en-US"/>
              </w:rPr>
              <w:t>&lt;.001</w:t>
            </w:r>
          </w:p>
        </w:tc>
        <w:tc>
          <w:tcPr>
            <w:tcW w:w="2255" w:type="dxa"/>
            <w:tcBorders>
              <w:top w:val="nil"/>
              <w:left w:val="nil"/>
              <w:bottom w:val="nil"/>
              <w:right w:val="nil"/>
            </w:tcBorders>
            <w:vAlign w:val="center"/>
          </w:tcPr>
          <w:p w14:paraId="667600C1" w14:textId="77777777" w:rsidR="009836BA" w:rsidRPr="00EB5D5F" w:rsidRDefault="00D362C7">
            <w:pPr>
              <w:spacing w:after="160" w:line="360" w:lineRule="auto"/>
              <w:jc w:val="center"/>
              <w:rPr>
                <w:sz w:val="18"/>
                <w:szCs w:val="18"/>
                <w:lang w:val="en-US"/>
              </w:rPr>
            </w:pPr>
            <w:r w:rsidRPr="00EB5D5F">
              <w:rPr>
                <w:sz w:val="18"/>
                <w:szCs w:val="18"/>
                <w:lang w:val="en-US"/>
              </w:rPr>
              <w:t>.035 [.012, .068]</w:t>
            </w:r>
          </w:p>
        </w:tc>
      </w:tr>
      <w:tr w:rsidR="009836BA" w:rsidRPr="00EB5D5F" w14:paraId="1C444143" w14:textId="77777777">
        <w:tc>
          <w:tcPr>
            <w:tcW w:w="2255" w:type="dxa"/>
            <w:tcBorders>
              <w:top w:val="nil"/>
              <w:left w:val="nil"/>
              <w:right w:val="nil"/>
            </w:tcBorders>
          </w:tcPr>
          <w:p w14:paraId="4232BA69" w14:textId="77777777" w:rsidR="009836BA" w:rsidRPr="00EB5D5F" w:rsidRDefault="00D362C7">
            <w:pPr>
              <w:spacing w:after="160" w:line="360" w:lineRule="auto"/>
              <w:rPr>
                <w:sz w:val="18"/>
                <w:szCs w:val="18"/>
                <w:lang w:val="en-US"/>
              </w:rPr>
            </w:pPr>
            <w:r w:rsidRPr="00EB5D5F">
              <w:rPr>
                <w:sz w:val="18"/>
                <w:szCs w:val="18"/>
                <w:lang w:val="en-US"/>
              </w:rPr>
              <w:t>Physical neglect</w:t>
            </w:r>
          </w:p>
        </w:tc>
        <w:tc>
          <w:tcPr>
            <w:tcW w:w="2255" w:type="dxa"/>
            <w:tcBorders>
              <w:top w:val="nil"/>
              <w:left w:val="nil"/>
              <w:right w:val="nil"/>
            </w:tcBorders>
            <w:vAlign w:val="center"/>
          </w:tcPr>
          <w:p w14:paraId="2F261D58" w14:textId="77777777" w:rsidR="009836BA" w:rsidRPr="00EB5D5F" w:rsidRDefault="00D362C7">
            <w:pPr>
              <w:spacing w:after="160" w:line="360" w:lineRule="auto"/>
              <w:jc w:val="center"/>
              <w:rPr>
                <w:sz w:val="18"/>
                <w:szCs w:val="18"/>
                <w:lang w:val="en-US"/>
              </w:rPr>
            </w:pPr>
            <w:r w:rsidRPr="00EB5D5F">
              <w:rPr>
                <w:sz w:val="18"/>
                <w:szCs w:val="18"/>
                <w:lang w:val="en-US"/>
              </w:rPr>
              <w:t>&lt;.001</w:t>
            </w:r>
          </w:p>
        </w:tc>
        <w:tc>
          <w:tcPr>
            <w:tcW w:w="2255" w:type="dxa"/>
            <w:tcBorders>
              <w:top w:val="nil"/>
              <w:left w:val="nil"/>
              <w:right w:val="nil"/>
            </w:tcBorders>
            <w:vAlign w:val="center"/>
          </w:tcPr>
          <w:p w14:paraId="64409295" w14:textId="77777777" w:rsidR="009836BA" w:rsidRPr="00EB5D5F" w:rsidRDefault="00D362C7">
            <w:pPr>
              <w:spacing w:after="160" w:line="360" w:lineRule="auto"/>
              <w:jc w:val="center"/>
              <w:rPr>
                <w:sz w:val="18"/>
                <w:szCs w:val="18"/>
                <w:lang w:val="en-US"/>
              </w:rPr>
            </w:pPr>
            <w:r w:rsidRPr="00EB5D5F">
              <w:rPr>
                <w:sz w:val="18"/>
                <w:szCs w:val="18"/>
                <w:lang w:val="en-US"/>
              </w:rPr>
              <w:t>.039 [.016, .073]</w:t>
            </w:r>
          </w:p>
        </w:tc>
      </w:tr>
    </w:tbl>
    <w:p w14:paraId="018866BC" w14:textId="77777777" w:rsidR="009836BA" w:rsidRPr="00EB5D5F" w:rsidRDefault="00D362C7">
      <w:pPr>
        <w:spacing w:after="160" w:line="259" w:lineRule="auto"/>
        <w:rPr>
          <w:lang w:val="en-US"/>
        </w:rPr>
      </w:pPr>
      <w:r w:rsidRPr="00EB5D5F">
        <w:rPr>
          <w:i/>
          <w:sz w:val="20"/>
          <w:lang w:val="en-US"/>
        </w:rPr>
        <w:t xml:space="preserve">Note. </w:t>
      </w:r>
      <w:r w:rsidRPr="00EB5D5F">
        <w:rPr>
          <w:sz w:val="20"/>
          <w:lang w:val="en-US"/>
        </w:rPr>
        <w:t>Main effects of CTQ subscale scores are shown on amygdala between right amygdala and frontal cluster identified in the main analysis. The original result for the CTQ sum score is presented on the top for reference. The same covariates were used in the statistical model as in the original analysis.  Bias corrected and accelerated (</w:t>
      </w:r>
      <w:proofErr w:type="spellStart"/>
      <w:r w:rsidRPr="00EB5D5F">
        <w:rPr>
          <w:sz w:val="20"/>
          <w:lang w:val="en-US"/>
        </w:rPr>
        <w:t>BCa</w:t>
      </w:r>
      <w:proofErr w:type="spellEnd"/>
      <w:r w:rsidRPr="00EB5D5F">
        <w:rPr>
          <w:sz w:val="20"/>
          <w:lang w:val="en-US"/>
        </w:rPr>
        <w:t xml:space="preserve">) 95% confidence intervals are shown due to skewed data of the predictors. </w:t>
      </w:r>
    </w:p>
    <w:p w14:paraId="68D9E108" w14:textId="77777777" w:rsidR="009836BA" w:rsidRPr="00EB5D5F" w:rsidRDefault="009836BA">
      <w:pPr>
        <w:spacing w:after="160" w:line="360" w:lineRule="auto"/>
        <w:rPr>
          <w:lang w:val="en-US"/>
        </w:rPr>
      </w:pPr>
    </w:p>
    <w:p w14:paraId="099AEC97" w14:textId="77777777" w:rsidR="009836BA" w:rsidRPr="00EB5D5F" w:rsidRDefault="009836BA">
      <w:pPr>
        <w:spacing w:after="160" w:line="259" w:lineRule="auto"/>
        <w:rPr>
          <w:lang w:val="en-US"/>
        </w:rPr>
      </w:pPr>
    </w:p>
    <w:p w14:paraId="17732564" w14:textId="77777777" w:rsidR="009836BA" w:rsidRPr="00EB5D5F" w:rsidRDefault="009836BA">
      <w:pPr>
        <w:spacing w:after="160" w:line="259" w:lineRule="auto"/>
        <w:rPr>
          <w:lang w:val="en-US"/>
        </w:rPr>
      </w:pPr>
    </w:p>
    <w:p w14:paraId="376E1A36" w14:textId="77777777" w:rsidR="009836BA" w:rsidRPr="00EB5D5F" w:rsidRDefault="00D362C7">
      <w:pPr>
        <w:spacing w:after="160" w:line="259" w:lineRule="auto"/>
        <w:rPr>
          <w:lang w:val="en-US"/>
        </w:rPr>
      </w:pPr>
      <w:r w:rsidRPr="00EB5D5F">
        <w:rPr>
          <w:lang w:val="en-US"/>
        </w:rPr>
        <w:br w:type="page"/>
      </w:r>
    </w:p>
    <w:p w14:paraId="15F05BE4" w14:textId="77777777" w:rsidR="009836BA" w:rsidRPr="00EB5D5F" w:rsidRDefault="00D362C7">
      <w:pPr>
        <w:spacing w:after="160" w:line="259" w:lineRule="auto"/>
        <w:rPr>
          <w:lang w:val="en-US"/>
        </w:rPr>
      </w:pPr>
      <w:r w:rsidRPr="00EB5D5F">
        <w:rPr>
          <w:lang w:val="en-US"/>
        </w:rPr>
        <w:lastRenderedPageBreak/>
        <w:t>Table S5. Motion metrics during the resting-state functional neuroimaging sequence across diagnostic and maltreatment groups.</w:t>
      </w:r>
    </w:p>
    <w:tbl>
      <w:tblPr>
        <w:tblStyle w:val="Tabellenraster"/>
        <w:tblW w:w="5000" w:type="pct"/>
        <w:tblLook w:val="04A0" w:firstRow="1" w:lastRow="0" w:firstColumn="1" w:lastColumn="0" w:noHBand="0" w:noVBand="1"/>
      </w:tblPr>
      <w:tblGrid>
        <w:gridCol w:w="2529"/>
        <w:gridCol w:w="1549"/>
        <w:gridCol w:w="982"/>
        <w:gridCol w:w="964"/>
        <w:gridCol w:w="236"/>
        <w:gridCol w:w="1969"/>
        <w:gridCol w:w="797"/>
      </w:tblGrid>
      <w:tr w:rsidR="009836BA" w:rsidRPr="00EB5D5F" w14:paraId="741F8EC5" w14:textId="77777777">
        <w:tc>
          <w:tcPr>
            <w:tcW w:w="2528" w:type="dxa"/>
            <w:tcBorders>
              <w:left w:val="nil"/>
              <w:bottom w:val="nil"/>
              <w:right w:val="nil"/>
            </w:tcBorders>
            <w:vAlign w:val="center"/>
          </w:tcPr>
          <w:p w14:paraId="4101FE3D" w14:textId="77777777" w:rsidR="009836BA" w:rsidRPr="00EB5D5F" w:rsidRDefault="009836BA">
            <w:pPr>
              <w:spacing w:after="160" w:line="259" w:lineRule="auto"/>
              <w:rPr>
                <w:sz w:val="18"/>
                <w:szCs w:val="18"/>
                <w:lang w:val="en-US"/>
              </w:rPr>
            </w:pPr>
          </w:p>
        </w:tc>
        <w:tc>
          <w:tcPr>
            <w:tcW w:w="3495" w:type="dxa"/>
            <w:gridSpan w:val="3"/>
            <w:tcBorders>
              <w:left w:val="nil"/>
              <w:right w:val="nil"/>
            </w:tcBorders>
            <w:vAlign w:val="center"/>
          </w:tcPr>
          <w:p w14:paraId="04833DC9" w14:textId="77777777" w:rsidR="009836BA" w:rsidRPr="00EB5D5F" w:rsidRDefault="00D362C7">
            <w:pPr>
              <w:spacing w:after="160" w:line="259" w:lineRule="auto"/>
              <w:jc w:val="center"/>
              <w:rPr>
                <w:sz w:val="18"/>
                <w:szCs w:val="18"/>
                <w:lang w:val="en-US"/>
              </w:rPr>
            </w:pPr>
            <w:r w:rsidRPr="00EB5D5F">
              <w:rPr>
                <w:sz w:val="18"/>
                <w:szCs w:val="18"/>
                <w:lang w:val="en-US"/>
              </w:rPr>
              <w:t>Mean motion metrics</w:t>
            </w:r>
          </w:p>
        </w:tc>
        <w:tc>
          <w:tcPr>
            <w:tcW w:w="236" w:type="dxa"/>
            <w:tcBorders>
              <w:left w:val="nil"/>
              <w:bottom w:val="nil"/>
              <w:right w:val="nil"/>
            </w:tcBorders>
          </w:tcPr>
          <w:p w14:paraId="39E5F068" w14:textId="77777777" w:rsidR="009836BA" w:rsidRPr="00EB5D5F" w:rsidRDefault="009836BA">
            <w:pPr>
              <w:spacing w:after="160" w:line="259" w:lineRule="auto"/>
              <w:jc w:val="center"/>
              <w:rPr>
                <w:sz w:val="18"/>
                <w:szCs w:val="18"/>
                <w:lang w:val="en-US"/>
              </w:rPr>
            </w:pPr>
          </w:p>
        </w:tc>
        <w:tc>
          <w:tcPr>
            <w:tcW w:w="2766" w:type="dxa"/>
            <w:gridSpan w:val="2"/>
            <w:tcBorders>
              <w:left w:val="nil"/>
              <w:right w:val="nil"/>
            </w:tcBorders>
            <w:vAlign w:val="center"/>
          </w:tcPr>
          <w:p w14:paraId="45449BF3" w14:textId="77777777" w:rsidR="009836BA" w:rsidRPr="00EB5D5F" w:rsidRDefault="00D362C7">
            <w:pPr>
              <w:spacing w:after="160" w:line="259" w:lineRule="auto"/>
              <w:jc w:val="center"/>
              <w:rPr>
                <w:sz w:val="18"/>
                <w:szCs w:val="18"/>
                <w:lang w:val="en-US"/>
              </w:rPr>
            </w:pPr>
            <w:r w:rsidRPr="00EB5D5F">
              <w:rPr>
                <w:sz w:val="18"/>
                <w:szCs w:val="18"/>
                <w:lang w:val="en-US"/>
              </w:rPr>
              <w:t>Difference statistics</w:t>
            </w:r>
          </w:p>
        </w:tc>
      </w:tr>
      <w:tr w:rsidR="009836BA" w:rsidRPr="00EB5D5F" w14:paraId="24CFCCED" w14:textId="77777777">
        <w:tc>
          <w:tcPr>
            <w:tcW w:w="2528" w:type="dxa"/>
            <w:tcBorders>
              <w:top w:val="nil"/>
              <w:left w:val="nil"/>
              <w:right w:val="nil"/>
            </w:tcBorders>
            <w:vAlign w:val="center"/>
          </w:tcPr>
          <w:p w14:paraId="79B4FF11" w14:textId="77777777" w:rsidR="009836BA" w:rsidRPr="00EB5D5F" w:rsidRDefault="009836BA">
            <w:pPr>
              <w:spacing w:after="160" w:line="259" w:lineRule="auto"/>
              <w:rPr>
                <w:sz w:val="18"/>
                <w:szCs w:val="18"/>
                <w:lang w:val="en-US"/>
              </w:rPr>
            </w:pPr>
          </w:p>
        </w:tc>
        <w:tc>
          <w:tcPr>
            <w:tcW w:w="1549" w:type="dxa"/>
            <w:tcBorders>
              <w:left w:val="nil"/>
              <w:right w:val="nil"/>
            </w:tcBorders>
            <w:vAlign w:val="center"/>
          </w:tcPr>
          <w:p w14:paraId="2FAA37C5" w14:textId="77777777" w:rsidR="009836BA" w:rsidRPr="00EB5D5F" w:rsidRDefault="00D362C7">
            <w:pPr>
              <w:spacing w:after="160" w:line="259" w:lineRule="auto"/>
              <w:jc w:val="center"/>
              <w:rPr>
                <w:sz w:val="18"/>
                <w:szCs w:val="18"/>
                <w:lang w:val="en-US"/>
              </w:rPr>
            </w:pPr>
            <w:r w:rsidRPr="00EB5D5F">
              <w:rPr>
                <w:sz w:val="18"/>
                <w:szCs w:val="18"/>
                <w:lang w:val="en-US"/>
              </w:rPr>
              <w:t>Mean (SD)</w:t>
            </w:r>
          </w:p>
        </w:tc>
        <w:tc>
          <w:tcPr>
            <w:tcW w:w="982" w:type="dxa"/>
            <w:tcBorders>
              <w:left w:val="nil"/>
              <w:right w:val="nil"/>
            </w:tcBorders>
            <w:vAlign w:val="center"/>
          </w:tcPr>
          <w:p w14:paraId="302A5F80" w14:textId="77777777" w:rsidR="009836BA" w:rsidRPr="00EB5D5F" w:rsidRDefault="00D362C7">
            <w:pPr>
              <w:spacing w:after="160" w:line="259" w:lineRule="auto"/>
              <w:jc w:val="center"/>
              <w:rPr>
                <w:sz w:val="18"/>
                <w:szCs w:val="18"/>
                <w:lang w:val="en-US"/>
              </w:rPr>
            </w:pPr>
            <w:r w:rsidRPr="00EB5D5F">
              <w:rPr>
                <w:sz w:val="18"/>
                <w:szCs w:val="18"/>
                <w:lang w:val="en-US"/>
              </w:rPr>
              <w:t>Min</w:t>
            </w:r>
          </w:p>
        </w:tc>
        <w:tc>
          <w:tcPr>
            <w:tcW w:w="964" w:type="dxa"/>
            <w:tcBorders>
              <w:left w:val="nil"/>
              <w:right w:val="nil"/>
            </w:tcBorders>
            <w:vAlign w:val="center"/>
          </w:tcPr>
          <w:p w14:paraId="649E90A8" w14:textId="77777777" w:rsidR="009836BA" w:rsidRPr="00EB5D5F" w:rsidRDefault="00D362C7">
            <w:pPr>
              <w:spacing w:after="160" w:line="259" w:lineRule="auto"/>
              <w:jc w:val="center"/>
              <w:rPr>
                <w:sz w:val="18"/>
                <w:szCs w:val="18"/>
                <w:lang w:val="en-US"/>
              </w:rPr>
            </w:pPr>
            <w:r w:rsidRPr="00EB5D5F">
              <w:rPr>
                <w:sz w:val="18"/>
                <w:szCs w:val="18"/>
                <w:lang w:val="en-US"/>
              </w:rPr>
              <w:t>Max</w:t>
            </w:r>
          </w:p>
        </w:tc>
        <w:tc>
          <w:tcPr>
            <w:tcW w:w="236" w:type="dxa"/>
            <w:tcBorders>
              <w:top w:val="nil"/>
              <w:left w:val="nil"/>
              <w:right w:val="nil"/>
            </w:tcBorders>
          </w:tcPr>
          <w:p w14:paraId="32207119" w14:textId="77777777" w:rsidR="009836BA" w:rsidRPr="00EB5D5F" w:rsidRDefault="009836BA">
            <w:pPr>
              <w:spacing w:after="160" w:line="259" w:lineRule="auto"/>
              <w:jc w:val="center"/>
              <w:rPr>
                <w:sz w:val="18"/>
                <w:szCs w:val="18"/>
                <w:lang w:val="en-US"/>
              </w:rPr>
            </w:pPr>
          </w:p>
        </w:tc>
        <w:tc>
          <w:tcPr>
            <w:tcW w:w="1969" w:type="dxa"/>
            <w:tcBorders>
              <w:left w:val="nil"/>
              <w:right w:val="nil"/>
            </w:tcBorders>
            <w:vAlign w:val="center"/>
          </w:tcPr>
          <w:p w14:paraId="219F8D6C" w14:textId="77777777" w:rsidR="009836BA" w:rsidRPr="00EB5D5F" w:rsidRDefault="00D362C7">
            <w:pPr>
              <w:spacing w:after="160" w:line="259" w:lineRule="auto"/>
              <w:jc w:val="center"/>
              <w:rPr>
                <w:sz w:val="18"/>
                <w:szCs w:val="18"/>
                <w:lang w:val="en-US"/>
              </w:rPr>
            </w:pPr>
            <w:r w:rsidRPr="00EB5D5F">
              <w:rPr>
                <w:sz w:val="18"/>
                <w:szCs w:val="18"/>
                <w:lang w:val="en-US"/>
              </w:rPr>
              <w:t>Cohens d [95%-CI]</w:t>
            </w:r>
          </w:p>
        </w:tc>
        <w:tc>
          <w:tcPr>
            <w:tcW w:w="797" w:type="dxa"/>
            <w:tcBorders>
              <w:left w:val="nil"/>
              <w:right w:val="nil"/>
            </w:tcBorders>
            <w:vAlign w:val="center"/>
          </w:tcPr>
          <w:p w14:paraId="01012AB3" w14:textId="77777777" w:rsidR="009836BA" w:rsidRPr="00EB5D5F" w:rsidRDefault="00D362C7">
            <w:pPr>
              <w:spacing w:after="160" w:line="259" w:lineRule="auto"/>
              <w:jc w:val="center"/>
              <w:rPr>
                <w:sz w:val="18"/>
                <w:szCs w:val="18"/>
                <w:lang w:val="en-US"/>
              </w:rPr>
            </w:pPr>
            <w:r w:rsidRPr="00EB5D5F">
              <w:rPr>
                <w:sz w:val="18"/>
                <w:szCs w:val="18"/>
                <w:lang w:val="en-US"/>
              </w:rPr>
              <w:t>p-value</w:t>
            </w:r>
          </w:p>
        </w:tc>
      </w:tr>
      <w:tr w:rsidR="009836BA" w:rsidRPr="00EB5D5F" w14:paraId="03311216" w14:textId="77777777">
        <w:tc>
          <w:tcPr>
            <w:tcW w:w="2528" w:type="dxa"/>
            <w:tcBorders>
              <w:left w:val="nil"/>
              <w:bottom w:val="nil"/>
              <w:right w:val="nil"/>
            </w:tcBorders>
            <w:vAlign w:val="center"/>
          </w:tcPr>
          <w:p w14:paraId="52F566E8" w14:textId="77777777" w:rsidR="009836BA" w:rsidRPr="00EB5D5F" w:rsidRDefault="00D362C7">
            <w:pPr>
              <w:spacing w:after="160" w:line="259" w:lineRule="auto"/>
              <w:rPr>
                <w:i/>
                <w:sz w:val="18"/>
                <w:szCs w:val="18"/>
                <w:lang w:val="en-US"/>
              </w:rPr>
            </w:pPr>
            <w:r w:rsidRPr="00EB5D5F">
              <w:rPr>
                <w:i/>
                <w:sz w:val="18"/>
                <w:szCs w:val="18"/>
                <w:lang w:val="en-US"/>
              </w:rPr>
              <w:t>Childhood maltreatment</w:t>
            </w:r>
          </w:p>
        </w:tc>
        <w:tc>
          <w:tcPr>
            <w:tcW w:w="1549" w:type="dxa"/>
            <w:tcBorders>
              <w:left w:val="nil"/>
              <w:bottom w:val="nil"/>
              <w:right w:val="nil"/>
            </w:tcBorders>
            <w:vAlign w:val="center"/>
          </w:tcPr>
          <w:p w14:paraId="2B79AA36" w14:textId="77777777" w:rsidR="009836BA" w:rsidRPr="00EB5D5F" w:rsidRDefault="009836BA">
            <w:pPr>
              <w:spacing w:after="160" w:line="259" w:lineRule="auto"/>
              <w:jc w:val="center"/>
              <w:rPr>
                <w:sz w:val="18"/>
                <w:szCs w:val="18"/>
                <w:lang w:val="en-US"/>
              </w:rPr>
            </w:pPr>
          </w:p>
        </w:tc>
        <w:tc>
          <w:tcPr>
            <w:tcW w:w="982" w:type="dxa"/>
            <w:tcBorders>
              <w:left w:val="nil"/>
              <w:bottom w:val="nil"/>
              <w:right w:val="nil"/>
            </w:tcBorders>
            <w:vAlign w:val="center"/>
          </w:tcPr>
          <w:p w14:paraId="7583A631" w14:textId="77777777" w:rsidR="009836BA" w:rsidRPr="00EB5D5F" w:rsidRDefault="009836BA">
            <w:pPr>
              <w:spacing w:after="160" w:line="259" w:lineRule="auto"/>
              <w:jc w:val="center"/>
              <w:rPr>
                <w:sz w:val="18"/>
                <w:szCs w:val="18"/>
                <w:lang w:val="en-US"/>
              </w:rPr>
            </w:pPr>
          </w:p>
        </w:tc>
        <w:tc>
          <w:tcPr>
            <w:tcW w:w="964" w:type="dxa"/>
            <w:tcBorders>
              <w:left w:val="nil"/>
              <w:bottom w:val="nil"/>
              <w:right w:val="nil"/>
            </w:tcBorders>
            <w:vAlign w:val="center"/>
          </w:tcPr>
          <w:p w14:paraId="568B9811" w14:textId="77777777" w:rsidR="009836BA" w:rsidRPr="00EB5D5F" w:rsidRDefault="009836BA">
            <w:pPr>
              <w:spacing w:after="160" w:line="259" w:lineRule="auto"/>
              <w:jc w:val="center"/>
              <w:rPr>
                <w:sz w:val="18"/>
                <w:szCs w:val="18"/>
                <w:lang w:val="en-US"/>
              </w:rPr>
            </w:pPr>
          </w:p>
        </w:tc>
        <w:tc>
          <w:tcPr>
            <w:tcW w:w="236" w:type="dxa"/>
            <w:tcBorders>
              <w:left w:val="nil"/>
              <w:bottom w:val="nil"/>
              <w:right w:val="nil"/>
            </w:tcBorders>
          </w:tcPr>
          <w:p w14:paraId="44559E2A" w14:textId="77777777" w:rsidR="009836BA" w:rsidRPr="00EB5D5F" w:rsidRDefault="009836BA">
            <w:pPr>
              <w:spacing w:after="160" w:line="259" w:lineRule="auto"/>
              <w:jc w:val="center"/>
              <w:rPr>
                <w:sz w:val="18"/>
                <w:szCs w:val="18"/>
                <w:lang w:val="en-US"/>
              </w:rPr>
            </w:pPr>
          </w:p>
        </w:tc>
        <w:tc>
          <w:tcPr>
            <w:tcW w:w="1969" w:type="dxa"/>
            <w:tcBorders>
              <w:left w:val="nil"/>
              <w:bottom w:val="nil"/>
              <w:right w:val="nil"/>
            </w:tcBorders>
            <w:vAlign w:val="center"/>
          </w:tcPr>
          <w:p w14:paraId="23A190DE" w14:textId="77777777" w:rsidR="009836BA" w:rsidRPr="00EB5D5F" w:rsidRDefault="009836BA">
            <w:pPr>
              <w:spacing w:after="160" w:line="259" w:lineRule="auto"/>
              <w:jc w:val="center"/>
              <w:rPr>
                <w:sz w:val="18"/>
                <w:szCs w:val="18"/>
                <w:lang w:val="en-US"/>
              </w:rPr>
            </w:pPr>
          </w:p>
        </w:tc>
        <w:tc>
          <w:tcPr>
            <w:tcW w:w="797" w:type="dxa"/>
            <w:tcBorders>
              <w:left w:val="nil"/>
              <w:bottom w:val="nil"/>
              <w:right w:val="nil"/>
            </w:tcBorders>
            <w:vAlign w:val="center"/>
          </w:tcPr>
          <w:p w14:paraId="083F65CD" w14:textId="77777777" w:rsidR="009836BA" w:rsidRPr="00EB5D5F" w:rsidRDefault="009836BA">
            <w:pPr>
              <w:spacing w:after="160" w:line="259" w:lineRule="auto"/>
              <w:jc w:val="center"/>
              <w:rPr>
                <w:sz w:val="18"/>
                <w:szCs w:val="18"/>
                <w:lang w:val="en-US"/>
              </w:rPr>
            </w:pPr>
          </w:p>
        </w:tc>
      </w:tr>
      <w:tr w:rsidR="009836BA" w:rsidRPr="00EB5D5F" w14:paraId="25958A53" w14:textId="77777777">
        <w:tc>
          <w:tcPr>
            <w:tcW w:w="2528" w:type="dxa"/>
            <w:tcBorders>
              <w:top w:val="nil"/>
              <w:left w:val="nil"/>
              <w:bottom w:val="nil"/>
              <w:right w:val="nil"/>
            </w:tcBorders>
            <w:vAlign w:val="center"/>
          </w:tcPr>
          <w:p w14:paraId="0C8F9AB4" w14:textId="77777777" w:rsidR="009836BA" w:rsidRPr="00EB5D5F" w:rsidRDefault="00D362C7">
            <w:pPr>
              <w:spacing w:after="160" w:line="259" w:lineRule="auto"/>
              <w:rPr>
                <w:sz w:val="18"/>
                <w:szCs w:val="18"/>
                <w:lang w:val="en-US"/>
              </w:rPr>
            </w:pPr>
            <w:r w:rsidRPr="00EB5D5F">
              <w:rPr>
                <w:sz w:val="18"/>
                <w:szCs w:val="18"/>
                <w:lang w:val="en-US"/>
              </w:rPr>
              <w:t xml:space="preserve">   Non-maltreated (n=681)</w:t>
            </w:r>
          </w:p>
        </w:tc>
        <w:tc>
          <w:tcPr>
            <w:tcW w:w="1549" w:type="dxa"/>
            <w:tcBorders>
              <w:top w:val="nil"/>
              <w:left w:val="nil"/>
              <w:bottom w:val="nil"/>
              <w:right w:val="nil"/>
            </w:tcBorders>
            <w:vAlign w:val="center"/>
          </w:tcPr>
          <w:p w14:paraId="7C2EB485" w14:textId="77777777" w:rsidR="009836BA" w:rsidRPr="00EB5D5F" w:rsidRDefault="00D362C7">
            <w:pPr>
              <w:spacing w:after="160" w:line="259" w:lineRule="auto"/>
              <w:jc w:val="center"/>
              <w:rPr>
                <w:sz w:val="18"/>
                <w:szCs w:val="18"/>
                <w:lang w:val="en-US"/>
              </w:rPr>
            </w:pPr>
            <w:r w:rsidRPr="00EB5D5F">
              <w:rPr>
                <w:sz w:val="18"/>
                <w:szCs w:val="18"/>
                <w:lang w:val="en-US"/>
              </w:rPr>
              <w:t>0.215 (0.093)</w:t>
            </w:r>
          </w:p>
        </w:tc>
        <w:tc>
          <w:tcPr>
            <w:tcW w:w="982" w:type="dxa"/>
            <w:tcBorders>
              <w:top w:val="nil"/>
              <w:left w:val="nil"/>
              <w:bottom w:val="nil"/>
              <w:right w:val="nil"/>
            </w:tcBorders>
            <w:vAlign w:val="center"/>
          </w:tcPr>
          <w:p w14:paraId="26D04DF1" w14:textId="77777777" w:rsidR="009836BA" w:rsidRPr="00EB5D5F" w:rsidRDefault="00D362C7">
            <w:pPr>
              <w:spacing w:after="160" w:line="259" w:lineRule="auto"/>
              <w:jc w:val="center"/>
              <w:rPr>
                <w:sz w:val="18"/>
                <w:szCs w:val="18"/>
                <w:lang w:val="en-US"/>
              </w:rPr>
            </w:pPr>
            <w:r w:rsidRPr="00EB5D5F">
              <w:rPr>
                <w:sz w:val="18"/>
                <w:szCs w:val="18"/>
                <w:lang w:val="en-US"/>
              </w:rPr>
              <w:t>0.065</w:t>
            </w:r>
          </w:p>
        </w:tc>
        <w:tc>
          <w:tcPr>
            <w:tcW w:w="964" w:type="dxa"/>
            <w:tcBorders>
              <w:top w:val="nil"/>
              <w:left w:val="nil"/>
              <w:bottom w:val="nil"/>
              <w:right w:val="nil"/>
            </w:tcBorders>
            <w:vAlign w:val="center"/>
          </w:tcPr>
          <w:p w14:paraId="204AD604" w14:textId="77777777" w:rsidR="009836BA" w:rsidRPr="00EB5D5F" w:rsidRDefault="00D362C7">
            <w:pPr>
              <w:spacing w:after="160" w:line="259" w:lineRule="auto"/>
              <w:jc w:val="center"/>
              <w:rPr>
                <w:sz w:val="18"/>
                <w:szCs w:val="18"/>
                <w:lang w:val="en-US"/>
              </w:rPr>
            </w:pPr>
            <w:r w:rsidRPr="00EB5D5F">
              <w:rPr>
                <w:sz w:val="18"/>
                <w:szCs w:val="18"/>
                <w:lang w:val="en-US"/>
              </w:rPr>
              <w:t>0.727</w:t>
            </w:r>
          </w:p>
        </w:tc>
        <w:tc>
          <w:tcPr>
            <w:tcW w:w="236" w:type="dxa"/>
            <w:tcBorders>
              <w:top w:val="nil"/>
              <w:left w:val="nil"/>
              <w:bottom w:val="nil"/>
              <w:right w:val="nil"/>
            </w:tcBorders>
          </w:tcPr>
          <w:p w14:paraId="72012B85" w14:textId="77777777" w:rsidR="009836BA" w:rsidRPr="00EB5D5F" w:rsidRDefault="009836BA">
            <w:pPr>
              <w:spacing w:after="160" w:line="259" w:lineRule="auto"/>
              <w:jc w:val="center"/>
              <w:rPr>
                <w:sz w:val="18"/>
                <w:szCs w:val="18"/>
                <w:lang w:val="en-US"/>
              </w:rPr>
            </w:pPr>
          </w:p>
        </w:tc>
        <w:tc>
          <w:tcPr>
            <w:tcW w:w="1969" w:type="dxa"/>
            <w:vMerge w:val="restart"/>
            <w:tcBorders>
              <w:top w:val="nil"/>
              <w:left w:val="nil"/>
              <w:bottom w:val="nil"/>
              <w:right w:val="nil"/>
            </w:tcBorders>
            <w:vAlign w:val="center"/>
          </w:tcPr>
          <w:p w14:paraId="31EF85E1" w14:textId="77777777" w:rsidR="009836BA" w:rsidRPr="00EB5D5F" w:rsidRDefault="00D362C7">
            <w:pPr>
              <w:spacing w:after="160" w:line="259" w:lineRule="auto"/>
              <w:jc w:val="center"/>
              <w:rPr>
                <w:sz w:val="18"/>
                <w:szCs w:val="18"/>
                <w:lang w:val="en-US"/>
              </w:rPr>
            </w:pPr>
            <w:r w:rsidRPr="00EB5D5F">
              <w:rPr>
                <w:sz w:val="18"/>
                <w:szCs w:val="18"/>
                <w:lang w:val="en-US"/>
              </w:rPr>
              <w:t>0.232 [0.124, 0.340]</w:t>
            </w:r>
          </w:p>
        </w:tc>
        <w:tc>
          <w:tcPr>
            <w:tcW w:w="797" w:type="dxa"/>
            <w:vMerge w:val="restart"/>
            <w:tcBorders>
              <w:top w:val="nil"/>
              <w:left w:val="nil"/>
              <w:bottom w:val="nil"/>
              <w:right w:val="nil"/>
            </w:tcBorders>
            <w:vAlign w:val="center"/>
          </w:tcPr>
          <w:p w14:paraId="4CEFC641" w14:textId="77777777" w:rsidR="009836BA" w:rsidRPr="00EB5D5F" w:rsidRDefault="00D362C7">
            <w:pPr>
              <w:spacing w:after="160" w:line="259" w:lineRule="auto"/>
              <w:jc w:val="center"/>
              <w:rPr>
                <w:sz w:val="18"/>
                <w:szCs w:val="18"/>
                <w:lang w:val="en-US"/>
              </w:rPr>
            </w:pPr>
            <w:r w:rsidRPr="00EB5D5F">
              <w:rPr>
                <w:sz w:val="18"/>
                <w:szCs w:val="18"/>
                <w:lang w:val="en-US"/>
              </w:rPr>
              <w:t>&lt;.001</w:t>
            </w:r>
          </w:p>
        </w:tc>
      </w:tr>
      <w:tr w:rsidR="009836BA" w:rsidRPr="00EB5D5F" w14:paraId="59AADAF0" w14:textId="77777777">
        <w:tc>
          <w:tcPr>
            <w:tcW w:w="2528" w:type="dxa"/>
            <w:tcBorders>
              <w:top w:val="nil"/>
              <w:left w:val="nil"/>
              <w:bottom w:val="nil"/>
              <w:right w:val="nil"/>
            </w:tcBorders>
            <w:vAlign w:val="center"/>
          </w:tcPr>
          <w:p w14:paraId="74E85C67" w14:textId="77777777" w:rsidR="009836BA" w:rsidRPr="00EB5D5F" w:rsidRDefault="00D362C7">
            <w:pPr>
              <w:spacing w:after="160" w:line="259" w:lineRule="auto"/>
              <w:rPr>
                <w:sz w:val="18"/>
                <w:szCs w:val="18"/>
                <w:lang w:val="en-US"/>
              </w:rPr>
            </w:pPr>
            <w:r w:rsidRPr="00EB5D5F">
              <w:rPr>
                <w:sz w:val="18"/>
                <w:szCs w:val="18"/>
                <w:lang w:val="en-US"/>
              </w:rPr>
              <w:t xml:space="preserve">   Maltreated (n=644)</w:t>
            </w:r>
          </w:p>
        </w:tc>
        <w:tc>
          <w:tcPr>
            <w:tcW w:w="1549" w:type="dxa"/>
            <w:tcBorders>
              <w:top w:val="nil"/>
              <w:left w:val="nil"/>
              <w:bottom w:val="nil"/>
              <w:right w:val="nil"/>
            </w:tcBorders>
            <w:vAlign w:val="center"/>
          </w:tcPr>
          <w:p w14:paraId="112DDBD9" w14:textId="77777777" w:rsidR="009836BA" w:rsidRPr="00EB5D5F" w:rsidRDefault="00D362C7">
            <w:pPr>
              <w:spacing w:after="160" w:line="259" w:lineRule="auto"/>
              <w:jc w:val="center"/>
              <w:rPr>
                <w:sz w:val="18"/>
                <w:szCs w:val="18"/>
                <w:lang w:val="en-US"/>
              </w:rPr>
            </w:pPr>
            <w:r w:rsidRPr="00EB5D5F">
              <w:rPr>
                <w:sz w:val="18"/>
                <w:szCs w:val="18"/>
                <w:lang w:val="en-US"/>
              </w:rPr>
              <w:t>0.241 (0.131)</w:t>
            </w:r>
          </w:p>
        </w:tc>
        <w:tc>
          <w:tcPr>
            <w:tcW w:w="982" w:type="dxa"/>
            <w:tcBorders>
              <w:top w:val="nil"/>
              <w:left w:val="nil"/>
              <w:bottom w:val="nil"/>
              <w:right w:val="nil"/>
            </w:tcBorders>
            <w:vAlign w:val="center"/>
          </w:tcPr>
          <w:p w14:paraId="2757D433" w14:textId="77777777" w:rsidR="009836BA" w:rsidRPr="00EB5D5F" w:rsidRDefault="00D362C7">
            <w:pPr>
              <w:spacing w:after="160" w:line="259" w:lineRule="auto"/>
              <w:jc w:val="center"/>
              <w:rPr>
                <w:sz w:val="18"/>
                <w:szCs w:val="18"/>
                <w:lang w:val="en-US"/>
              </w:rPr>
            </w:pPr>
            <w:r w:rsidRPr="00EB5D5F">
              <w:rPr>
                <w:sz w:val="18"/>
                <w:szCs w:val="18"/>
                <w:lang w:val="en-US"/>
              </w:rPr>
              <w:t>0.056</w:t>
            </w:r>
          </w:p>
        </w:tc>
        <w:tc>
          <w:tcPr>
            <w:tcW w:w="964" w:type="dxa"/>
            <w:tcBorders>
              <w:top w:val="nil"/>
              <w:left w:val="nil"/>
              <w:bottom w:val="nil"/>
              <w:right w:val="nil"/>
            </w:tcBorders>
            <w:vAlign w:val="center"/>
          </w:tcPr>
          <w:p w14:paraId="6F745D20" w14:textId="77777777" w:rsidR="009836BA" w:rsidRPr="00EB5D5F" w:rsidRDefault="00D362C7">
            <w:pPr>
              <w:spacing w:after="160" w:line="259" w:lineRule="auto"/>
              <w:jc w:val="center"/>
              <w:rPr>
                <w:sz w:val="18"/>
                <w:szCs w:val="18"/>
                <w:lang w:val="en-US"/>
              </w:rPr>
            </w:pPr>
            <w:r w:rsidRPr="00EB5D5F">
              <w:rPr>
                <w:sz w:val="18"/>
                <w:szCs w:val="18"/>
                <w:lang w:val="en-US"/>
              </w:rPr>
              <w:t>1.397</w:t>
            </w:r>
          </w:p>
        </w:tc>
        <w:tc>
          <w:tcPr>
            <w:tcW w:w="236" w:type="dxa"/>
            <w:tcBorders>
              <w:top w:val="nil"/>
              <w:left w:val="nil"/>
              <w:bottom w:val="nil"/>
              <w:right w:val="nil"/>
            </w:tcBorders>
          </w:tcPr>
          <w:p w14:paraId="5E258218" w14:textId="77777777" w:rsidR="009836BA" w:rsidRPr="00EB5D5F" w:rsidRDefault="009836BA">
            <w:pPr>
              <w:spacing w:after="160" w:line="259" w:lineRule="auto"/>
              <w:jc w:val="center"/>
              <w:rPr>
                <w:sz w:val="18"/>
                <w:szCs w:val="18"/>
                <w:lang w:val="en-US"/>
              </w:rPr>
            </w:pPr>
          </w:p>
        </w:tc>
        <w:tc>
          <w:tcPr>
            <w:tcW w:w="1969" w:type="dxa"/>
            <w:vMerge/>
            <w:tcBorders>
              <w:top w:val="nil"/>
              <w:left w:val="nil"/>
              <w:bottom w:val="nil"/>
              <w:right w:val="nil"/>
            </w:tcBorders>
            <w:vAlign w:val="center"/>
          </w:tcPr>
          <w:p w14:paraId="5FFCBB18" w14:textId="77777777" w:rsidR="009836BA" w:rsidRPr="00EB5D5F" w:rsidRDefault="009836BA">
            <w:pPr>
              <w:spacing w:after="160" w:line="259" w:lineRule="auto"/>
              <w:jc w:val="center"/>
              <w:rPr>
                <w:sz w:val="18"/>
                <w:szCs w:val="18"/>
                <w:lang w:val="en-US"/>
              </w:rPr>
            </w:pPr>
          </w:p>
        </w:tc>
        <w:tc>
          <w:tcPr>
            <w:tcW w:w="797" w:type="dxa"/>
            <w:vMerge/>
            <w:tcBorders>
              <w:top w:val="nil"/>
              <w:left w:val="nil"/>
              <w:bottom w:val="nil"/>
              <w:right w:val="nil"/>
            </w:tcBorders>
            <w:vAlign w:val="center"/>
          </w:tcPr>
          <w:p w14:paraId="7DA26287" w14:textId="77777777" w:rsidR="009836BA" w:rsidRPr="00EB5D5F" w:rsidRDefault="009836BA">
            <w:pPr>
              <w:spacing w:after="160" w:line="259" w:lineRule="auto"/>
              <w:jc w:val="center"/>
              <w:rPr>
                <w:sz w:val="18"/>
                <w:szCs w:val="18"/>
                <w:lang w:val="en-US"/>
              </w:rPr>
            </w:pPr>
          </w:p>
        </w:tc>
      </w:tr>
      <w:tr w:rsidR="009836BA" w:rsidRPr="00EB5D5F" w14:paraId="4793C61F" w14:textId="77777777">
        <w:tc>
          <w:tcPr>
            <w:tcW w:w="2528" w:type="dxa"/>
            <w:tcBorders>
              <w:top w:val="nil"/>
              <w:left w:val="nil"/>
              <w:bottom w:val="nil"/>
              <w:right w:val="nil"/>
            </w:tcBorders>
            <w:vAlign w:val="center"/>
          </w:tcPr>
          <w:p w14:paraId="0A9E19CF" w14:textId="77777777" w:rsidR="009836BA" w:rsidRPr="00EB5D5F" w:rsidRDefault="009836BA">
            <w:pPr>
              <w:spacing w:after="160" w:line="259" w:lineRule="auto"/>
              <w:rPr>
                <w:sz w:val="18"/>
                <w:szCs w:val="18"/>
                <w:lang w:val="en-US"/>
              </w:rPr>
            </w:pPr>
          </w:p>
        </w:tc>
        <w:tc>
          <w:tcPr>
            <w:tcW w:w="1549" w:type="dxa"/>
            <w:tcBorders>
              <w:top w:val="nil"/>
              <w:left w:val="nil"/>
              <w:bottom w:val="nil"/>
              <w:right w:val="nil"/>
            </w:tcBorders>
            <w:vAlign w:val="center"/>
          </w:tcPr>
          <w:p w14:paraId="6E50CDE6" w14:textId="77777777" w:rsidR="009836BA" w:rsidRPr="00EB5D5F" w:rsidRDefault="009836BA">
            <w:pPr>
              <w:spacing w:after="160" w:line="259" w:lineRule="auto"/>
              <w:jc w:val="center"/>
              <w:rPr>
                <w:sz w:val="18"/>
                <w:szCs w:val="18"/>
                <w:lang w:val="en-US"/>
              </w:rPr>
            </w:pPr>
          </w:p>
        </w:tc>
        <w:tc>
          <w:tcPr>
            <w:tcW w:w="982" w:type="dxa"/>
            <w:tcBorders>
              <w:top w:val="nil"/>
              <w:left w:val="nil"/>
              <w:bottom w:val="nil"/>
              <w:right w:val="nil"/>
            </w:tcBorders>
            <w:vAlign w:val="center"/>
          </w:tcPr>
          <w:p w14:paraId="2CF7D722" w14:textId="77777777" w:rsidR="009836BA" w:rsidRPr="00EB5D5F" w:rsidRDefault="009836BA">
            <w:pPr>
              <w:spacing w:after="160" w:line="259" w:lineRule="auto"/>
              <w:jc w:val="center"/>
              <w:rPr>
                <w:sz w:val="18"/>
                <w:szCs w:val="18"/>
                <w:lang w:val="en-US"/>
              </w:rPr>
            </w:pPr>
          </w:p>
        </w:tc>
        <w:tc>
          <w:tcPr>
            <w:tcW w:w="964" w:type="dxa"/>
            <w:tcBorders>
              <w:top w:val="nil"/>
              <w:left w:val="nil"/>
              <w:bottom w:val="nil"/>
              <w:right w:val="nil"/>
            </w:tcBorders>
            <w:vAlign w:val="center"/>
          </w:tcPr>
          <w:p w14:paraId="3B050074" w14:textId="77777777" w:rsidR="009836BA" w:rsidRPr="00EB5D5F" w:rsidRDefault="009836BA">
            <w:pPr>
              <w:spacing w:after="160" w:line="259" w:lineRule="auto"/>
              <w:jc w:val="center"/>
              <w:rPr>
                <w:sz w:val="18"/>
                <w:szCs w:val="18"/>
                <w:lang w:val="en-US"/>
              </w:rPr>
            </w:pPr>
          </w:p>
        </w:tc>
        <w:tc>
          <w:tcPr>
            <w:tcW w:w="236" w:type="dxa"/>
            <w:tcBorders>
              <w:top w:val="nil"/>
              <w:left w:val="nil"/>
              <w:bottom w:val="nil"/>
              <w:right w:val="nil"/>
            </w:tcBorders>
          </w:tcPr>
          <w:p w14:paraId="49EF3875" w14:textId="77777777" w:rsidR="009836BA" w:rsidRPr="00EB5D5F" w:rsidRDefault="009836BA">
            <w:pPr>
              <w:spacing w:after="160" w:line="259" w:lineRule="auto"/>
              <w:jc w:val="center"/>
              <w:rPr>
                <w:sz w:val="18"/>
                <w:szCs w:val="18"/>
                <w:lang w:val="en-US"/>
              </w:rPr>
            </w:pPr>
          </w:p>
        </w:tc>
        <w:tc>
          <w:tcPr>
            <w:tcW w:w="1969" w:type="dxa"/>
            <w:tcBorders>
              <w:top w:val="nil"/>
              <w:left w:val="nil"/>
              <w:bottom w:val="nil"/>
              <w:right w:val="nil"/>
            </w:tcBorders>
            <w:vAlign w:val="center"/>
          </w:tcPr>
          <w:p w14:paraId="7955C3EE" w14:textId="77777777" w:rsidR="009836BA" w:rsidRPr="00EB5D5F" w:rsidRDefault="009836BA">
            <w:pPr>
              <w:spacing w:after="160" w:line="259" w:lineRule="auto"/>
              <w:jc w:val="center"/>
              <w:rPr>
                <w:sz w:val="18"/>
                <w:szCs w:val="18"/>
                <w:lang w:val="en-US"/>
              </w:rPr>
            </w:pPr>
          </w:p>
        </w:tc>
        <w:tc>
          <w:tcPr>
            <w:tcW w:w="797" w:type="dxa"/>
            <w:tcBorders>
              <w:top w:val="nil"/>
              <w:left w:val="nil"/>
              <w:bottom w:val="nil"/>
              <w:right w:val="nil"/>
            </w:tcBorders>
            <w:vAlign w:val="center"/>
          </w:tcPr>
          <w:p w14:paraId="6A4A8316" w14:textId="77777777" w:rsidR="009836BA" w:rsidRPr="00EB5D5F" w:rsidRDefault="009836BA">
            <w:pPr>
              <w:spacing w:after="160" w:line="259" w:lineRule="auto"/>
              <w:jc w:val="center"/>
              <w:rPr>
                <w:sz w:val="18"/>
                <w:szCs w:val="18"/>
                <w:lang w:val="en-US"/>
              </w:rPr>
            </w:pPr>
          </w:p>
        </w:tc>
      </w:tr>
      <w:tr w:rsidR="009836BA" w:rsidRPr="00EB5D5F" w14:paraId="57548D50" w14:textId="77777777">
        <w:tc>
          <w:tcPr>
            <w:tcW w:w="2528" w:type="dxa"/>
            <w:tcBorders>
              <w:top w:val="nil"/>
              <w:left w:val="nil"/>
              <w:bottom w:val="nil"/>
              <w:right w:val="nil"/>
            </w:tcBorders>
            <w:vAlign w:val="center"/>
          </w:tcPr>
          <w:p w14:paraId="0B247905" w14:textId="77777777" w:rsidR="009836BA" w:rsidRPr="00EB5D5F" w:rsidRDefault="00D362C7">
            <w:pPr>
              <w:spacing w:after="160" w:line="259" w:lineRule="auto"/>
              <w:rPr>
                <w:i/>
                <w:sz w:val="18"/>
                <w:szCs w:val="18"/>
                <w:lang w:val="en-US"/>
              </w:rPr>
            </w:pPr>
            <w:r w:rsidRPr="00EB5D5F">
              <w:rPr>
                <w:i/>
                <w:sz w:val="18"/>
                <w:szCs w:val="18"/>
                <w:lang w:val="en-US"/>
              </w:rPr>
              <w:t>MDD diagnosis</w:t>
            </w:r>
          </w:p>
        </w:tc>
        <w:tc>
          <w:tcPr>
            <w:tcW w:w="1549" w:type="dxa"/>
            <w:tcBorders>
              <w:top w:val="nil"/>
              <w:left w:val="nil"/>
              <w:bottom w:val="nil"/>
              <w:right w:val="nil"/>
            </w:tcBorders>
            <w:vAlign w:val="center"/>
          </w:tcPr>
          <w:p w14:paraId="11435B8F" w14:textId="77777777" w:rsidR="009836BA" w:rsidRPr="00EB5D5F" w:rsidRDefault="009836BA">
            <w:pPr>
              <w:spacing w:after="160" w:line="259" w:lineRule="auto"/>
              <w:jc w:val="center"/>
              <w:rPr>
                <w:sz w:val="18"/>
                <w:szCs w:val="18"/>
                <w:lang w:val="en-US"/>
              </w:rPr>
            </w:pPr>
          </w:p>
        </w:tc>
        <w:tc>
          <w:tcPr>
            <w:tcW w:w="982" w:type="dxa"/>
            <w:tcBorders>
              <w:top w:val="nil"/>
              <w:left w:val="nil"/>
              <w:bottom w:val="nil"/>
              <w:right w:val="nil"/>
            </w:tcBorders>
            <w:vAlign w:val="center"/>
          </w:tcPr>
          <w:p w14:paraId="601C2CE7" w14:textId="77777777" w:rsidR="009836BA" w:rsidRPr="00EB5D5F" w:rsidRDefault="009836BA">
            <w:pPr>
              <w:spacing w:after="160" w:line="259" w:lineRule="auto"/>
              <w:jc w:val="center"/>
              <w:rPr>
                <w:sz w:val="18"/>
                <w:szCs w:val="18"/>
                <w:lang w:val="en-US"/>
              </w:rPr>
            </w:pPr>
          </w:p>
        </w:tc>
        <w:tc>
          <w:tcPr>
            <w:tcW w:w="964" w:type="dxa"/>
            <w:tcBorders>
              <w:top w:val="nil"/>
              <w:left w:val="nil"/>
              <w:bottom w:val="nil"/>
              <w:right w:val="nil"/>
            </w:tcBorders>
            <w:vAlign w:val="center"/>
          </w:tcPr>
          <w:p w14:paraId="33F37D59" w14:textId="77777777" w:rsidR="009836BA" w:rsidRPr="00EB5D5F" w:rsidRDefault="009836BA">
            <w:pPr>
              <w:spacing w:after="160" w:line="259" w:lineRule="auto"/>
              <w:jc w:val="center"/>
              <w:rPr>
                <w:sz w:val="18"/>
                <w:szCs w:val="18"/>
                <w:lang w:val="en-US"/>
              </w:rPr>
            </w:pPr>
          </w:p>
        </w:tc>
        <w:tc>
          <w:tcPr>
            <w:tcW w:w="236" w:type="dxa"/>
            <w:tcBorders>
              <w:top w:val="nil"/>
              <w:left w:val="nil"/>
              <w:bottom w:val="nil"/>
              <w:right w:val="nil"/>
            </w:tcBorders>
          </w:tcPr>
          <w:p w14:paraId="1F1C9A99" w14:textId="77777777" w:rsidR="009836BA" w:rsidRPr="00EB5D5F" w:rsidRDefault="009836BA">
            <w:pPr>
              <w:spacing w:after="160" w:line="259" w:lineRule="auto"/>
              <w:jc w:val="center"/>
              <w:rPr>
                <w:sz w:val="18"/>
                <w:szCs w:val="18"/>
                <w:lang w:val="en-US"/>
              </w:rPr>
            </w:pPr>
          </w:p>
        </w:tc>
        <w:tc>
          <w:tcPr>
            <w:tcW w:w="1969" w:type="dxa"/>
            <w:tcBorders>
              <w:top w:val="nil"/>
              <w:left w:val="nil"/>
              <w:bottom w:val="nil"/>
              <w:right w:val="nil"/>
            </w:tcBorders>
            <w:vAlign w:val="center"/>
          </w:tcPr>
          <w:p w14:paraId="27639C33" w14:textId="77777777" w:rsidR="009836BA" w:rsidRPr="00EB5D5F" w:rsidRDefault="009836BA">
            <w:pPr>
              <w:spacing w:after="160" w:line="259" w:lineRule="auto"/>
              <w:jc w:val="center"/>
              <w:rPr>
                <w:sz w:val="18"/>
                <w:szCs w:val="18"/>
                <w:lang w:val="en-US"/>
              </w:rPr>
            </w:pPr>
          </w:p>
        </w:tc>
        <w:tc>
          <w:tcPr>
            <w:tcW w:w="797" w:type="dxa"/>
            <w:tcBorders>
              <w:top w:val="nil"/>
              <w:left w:val="nil"/>
              <w:bottom w:val="nil"/>
              <w:right w:val="nil"/>
            </w:tcBorders>
            <w:vAlign w:val="center"/>
          </w:tcPr>
          <w:p w14:paraId="336C2858" w14:textId="77777777" w:rsidR="009836BA" w:rsidRPr="00EB5D5F" w:rsidRDefault="009836BA">
            <w:pPr>
              <w:spacing w:after="160" w:line="259" w:lineRule="auto"/>
              <w:jc w:val="center"/>
              <w:rPr>
                <w:sz w:val="18"/>
                <w:szCs w:val="18"/>
                <w:lang w:val="en-US"/>
              </w:rPr>
            </w:pPr>
          </w:p>
        </w:tc>
      </w:tr>
      <w:tr w:rsidR="009836BA" w:rsidRPr="00EB5D5F" w14:paraId="1DFF1786" w14:textId="77777777">
        <w:tc>
          <w:tcPr>
            <w:tcW w:w="2528" w:type="dxa"/>
            <w:tcBorders>
              <w:top w:val="nil"/>
              <w:left w:val="nil"/>
              <w:bottom w:val="nil"/>
              <w:right w:val="nil"/>
            </w:tcBorders>
            <w:vAlign w:val="center"/>
          </w:tcPr>
          <w:p w14:paraId="61BE0BA1" w14:textId="77777777" w:rsidR="009836BA" w:rsidRPr="00EB5D5F" w:rsidRDefault="00D362C7">
            <w:pPr>
              <w:spacing w:after="160" w:line="259" w:lineRule="auto"/>
              <w:rPr>
                <w:sz w:val="18"/>
                <w:szCs w:val="18"/>
                <w:lang w:val="en-US"/>
              </w:rPr>
            </w:pPr>
            <w:r w:rsidRPr="00EB5D5F">
              <w:rPr>
                <w:sz w:val="18"/>
                <w:szCs w:val="18"/>
                <w:lang w:val="en-US"/>
              </w:rPr>
              <w:t xml:space="preserve">   HC (n=701)</w:t>
            </w:r>
          </w:p>
        </w:tc>
        <w:tc>
          <w:tcPr>
            <w:tcW w:w="1549" w:type="dxa"/>
            <w:tcBorders>
              <w:top w:val="nil"/>
              <w:left w:val="nil"/>
              <w:bottom w:val="nil"/>
              <w:right w:val="nil"/>
            </w:tcBorders>
            <w:vAlign w:val="center"/>
          </w:tcPr>
          <w:p w14:paraId="52D109F6" w14:textId="77777777" w:rsidR="009836BA" w:rsidRPr="00EB5D5F" w:rsidRDefault="00D362C7">
            <w:pPr>
              <w:spacing w:after="160" w:line="259" w:lineRule="auto"/>
              <w:jc w:val="center"/>
              <w:rPr>
                <w:sz w:val="18"/>
                <w:szCs w:val="18"/>
                <w:lang w:val="en-US"/>
              </w:rPr>
            </w:pPr>
            <w:r w:rsidRPr="00EB5D5F">
              <w:rPr>
                <w:sz w:val="18"/>
                <w:szCs w:val="18"/>
                <w:lang w:val="en-US"/>
              </w:rPr>
              <w:t>0.215 (0.098)</w:t>
            </w:r>
          </w:p>
        </w:tc>
        <w:tc>
          <w:tcPr>
            <w:tcW w:w="982" w:type="dxa"/>
            <w:tcBorders>
              <w:top w:val="nil"/>
              <w:left w:val="nil"/>
              <w:bottom w:val="nil"/>
              <w:right w:val="nil"/>
            </w:tcBorders>
            <w:vAlign w:val="center"/>
          </w:tcPr>
          <w:p w14:paraId="3878007A" w14:textId="77777777" w:rsidR="009836BA" w:rsidRPr="00EB5D5F" w:rsidRDefault="00D362C7">
            <w:pPr>
              <w:spacing w:after="160" w:line="259" w:lineRule="auto"/>
              <w:jc w:val="center"/>
              <w:rPr>
                <w:sz w:val="18"/>
                <w:szCs w:val="18"/>
                <w:lang w:val="en-US"/>
              </w:rPr>
            </w:pPr>
            <w:r w:rsidRPr="00EB5D5F">
              <w:rPr>
                <w:sz w:val="18"/>
                <w:szCs w:val="18"/>
                <w:lang w:val="en-US"/>
              </w:rPr>
              <w:t>0.065</w:t>
            </w:r>
          </w:p>
        </w:tc>
        <w:tc>
          <w:tcPr>
            <w:tcW w:w="964" w:type="dxa"/>
            <w:tcBorders>
              <w:top w:val="nil"/>
              <w:left w:val="nil"/>
              <w:bottom w:val="nil"/>
              <w:right w:val="nil"/>
            </w:tcBorders>
            <w:vAlign w:val="center"/>
          </w:tcPr>
          <w:p w14:paraId="6EB7278D" w14:textId="77777777" w:rsidR="009836BA" w:rsidRPr="00EB5D5F" w:rsidRDefault="00D362C7">
            <w:pPr>
              <w:spacing w:after="160" w:line="259" w:lineRule="auto"/>
              <w:jc w:val="center"/>
              <w:rPr>
                <w:sz w:val="18"/>
                <w:szCs w:val="18"/>
                <w:lang w:val="en-US"/>
              </w:rPr>
            </w:pPr>
            <w:r w:rsidRPr="00EB5D5F">
              <w:rPr>
                <w:sz w:val="18"/>
                <w:szCs w:val="18"/>
                <w:lang w:val="en-US"/>
              </w:rPr>
              <w:t>0.818</w:t>
            </w:r>
          </w:p>
        </w:tc>
        <w:tc>
          <w:tcPr>
            <w:tcW w:w="236" w:type="dxa"/>
            <w:tcBorders>
              <w:top w:val="nil"/>
              <w:left w:val="nil"/>
              <w:bottom w:val="nil"/>
              <w:right w:val="nil"/>
            </w:tcBorders>
          </w:tcPr>
          <w:p w14:paraId="03754742" w14:textId="77777777" w:rsidR="009836BA" w:rsidRPr="00EB5D5F" w:rsidRDefault="009836BA">
            <w:pPr>
              <w:spacing w:after="160" w:line="259" w:lineRule="auto"/>
              <w:jc w:val="center"/>
              <w:rPr>
                <w:sz w:val="18"/>
                <w:szCs w:val="18"/>
                <w:lang w:val="en-US"/>
              </w:rPr>
            </w:pPr>
          </w:p>
        </w:tc>
        <w:tc>
          <w:tcPr>
            <w:tcW w:w="1969" w:type="dxa"/>
            <w:vMerge w:val="restart"/>
            <w:tcBorders>
              <w:top w:val="nil"/>
              <w:left w:val="nil"/>
              <w:right w:val="nil"/>
            </w:tcBorders>
            <w:vAlign w:val="center"/>
          </w:tcPr>
          <w:p w14:paraId="453B6C58" w14:textId="77777777" w:rsidR="009836BA" w:rsidRPr="00EB5D5F" w:rsidRDefault="00D362C7">
            <w:pPr>
              <w:spacing w:after="160" w:line="259" w:lineRule="auto"/>
              <w:jc w:val="center"/>
              <w:rPr>
                <w:sz w:val="18"/>
                <w:szCs w:val="18"/>
                <w:lang w:val="en-US"/>
              </w:rPr>
            </w:pPr>
            <w:r w:rsidRPr="00EB5D5F">
              <w:rPr>
                <w:sz w:val="18"/>
                <w:szCs w:val="18"/>
                <w:lang w:val="en-US"/>
              </w:rPr>
              <w:t>0.237 [0. 128, 0.345]</w:t>
            </w:r>
          </w:p>
        </w:tc>
        <w:tc>
          <w:tcPr>
            <w:tcW w:w="797" w:type="dxa"/>
            <w:vMerge w:val="restart"/>
            <w:tcBorders>
              <w:top w:val="nil"/>
              <w:left w:val="nil"/>
              <w:right w:val="nil"/>
            </w:tcBorders>
            <w:vAlign w:val="center"/>
          </w:tcPr>
          <w:p w14:paraId="13B83CBF" w14:textId="77777777" w:rsidR="009836BA" w:rsidRPr="00EB5D5F" w:rsidRDefault="00D362C7">
            <w:pPr>
              <w:spacing w:after="160" w:line="259" w:lineRule="auto"/>
              <w:jc w:val="center"/>
              <w:rPr>
                <w:sz w:val="18"/>
                <w:szCs w:val="18"/>
                <w:lang w:val="en-US"/>
              </w:rPr>
            </w:pPr>
            <w:r w:rsidRPr="00EB5D5F">
              <w:rPr>
                <w:sz w:val="18"/>
                <w:szCs w:val="18"/>
                <w:lang w:val="en-US"/>
              </w:rPr>
              <w:t>&lt;.001</w:t>
            </w:r>
          </w:p>
        </w:tc>
      </w:tr>
      <w:tr w:rsidR="009836BA" w:rsidRPr="00EB5D5F" w14:paraId="37CCAD3A" w14:textId="77777777">
        <w:tc>
          <w:tcPr>
            <w:tcW w:w="2528" w:type="dxa"/>
            <w:tcBorders>
              <w:top w:val="nil"/>
              <w:left w:val="nil"/>
              <w:right w:val="nil"/>
            </w:tcBorders>
            <w:vAlign w:val="center"/>
          </w:tcPr>
          <w:p w14:paraId="5E3622A1" w14:textId="77777777" w:rsidR="009836BA" w:rsidRPr="00EB5D5F" w:rsidRDefault="00D362C7">
            <w:pPr>
              <w:spacing w:after="160" w:line="259" w:lineRule="auto"/>
              <w:rPr>
                <w:sz w:val="18"/>
                <w:szCs w:val="18"/>
                <w:lang w:val="en-US"/>
              </w:rPr>
            </w:pPr>
            <w:r w:rsidRPr="00EB5D5F">
              <w:rPr>
                <w:sz w:val="18"/>
                <w:szCs w:val="18"/>
                <w:lang w:val="en-US"/>
              </w:rPr>
              <w:t xml:space="preserve">   Lifetime MDD (n=624)</w:t>
            </w:r>
          </w:p>
        </w:tc>
        <w:tc>
          <w:tcPr>
            <w:tcW w:w="1549" w:type="dxa"/>
            <w:tcBorders>
              <w:top w:val="nil"/>
              <w:left w:val="nil"/>
              <w:right w:val="nil"/>
            </w:tcBorders>
          </w:tcPr>
          <w:p w14:paraId="5DDB681B" w14:textId="77777777" w:rsidR="009836BA" w:rsidRPr="00EB5D5F" w:rsidRDefault="00D362C7">
            <w:pPr>
              <w:spacing w:after="160" w:line="259" w:lineRule="auto"/>
              <w:jc w:val="center"/>
              <w:rPr>
                <w:sz w:val="18"/>
                <w:szCs w:val="18"/>
                <w:lang w:val="en-US"/>
              </w:rPr>
            </w:pPr>
            <w:r w:rsidRPr="00EB5D5F">
              <w:rPr>
                <w:sz w:val="18"/>
                <w:szCs w:val="18"/>
                <w:lang w:val="en-US"/>
              </w:rPr>
              <w:t>0.242 (0.128)</w:t>
            </w:r>
          </w:p>
        </w:tc>
        <w:tc>
          <w:tcPr>
            <w:tcW w:w="982" w:type="dxa"/>
            <w:tcBorders>
              <w:top w:val="nil"/>
              <w:left w:val="nil"/>
              <w:right w:val="nil"/>
            </w:tcBorders>
            <w:vAlign w:val="center"/>
          </w:tcPr>
          <w:p w14:paraId="4535CA0C" w14:textId="77777777" w:rsidR="009836BA" w:rsidRPr="00EB5D5F" w:rsidRDefault="00D362C7">
            <w:pPr>
              <w:spacing w:after="160" w:line="259" w:lineRule="auto"/>
              <w:jc w:val="center"/>
              <w:rPr>
                <w:sz w:val="18"/>
                <w:szCs w:val="18"/>
                <w:lang w:val="en-US"/>
              </w:rPr>
            </w:pPr>
            <w:r w:rsidRPr="00EB5D5F">
              <w:rPr>
                <w:sz w:val="18"/>
                <w:szCs w:val="18"/>
                <w:lang w:val="en-US"/>
              </w:rPr>
              <w:t>0.056</w:t>
            </w:r>
          </w:p>
        </w:tc>
        <w:tc>
          <w:tcPr>
            <w:tcW w:w="964" w:type="dxa"/>
            <w:tcBorders>
              <w:top w:val="nil"/>
              <w:left w:val="nil"/>
              <w:right w:val="nil"/>
            </w:tcBorders>
            <w:vAlign w:val="center"/>
          </w:tcPr>
          <w:p w14:paraId="3B94F9F6" w14:textId="77777777" w:rsidR="009836BA" w:rsidRPr="00EB5D5F" w:rsidRDefault="00D362C7">
            <w:pPr>
              <w:spacing w:after="160" w:line="259" w:lineRule="auto"/>
              <w:jc w:val="center"/>
              <w:rPr>
                <w:sz w:val="18"/>
                <w:szCs w:val="18"/>
                <w:lang w:val="en-US"/>
              </w:rPr>
            </w:pPr>
            <w:r w:rsidRPr="00EB5D5F">
              <w:rPr>
                <w:sz w:val="18"/>
                <w:szCs w:val="18"/>
                <w:lang w:val="en-US"/>
              </w:rPr>
              <w:t>1.397</w:t>
            </w:r>
          </w:p>
        </w:tc>
        <w:tc>
          <w:tcPr>
            <w:tcW w:w="236" w:type="dxa"/>
            <w:tcBorders>
              <w:top w:val="nil"/>
              <w:left w:val="nil"/>
              <w:right w:val="nil"/>
            </w:tcBorders>
          </w:tcPr>
          <w:p w14:paraId="5D4636C5" w14:textId="77777777" w:rsidR="009836BA" w:rsidRPr="00EB5D5F" w:rsidRDefault="009836BA">
            <w:pPr>
              <w:spacing w:after="160" w:line="259" w:lineRule="auto"/>
              <w:jc w:val="center"/>
              <w:rPr>
                <w:sz w:val="18"/>
                <w:szCs w:val="18"/>
                <w:lang w:val="en-US"/>
              </w:rPr>
            </w:pPr>
          </w:p>
        </w:tc>
        <w:tc>
          <w:tcPr>
            <w:tcW w:w="1969" w:type="dxa"/>
            <w:vMerge/>
            <w:tcBorders>
              <w:top w:val="nil"/>
              <w:left w:val="nil"/>
              <w:right w:val="nil"/>
            </w:tcBorders>
          </w:tcPr>
          <w:p w14:paraId="69B00CB0" w14:textId="77777777" w:rsidR="009836BA" w:rsidRPr="00EB5D5F" w:rsidRDefault="009836BA">
            <w:pPr>
              <w:spacing w:after="160" w:line="259" w:lineRule="auto"/>
              <w:jc w:val="center"/>
              <w:rPr>
                <w:sz w:val="18"/>
                <w:szCs w:val="18"/>
                <w:lang w:val="en-US"/>
              </w:rPr>
            </w:pPr>
          </w:p>
        </w:tc>
        <w:tc>
          <w:tcPr>
            <w:tcW w:w="797" w:type="dxa"/>
            <w:vMerge/>
            <w:tcBorders>
              <w:top w:val="nil"/>
              <w:left w:val="nil"/>
              <w:right w:val="nil"/>
            </w:tcBorders>
          </w:tcPr>
          <w:p w14:paraId="21E3B613" w14:textId="77777777" w:rsidR="009836BA" w:rsidRPr="00EB5D5F" w:rsidRDefault="009836BA">
            <w:pPr>
              <w:spacing w:after="160" w:line="259" w:lineRule="auto"/>
              <w:jc w:val="center"/>
              <w:rPr>
                <w:sz w:val="18"/>
                <w:szCs w:val="18"/>
                <w:lang w:val="en-US"/>
              </w:rPr>
            </w:pPr>
          </w:p>
        </w:tc>
      </w:tr>
    </w:tbl>
    <w:p w14:paraId="421E57FF" w14:textId="77777777" w:rsidR="009836BA" w:rsidRPr="00EB5D5F" w:rsidRDefault="00D362C7">
      <w:pPr>
        <w:spacing w:after="160" w:line="259" w:lineRule="auto"/>
        <w:rPr>
          <w:lang w:val="en-US"/>
        </w:rPr>
      </w:pPr>
      <w:r w:rsidRPr="00EB5D5F">
        <w:rPr>
          <w:i/>
          <w:sz w:val="20"/>
          <w:lang w:val="en-US"/>
        </w:rPr>
        <w:t xml:space="preserve">Note. </w:t>
      </w:r>
      <w:r w:rsidRPr="00EB5D5F">
        <w:rPr>
          <w:sz w:val="20"/>
          <w:lang w:val="en-US"/>
        </w:rPr>
        <w:t xml:space="preserve">Motion metrics are presented in mm and intra-individually averaged across non-scrubbed frames. Min and max motion thus indicate maximum and minimum of individual averages within the samples. Categorical maltreatment is based on the subscale cutoffs established by Walker et al. </w:t>
      </w:r>
      <w:r w:rsidRPr="00EB5D5F">
        <w:fldChar w:fldCharType="begin" w:fldLock="1"/>
      </w:r>
      <w:r w:rsidRPr="00EB5D5F">
        <w:rPr>
          <w:sz w:val="20"/>
          <w:lang w:val="en-US"/>
        </w:rPr>
        <w:instrText>ADDIN CSL_CITATION {"citationItems":[{"id":"ITEM-1","itemData":{"author":[{"dropping-particle":"","family":"Walker","given":"Edward A","non-dropping-particle":"","parse-names":false,"suffix":""},{"dropping-particle":"","family":"Gelfand","given":"Ann","non-dropping-particle":"","parse-names":false,"suffix":""},{"dropping-particle":"","family":"Katon","given":"Wayne J","non-dropping-particle":"","parse-names":false,"suffix":""},{"dropping-particle":"","family":"Koss","given":"Mary P","non-dropping-particle":"","parse-names":false,"suffix":""},{"dropping-particle":"Von","family":"Korff","given":"Michael","non-dropping-particle":"","parse-names":false,"suffix":""},{"dropping-particle":"","family":"Bernstein","given":"David","non-dropping-particle":"","parse-names":false,"suffix":""},{"dropping-particle":"","family":"Russo","given":"Joan","non-dropping-particle":"","parse-names":false,"suffix":""}],"container-title":"The American Journal of Medicine","id":"ITEM-1","issued":{"date-parts":[["1999"]]},"page":"332-339","title":"Adult Health Status of Women with Histories of Childhood Abuse and Neglect","type":"article-journal","volume":"107"},"suppress-author":1,"uris":["http://www.mendeley.com/documents/?uuid=6eb2c218-911b-4153-a4ff-9c47b9bd99eb"]}],"mendeley":{"formattedCitation":"(1999)","plainTextFormattedCitation":"(1999)","previouslyFormattedCitation":"(1999)"},"properties":{"noteIndex":0},"schema":"https://github.com/citation-style-language/schema/raw/master/csl-citation.json"}</w:instrText>
      </w:r>
      <w:r w:rsidRPr="00EB5D5F">
        <w:rPr>
          <w:sz w:val="20"/>
          <w:lang w:val="en-US"/>
        </w:rPr>
        <w:fldChar w:fldCharType="separate"/>
      </w:r>
      <w:r w:rsidRPr="00EB5D5F">
        <w:rPr>
          <w:noProof/>
          <w:sz w:val="20"/>
          <w:lang w:val="en-US"/>
        </w:rPr>
        <w:t>(1999)</w:t>
      </w:r>
      <w:r w:rsidRPr="00EB5D5F">
        <w:rPr>
          <w:sz w:val="20"/>
          <w:lang w:val="en-US"/>
        </w:rPr>
        <w:fldChar w:fldCharType="end"/>
      </w:r>
      <w:r w:rsidRPr="00EB5D5F">
        <w:rPr>
          <w:sz w:val="20"/>
          <w:lang w:val="en-US"/>
        </w:rPr>
        <w:t xml:space="preserve">. MDD, major depressive disorder, HC, healthy control. </w:t>
      </w:r>
    </w:p>
    <w:p w14:paraId="2122A7E2" w14:textId="77777777" w:rsidR="009836BA" w:rsidRPr="00EB5D5F" w:rsidRDefault="009836BA">
      <w:pPr>
        <w:spacing w:after="160" w:line="259" w:lineRule="auto"/>
        <w:rPr>
          <w:lang w:val="en-US"/>
        </w:rPr>
      </w:pPr>
    </w:p>
    <w:p w14:paraId="498F3F33" w14:textId="77777777" w:rsidR="009836BA" w:rsidRPr="00EB5D5F" w:rsidRDefault="009836BA">
      <w:pPr>
        <w:spacing w:after="160" w:line="259" w:lineRule="auto"/>
        <w:rPr>
          <w:lang w:val="en-US"/>
        </w:rPr>
        <w:sectPr w:rsidR="009836BA" w:rsidRPr="00EB5D5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0" w:footer="0" w:gutter="0"/>
          <w:pgNumType w:start="1"/>
          <w:cols w:space="720"/>
          <w:formProt w:val="0"/>
          <w:docGrid w:linePitch="299" w:charSpace="8192"/>
        </w:sectPr>
      </w:pPr>
    </w:p>
    <w:p w14:paraId="177866EA" w14:textId="77777777" w:rsidR="009836BA" w:rsidRPr="00EB5D5F" w:rsidRDefault="00D362C7">
      <w:pPr>
        <w:spacing w:after="160" w:line="360" w:lineRule="auto"/>
        <w:rPr>
          <w:lang w:val="en-US"/>
        </w:rPr>
      </w:pPr>
      <w:r w:rsidRPr="00EB5D5F">
        <w:rPr>
          <w:lang w:val="en-US"/>
        </w:rPr>
        <w:lastRenderedPageBreak/>
        <w:t>Table S6. Significant clusters with main effects of childhood maltreatment in ROI-based seed-to-voxel analyses for different CM operationalizations.</w:t>
      </w:r>
    </w:p>
    <w:tbl>
      <w:tblPr>
        <w:tblW w:w="13608" w:type="dxa"/>
        <w:tblCellMar>
          <w:left w:w="70" w:type="dxa"/>
          <w:right w:w="70" w:type="dxa"/>
        </w:tblCellMar>
        <w:tblLook w:val="04A0" w:firstRow="1" w:lastRow="0" w:firstColumn="1" w:lastColumn="0" w:noHBand="0" w:noVBand="1"/>
      </w:tblPr>
      <w:tblGrid>
        <w:gridCol w:w="772"/>
        <w:gridCol w:w="507"/>
        <w:gridCol w:w="2126"/>
        <w:gridCol w:w="1558"/>
        <w:gridCol w:w="1845"/>
        <w:gridCol w:w="441"/>
        <w:gridCol w:w="1417"/>
        <w:gridCol w:w="993"/>
        <w:gridCol w:w="851"/>
        <w:gridCol w:w="1118"/>
        <w:gridCol w:w="1980"/>
      </w:tblGrid>
      <w:tr w:rsidR="009836BA" w:rsidRPr="00EB5D5F" w14:paraId="109A8D13" w14:textId="77777777">
        <w:trPr>
          <w:trHeight w:val="315"/>
        </w:trPr>
        <w:tc>
          <w:tcPr>
            <w:tcW w:w="771" w:type="dxa"/>
            <w:tcBorders>
              <w:top w:val="single" w:sz="8" w:space="0" w:color="000000"/>
              <w:bottom w:val="single" w:sz="8" w:space="0" w:color="000000"/>
            </w:tcBorders>
            <w:shd w:val="clear" w:color="auto" w:fill="auto"/>
            <w:vAlign w:val="center"/>
          </w:tcPr>
          <w:p w14:paraId="0110DB41" w14:textId="77777777" w:rsidR="009836BA" w:rsidRPr="00EB5D5F" w:rsidRDefault="00D362C7">
            <w:pPr>
              <w:spacing w:line="240" w:lineRule="auto"/>
              <w:rPr>
                <w:rFonts w:eastAsia="Times New Roman"/>
                <w:color w:val="000000"/>
                <w:sz w:val="18"/>
                <w:szCs w:val="18"/>
                <w:lang w:val="de-DE"/>
              </w:rPr>
            </w:pPr>
            <w:r w:rsidRPr="00EB5D5F">
              <w:rPr>
                <w:rFonts w:eastAsia="Times New Roman"/>
                <w:color w:val="000000"/>
                <w:sz w:val="18"/>
                <w:szCs w:val="18"/>
                <w:lang w:val="de-DE"/>
              </w:rPr>
              <w:t>Sample</w:t>
            </w:r>
          </w:p>
        </w:tc>
        <w:tc>
          <w:tcPr>
            <w:tcW w:w="506" w:type="dxa"/>
            <w:tcBorders>
              <w:top w:val="single" w:sz="8" w:space="0" w:color="000000"/>
              <w:bottom w:val="single" w:sz="8" w:space="0" w:color="000000"/>
            </w:tcBorders>
            <w:shd w:val="clear" w:color="auto" w:fill="auto"/>
            <w:vAlign w:val="center"/>
          </w:tcPr>
          <w:p w14:paraId="7EB80196" w14:textId="77777777" w:rsidR="009836BA" w:rsidRPr="00EB5D5F" w:rsidRDefault="00D362C7">
            <w:pPr>
              <w:spacing w:line="240" w:lineRule="auto"/>
              <w:jc w:val="center"/>
              <w:rPr>
                <w:rFonts w:eastAsia="Times New Roman"/>
                <w:color w:val="000000"/>
                <w:sz w:val="18"/>
                <w:szCs w:val="18"/>
                <w:lang w:val="de-DE"/>
              </w:rPr>
            </w:pPr>
            <w:r w:rsidRPr="00EB5D5F">
              <w:rPr>
                <w:rFonts w:eastAsia="Times New Roman"/>
                <w:color w:val="000000"/>
                <w:sz w:val="18"/>
                <w:szCs w:val="20"/>
                <w:lang w:val="de-DE"/>
              </w:rPr>
              <w:t>N</w:t>
            </w:r>
          </w:p>
        </w:tc>
        <w:tc>
          <w:tcPr>
            <w:tcW w:w="2126" w:type="dxa"/>
            <w:tcBorders>
              <w:top w:val="single" w:sz="8" w:space="0" w:color="000000"/>
              <w:bottom w:val="single" w:sz="8" w:space="0" w:color="000000"/>
            </w:tcBorders>
            <w:shd w:val="clear" w:color="auto" w:fill="auto"/>
            <w:vAlign w:val="center"/>
          </w:tcPr>
          <w:p w14:paraId="7421C170" w14:textId="77777777" w:rsidR="009836BA" w:rsidRPr="00EB5D5F" w:rsidRDefault="00D362C7">
            <w:pPr>
              <w:spacing w:line="240" w:lineRule="auto"/>
              <w:rPr>
                <w:rFonts w:eastAsia="Times New Roman"/>
                <w:color w:val="000000"/>
                <w:sz w:val="18"/>
                <w:szCs w:val="18"/>
                <w:lang w:val="de-DE"/>
              </w:rPr>
            </w:pPr>
            <w:r w:rsidRPr="00EB5D5F">
              <w:rPr>
                <w:rFonts w:eastAsia="Times New Roman"/>
                <w:color w:val="000000"/>
                <w:sz w:val="18"/>
                <w:szCs w:val="18"/>
                <w:lang w:val="de-DE"/>
              </w:rPr>
              <w:t xml:space="preserve">CM </w:t>
            </w:r>
            <w:proofErr w:type="spellStart"/>
            <w:r w:rsidRPr="00EB5D5F">
              <w:rPr>
                <w:rFonts w:eastAsia="Times New Roman"/>
                <w:color w:val="000000"/>
                <w:sz w:val="18"/>
                <w:szCs w:val="18"/>
                <w:lang w:val="de-DE"/>
              </w:rPr>
              <w:t>operationalization</w:t>
            </w:r>
            <w:proofErr w:type="spellEnd"/>
          </w:p>
        </w:tc>
        <w:tc>
          <w:tcPr>
            <w:tcW w:w="1558" w:type="dxa"/>
            <w:tcBorders>
              <w:top w:val="single" w:sz="8" w:space="0" w:color="000000"/>
              <w:bottom w:val="single" w:sz="8" w:space="0" w:color="000000"/>
            </w:tcBorders>
            <w:shd w:val="clear" w:color="auto" w:fill="auto"/>
            <w:vAlign w:val="center"/>
          </w:tcPr>
          <w:p w14:paraId="4E06EB49" w14:textId="77777777" w:rsidR="009836BA" w:rsidRPr="00EB5D5F" w:rsidRDefault="00D362C7">
            <w:pPr>
              <w:spacing w:line="240" w:lineRule="auto"/>
              <w:rPr>
                <w:rFonts w:eastAsia="Times New Roman"/>
                <w:color w:val="000000"/>
                <w:sz w:val="18"/>
                <w:szCs w:val="18"/>
                <w:lang w:val="de-DE"/>
              </w:rPr>
            </w:pPr>
            <w:r w:rsidRPr="00EB5D5F">
              <w:rPr>
                <w:rFonts w:eastAsia="Times New Roman"/>
                <w:color w:val="000000"/>
                <w:sz w:val="18"/>
                <w:szCs w:val="18"/>
                <w:lang w:val="de-DE"/>
              </w:rPr>
              <w:t>ROI</w:t>
            </w:r>
          </w:p>
        </w:tc>
        <w:tc>
          <w:tcPr>
            <w:tcW w:w="1845" w:type="dxa"/>
            <w:tcBorders>
              <w:top w:val="single" w:sz="8" w:space="0" w:color="000000"/>
              <w:bottom w:val="single" w:sz="8" w:space="0" w:color="000000"/>
            </w:tcBorders>
            <w:shd w:val="clear" w:color="auto" w:fill="auto"/>
            <w:vAlign w:val="center"/>
          </w:tcPr>
          <w:p w14:paraId="7A7D2443" w14:textId="77777777" w:rsidR="009836BA" w:rsidRPr="00EB5D5F" w:rsidRDefault="00D362C7">
            <w:pPr>
              <w:spacing w:line="240" w:lineRule="auto"/>
              <w:rPr>
                <w:rFonts w:eastAsia="Times New Roman"/>
                <w:color w:val="000000"/>
                <w:sz w:val="18"/>
                <w:szCs w:val="18"/>
                <w:lang w:val="en-US"/>
              </w:rPr>
            </w:pPr>
            <w:r w:rsidRPr="00EB5D5F">
              <w:rPr>
                <w:rFonts w:eastAsia="Times New Roman"/>
                <w:color w:val="000000"/>
                <w:sz w:val="18"/>
                <w:szCs w:val="18"/>
                <w:lang w:val="en-US"/>
              </w:rPr>
              <w:t>Main regions of significant cluster</w:t>
            </w:r>
          </w:p>
        </w:tc>
        <w:tc>
          <w:tcPr>
            <w:tcW w:w="441" w:type="dxa"/>
            <w:tcBorders>
              <w:top w:val="single" w:sz="8" w:space="0" w:color="000000"/>
              <w:bottom w:val="single" w:sz="8" w:space="0" w:color="000000"/>
            </w:tcBorders>
            <w:shd w:val="clear" w:color="auto" w:fill="auto"/>
            <w:vAlign w:val="center"/>
          </w:tcPr>
          <w:p w14:paraId="2DE508E4" w14:textId="77777777" w:rsidR="009836BA" w:rsidRPr="00EB5D5F" w:rsidRDefault="00D362C7">
            <w:pPr>
              <w:spacing w:line="240" w:lineRule="auto"/>
              <w:jc w:val="center"/>
              <w:rPr>
                <w:rFonts w:eastAsia="Times New Roman"/>
                <w:color w:val="000000"/>
                <w:sz w:val="18"/>
                <w:szCs w:val="18"/>
                <w:lang w:val="de-DE"/>
              </w:rPr>
            </w:pPr>
            <w:r w:rsidRPr="00EB5D5F">
              <w:rPr>
                <w:rFonts w:eastAsia="Times New Roman"/>
                <w:color w:val="000000"/>
                <w:sz w:val="18"/>
                <w:szCs w:val="20"/>
                <w:lang w:val="de-DE"/>
              </w:rPr>
              <w:t>k</w:t>
            </w:r>
          </w:p>
        </w:tc>
        <w:tc>
          <w:tcPr>
            <w:tcW w:w="1417" w:type="dxa"/>
            <w:tcBorders>
              <w:top w:val="single" w:sz="8" w:space="0" w:color="000000"/>
              <w:bottom w:val="single" w:sz="8" w:space="0" w:color="000000"/>
            </w:tcBorders>
            <w:shd w:val="clear" w:color="auto" w:fill="auto"/>
            <w:vAlign w:val="center"/>
          </w:tcPr>
          <w:p w14:paraId="4692D1B1" w14:textId="77777777" w:rsidR="009836BA" w:rsidRPr="00EB5D5F" w:rsidRDefault="00D362C7">
            <w:pPr>
              <w:spacing w:line="240" w:lineRule="auto"/>
              <w:jc w:val="center"/>
              <w:rPr>
                <w:rFonts w:eastAsia="Times New Roman"/>
                <w:color w:val="000000"/>
                <w:sz w:val="18"/>
                <w:szCs w:val="18"/>
                <w:lang w:val="de-DE"/>
              </w:rPr>
            </w:pPr>
            <w:proofErr w:type="spellStart"/>
            <w:r w:rsidRPr="00EB5D5F">
              <w:rPr>
                <w:rFonts w:eastAsia="Times New Roman"/>
                <w:color w:val="000000"/>
                <w:sz w:val="18"/>
                <w:szCs w:val="20"/>
                <w:lang w:val="de-DE"/>
              </w:rPr>
              <w:t>peak-voxel</w:t>
            </w:r>
            <w:proofErr w:type="spellEnd"/>
            <w:r w:rsidRPr="00EB5D5F">
              <w:rPr>
                <w:rFonts w:eastAsia="Times New Roman"/>
                <w:color w:val="000000"/>
                <w:sz w:val="18"/>
                <w:szCs w:val="20"/>
                <w:lang w:val="de-DE"/>
              </w:rPr>
              <w:t xml:space="preserve"> </w:t>
            </w:r>
            <w:proofErr w:type="spellStart"/>
            <w:r w:rsidRPr="00EB5D5F">
              <w:rPr>
                <w:rFonts w:eastAsia="Times New Roman"/>
                <w:color w:val="000000"/>
                <w:sz w:val="18"/>
                <w:szCs w:val="20"/>
                <w:lang w:val="de-DE"/>
              </w:rPr>
              <w:t>coordinates</w:t>
            </w:r>
            <w:proofErr w:type="spellEnd"/>
          </w:p>
        </w:tc>
        <w:tc>
          <w:tcPr>
            <w:tcW w:w="993" w:type="dxa"/>
            <w:tcBorders>
              <w:top w:val="single" w:sz="8" w:space="0" w:color="000000"/>
              <w:bottom w:val="single" w:sz="8" w:space="0" w:color="000000"/>
            </w:tcBorders>
            <w:shd w:val="clear" w:color="auto" w:fill="auto"/>
            <w:vAlign w:val="center"/>
          </w:tcPr>
          <w:p w14:paraId="09835C5B" w14:textId="77777777" w:rsidR="009836BA" w:rsidRPr="00EB5D5F" w:rsidRDefault="00D362C7">
            <w:pPr>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Direction</w:t>
            </w:r>
            <w:proofErr w:type="spellEnd"/>
            <w:r w:rsidRPr="00EB5D5F">
              <w:rPr>
                <w:rFonts w:eastAsia="Times New Roman"/>
                <w:color w:val="000000"/>
                <w:sz w:val="18"/>
                <w:szCs w:val="18"/>
                <w:lang w:val="de-DE"/>
              </w:rPr>
              <w:t xml:space="preserve"> </w:t>
            </w:r>
            <w:proofErr w:type="spellStart"/>
            <w:r w:rsidRPr="00EB5D5F">
              <w:rPr>
                <w:rFonts w:eastAsia="Times New Roman"/>
                <w:color w:val="000000"/>
                <w:sz w:val="18"/>
                <w:szCs w:val="18"/>
                <w:lang w:val="de-DE"/>
              </w:rPr>
              <w:t>of</w:t>
            </w:r>
            <w:proofErr w:type="spellEnd"/>
            <w:r w:rsidRPr="00EB5D5F">
              <w:rPr>
                <w:rFonts w:eastAsia="Times New Roman"/>
                <w:color w:val="000000"/>
                <w:sz w:val="18"/>
                <w:szCs w:val="18"/>
                <w:lang w:val="de-DE"/>
              </w:rPr>
              <w:t xml:space="preserve"> </w:t>
            </w:r>
            <w:proofErr w:type="spellStart"/>
            <w:r w:rsidRPr="00EB5D5F">
              <w:rPr>
                <w:rFonts w:eastAsia="Times New Roman"/>
                <w:color w:val="000000"/>
                <w:sz w:val="18"/>
                <w:szCs w:val="18"/>
                <w:lang w:val="de-DE"/>
              </w:rPr>
              <w:t>effect</w:t>
            </w:r>
            <w:proofErr w:type="spellEnd"/>
          </w:p>
        </w:tc>
        <w:tc>
          <w:tcPr>
            <w:tcW w:w="851" w:type="dxa"/>
            <w:tcBorders>
              <w:top w:val="single" w:sz="8" w:space="0" w:color="000000"/>
              <w:bottom w:val="single" w:sz="8" w:space="0" w:color="000000"/>
            </w:tcBorders>
            <w:shd w:val="clear" w:color="auto" w:fill="auto"/>
            <w:vAlign w:val="center"/>
          </w:tcPr>
          <w:p w14:paraId="0F7AB580" w14:textId="77777777" w:rsidR="009836BA" w:rsidRPr="00EB5D5F" w:rsidRDefault="00D362C7">
            <w:pPr>
              <w:spacing w:line="240" w:lineRule="auto"/>
              <w:jc w:val="center"/>
              <w:rPr>
                <w:rFonts w:eastAsia="Times New Roman"/>
                <w:color w:val="000000"/>
                <w:sz w:val="18"/>
                <w:szCs w:val="18"/>
                <w:lang w:val="de-DE"/>
              </w:rPr>
            </w:pPr>
            <w:r w:rsidRPr="00EB5D5F">
              <w:rPr>
                <w:rFonts w:eastAsia="Times New Roman"/>
                <w:color w:val="000000"/>
                <w:sz w:val="18"/>
                <w:szCs w:val="20"/>
                <w:lang w:val="de-DE"/>
              </w:rPr>
              <w:t>p-FDR</w:t>
            </w:r>
          </w:p>
        </w:tc>
        <w:tc>
          <w:tcPr>
            <w:tcW w:w="1118" w:type="dxa"/>
            <w:tcBorders>
              <w:top w:val="single" w:sz="8" w:space="0" w:color="000000"/>
              <w:bottom w:val="single" w:sz="8" w:space="0" w:color="000000"/>
            </w:tcBorders>
            <w:shd w:val="clear" w:color="auto" w:fill="auto"/>
            <w:vAlign w:val="center"/>
          </w:tcPr>
          <w:p w14:paraId="7191A9F1" w14:textId="77777777" w:rsidR="009836BA" w:rsidRPr="00EB5D5F" w:rsidRDefault="00D362C7">
            <w:pPr>
              <w:spacing w:line="240" w:lineRule="auto"/>
              <w:jc w:val="center"/>
              <w:rPr>
                <w:rFonts w:eastAsia="Times New Roman"/>
                <w:color w:val="000000"/>
                <w:sz w:val="18"/>
                <w:szCs w:val="18"/>
                <w:lang w:val="de-DE"/>
              </w:rPr>
            </w:pPr>
            <w:r w:rsidRPr="00EB5D5F">
              <w:rPr>
                <w:rFonts w:eastAsia="Times New Roman"/>
                <w:color w:val="000000"/>
                <w:sz w:val="18"/>
                <w:szCs w:val="20"/>
                <w:lang w:val="de-DE"/>
              </w:rPr>
              <w:t>p-</w:t>
            </w:r>
            <w:proofErr w:type="spellStart"/>
            <w:r w:rsidRPr="00EB5D5F">
              <w:rPr>
                <w:rFonts w:eastAsia="Times New Roman"/>
                <w:color w:val="000000"/>
                <w:sz w:val="18"/>
                <w:szCs w:val="20"/>
                <w:lang w:val="de-DE"/>
              </w:rPr>
              <w:t>FDR</w:t>
            </w:r>
            <w:r w:rsidRPr="00EB5D5F">
              <w:rPr>
                <w:rFonts w:eastAsia="Times New Roman"/>
                <w:color w:val="000000"/>
                <w:sz w:val="18"/>
                <w:szCs w:val="18"/>
                <w:vertAlign w:val="subscript"/>
                <w:lang w:val="de-DE"/>
              </w:rPr>
              <w:t>Bonferroni</w:t>
            </w:r>
            <w:proofErr w:type="spellEnd"/>
          </w:p>
        </w:tc>
        <w:tc>
          <w:tcPr>
            <w:tcW w:w="1980" w:type="dxa"/>
            <w:tcBorders>
              <w:top w:val="single" w:sz="8" w:space="0" w:color="000000"/>
              <w:bottom w:val="single" w:sz="8" w:space="0" w:color="000000"/>
            </w:tcBorders>
            <w:shd w:val="clear" w:color="auto" w:fill="auto"/>
            <w:vAlign w:val="center"/>
          </w:tcPr>
          <w:p w14:paraId="7C317676" w14:textId="77777777" w:rsidR="009836BA" w:rsidRPr="00EB5D5F" w:rsidRDefault="00D362C7">
            <w:pPr>
              <w:spacing w:line="240" w:lineRule="auto"/>
              <w:jc w:val="center"/>
              <w:rPr>
                <w:rFonts w:eastAsia="Times New Roman"/>
                <w:color w:val="000000"/>
                <w:sz w:val="18"/>
                <w:szCs w:val="18"/>
                <w:lang w:val="de-DE"/>
              </w:rPr>
            </w:pPr>
            <w:r w:rsidRPr="00EB5D5F">
              <w:rPr>
                <w:rFonts w:eastAsia="Times New Roman"/>
                <w:color w:val="000000"/>
                <w:sz w:val="18"/>
                <w:szCs w:val="20"/>
                <w:lang w:val="de-DE"/>
              </w:rPr>
              <w:t>partial η² [95%-CI]</w:t>
            </w:r>
          </w:p>
        </w:tc>
      </w:tr>
      <w:tr w:rsidR="009836BA" w:rsidRPr="00EB5D5F" w14:paraId="06CA2F1C" w14:textId="77777777">
        <w:trPr>
          <w:trHeight w:val="300"/>
        </w:trPr>
        <w:tc>
          <w:tcPr>
            <w:tcW w:w="771" w:type="dxa"/>
            <w:shd w:val="clear" w:color="auto" w:fill="auto"/>
            <w:vAlign w:val="center"/>
          </w:tcPr>
          <w:p w14:paraId="1422BD4A" w14:textId="77777777" w:rsidR="009836BA" w:rsidRPr="00EB5D5F" w:rsidRDefault="00D362C7">
            <w:pPr>
              <w:spacing w:line="240" w:lineRule="auto"/>
              <w:rPr>
                <w:rFonts w:eastAsia="Times New Roman"/>
                <w:color w:val="000000"/>
                <w:sz w:val="18"/>
                <w:szCs w:val="18"/>
                <w:lang w:val="de-DE"/>
              </w:rPr>
            </w:pPr>
            <w:r w:rsidRPr="00EB5D5F">
              <w:rPr>
                <w:rFonts w:eastAsia="Times New Roman"/>
                <w:color w:val="000000"/>
                <w:sz w:val="18"/>
                <w:szCs w:val="18"/>
                <w:lang w:val="de-DE"/>
              </w:rPr>
              <w:t>HC</w:t>
            </w:r>
          </w:p>
        </w:tc>
        <w:tc>
          <w:tcPr>
            <w:tcW w:w="506" w:type="dxa"/>
            <w:shd w:val="clear" w:color="auto" w:fill="auto"/>
            <w:vAlign w:val="center"/>
          </w:tcPr>
          <w:p w14:paraId="13C479E1" w14:textId="77777777" w:rsidR="009836BA" w:rsidRPr="00EB5D5F" w:rsidRDefault="00D362C7">
            <w:pPr>
              <w:spacing w:line="240" w:lineRule="auto"/>
              <w:jc w:val="center"/>
              <w:rPr>
                <w:rFonts w:eastAsia="Times New Roman"/>
                <w:color w:val="000000"/>
                <w:sz w:val="18"/>
                <w:szCs w:val="18"/>
                <w:lang w:val="de-DE"/>
              </w:rPr>
            </w:pPr>
            <w:r w:rsidRPr="00EB5D5F">
              <w:rPr>
                <w:rFonts w:eastAsia="Times New Roman"/>
                <w:color w:val="000000"/>
                <w:sz w:val="18"/>
                <w:szCs w:val="20"/>
                <w:lang w:val="de-DE"/>
              </w:rPr>
              <w:t>701</w:t>
            </w:r>
          </w:p>
        </w:tc>
        <w:tc>
          <w:tcPr>
            <w:tcW w:w="2126" w:type="dxa"/>
            <w:shd w:val="clear" w:color="auto" w:fill="auto"/>
            <w:vAlign w:val="center"/>
          </w:tcPr>
          <w:p w14:paraId="738476D7" w14:textId="77777777" w:rsidR="009836BA" w:rsidRPr="00EB5D5F" w:rsidRDefault="00D362C7">
            <w:pPr>
              <w:spacing w:line="240" w:lineRule="auto"/>
              <w:rPr>
                <w:rFonts w:eastAsia="Times New Roman"/>
                <w:color w:val="000000"/>
                <w:sz w:val="18"/>
                <w:szCs w:val="18"/>
                <w:lang w:val="de-DE"/>
              </w:rPr>
            </w:pPr>
            <w:r w:rsidRPr="00EB5D5F">
              <w:rPr>
                <w:rFonts w:eastAsia="Times New Roman"/>
                <w:color w:val="000000"/>
                <w:sz w:val="18"/>
                <w:szCs w:val="18"/>
                <w:lang w:val="de-DE"/>
              </w:rPr>
              <w:t>CM vs. non-CM</w:t>
            </w:r>
          </w:p>
        </w:tc>
        <w:tc>
          <w:tcPr>
            <w:tcW w:w="1558" w:type="dxa"/>
            <w:shd w:val="clear" w:color="auto" w:fill="auto"/>
            <w:vAlign w:val="center"/>
          </w:tcPr>
          <w:p w14:paraId="3BD00899" w14:textId="77777777" w:rsidR="009836BA" w:rsidRPr="00EB5D5F" w:rsidRDefault="00D362C7">
            <w:pPr>
              <w:spacing w:line="240" w:lineRule="auto"/>
              <w:rPr>
                <w:rFonts w:eastAsia="Times New Roman"/>
                <w:color w:val="000000"/>
                <w:sz w:val="18"/>
                <w:szCs w:val="18"/>
                <w:lang w:val="de-DE"/>
              </w:rPr>
            </w:pPr>
            <w:r w:rsidRPr="00EB5D5F">
              <w:rPr>
                <w:rFonts w:eastAsia="Times New Roman"/>
                <w:color w:val="000000"/>
                <w:sz w:val="18"/>
                <w:szCs w:val="18"/>
                <w:lang w:val="de-DE"/>
              </w:rPr>
              <w:t>Hippocampus L</w:t>
            </w:r>
          </w:p>
        </w:tc>
        <w:tc>
          <w:tcPr>
            <w:tcW w:w="1845" w:type="dxa"/>
            <w:shd w:val="clear" w:color="auto" w:fill="auto"/>
            <w:vAlign w:val="center"/>
          </w:tcPr>
          <w:p w14:paraId="36E69E0A" w14:textId="77777777" w:rsidR="009836BA" w:rsidRPr="00EB5D5F" w:rsidRDefault="00D362C7">
            <w:pPr>
              <w:spacing w:line="240" w:lineRule="auto"/>
              <w:rPr>
                <w:rFonts w:eastAsia="Times New Roman"/>
                <w:color w:val="000000"/>
                <w:sz w:val="18"/>
                <w:szCs w:val="18"/>
                <w:lang w:val="de-DE"/>
              </w:rPr>
            </w:pPr>
            <w:r w:rsidRPr="00EB5D5F">
              <w:rPr>
                <w:rFonts w:eastAsia="Times New Roman"/>
                <w:color w:val="000000"/>
                <w:sz w:val="18"/>
                <w:szCs w:val="18"/>
                <w:lang w:val="de-DE"/>
              </w:rPr>
              <w:t>Cerebellum R</w:t>
            </w:r>
          </w:p>
        </w:tc>
        <w:tc>
          <w:tcPr>
            <w:tcW w:w="441" w:type="dxa"/>
            <w:shd w:val="clear" w:color="auto" w:fill="auto"/>
            <w:vAlign w:val="center"/>
          </w:tcPr>
          <w:p w14:paraId="4849B1E9" w14:textId="77777777" w:rsidR="009836BA" w:rsidRPr="00EB5D5F" w:rsidRDefault="00D362C7">
            <w:pPr>
              <w:spacing w:line="240" w:lineRule="auto"/>
              <w:jc w:val="center"/>
              <w:rPr>
                <w:rFonts w:eastAsia="Times New Roman"/>
                <w:color w:val="000000"/>
                <w:sz w:val="18"/>
                <w:szCs w:val="18"/>
                <w:lang w:val="de-DE"/>
              </w:rPr>
            </w:pPr>
            <w:r w:rsidRPr="00EB5D5F">
              <w:rPr>
                <w:rFonts w:eastAsia="Times New Roman"/>
                <w:color w:val="000000"/>
                <w:sz w:val="18"/>
                <w:szCs w:val="20"/>
                <w:lang w:val="de-DE"/>
              </w:rPr>
              <w:t>67</w:t>
            </w:r>
          </w:p>
        </w:tc>
        <w:tc>
          <w:tcPr>
            <w:tcW w:w="1417" w:type="dxa"/>
            <w:shd w:val="clear" w:color="auto" w:fill="auto"/>
            <w:vAlign w:val="center"/>
          </w:tcPr>
          <w:p w14:paraId="4E3B0E09" w14:textId="280DB6AB" w:rsidR="009836BA" w:rsidRPr="00EB5D5F" w:rsidRDefault="006C5F3A">
            <w:pPr>
              <w:spacing w:line="240" w:lineRule="auto"/>
              <w:jc w:val="center"/>
              <w:rPr>
                <w:rFonts w:eastAsia="Times New Roman"/>
                <w:color w:val="000000"/>
                <w:sz w:val="18"/>
                <w:szCs w:val="18"/>
                <w:lang w:val="de-DE"/>
              </w:rPr>
            </w:pPr>
            <w:r>
              <w:rPr>
                <w:rFonts w:eastAsia="Times New Roman"/>
                <w:color w:val="000000"/>
                <w:sz w:val="18"/>
                <w:szCs w:val="20"/>
                <w:lang w:val="de-DE"/>
              </w:rPr>
              <w:t>+</w:t>
            </w:r>
            <w:r w:rsidR="00D362C7" w:rsidRPr="00EB5D5F">
              <w:rPr>
                <w:rFonts w:eastAsia="Times New Roman"/>
                <w:color w:val="000000"/>
                <w:sz w:val="18"/>
                <w:szCs w:val="20"/>
                <w:lang w:val="de-DE"/>
              </w:rPr>
              <w:t>27 -42 -42</w:t>
            </w:r>
          </w:p>
        </w:tc>
        <w:tc>
          <w:tcPr>
            <w:tcW w:w="993" w:type="dxa"/>
            <w:shd w:val="clear" w:color="auto" w:fill="auto"/>
            <w:vAlign w:val="center"/>
          </w:tcPr>
          <w:p w14:paraId="4A9659AB" w14:textId="77777777" w:rsidR="009836BA" w:rsidRPr="00EB5D5F" w:rsidRDefault="00D362C7">
            <w:pPr>
              <w:spacing w:line="240" w:lineRule="auto"/>
              <w:jc w:val="center"/>
              <w:rPr>
                <w:rFonts w:eastAsia="Times New Roman"/>
                <w:color w:val="000000"/>
                <w:sz w:val="18"/>
                <w:szCs w:val="18"/>
                <w:lang w:val="de-DE"/>
              </w:rPr>
            </w:pPr>
            <w:r w:rsidRPr="00EB5D5F">
              <w:rPr>
                <w:rFonts w:eastAsia="Times New Roman"/>
                <w:color w:val="000000"/>
                <w:sz w:val="18"/>
                <w:szCs w:val="18"/>
                <w:lang w:val="de-DE"/>
              </w:rPr>
              <w:t>negative</w:t>
            </w:r>
          </w:p>
        </w:tc>
        <w:tc>
          <w:tcPr>
            <w:tcW w:w="851" w:type="dxa"/>
            <w:shd w:val="clear" w:color="auto" w:fill="auto"/>
            <w:vAlign w:val="center"/>
          </w:tcPr>
          <w:p w14:paraId="04FACC44" w14:textId="77777777" w:rsidR="009836BA" w:rsidRPr="00EB5D5F" w:rsidRDefault="00D362C7">
            <w:pPr>
              <w:spacing w:line="240" w:lineRule="auto"/>
              <w:jc w:val="center"/>
              <w:rPr>
                <w:rFonts w:eastAsia="Times New Roman"/>
                <w:color w:val="000000"/>
                <w:sz w:val="18"/>
                <w:szCs w:val="18"/>
                <w:lang w:val="de-DE"/>
              </w:rPr>
            </w:pPr>
            <w:r w:rsidRPr="00EB5D5F">
              <w:rPr>
                <w:rFonts w:eastAsia="Times New Roman"/>
                <w:color w:val="000000"/>
                <w:sz w:val="18"/>
                <w:szCs w:val="20"/>
                <w:lang w:val="de-DE"/>
              </w:rPr>
              <w:t>.025</w:t>
            </w:r>
          </w:p>
        </w:tc>
        <w:tc>
          <w:tcPr>
            <w:tcW w:w="1118" w:type="dxa"/>
            <w:shd w:val="clear" w:color="auto" w:fill="auto"/>
            <w:vAlign w:val="center"/>
          </w:tcPr>
          <w:p w14:paraId="247B09B2" w14:textId="77777777" w:rsidR="009836BA" w:rsidRPr="00EB5D5F" w:rsidRDefault="00D362C7">
            <w:pPr>
              <w:spacing w:line="240" w:lineRule="auto"/>
              <w:jc w:val="center"/>
              <w:rPr>
                <w:rFonts w:eastAsia="Times New Roman"/>
                <w:color w:val="000000"/>
                <w:sz w:val="18"/>
                <w:szCs w:val="18"/>
                <w:lang w:val="de-DE"/>
              </w:rPr>
            </w:pPr>
            <w:r w:rsidRPr="00EB5D5F">
              <w:rPr>
                <w:rFonts w:eastAsia="Times New Roman"/>
                <w:color w:val="000000"/>
                <w:sz w:val="18"/>
                <w:szCs w:val="20"/>
                <w:lang w:val="de-DE"/>
              </w:rPr>
              <w:t>.247</w:t>
            </w:r>
          </w:p>
        </w:tc>
        <w:tc>
          <w:tcPr>
            <w:tcW w:w="1980" w:type="dxa"/>
            <w:shd w:val="clear" w:color="auto" w:fill="auto"/>
            <w:vAlign w:val="center"/>
          </w:tcPr>
          <w:p w14:paraId="1F2FC5F6" w14:textId="77777777" w:rsidR="009836BA" w:rsidRPr="00EB5D5F" w:rsidRDefault="00D362C7">
            <w:pPr>
              <w:spacing w:line="240" w:lineRule="auto"/>
              <w:jc w:val="center"/>
              <w:rPr>
                <w:rFonts w:eastAsia="Times New Roman"/>
                <w:color w:val="000000"/>
                <w:sz w:val="18"/>
                <w:szCs w:val="18"/>
                <w:lang w:val="de-DE"/>
              </w:rPr>
            </w:pPr>
            <w:r w:rsidRPr="00EB5D5F">
              <w:rPr>
                <w:rFonts w:eastAsia="Times New Roman"/>
                <w:color w:val="000000"/>
                <w:sz w:val="18"/>
                <w:szCs w:val="18"/>
                <w:lang w:val="en-US"/>
              </w:rPr>
              <w:t>.035 [.009, .060]</w:t>
            </w:r>
          </w:p>
        </w:tc>
      </w:tr>
      <w:tr w:rsidR="009836BA" w:rsidRPr="00EB5D5F" w14:paraId="3214F825" w14:textId="77777777">
        <w:trPr>
          <w:trHeight w:hRule="exact" w:val="300"/>
        </w:trPr>
        <w:tc>
          <w:tcPr>
            <w:tcW w:w="771" w:type="dxa"/>
            <w:shd w:val="clear" w:color="auto" w:fill="auto"/>
            <w:vAlign w:val="bottom"/>
          </w:tcPr>
          <w:p w14:paraId="157DF641" w14:textId="77777777" w:rsidR="009836BA" w:rsidRPr="00EB5D5F" w:rsidRDefault="009836BA">
            <w:pPr>
              <w:spacing w:line="240" w:lineRule="auto"/>
              <w:jc w:val="center"/>
              <w:rPr>
                <w:rFonts w:eastAsia="Times New Roman"/>
                <w:color w:val="000000"/>
                <w:sz w:val="18"/>
                <w:szCs w:val="18"/>
                <w:lang w:val="de-DE"/>
              </w:rPr>
            </w:pPr>
          </w:p>
        </w:tc>
        <w:tc>
          <w:tcPr>
            <w:tcW w:w="506" w:type="dxa"/>
            <w:shd w:val="clear" w:color="auto" w:fill="auto"/>
            <w:vAlign w:val="bottom"/>
          </w:tcPr>
          <w:p w14:paraId="1C5CCE1E" w14:textId="77777777" w:rsidR="009836BA" w:rsidRPr="00EB5D5F" w:rsidRDefault="009836BA">
            <w:pPr>
              <w:spacing w:line="240" w:lineRule="auto"/>
              <w:rPr>
                <w:rFonts w:ascii="Times New Roman" w:eastAsia="Times New Roman" w:hAnsi="Times New Roman" w:cs="Times New Roman"/>
                <w:sz w:val="20"/>
                <w:szCs w:val="20"/>
                <w:lang w:val="de-DE"/>
              </w:rPr>
            </w:pPr>
          </w:p>
        </w:tc>
        <w:tc>
          <w:tcPr>
            <w:tcW w:w="2126" w:type="dxa"/>
            <w:shd w:val="clear" w:color="auto" w:fill="auto"/>
            <w:vAlign w:val="bottom"/>
          </w:tcPr>
          <w:p w14:paraId="2F5C18B6" w14:textId="77777777" w:rsidR="009836BA" w:rsidRPr="00EB5D5F" w:rsidRDefault="009836BA">
            <w:pPr>
              <w:spacing w:line="240" w:lineRule="auto"/>
              <w:rPr>
                <w:rFonts w:ascii="Times New Roman" w:eastAsia="Times New Roman" w:hAnsi="Times New Roman" w:cs="Times New Roman"/>
                <w:sz w:val="20"/>
                <w:szCs w:val="20"/>
                <w:lang w:val="de-DE"/>
              </w:rPr>
            </w:pPr>
          </w:p>
        </w:tc>
        <w:tc>
          <w:tcPr>
            <w:tcW w:w="1558" w:type="dxa"/>
            <w:shd w:val="clear" w:color="auto" w:fill="auto"/>
            <w:vAlign w:val="bottom"/>
          </w:tcPr>
          <w:p w14:paraId="7B2CC05A" w14:textId="77777777" w:rsidR="009836BA" w:rsidRPr="00EB5D5F" w:rsidRDefault="009836BA">
            <w:pPr>
              <w:spacing w:line="240" w:lineRule="auto"/>
              <w:rPr>
                <w:rFonts w:ascii="Times New Roman" w:eastAsia="Times New Roman" w:hAnsi="Times New Roman" w:cs="Times New Roman"/>
                <w:sz w:val="20"/>
                <w:szCs w:val="20"/>
                <w:lang w:val="de-DE"/>
              </w:rPr>
            </w:pPr>
          </w:p>
        </w:tc>
        <w:tc>
          <w:tcPr>
            <w:tcW w:w="1845" w:type="dxa"/>
            <w:shd w:val="clear" w:color="auto" w:fill="auto"/>
            <w:vAlign w:val="bottom"/>
          </w:tcPr>
          <w:p w14:paraId="7EDC2C69" w14:textId="77777777" w:rsidR="009836BA" w:rsidRPr="00EB5D5F" w:rsidRDefault="009836BA">
            <w:pPr>
              <w:spacing w:line="240" w:lineRule="auto"/>
              <w:rPr>
                <w:rFonts w:ascii="Times New Roman" w:eastAsia="Times New Roman" w:hAnsi="Times New Roman" w:cs="Times New Roman"/>
                <w:sz w:val="20"/>
                <w:szCs w:val="20"/>
                <w:lang w:val="de-DE"/>
              </w:rPr>
            </w:pPr>
          </w:p>
        </w:tc>
        <w:tc>
          <w:tcPr>
            <w:tcW w:w="441" w:type="dxa"/>
            <w:shd w:val="clear" w:color="auto" w:fill="auto"/>
            <w:vAlign w:val="bottom"/>
          </w:tcPr>
          <w:p w14:paraId="5FA0B1C0" w14:textId="77777777" w:rsidR="009836BA" w:rsidRPr="00EB5D5F" w:rsidRDefault="009836BA">
            <w:pPr>
              <w:spacing w:line="240" w:lineRule="auto"/>
              <w:rPr>
                <w:rFonts w:ascii="Times New Roman" w:eastAsia="Times New Roman" w:hAnsi="Times New Roman" w:cs="Times New Roman"/>
                <w:sz w:val="20"/>
                <w:szCs w:val="20"/>
                <w:lang w:val="de-DE"/>
              </w:rPr>
            </w:pPr>
          </w:p>
        </w:tc>
        <w:tc>
          <w:tcPr>
            <w:tcW w:w="1417" w:type="dxa"/>
            <w:shd w:val="clear" w:color="auto" w:fill="auto"/>
            <w:vAlign w:val="bottom"/>
          </w:tcPr>
          <w:p w14:paraId="32D00B76" w14:textId="77777777" w:rsidR="009836BA" w:rsidRPr="00EB5D5F" w:rsidRDefault="009836BA">
            <w:pPr>
              <w:spacing w:line="240" w:lineRule="auto"/>
              <w:rPr>
                <w:rFonts w:ascii="Times New Roman" w:eastAsia="Times New Roman" w:hAnsi="Times New Roman" w:cs="Times New Roman"/>
                <w:sz w:val="20"/>
                <w:szCs w:val="20"/>
                <w:lang w:val="de-DE"/>
              </w:rPr>
            </w:pPr>
          </w:p>
        </w:tc>
        <w:tc>
          <w:tcPr>
            <w:tcW w:w="993" w:type="dxa"/>
            <w:shd w:val="clear" w:color="auto" w:fill="auto"/>
            <w:vAlign w:val="bottom"/>
          </w:tcPr>
          <w:p w14:paraId="7254793E" w14:textId="77777777" w:rsidR="009836BA" w:rsidRPr="00EB5D5F" w:rsidRDefault="009836BA">
            <w:pPr>
              <w:spacing w:line="240" w:lineRule="auto"/>
              <w:rPr>
                <w:rFonts w:ascii="Times New Roman" w:eastAsia="Times New Roman" w:hAnsi="Times New Roman" w:cs="Times New Roman"/>
                <w:sz w:val="20"/>
                <w:szCs w:val="20"/>
                <w:lang w:val="de-DE"/>
              </w:rPr>
            </w:pPr>
          </w:p>
        </w:tc>
        <w:tc>
          <w:tcPr>
            <w:tcW w:w="851" w:type="dxa"/>
            <w:shd w:val="clear" w:color="auto" w:fill="auto"/>
            <w:vAlign w:val="bottom"/>
          </w:tcPr>
          <w:p w14:paraId="2DBC3563" w14:textId="77777777" w:rsidR="009836BA" w:rsidRPr="00EB5D5F" w:rsidRDefault="009836BA">
            <w:pPr>
              <w:spacing w:line="240" w:lineRule="auto"/>
              <w:rPr>
                <w:rFonts w:ascii="Times New Roman" w:eastAsia="Times New Roman" w:hAnsi="Times New Roman" w:cs="Times New Roman"/>
                <w:sz w:val="20"/>
                <w:szCs w:val="20"/>
                <w:lang w:val="de-DE"/>
              </w:rPr>
            </w:pPr>
          </w:p>
        </w:tc>
        <w:tc>
          <w:tcPr>
            <w:tcW w:w="1118" w:type="dxa"/>
            <w:shd w:val="clear" w:color="auto" w:fill="auto"/>
            <w:vAlign w:val="center"/>
          </w:tcPr>
          <w:p w14:paraId="2858E62A" w14:textId="77777777" w:rsidR="009836BA" w:rsidRPr="00EB5D5F" w:rsidRDefault="009836BA">
            <w:pPr>
              <w:spacing w:line="240" w:lineRule="auto"/>
              <w:rPr>
                <w:rFonts w:ascii="Times New Roman" w:eastAsia="Times New Roman" w:hAnsi="Times New Roman" w:cs="Times New Roman"/>
                <w:sz w:val="20"/>
                <w:szCs w:val="20"/>
                <w:lang w:val="de-DE"/>
              </w:rPr>
            </w:pPr>
          </w:p>
        </w:tc>
        <w:tc>
          <w:tcPr>
            <w:tcW w:w="1980" w:type="dxa"/>
            <w:shd w:val="clear" w:color="auto" w:fill="auto"/>
            <w:vAlign w:val="bottom"/>
          </w:tcPr>
          <w:p w14:paraId="7582B2DE" w14:textId="77777777" w:rsidR="009836BA" w:rsidRPr="00EB5D5F" w:rsidRDefault="009836BA">
            <w:pPr>
              <w:spacing w:line="240" w:lineRule="auto"/>
              <w:jc w:val="center"/>
              <w:rPr>
                <w:rFonts w:ascii="Times New Roman" w:eastAsia="Times New Roman" w:hAnsi="Times New Roman" w:cs="Times New Roman"/>
                <w:sz w:val="20"/>
                <w:szCs w:val="20"/>
                <w:lang w:val="de-DE"/>
              </w:rPr>
            </w:pPr>
          </w:p>
        </w:tc>
      </w:tr>
      <w:tr w:rsidR="009836BA" w:rsidRPr="00EB5D5F" w14:paraId="7449DCE0" w14:textId="77777777">
        <w:trPr>
          <w:trHeight w:val="300"/>
        </w:trPr>
        <w:tc>
          <w:tcPr>
            <w:tcW w:w="771" w:type="dxa"/>
            <w:shd w:val="clear" w:color="auto" w:fill="auto"/>
            <w:vAlign w:val="center"/>
          </w:tcPr>
          <w:p w14:paraId="698062E7" w14:textId="77777777" w:rsidR="009836BA" w:rsidRPr="00EB5D5F" w:rsidRDefault="00D362C7">
            <w:pPr>
              <w:spacing w:line="240" w:lineRule="auto"/>
              <w:rPr>
                <w:rFonts w:eastAsia="Times New Roman"/>
                <w:color w:val="000000"/>
                <w:sz w:val="18"/>
                <w:szCs w:val="18"/>
                <w:lang w:val="de-DE"/>
              </w:rPr>
            </w:pPr>
            <w:r w:rsidRPr="00EB5D5F">
              <w:rPr>
                <w:rFonts w:eastAsia="Times New Roman"/>
                <w:color w:val="000000"/>
                <w:sz w:val="18"/>
                <w:szCs w:val="18"/>
                <w:lang w:val="en-US"/>
              </w:rPr>
              <w:t>HC</w:t>
            </w:r>
          </w:p>
        </w:tc>
        <w:tc>
          <w:tcPr>
            <w:tcW w:w="506" w:type="dxa"/>
            <w:shd w:val="clear" w:color="auto" w:fill="auto"/>
            <w:vAlign w:val="center"/>
          </w:tcPr>
          <w:p w14:paraId="7D5F3259" w14:textId="77777777" w:rsidR="009836BA" w:rsidRPr="00EB5D5F" w:rsidRDefault="00D362C7">
            <w:pPr>
              <w:spacing w:line="240" w:lineRule="auto"/>
              <w:jc w:val="center"/>
              <w:rPr>
                <w:rFonts w:eastAsia="Times New Roman"/>
                <w:color w:val="000000"/>
                <w:sz w:val="18"/>
                <w:szCs w:val="18"/>
                <w:lang w:val="de-DE"/>
              </w:rPr>
            </w:pPr>
            <w:r w:rsidRPr="00EB5D5F">
              <w:rPr>
                <w:rFonts w:eastAsia="Times New Roman"/>
                <w:color w:val="000000"/>
                <w:sz w:val="18"/>
                <w:szCs w:val="18"/>
                <w:lang w:val="en-US"/>
              </w:rPr>
              <w:t>156</w:t>
            </w:r>
          </w:p>
        </w:tc>
        <w:tc>
          <w:tcPr>
            <w:tcW w:w="2126" w:type="dxa"/>
            <w:shd w:val="clear" w:color="auto" w:fill="auto"/>
            <w:vAlign w:val="center"/>
          </w:tcPr>
          <w:p w14:paraId="481B78E4" w14:textId="77777777" w:rsidR="009836BA" w:rsidRPr="00EB5D5F" w:rsidRDefault="00D362C7">
            <w:pPr>
              <w:spacing w:line="240" w:lineRule="auto"/>
              <w:rPr>
                <w:rFonts w:eastAsia="Times New Roman"/>
                <w:color w:val="000000"/>
                <w:sz w:val="18"/>
                <w:szCs w:val="18"/>
                <w:lang w:val="en-US"/>
              </w:rPr>
            </w:pPr>
            <w:r w:rsidRPr="00EB5D5F">
              <w:rPr>
                <w:rFonts w:eastAsia="Times New Roman"/>
                <w:color w:val="000000"/>
                <w:sz w:val="18"/>
                <w:szCs w:val="18"/>
                <w:lang w:val="en-US"/>
              </w:rPr>
              <w:t>severe CM vs. non-CM</w:t>
            </w:r>
          </w:p>
        </w:tc>
        <w:tc>
          <w:tcPr>
            <w:tcW w:w="1558" w:type="dxa"/>
            <w:shd w:val="clear" w:color="auto" w:fill="auto"/>
            <w:vAlign w:val="center"/>
          </w:tcPr>
          <w:p w14:paraId="60F9A6B5" w14:textId="77777777" w:rsidR="009836BA" w:rsidRPr="00EB5D5F" w:rsidRDefault="00D362C7">
            <w:pPr>
              <w:spacing w:line="240" w:lineRule="auto"/>
              <w:rPr>
                <w:rFonts w:eastAsia="Times New Roman"/>
                <w:color w:val="000000"/>
                <w:sz w:val="18"/>
                <w:szCs w:val="18"/>
                <w:lang w:val="de-DE"/>
              </w:rPr>
            </w:pPr>
            <w:proofErr w:type="spellStart"/>
            <w:r w:rsidRPr="00EB5D5F">
              <w:rPr>
                <w:rFonts w:eastAsia="Times New Roman"/>
                <w:color w:val="000000"/>
                <w:sz w:val="18"/>
                <w:szCs w:val="18"/>
                <w:lang w:val="en-US"/>
              </w:rPr>
              <w:t>scACC</w:t>
            </w:r>
            <w:proofErr w:type="spellEnd"/>
            <w:r w:rsidRPr="00EB5D5F">
              <w:rPr>
                <w:rFonts w:eastAsia="Times New Roman"/>
                <w:color w:val="000000"/>
                <w:sz w:val="18"/>
                <w:szCs w:val="18"/>
                <w:lang w:val="en-US"/>
              </w:rPr>
              <w:t xml:space="preserve"> R</w:t>
            </w:r>
          </w:p>
        </w:tc>
        <w:tc>
          <w:tcPr>
            <w:tcW w:w="1845" w:type="dxa"/>
            <w:shd w:val="clear" w:color="auto" w:fill="auto"/>
            <w:vAlign w:val="center"/>
          </w:tcPr>
          <w:p w14:paraId="647D4C76" w14:textId="77777777" w:rsidR="009836BA" w:rsidRPr="00EB5D5F" w:rsidRDefault="00D362C7">
            <w:pPr>
              <w:spacing w:line="240" w:lineRule="auto"/>
              <w:rPr>
                <w:rFonts w:eastAsia="Times New Roman"/>
                <w:color w:val="000000"/>
                <w:sz w:val="18"/>
                <w:szCs w:val="18"/>
                <w:lang w:val="en-US"/>
              </w:rPr>
            </w:pPr>
            <w:r w:rsidRPr="00EB5D5F">
              <w:rPr>
                <w:rFonts w:eastAsia="Times New Roman"/>
                <w:color w:val="000000"/>
                <w:sz w:val="18"/>
                <w:szCs w:val="18"/>
                <w:lang w:val="en-US"/>
              </w:rPr>
              <w:t>Medial superior frontal L+R</w:t>
            </w:r>
          </w:p>
        </w:tc>
        <w:tc>
          <w:tcPr>
            <w:tcW w:w="441" w:type="dxa"/>
            <w:shd w:val="clear" w:color="auto" w:fill="auto"/>
            <w:vAlign w:val="center"/>
          </w:tcPr>
          <w:p w14:paraId="35EB3B7C" w14:textId="77777777" w:rsidR="009836BA" w:rsidRPr="00EB5D5F" w:rsidRDefault="00D362C7">
            <w:pPr>
              <w:spacing w:line="240" w:lineRule="auto"/>
              <w:jc w:val="center"/>
              <w:rPr>
                <w:rFonts w:eastAsia="Times New Roman"/>
                <w:color w:val="000000"/>
                <w:sz w:val="18"/>
                <w:szCs w:val="18"/>
                <w:lang w:val="de-DE"/>
              </w:rPr>
            </w:pPr>
            <w:r w:rsidRPr="00EB5D5F">
              <w:rPr>
                <w:rFonts w:eastAsia="Times New Roman"/>
                <w:color w:val="000000"/>
                <w:sz w:val="18"/>
                <w:szCs w:val="18"/>
                <w:lang w:val="en-US"/>
              </w:rPr>
              <w:t>89</w:t>
            </w:r>
          </w:p>
        </w:tc>
        <w:tc>
          <w:tcPr>
            <w:tcW w:w="1417" w:type="dxa"/>
            <w:shd w:val="clear" w:color="auto" w:fill="auto"/>
            <w:vAlign w:val="center"/>
          </w:tcPr>
          <w:p w14:paraId="1C55DE1D" w14:textId="77777777" w:rsidR="009836BA" w:rsidRPr="00EB5D5F" w:rsidRDefault="00D362C7">
            <w:pPr>
              <w:spacing w:line="240" w:lineRule="auto"/>
              <w:jc w:val="center"/>
              <w:rPr>
                <w:rFonts w:eastAsia="Times New Roman"/>
                <w:color w:val="000000"/>
                <w:sz w:val="18"/>
                <w:szCs w:val="18"/>
                <w:lang w:val="de-DE"/>
              </w:rPr>
            </w:pPr>
            <w:r w:rsidRPr="00EB5D5F">
              <w:rPr>
                <w:rFonts w:eastAsia="Times New Roman"/>
                <w:color w:val="000000"/>
                <w:sz w:val="18"/>
                <w:szCs w:val="18"/>
                <w:lang w:val="en-US"/>
              </w:rPr>
              <w:t>-6 +30 +54</w:t>
            </w:r>
          </w:p>
        </w:tc>
        <w:tc>
          <w:tcPr>
            <w:tcW w:w="993" w:type="dxa"/>
            <w:shd w:val="clear" w:color="auto" w:fill="auto"/>
            <w:vAlign w:val="center"/>
          </w:tcPr>
          <w:p w14:paraId="2536BEC0" w14:textId="77777777" w:rsidR="009836BA" w:rsidRPr="00EB5D5F" w:rsidRDefault="00D362C7">
            <w:pPr>
              <w:spacing w:line="240" w:lineRule="auto"/>
              <w:jc w:val="center"/>
              <w:rPr>
                <w:rFonts w:eastAsia="Times New Roman"/>
                <w:color w:val="000000"/>
                <w:sz w:val="18"/>
                <w:szCs w:val="18"/>
                <w:lang w:val="de-DE"/>
              </w:rPr>
            </w:pPr>
            <w:r w:rsidRPr="00EB5D5F">
              <w:rPr>
                <w:rFonts w:eastAsia="Times New Roman"/>
                <w:color w:val="000000"/>
                <w:sz w:val="18"/>
                <w:szCs w:val="18"/>
                <w:lang w:val="de-DE"/>
              </w:rPr>
              <w:t>positive</w:t>
            </w:r>
          </w:p>
        </w:tc>
        <w:tc>
          <w:tcPr>
            <w:tcW w:w="851" w:type="dxa"/>
            <w:shd w:val="clear" w:color="auto" w:fill="auto"/>
            <w:vAlign w:val="center"/>
          </w:tcPr>
          <w:p w14:paraId="404098C7" w14:textId="77777777" w:rsidR="009836BA" w:rsidRPr="00EB5D5F" w:rsidRDefault="00D362C7">
            <w:pPr>
              <w:spacing w:line="240" w:lineRule="auto"/>
              <w:jc w:val="center"/>
              <w:rPr>
                <w:rFonts w:eastAsia="Times New Roman"/>
                <w:color w:val="000000"/>
                <w:sz w:val="18"/>
                <w:szCs w:val="18"/>
                <w:lang w:val="de-DE"/>
              </w:rPr>
            </w:pPr>
            <w:r w:rsidRPr="00EB5D5F">
              <w:rPr>
                <w:rFonts w:eastAsia="Times New Roman"/>
                <w:color w:val="000000"/>
                <w:sz w:val="18"/>
                <w:szCs w:val="18"/>
                <w:lang w:val="en-US"/>
              </w:rPr>
              <w:t>.025</w:t>
            </w:r>
          </w:p>
        </w:tc>
        <w:tc>
          <w:tcPr>
            <w:tcW w:w="1118" w:type="dxa"/>
            <w:shd w:val="clear" w:color="auto" w:fill="auto"/>
            <w:vAlign w:val="center"/>
          </w:tcPr>
          <w:p w14:paraId="0931D9A5" w14:textId="77777777" w:rsidR="009836BA" w:rsidRPr="00EB5D5F" w:rsidRDefault="00D362C7">
            <w:pPr>
              <w:spacing w:line="240" w:lineRule="auto"/>
              <w:jc w:val="center"/>
              <w:rPr>
                <w:rFonts w:eastAsia="Times New Roman"/>
                <w:color w:val="000000"/>
                <w:sz w:val="18"/>
                <w:szCs w:val="18"/>
                <w:lang w:val="de-DE"/>
              </w:rPr>
            </w:pPr>
            <w:r w:rsidRPr="00EB5D5F">
              <w:rPr>
                <w:rFonts w:eastAsia="Times New Roman"/>
                <w:color w:val="000000"/>
                <w:sz w:val="18"/>
                <w:szCs w:val="18"/>
                <w:lang w:val="en-US"/>
              </w:rPr>
              <w:t>.254</w:t>
            </w:r>
          </w:p>
        </w:tc>
        <w:tc>
          <w:tcPr>
            <w:tcW w:w="1980" w:type="dxa"/>
            <w:shd w:val="clear" w:color="auto" w:fill="auto"/>
            <w:vAlign w:val="center"/>
          </w:tcPr>
          <w:p w14:paraId="58775021" w14:textId="77777777" w:rsidR="009836BA" w:rsidRPr="00EB5D5F" w:rsidRDefault="00D362C7">
            <w:pPr>
              <w:spacing w:line="240" w:lineRule="auto"/>
              <w:jc w:val="center"/>
              <w:rPr>
                <w:rFonts w:eastAsia="Times New Roman"/>
                <w:color w:val="000000"/>
                <w:sz w:val="18"/>
                <w:szCs w:val="18"/>
                <w:lang w:val="de-DE"/>
              </w:rPr>
            </w:pPr>
            <w:r w:rsidRPr="00EB5D5F">
              <w:rPr>
                <w:rFonts w:eastAsia="Times New Roman"/>
                <w:color w:val="000000"/>
                <w:sz w:val="18"/>
                <w:szCs w:val="18"/>
                <w:lang w:val="en-US"/>
              </w:rPr>
              <w:t>.129 [.048, .241]</w:t>
            </w:r>
          </w:p>
        </w:tc>
      </w:tr>
      <w:tr w:rsidR="009836BA" w:rsidRPr="00EB5D5F" w14:paraId="4F2D44D3" w14:textId="77777777">
        <w:trPr>
          <w:trHeight w:hRule="exact" w:val="300"/>
        </w:trPr>
        <w:tc>
          <w:tcPr>
            <w:tcW w:w="771" w:type="dxa"/>
            <w:shd w:val="clear" w:color="auto" w:fill="auto"/>
            <w:vAlign w:val="bottom"/>
          </w:tcPr>
          <w:p w14:paraId="50AB63E0" w14:textId="77777777" w:rsidR="009836BA" w:rsidRPr="00EB5D5F" w:rsidRDefault="009836BA">
            <w:pPr>
              <w:spacing w:line="240" w:lineRule="auto"/>
              <w:jc w:val="center"/>
              <w:rPr>
                <w:rFonts w:eastAsia="Times New Roman"/>
                <w:color w:val="000000"/>
                <w:sz w:val="18"/>
                <w:szCs w:val="18"/>
                <w:lang w:val="de-DE"/>
              </w:rPr>
            </w:pPr>
          </w:p>
        </w:tc>
        <w:tc>
          <w:tcPr>
            <w:tcW w:w="506" w:type="dxa"/>
            <w:shd w:val="clear" w:color="auto" w:fill="auto"/>
            <w:vAlign w:val="bottom"/>
          </w:tcPr>
          <w:p w14:paraId="5A2374CC" w14:textId="77777777" w:rsidR="009836BA" w:rsidRPr="00EB5D5F" w:rsidRDefault="009836BA">
            <w:pPr>
              <w:spacing w:line="240" w:lineRule="auto"/>
              <w:rPr>
                <w:rFonts w:ascii="Times New Roman" w:eastAsia="Times New Roman" w:hAnsi="Times New Roman" w:cs="Times New Roman"/>
                <w:sz w:val="20"/>
                <w:szCs w:val="20"/>
                <w:lang w:val="de-DE"/>
              </w:rPr>
            </w:pPr>
          </w:p>
        </w:tc>
        <w:tc>
          <w:tcPr>
            <w:tcW w:w="2126" w:type="dxa"/>
            <w:shd w:val="clear" w:color="auto" w:fill="auto"/>
            <w:vAlign w:val="bottom"/>
          </w:tcPr>
          <w:p w14:paraId="1D448995" w14:textId="77777777" w:rsidR="009836BA" w:rsidRPr="00EB5D5F" w:rsidRDefault="009836BA">
            <w:pPr>
              <w:spacing w:line="240" w:lineRule="auto"/>
              <w:rPr>
                <w:rFonts w:ascii="Times New Roman" w:eastAsia="Times New Roman" w:hAnsi="Times New Roman" w:cs="Times New Roman"/>
                <w:sz w:val="20"/>
                <w:szCs w:val="20"/>
                <w:lang w:val="de-DE"/>
              </w:rPr>
            </w:pPr>
          </w:p>
        </w:tc>
        <w:tc>
          <w:tcPr>
            <w:tcW w:w="1558" w:type="dxa"/>
            <w:shd w:val="clear" w:color="auto" w:fill="auto"/>
            <w:vAlign w:val="bottom"/>
          </w:tcPr>
          <w:p w14:paraId="695ED9F1" w14:textId="77777777" w:rsidR="009836BA" w:rsidRPr="00EB5D5F" w:rsidRDefault="009836BA">
            <w:pPr>
              <w:spacing w:line="240" w:lineRule="auto"/>
              <w:rPr>
                <w:rFonts w:ascii="Times New Roman" w:eastAsia="Times New Roman" w:hAnsi="Times New Roman" w:cs="Times New Roman"/>
                <w:sz w:val="20"/>
                <w:szCs w:val="20"/>
                <w:lang w:val="de-DE"/>
              </w:rPr>
            </w:pPr>
          </w:p>
        </w:tc>
        <w:tc>
          <w:tcPr>
            <w:tcW w:w="1845" w:type="dxa"/>
            <w:shd w:val="clear" w:color="auto" w:fill="auto"/>
            <w:vAlign w:val="bottom"/>
          </w:tcPr>
          <w:p w14:paraId="76DBD0F5" w14:textId="77777777" w:rsidR="009836BA" w:rsidRPr="00EB5D5F" w:rsidRDefault="009836BA">
            <w:pPr>
              <w:spacing w:line="240" w:lineRule="auto"/>
              <w:rPr>
                <w:rFonts w:ascii="Times New Roman" w:eastAsia="Times New Roman" w:hAnsi="Times New Roman" w:cs="Times New Roman"/>
                <w:sz w:val="20"/>
                <w:szCs w:val="20"/>
                <w:lang w:val="de-DE"/>
              </w:rPr>
            </w:pPr>
          </w:p>
        </w:tc>
        <w:tc>
          <w:tcPr>
            <w:tcW w:w="441" w:type="dxa"/>
            <w:shd w:val="clear" w:color="auto" w:fill="auto"/>
            <w:vAlign w:val="bottom"/>
          </w:tcPr>
          <w:p w14:paraId="69EC421C" w14:textId="77777777" w:rsidR="009836BA" w:rsidRPr="00EB5D5F" w:rsidRDefault="009836BA">
            <w:pPr>
              <w:spacing w:line="240" w:lineRule="auto"/>
              <w:rPr>
                <w:rFonts w:ascii="Times New Roman" w:eastAsia="Times New Roman" w:hAnsi="Times New Roman" w:cs="Times New Roman"/>
                <w:sz w:val="20"/>
                <w:szCs w:val="20"/>
                <w:lang w:val="de-DE"/>
              </w:rPr>
            </w:pPr>
          </w:p>
        </w:tc>
        <w:tc>
          <w:tcPr>
            <w:tcW w:w="1417" w:type="dxa"/>
            <w:shd w:val="clear" w:color="auto" w:fill="auto"/>
            <w:vAlign w:val="bottom"/>
          </w:tcPr>
          <w:p w14:paraId="27B116CC" w14:textId="77777777" w:rsidR="009836BA" w:rsidRPr="00EB5D5F" w:rsidRDefault="009836BA">
            <w:pPr>
              <w:spacing w:line="240" w:lineRule="auto"/>
              <w:rPr>
                <w:rFonts w:ascii="Times New Roman" w:eastAsia="Times New Roman" w:hAnsi="Times New Roman" w:cs="Times New Roman"/>
                <w:sz w:val="20"/>
                <w:szCs w:val="20"/>
                <w:lang w:val="de-DE"/>
              </w:rPr>
            </w:pPr>
          </w:p>
        </w:tc>
        <w:tc>
          <w:tcPr>
            <w:tcW w:w="993" w:type="dxa"/>
            <w:shd w:val="clear" w:color="auto" w:fill="auto"/>
            <w:vAlign w:val="bottom"/>
          </w:tcPr>
          <w:p w14:paraId="4FC455CB" w14:textId="77777777" w:rsidR="009836BA" w:rsidRPr="00EB5D5F" w:rsidRDefault="009836BA">
            <w:pPr>
              <w:spacing w:line="240" w:lineRule="auto"/>
              <w:rPr>
                <w:rFonts w:ascii="Times New Roman" w:eastAsia="Times New Roman" w:hAnsi="Times New Roman" w:cs="Times New Roman"/>
                <w:sz w:val="20"/>
                <w:szCs w:val="20"/>
                <w:lang w:val="de-DE"/>
              </w:rPr>
            </w:pPr>
          </w:p>
        </w:tc>
        <w:tc>
          <w:tcPr>
            <w:tcW w:w="851" w:type="dxa"/>
            <w:shd w:val="clear" w:color="auto" w:fill="auto"/>
            <w:vAlign w:val="bottom"/>
          </w:tcPr>
          <w:p w14:paraId="3A1C23BD" w14:textId="77777777" w:rsidR="009836BA" w:rsidRPr="00EB5D5F" w:rsidRDefault="009836BA">
            <w:pPr>
              <w:spacing w:line="240" w:lineRule="auto"/>
              <w:rPr>
                <w:rFonts w:ascii="Times New Roman" w:eastAsia="Times New Roman" w:hAnsi="Times New Roman" w:cs="Times New Roman"/>
                <w:sz w:val="20"/>
                <w:szCs w:val="20"/>
                <w:lang w:val="de-DE"/>
              </w:rPr>
            </w:pPr>
          </w:p>
        </w:tc>
        <w:tc>
          <w:tcPr>
            <w:tcW w:w="1118" w:type="dxa"/>
            <w:shd w:val="clear" w:color="auto" w:fill="auto"/>
            <w:vAlign w:val="center"/>
          </w:tcPr>
          <w:p w14:paraId="6493DF14" w14:textId="77777777" w:rsidR="009836BA" w:rsidRPr="00EB5D5F" w:rsidRDefault="009836BA">
            <w:pPr>
              <w:spacing w:line="240" w:lineRule="auto"/>
              <w:rPr>
                <w:rFonts w:ascii="Times New Roman" w:eastAsia="Times New Roman" w:hAnsi="Times New Roman" w:cs="Times New Roman"/>
                <w:sz w:val="20"/>
                <w:szCs w:val="20"/>
                <w:lang w:val="de-DE"/>
              </w:rPr>
            </w:pPr>
          </w:p>
        </w:tc>
        <w:tc>
          <w:tcPr>
            <w:tcW w:w="1980" w:type="dxa"/>
            <w:shd w:val="clear" w:color="auto" w:fill="auto"/>
            <w:vAlign w:val="bottom"/>
          </w:tcPr>
          <w:p w14:paraId="17E1DECE" w14:textId="77777777" w:rsidR="009836BA" w:rsidRPr="00EB5D5F" w:rsidRDefault="009836BA">
            <w:pPr>
              <w:spacing w:line="240" w:lineRule="auto"/>
              <w:jc w:val="center"/>
              <w:rPr>
                <w:rFonts w:ascii="Times New Roman" w:eastAsia="Times New Roman" w:hAnsi="Times New Roman" w:cs="Times New Roman"/>
                <w:sz w:val="20"/>
                <w:szCs w:val="20"/>
                <w:lang w:val="de-DE"/>
              </w:rPr>
            </w:pPr>
          </w:p>
        </w:tc>
      </w:tr>
      <w:tr w:rsidR="009836BA" w:rsidRPr="00EB5D5F" w14:paraId="633B8151" w14:textId="77777777">
        <w:trPr>
          <w:trHeight w:val="300"/>
        </w:trPr>
        <w:tc>
          <w:tcPr>
            <w:tcW w:w="771" w:type="dxa"/>
            <w:shd w:val="clear" w:color="auto" w:fill="auto"/>
            <w:vAlign w:val="center"/>
          </w:tcPr>
          <w:p w14:paraId="16B63124" w14:textId="77777777" w:rsidR="009836BA" w:rsidRPr="00EB5D5F" w:rsidRDefault="00D362C7">
            <w:pPr>
              <w:spacing w:line="240" w:lineRule="auto"/>
              <w:rPr>
                <w:rFonts w:eastAsia="Times New Roman"/>
                <w:color w:val="000000"/>
                <w:sz w:val="18"/>
                <w:szCs w:val="18"/>
                <w:lang w:val="de-DE"/>
              </w:rPr>
            </w:pPr>
            <w:r w:rsidRPr="00EB5D5F">
              <w:rPr>
                <w:rFonts w:eastAsia="Times New Roman"/>
                <w:color w:val="000000"/>
                <w:sz w:val="18"/>
                <w:szCs w:val="18"/>
                <w:lang w:val="de-DE"/>
              </w:rPr>
              <w:t>Lifetime MDD</w:t>
            </w:r>
          </w:p>
        </w:tc>
        <w:tc>
          <w:tcPr>
            <w:tcW w:w="506" w:type="dxa"/>
            <w:shd w:val="clear" w:color="auto" w:fill="auto"/>
            <w:vAlign w:val="center"/>
          </w:tcPr>
          <w:p w14:paraId="6687E76D" w14:textId="77777777" w:rsidR="009836BA" w:rsidRPr="00EB5D5F" w:rsidRDefault="00D362C7">
            <w:pPr>
              <w:spacing w:line="240" w:lineRule="auto"/>
              <w:jc w:val="center"/>
              <w:rPr>
                <w:rFonts w:eastAsia="Times New Roman"/>
                <w:color w:val="000000"/>
                <w:sz w:val="18"/>
                <w:szCs w:val="18"/>
                <w:lang w:val="de-DE"/>
              </w:rPr>
            </w:pPr>
            <w:r w:rsidRPr="00EB5D5F">
              <w:rPr>
                <w:rFonts w:eastAsia="Times New Roman"/>
                <w:color w:val="000000"/>
                <w:sz w:val="18"/>
                <w:szCs w:val="20"/>
                <w:lang w:val="de-DE"/>
              </w:rPr>
              <w:t>625</w:t>
            </w:r>
          </w:p>
        </w:tc>
        <w:tc>
          <w:tcPr>
            <w:tcW w:w="2126" w:type="dxa"/>
            <w:shd w:val="clear" w:color="auto" w:fill="auto"/>
            <w:vAlign w:val="center"/>
          </w:tcPr>
          <w:p w14:paraId="06C62707" w14:textId="77777777" w:rsidR="009836BA" w:rsidRPr="00EB5D5F" w:rsidRDefault="00D362C7">
            <w:pPr>
              <w:spacing w:line="240" w:lineRule="auto"/>
              <w:rPr>
                <w:rFonts w:eastAsia="Times New Roman"/>
                <w:color w:val="000000"/>
                <w:sz w:val="18"/>
                <w:szCs w:val="18"/>
                <w:lang w:val="de-DE"/>
              </w:rPr>
            </w:pPr>
            <w:r w:rsidRPr="00EB5D5F">
              <w:rPr>
                <w:rFonts w:eastAsia="Times New Roman"/>
                <w:color w:val="000000"/>
                <w:sz w:val="18"/>
                <w:szCs w:val="18"/>
                <w:lang w:val="de-DE"/>
              </w:rPr>
              <w:t>CM vs. non-CM</w:t>
            </w:r>
          </w:p>
        </w:tc>
        <w:tc>
          <w:tcPr>
            <w:tcW w:w="1558" w:type="dxa"/>
            <w:shd w:val="clear" w:color="auto" w:fill="auto"/>
            <w:vAlign w:val="center"/>
          </w:tcPr>
          <w:p w14:paraId="7AD3F6A1" w14:textId="77777777" w:rsidR="009836BA" w:rsidRPr="00EB5D5F" w:rsidRDefault="00D362C7">
            <w:pPr>
              <w:spacing w:line="240" w:lineRule="auto"/>
              <w:rPr>
                <w:rFonts w:eastAsia="Times New Roman"/>
                <w:color w:val="000000"/>
                <w:sz w:val="18"/>
                <w:szCs w:val="18"/>
                <w:lang w:val="de-DE"/>
              </w:rPr>
            </w:pPr>
            <w:r w:rsidRPr="00EB5D5F">
              <w:rPr>
                <w:rFonts w:eastAsia="Times New Roman"/>
                <w:color w:val="000000"/>
                <w:sz w:val="18"/>
                <w:szCs w:val="18"/>
                <w:lang w:val="de-DE"/>
              </w:rPr>
              <w:t>Amygdala R</w:t>
            </w:r>
          </w:p>
        </w:tc>
        <w:tc>
          <w:tcPr>
            <w:tcW w:w="1845" w:type="dxa"/>
            <w:shd w:val="clear" w:color="auto" w:fill="auto"/>
            <w:vAlign w:val="center"/>
          </w:tcPr>
          <w:p w14:paraId="30A97C72" w14:textId="77777777" w:rsidR="009836BA" w:rsidRPr="00EB5D5F" w:rsidRDefault="00D362C7">
            <w:pPr>
              <w:spacing w:line="240" w:lineRule="auto"/>
              <w:rPr>
                <w:rFonts w:eastAsia="Times New Roman"/>
                <w:color w:val="000000"/>
                <w:sz w:val="18"/>
                <w:szCs w:val="18"/>
                <w:lang w:val="en-US"/>
              </w:rPr>
            </w:pPr>
            <w:r w:rsidRPr="00EB5D5F">
              <w:rPr>
                <w:rFonts w:eastAsia="Times New Roman"/>
                <w:color w:val="000000"/>
                <w:sz w:val="18"/>
                <w:szCs w:val="18"/>
                <w:lang w:val="en-US"/>
              </w:rPr>
              <w:t>Middle cingulate L+R, Precuneus R</w:t>
            </w:r>
          </w:p>
        </w:tc>
        <w:tc>
          <w:tcPr>
            <w:tcW w:w="441" w:type="dxa"/>
            <w:shd w:val="clear" w:color="auto" w:fill="auto"/>
            <w:vAlign w:val="center"/>
          </w:tcPr>
          <w:p w14:paraId="7117E1ED" w14:textId="77777777" w:rsidR="009836BA" w:rsidRPr="00EB5D5F" w:rsidRDefault="00D362C7">
            <w:pPr>
              <w:spacing w:line="240" w:lineRule="auto"/>
              <w:jc w:val="center"/>
              <w:rPr>
                <w:rFonts w:eastAsia="Times New Roman"/>
                <w:color w:val="000000"/>
                <w:sz w:val="18"/>
                <w:szCs w:val="18"/>
                <w:lang w:val="de-DE"/>
              </w:rPr>
            </w:pPr>
            <w:r w:rsidRPr="00EB5D5F">
              <w:rPr>
                <w:rFonts w:eastAsia="Times New Roman"/>
                <w:color w:val="000000"/>
                <w:sz w:val="18"/>
                <w:szCs w:val="20"/>
                <w:lang w:val="de-DE"/>
              </w:rPr>
              <w:t>85</w:t>
            </w:r>
          </w:p>
        </w:tc>
        <w:tc>
          <w:tcPr>
            <w:tcW w:w="1417" w:type="dxa"/>
            <w:shd w:val="clear" w:color="auto" w:fill="auto"/>
            <w:vAlign w:val="center"/>
          </w:tcPr>
          <w:p w14:paraId="3C4329FF" w14:textId="77777777" w:rsidR="009836BA" w:rsidRPr="00EB5D5F" w:rsidRDefault="00D362C7">
            <w:pPr>
              <w:spacing w:line="240" w:lineRule="auto"/>
              <w:jc w:val="center"/>
              <w:rPr>
                <w:rFonts w:eastAsia="Times New Roman"/>
                <w:color w:val="000000"/>
                <w:sz w:val="18"/>
                <w:szCs w:val="18"/>
                <w:lang w:val="de-DE"/>
              </w:rPr>
            </w:pPr>
            <w:r w:rsidRPr="00EB5D5F">
              <w:rPr>
                <w:rFonts w:eastAsia="Times New Roman"/>
                <w:color w:val="000000"/>
                <w:sz w:val="18"/>
                <w:szCs w:val="20"/>
                <w:lang w:val="de-DE"/>
              </w:rPr>
              <w:t>-3 -36 +51</w:t>
            </w:r>
          </w:p>
        </w:tc>
        <w:tc>
          <w:tcPr>
            <w:tcW w:w="993" w:type="dxa"/>
            <w:shd w:val="clear" w:color="auto" w:fill="auto"/>
            <w:vAlign w:val="center"/>
          </w:tcPr>
          <w:p w14:paraId="77AF00DD" w14:textId="77777777" w:rsidR="009836BA" w:rsidRPr="00EB5D5F" w:rsidRDefault="00D362C7">
            <w:pPr>
              <w:spacing w:line="240" w:lineRule="auto"/>
              <w:jc w:val="center"/>
              <w:rPr>
                <w:rFonts w:eastAsia="Times New Roman"/>
                <w:color w:val="000000"/>
                <w:sz w:val="18"/>
                <w:szCs w:val="18"/>
                <w:lang w:val="de-DE"/>
              </w:rPr>
            </w:pPr>
            <w:r w:rsidRPr="00EB5D5F">
              <w:rPr>
                <w:rFonts w:eastAsia="Times New Roman"/>
                <w:color w:val="000000"/>
                <w:sz w:val="18"/>
                <w:szCs w:val="18"/>
                <w:lang w:val="de-DE"/>
              </w:rPr>
              <w:t>positive</w:t>
            </w:r>
          </w:p>
        </w:tc>
        <w:tc>
          <w:tcPr>
            <w:tcW w:w="851" w:type="dxa"/>
            <w:shd w:val="clear" w:color="auto" w:fill="auto"/>
            <w:vAlign w:val="center"/>
          </w:tcPr>
          <w:p w14:paraId="0FC10757" w14:textId="77777777" w:rsidR="009836BA" w:rsidRPr="00EB5D5F" w:rsidRDefault="00D362C7">
            <w:pPr>
              <w:spacing w:line="240" w:lineRule="auto"/>
              <w:jc w:val="center"/>
              <w:rPr>
                <w:rFonts w:eastAsia="Times New Roman"/>
                <w:color w:val="000000"/>
                <w:sz w:val="18"/>
                <w:szCs w:val="18"/>
                <w:lang w:val="de-DE"/>
              </w:rPr>
            </w:pPr>
            <w:r w:rsidRPr="00EB5D5F">
              <w:rPr>
                <w:rFonts w:eastAsia="Times New Roman"/>
                <w:color w:val="000000"/>
                <w:sz w:val="18"/>
                <w:szCs w:val="20"/>
                <w:lang w:val="de-DE"/>
              </w:rPr>
              <w:t>.035</w:t>
            </w:r>
          </w:p>
        </w:tc>
        <w:tc>
          <w:tcPr>
            <w:tcW w:w="1118" w:type="dxa"/>
            <w:shd w:val="clear" w:color="auto" w:fill="auto"/>
            <w:vAlign w:val="center"/>
          </w:tcPr>
          <w:p w14:paraId="7B433B31" w14:textId="77777777" w:rsidR="009836BA" w:rsidRPr="00EB5D5F" w:rsidRDefault="00D362C7">
            <w:pPr>
              <w:spacing w:line="240" w:lineRule="auto"/>
              <w:jc w:val="center"/>
              <w:rPr>
                <w:rFonts w:eastAsia="Times New Roman"/>
                <w:color w:val="000000"/>
                <w:sz w:val="18"/>
                <w:szCs w:val="18"/>
                <w:lang w:val="de-DE"/>
              </w:rPr>
            </w:pPr>
            <w:r w:rsidRPr="00EB5D5F">
              <w:rPr>
                <w:rFonts w:eastAsia="Times New Roman"/>
                <w:color w:val="000000"/>
                <w:sz w:val="18"/>
                <w:szCs w:val="20"/>
                <w:lang w:val="de-DE"/>
              </w:rPr>
              <w:t>.350</w:t>
            </w:r>
          </w:p>
        </w:tc>
        <w:tc>
          <w:tcPr>
            <w:tcW w:w="1980" w:type="dxa"/>
            <w:shd w:val="clear" w:color="auto" w:fill="auto"/>
            <w:vAlign w:val="center"/>
          </w:tcPr>
          <w:p w14:paraId="5D42B58B" w14:textId="77777777" w:rsidR="009836BA" w:rsidRPr="00EB5D5F" w:rsidRDefault="00D362C7">
            <w:pPr>
              <w:spacing w:line="240" w:lineRule="auto"/>
              <w:jc w:val="center"/>
              <w:rPr>
                <w:rFonts w:eastAsia="Times New Roman"/>
                <w:color w:val="000000"/>
                <w:sz w:val="18"/>
                <w:szCs w:val="18"/>
                <w:lang w:val="de-DE"/>
              </w:rPr>
            </w:pPr>
            <w:r w:rsidRPr="00EB5D5F">
              <w:rPr>
                <w:rFonts w:eastAsia="Times New Roman"/>
                <w:color w:val="000000"/>
                <w:sz w:val="18"/>
                <w:szCs w:val="18"/>
                <w:lang w:val="en-US"/>
              </w:rPr>
              <w:t>.028 [.010, .055]</w:t>
            </w:r>
          </w:p>
        </w:tc>
      </w:tr>
      <w:tr w:rsidR="009836BA" w:rsidRPr="00EB5D5F" w14:paraId="64825FC2" w14:textId="77777777">
        <w:trPr>
          <w:trHeight w:hRule="exact" w:val="300"/>
        </w:trPr>
        <w:tc>
          <w:tcPr>
            <w:tcW w:w="771" w:type="dxa"/>
            <w:shd w:val="clear" w:color="auto" w:fill="auto"/>
            <w:vAlign w:val="bottom"/>
          </w:tcPr>
          <w:p w14:paraId="7CDCE8DF" w14:textId="77777777" w:rsidR="009836BA" w:rsidRPr="00EB5D5F" w:rsidRDefault="009836BA">
            <w:pPr>
              <w:spacing w:line="240" w:lineRule="auto"/>
              <w:jc w:val="center"/>
              <w:rPr>
                <w:rFonts w:eastAsia="Times New Roman"/>
                <w:color w:val="000000"/>
                <w:sz w:val="18"/>
                <w:szCs w:val="18"/>
                <w:lang w:val="de-DE"/>
              </w:rPr>
            </w:pPr>
          </w:p>
        </w:tc>
        <w:tc>
          <w:tcPr>
            <w:tcW w:w="506" w:type="dxa"/>
            <w:shd w:val="clear" w:color="auto" w:fill="auto"/>
            <w:vAlign w:val="bottom"/>
          </w:tcPr>
          <w:p w14:paraId="41DEBB28" w14:textId="77777777" w:rsidR="009836BA" w:rsidRPr="00EB5D5F" w:rsidRDefault="009836BA">
            <w:pPr>
              <w:spacing w:line="240" w:lineRule="auto"/>
              <w:rPr>
                <w:rFonts w:ascii="Times New Roman" w:eastAsia="Times New Roman" w:hAnsi="Times New Roman" w:cs="Times New Roman"/>
                <w:sz w:val="20"/>
                <w:szCs w:val="20"/>
                <w:lang w:val="de-DE"/>
              </w:rPr>
            </w:pPr>
          </w:p>
        </w:tc>
        <w:tc>
          <w:tcPr>
            <w:tcW w:w="2126" w:type="dxa"/>
            <w:shd w:val="clear" w:color="auto" w:fill="auto"/>
            <w:vAlign w:val="bottom"/>
          </w:tcPr>
          <w:p w14:paraId="18BEC905" w14:textId="77777777" w:rsidR="009836BA" w:rsidRPr="00EB5D5F" w:rsidRDefault="009836BA">
            <w:pPr>
              <w:spacing w:line="240" w:lineRule="auto"/>
              <w:rPr>
                <w:rFonts w:ascii="Times New Roman" w:eastAsia="Times New Roman" w:hAnsi="Times New Roman" w:cs="Times New Roman"/>
                <w:sz w:val="20"/>
                <w:szCs w:val="20"/>
                <w:lang w:val="de-DE"/>
              </w:rPr>
            </w:pPr>
          </w:p>
        </w:tc>
        <w:tc>
          <w:tcPr>
            <w:tcW w:w="1558" w:type="dxa"/>
            <w:shd w:val="clear" w:color="auto" w:fill="auto"/>
            <w:vAlign w:val="bottom"/>
          </w:tcPr>
          <w:p w14:paraId="6A329656" w14:textId="77777777" w:rsidR="009836BA" w:rsidRPr="00EB5D5F" w:rsidRDefault="009836BA">
            <w:pPr>
              <w:spacing w:line="240" w:lineRule="auto"/>
              <w:rPr>
                <w:rFonts w:ascii="Times New Roman" w:eastAsia="Times New Roman" w:hAnsi="Times New Roman" w:cs="Times New Roman"/>
                <w:sz w:val="20"/>
                <w:szCs w:val="20"/>
                <w:lang w:val="de-DE"/>
              </w:rPr>
            </w:pPr>
          </w:p>
        </w:tc>
        <w:tc>
          <w:tcPr>
            <w:tcW w:w="1845" w:type="dxa"/>
            <w:shd w:val="clear" w:color="auto" w:fill="auto"/>
            <w:vAlign w:val="bottom"/>
          </w:tcPr>
          <w:p w14:paraId="31BE530F" w14:textId="77777777" w:rsidR="009836BA" w:rsidRPr="00EB5D5F" w:rsidRDefault="009836BA">
            <w:pPr>
              <w:spacing w:line="240" w:lineRule="auto"/>
              <w:rPr>
                <w:rFonts w:ascii="Times New Roman" w:eastAsia="Times New Roman" w:hAnsi="Times New Roman" w:cs="Times New Roman"/>
                <w:sz w:val="20"/>
                <w:szCs w:val="20"/>
                <w:lang w:val="de-DE"/>
              </w:rPr>
            </w:pPr>
          </w:p>
        </w:tc>
        <w:tc>
          <w:tcPr>
            <w:tcW w:w="441" w:type="dxa"/>
            <w:shd w:val="clear" w:color="auto" w:fill="auto"/>
            <w:vAlign w:val="bottom"/>
          </w:tcPr>
          <w:p w14:paraId="6D853CEA" w14:textId="77777777" w:rsidR="009836BA" w:rsidRPr="00EB5D5F" w:rsidRDefault="009836BA">
            <w:pPr>
              <w:spacing w:line="240" w:lineRule="auto"/>
              <w:rPr>
                <w:rFonts w:ascii="Times New Roman" w:eastAsia="Times New Roman" w:hAnsi="Times New Roman" w:cs="Times New Roman"/>
                <w:sz w:val="20"/>
                <w:szCs w:val="20"/>
                <w:lang w:val="de-DE"/>
              </w:rPr>
            </w:pPr>
          </w:p>
        </w:tc>
        <w:tc>
          <w:tcPr>
            <w:tcW w:w="1417" w:type="dxa"/>
            <w:shd w:val="clear" w:color="auto" w:fill="auto"/>
            <w:vAlign w:val="bottom"/>
          </w:tcPr>
          <w:p w14:paraId="2B7ECE60" w14:textId="77777777" w:rsidR="009836BA" w:rsidRPr="00EB5D5F" w:rsidRDefault="009836BA">
            <w:pPr>
              <w:spacing w:line="240" w:lineRule="auto"/>
              <w:rPr>
                <w:rFonts w:ascii="Times New Roman" w:eastAsia="Times New Roman" w:hAnsi="Times New Roman" w:cs="Times New Roman"/>
                <w:sz w:val="20"/>
                <w:szCs w:val="20"/>
                <w:lang w:val="de-DE"/>
              </w:rPr>
            </w:pPr>
          </w:p>
        </w:tc>
        <w:tc>
          <w:tcPr>
            <w:tcW w:w="993" w:type="dxa"/>
            <w:shd w:val="clear" w:color="auto" w:fill="auto"/>
            <w:vAlign w:val="bottom"/>
          </w:tcPr>
          <w:p w14:paraId="3AC00BF9" w14:textId="77777777" w:rsidR="009836BA" w:rsidRPr="00EB5D5F" w:rsidRDefault="009836BA">
            <w:pPr>
              <w:spacing w:line="240" w:lineRule="auto"/>
              <w:rPr>
                <w:rFonts w:ascii="Times New Roman" w:eastAsia="Times New Roman" w:hAnsi="Times New Roman" w:cs="Times New Roman"/>
                <w:sz w:val="20"/>
                <w:szCs w:val="20"/>
                <w:lang w:val="de-DE"/>
              </w:rPr>
            </w:pPr>
          </w:p>
        </w:tc>
        <w:tc>
          <w:tcPr>
            <w:tcW w:w="851" w:type="dxa"/>
            <w:shd w:val="clear" w:color="auto" w:fill="auto"/>
            <w:vAlign w:val="bottom"/>
          </w:tcPr>
          <w:p w14:paraId="749813CA" w14:textId="77777777" w:rsidR="009836BA" w:rsidRPr="00EB5D5F" w:rsidRDefault="009836BA">
            <w:pPr>
              <w:spacing w:line="240" w:lineRule="auto"/>
              <w:rPr>
                <w:rFonts w:ascii="Times New Roman" w:eastAsia="Times New Roman" w:hAnsi="Times New Roman" w:cs="Times New Roman"/>
                <w:sz w:val="20"/>
                <w:szCs w:val="20"/>
                <w:lang w:val="de-DE"/>
              </w:rPr>
            </w:pPr>
          </w:p>
        </w:tc>
        <w:tc>
          <w:tcPr>
            <w:tcW w:w="1118" w:type="dxa"/>
            <w:shd w:val="clear" w:color="auto" w:fill="auto"/>
            <w:vAlign w:val="center"/>
          </w:tcPr>
          <w:p w14:paraId="093C1F67" w14:textId="77777777" w:rsidR="009836BA" w:rsidRPr="00EB5D5F" w:rsidRDefault="009836BA">
            <w:pPr>
              <w:spacing w:line="240" w:lineRule="auto"/>
              <w:rPr>
                <w:rFonts w:ascii="Times New Roman" w:eastAsia="Times New Roman" w:hAnsi="Times New Roman" w:cs="Times New Roman"/>
                <w:sz w:val="20"/>
                <w:szCs w:val="20"/>
                <w:lang w:val="de-DE"/>
              </w:rPr>
            </w:pPr>
          </w:p>
        </w:tc>
        <w:tc>
          <w:tcPr>
            <w:tcW w:w="1980" w:type="dxa"/>
            <w:shd w:val="clear" w:color="auto" w:fill="auto"/>
            <w:vAlign w:val="bottom"/>
          </w:tcPr>
          <w:p w14:paraId="628D5F00" w14:textId="77777777" w:rsidR="009836BA" w:rsidRPr="00EB5D5F" w:rsidRDefault="009836BA">
            <w:pPr>
              <w:spacing w:line="240" w:lineRule="auto"/>
              <w:jc w:val="center"/>
              <w:rPr>
                <w:rFonts w:ascii="Times New Roman" w:eastAsia="Times New Roman" w:hAnsi="Times New Roman" w:cs="Times New Roman"/>
                <w:sz w:val="20"/>
                <w:szCs w:val="20"/>
                <w:lang w:val="de-DE"/>
              </w:rPr>
            </w:pPr>
          </w:p>
        </w:tc>
      </w:tr>
      <w:tr w:rsidR="009836BA" w:rsidRPr="00EB5D5F" w14:paraId="464E088F" w14:textId="77777777">
        <w:trPr>
          <w:trHeight w:val="300"/>
        </w:trPr>
        <w:tc>
          <w:tcPr>
            <w:tcW w:w="771" w:type="dxa"/>
            <w:shd w:val="clear" w:color="auto" w:fill="auto"/>
            <w:vAlign w:val="center"/>
          </w:tcPr>
          <w:p w14:paraId="78A090BB" w14:textId="77777777" w:rsidR="009836BA" w:rsidRPr="00EB5D5F" w:rsidRDefault="00D362C7">
            <w:pPr>
              <w:spacing w:line="240" w:lineRule="auto"/>
              <w:rPr>
                <w:rFonts w:eastAsia="Times New Roman"/>
                <w:color w:val="000000"/>
                <w:sz w:val="18"/>
                <w:szCs w:val="18"/>
                <w:lang w:val="de-DE"/>
              </w:rPr>
            </w:pPr>
            <w:r w:rsidRPr="00EB5D5F">
              <w:rPr>
                <w:rFonts w:eastAsia="Times New Roman"/>
                <w:color w:val="000000"/>
                <w:sz w:val="18"/>
                <w:szCs w:val="18"/>
                <w:lang w:val="en-US"/>
              </w:rPr>
              <w:t>Lifetime MDD</w:t>
            </w:r>
          </w:p>
        </w:tc>
        <w:tc>
          <w:tcPr>
            <w:tcW w:w="506" w:type="dxa"/>
            <w:shd w:val="clear" w:color="auto" w:fill="auto"/>
            <w:vAlign w:val="center"/>
          </w:tcPr>
          <w:p w14:paraId="42DD4E6B" w14:textId="77777777" w:rsidR="009836BA" w:rsidRPr="00EB5D5F" w:rsidRDefault="00D362C7">
            <w:pPr>
              <w:spacing w:line="240" w:lineRule="auto"/>
              <w:jc w:val="center"/>
              <w:rPr>
                <w:rFonts w:eastAsia="Times New Roman"/>
                <w:color w:val="000000"/>
                <w:sz w:val="18"/>
                <w:szCs w:val="18"/>
                <w:lang w:val="de-DE"/>
              </w:rPr>
            </w:pPr>
            <w:r w:rsidRPr="00EB5D5F">
              <w:rPr>
                <w:rFonts w:eastAsia="Times New Roman"/>
                <w:color w:val="000000"/>
                <w:sz w:val="18"/>
                <w:szCs w:val="18"/>
                <w:lang w:val="en-US"/>
              </w:rPr>
              <w:t>134</w:t>
            </w:r>
          </w:p>
        </w:tc>
        <w:tc>
          <w:tcPr>
            <w:tcW w:w="2126" w:type="dxa"/>
            <w:shd w:val="clear" w:color="auto" w:fill="auto"/>
            <w:vAlign w:val="center"/>
          </w:tcPr>
          <w:p w14:paraId="3F163BB5" w14:textId="77777777" w:rsidR="009836BA" w:rsidRPr="00EB5D5F" w:rsidRDefault="00D362C7">
            <w:pPr>
              <w:spacing w:line="240" w:lineRule="auto"/>
              <w:rPr>
                <w:rFonts w:eastAsia="Times New Roman"/>
                <w:color w:val="000000"/>
                <w:sz w:val="18"/>
                <w:szCs w:val="18"/>
                <w:lang w:val="en-US"/>
              </w:rPr>
            </w:pPr>
            <w:r w:rsidRPr="00EB5D5F">
              <w:rPr>
                <w:rFonts w:eastAsia="Times New Roman"/>
                <w:color w:val="000000"/>
                <w:sz w:val="18"/>
                <w:szCs w:val="18"/>
                <w:lang w:val="en-US"/>
              </w:rPr>
              <w:t>severe CM vs. non-CM</w:t>
            </w:r>
          </w:p>
        </w:tc>
        <w:tc>
          <w:tcPr>
            <w:tcW w:w="1558" w:type="dxa"/>
            <w:shd w:val="clear" w:color="auto" w:fill="auto"/>
            <w:vAlign w:val="center"/>
          </w:tcPr>
          <w:p w14:paraId="52FD6A9D" w14:textId="77777777" w:rsidR="009836BA" w:rsidRPr="00EB5D5F" w:rsidRDefault="00D362C7">
            <w:pPr>
              <w:spacing w:line="240" w:lineRule="auto"/>
              <w:rPr>
                <w:rFonts w:eastAsia="Times New Roman"/>
                <w:color w:val="000000"/>
                <w:sz w:val="18"/>
                <w:szCs w:val="18"/>
                <w:lang w:val="de-DE"/>
              </w:rPr>
            </w:pPr>
            <w:proofErr w:type="spellStart"/>
            <w:r w:rsidRPr="00EB5D5F">
              <w:rPr>
                <w:rFonts w:eastAsia="Times New Roman"/>
                <w:color w:val="000000"/>
                <w:sz w:val="18"/>
                <w:szCs w:val="18"/>
                <w:lang w:val="en-US"/>
              </w:rPr>
              <w:t>pgACC</w:t>
            </w:r>
            <w:proofErr w:type="spellEnd"/>
            <w:r w:rsidRPr="00EB5D5F">
              <w:rPr>
                <w:rFonts w:eastAsia="Times New Roman"/>
                <w:color w:val="000000"/>
                <w:sz w:val="18"/>
                <w:szCs w:val="18"/>
                <w:lang w:val="en-US"/>
              </w:rPr>
              <w:t xml:space="preserve"> L</w:t>
            </w:r>
          </w:p>
        </w:tc>
        <w:tc>
          <w:tcPr>
            <w:tcW w:w="1845" w:type="dxa"/>
            <w:shd w:val="clear" w:color="auto" w:fill="auto"/>
            <w:vAlign w:val="center"/>
          </w:tcPr>
          <w:p w14:paraId="5EEFFD66" w14:textId="77777777" w:rsidR="009836BA" w:rsidRPr="00EB5D5F" w:rsidRDefault="00D362C7">
            <w:pPr>
              <w:spacing w:line="240" w:lineRule="auto"/>
              <w:rPr>
                <w:rFonts w:eastAsia="Times New Roman"/>
                <w:color w:val="000000"/>
                <w:sz w:val="18"/>
                <w:szCs w:val="18"/>
                <w:lang w:val="en-US"/>
              </w:rPr>
            </w:pPr>
            <w:r w:rsidRPr="00EB5D5F">
              <w:rPr>
                <w:rFonts w:eastAsia="Times New Roman"/>
                <w:color w:val="000000"/>
                <w:sz w:val="18"/>
                <w:szCs w:val="18"/>
                <w:lang w:val="en-US"/>
              </w:rPr>
              <w:t>Superior temporal R, Supramarginal R</w:t>
            </w:r>
          </w:p>
        </w:tc>
        <w:tc>
          <w:tcPr>
            <w:tcW w:w="441" w:type="dxa"/>
            <w:shd w:val="clear" w:color="auto" w:fill="auto"/>
            <w:vAlign w:val="center"/>
          </w:tcPr>
          <w:p w14:paraId="37D90F44" w14:textId="77777777" w:rsidR="009836BA" w:rsidRPr="00EB5D5F" w:rsidRDefault="00D362C7">
            <w:pPr>
              <w:spacing w:line="240" w:lineRule="auto"/>
              <w:jc w:val="center"/>
              <w:rPr>
                <w:rFonts w:eastAsia="Times New Roman"/>
                <w:color w:val="000000"/>
                <w:sz w:val="18"/>
                <w:szCs w:val="18"/>
                <w:lang w:val="de-DE"/>
              </w:rPr>
            </w:pPr>
            <w:r w:rsidRPr="00EB5D5F">
              <w:rPr>
                <w:rFonts w:eastAsia="Times New Roman"/>
                <w:color w:val="000000"/>
                <w:sz w:val="18"/>
                <w:szCs w:val="18"/>
                <w:lang w:val="en-US"/>
              </w:rPr>
              <w:t>111</w:t>
            </w:r>
          </w:p>
        </w:tc>
        <w:tc>
          <w:tcPr>
            <w:tcW w:w="1417" w:type="dxa"/>
            <w:shd w:val="clear" w:color="auto" w:fill="auto"/>
            <w:vAlign w:val="center"/>
          </w:tcPr>
          <w:p w14:paraId="1D2B7C0C" w14:textId="3E8D45AF" w:rsidR="009836BA" w:rsidRPr="00EB5D5F" w:rsidRDefault="006C5F3A">
            <w:pPr>
              <w:spacing w:line="240" w:lineRule="auto"/>
              <w:jc w:val="center"/>
              <w:rPr>
                <w:rFonts w:eastAsia="Times New Roman"/>
                <w:color w:val="000000"/>
                <w:sz w:val="18"/>
                <w:szCs w:val="18"/>
                <w:lang w:val="de-DE"/>
              </w:rPr>
            </w:pPr>
            <w:r>
              <w:rPr>
                <w:rFonts w:eastAsia="Times New Roman"/>
                <w:color w:val="000000"/>
                <w:sz w:val="18"/>
                <w:szCs w:val="18"/>
                <w:lang w:val="en-US"/>
              </w:rPr>
              <w:t>+</w:t>
            </w:r>
            <w:r w:rsidR="00D362C7" w:rsidRPr="00EB5D5F">
              <w:rPr>
                <w:rFonts w:eastAsia="Times New Roman"/>
                <w:color w:val="000000"/>
                <w:sz w:val="18"/>
                <w:szCs w:val="18"/>
                <w:lang w:val="en-US"/>
              </w:rPr>
              <w:t>69 -36 +18</w:t>
            </w:r>
          </w:p>
        </w:tc>
        <w:tc>
          <w:tcPr>
            <w:tcW w:w="993" w:type="dxa"/>
            <w:shd w:val="clear" w:color="auto" w:fill="auto"/>
            <w:vAlign w:val="center"/>
          </w:tcPr>
          <w:p w14:paraId="284291C2" w14:textId="77777777" w:rsidR="009836BA" w:rsidRPr="00EB5D5F" w:rsidRDefault="00D362C7">
            <w:pPr>
              <w:spacing w:line="240" w:lineRule="auto"/>
              <w:jc w:val="center"/>
              <w:rPr>
                <w:rFonts w:eastAsia="Times New Roman"/>
                <w:color w:val="000000"/>
                <w:sz w:val="18"/>
                <w:szCs w:val="18"/>
                <w:lang w:val="de-DE"/>
              </w:rPr>
            </w:pPr>
            <w:r w:rsidRPr="00EB5D5F">
              <w:rPr>
                <w:rFonts w:eastAsia="Times New Roman"/>
                <w:color w:val="000000"/>
                <w:sz w:val="18"/>
                <w:szCs w:val="18"/>
                <w:lang w:val="de-DE"/>
              </w:rPr>
              <w:t>negative</w:t>
            </w:r>
          </w:p>
        </w:tc>
        <w:tc>
          <w:tcPr>
            <w:tcW w:w="851" w:type="dxa"/>
            <w:shd w:val="clear" w:color="auto" w:fill="auto"/>
            <w:vAlign w:val="center"/>
          </w:tcPr>
          <w:p w14:paraId="1CDE7833" w14:textId="77777777" w:rsidR="009836BA" w:rsidRPr="00EB5D5F" w:rsidRDefault="00D362C7">
            <w:pPr>
              <w:spacing w:line="240" w:lineRule="auto"/>
              <w:jc w:val="center"/>
              <w:rPr>
                <w:rFonts w:eastAsia="Times New Roman"/>
                <w:color w:val="000000"/>
                <w:sz w:val="18"/>
                <w:szCs w:val="18"/>
                <w:lang w:val="de-DE"/>
              </w:rPr>
            </w:pPr>
            <w:r w:rsidRPr="00EB5D5F">
              <w:rPr>
                <w:rFonts w:eastAsia="Times New Roman"/>
                <w:color w:val="000000"/>
                <w:sz w:val="18"/>
                <w:szCs w:val="18"/>
                <w:lang w:val="en-US"/>
              </w:rPr>
              <w:t>.008</w:t>
            </w:r>
          </w:p>
        </w:tc>
        <w:tc>
          <w:tcPr>
            <w:tcW w:w="1118" w:type="dxa"/>
            <w:shd w:val="clear" w:color="auto" w:fill="auto"/>
            <w:vAlign w:val="center"/>
          </w:tcPr>
          <w:p w14:paraId="1DB60343" w14:textId="77777777" w:rsidR="009836BA" w:rsidRPr="00EB5D5F" w:rsidRDefault="00D362C7">
            <w:pPr>
              <w:spacing w:line="240" w:lineRule="auto"/>
              <w:jc w:val="center"/>
              <w:rPr>
                <w:rFonts w:eastAsia="Times New Roman"/>
                <w:color w:val="000000"/>
                <w:sz w:val="18"/>
                <w:szCs w:val="18"/>
                <w:lang w:val="de-DE"/>
              </w:rPr>
            </w:pPr>
            <w:r w:rsidRPr="00EB5D5F">
              <w:rPr>
                <w:rFonts w:eastAsia="Times New Roman"/>
                <w:color w:val="000000"/>
                <w:sz w:val="18"/>
                <w:szCs w:val="18"/>
                <w:lang w:val="en-US"/>
              </w:rPr>
              <w:t>.083</w:t>
            </w:r>
          </w:p>
        </w:tc>
        <w:tc>
          <w:tcPr>
            <w:tcW w:w="1980" w:type="dxa"/>
            <w:shd w:val="clear" w:color="auto" w:fill="auto"/>
            <w:vAlign w:val="center"/>
          </w:tcPr>
          <w:p w14:paraId="6AA7E6CC" w14:textId="77777777" w:rsidR="009836BA" w:rsidRPr="00EB5D5F" w:rsidRDefault="00D362C7">
            <w:pPr>
              <w:spacing w:line="240" w:lineRule="auto"/>
              <w:jc w:val="center"/>
              <w:rPr>
                <w:rFonts w:eastAsia="Times New Roman"/>
                <w:color w:val="000000"/>
                <w:sz w:val="18"/>
                <w:szCs w:val="18"/>
                <w:lang w:val="de-DE"/>
              </w:rPr>
            </w:pPr>
            <w:r w:rsidRPr="00EB5D5F">
              <w:rPr>
                <w:rFonts w:eastAsia="Times New Roman"/>
                <w:color w:val="000000"/>
                <w:sz w:val="18"/>
                <w:szCs w:val="18"/>
                <w:lang w:val="en-US"/>
              </w:rPr>
              <w:t>.169 [.067, .292]</w:t>
            </w:r>
          </w:p>
        </w:tc>
      </w:tr>
      <w:tr w:rsidR="009836BA" w:rsidRPr="00EB5D5F" w14:paraId="6975483C" w14:textId="77777777">
        <w:trPr>
          <w:trHeight w:val="300"/>
        </w:trPr>
        <w:tc>
          <w:tcPr>
            <w:tcW w:w="771" w:type="dxa"/>
            <w:shd w:val="clear" w:color="auto" w:fill="auto"/>
            <w:vAlign w:val="bottom"/>
          </w:tcPr>
          <w:p w14:paraId="3AAB37BB" w14:textId="77777777" w:rsidR="009836BA" w:rsidRPr="00EB5D5F" w:rsidRDefault="009836BA">
            <w:pPr>
              <w:spacing w:line="240" w:lineRule="auto"/>
              <w:jc w:val="center"/>
              <w:rPr>
                <w:rFonts w:eastAsia="Times New Roman"/>
                <w:color w:val="000000"/>
                <w:sz w:val="18"/>
                <w:szCs w:val="18"/>
                <w:lang w:val="de-DE"/>
              </w:rPr>
            </w:pPr>
          </w:p>
        </w:tc>
        <w:tc>
          <w:tcPr>
            <w:tcW w:w="506" w:type="dxa"/>
            <w:shd w:val="clear" w:color="auto" w:fill="auto"/>
            <w:vAlign w:val="bottom"/>
          </w:tcPr>
          <w:p w14:paraId="5585DC58" w14:textId="77777777" w:rsidR="009836BA" w:rsidRPr="00EB5D5F" w:rsidRDefault="009836BA">
            <w:pPr>
              <w:spacing w:line="240" w:lineRule="auto"/>
              <w:rPr>
                <w:rFonts w:ascii="Times New Roman" w:eastAsia="Times New Roman" w:hAnsi="Times New Roman" w:cs="Times New Roman"/>
                <w:sz w:val="20"/>
                <w:szCs w:val="20"/>
                <w:lang w:val="de-DE"/>
              </w:rPr>
            </w:pPr>
          </w:p>
        </w:tc>
        <w:tc>
          <w:tcPr>
            <w:tcW w:w="2126" w:type="dxa"/>
            <w:shd w:val="clear" w:color="auto" w:fill="auto"/>
            <w:vAlign w:val="bottom"/>
          </w:tcPr>
          <w:p w14:paraId="0B630CE4" w14:textId="77777777" w:rsidR="009836BA" w:rsidRPr="00EB5D5F" w:rsidRDefault="009836BA">
            <w:pPr>
              <w:spacing w:line="240" w:lineRule="auto"/>
              <w:rPr>
                <w:rFonts w:ascii="Times New Roman" w:eastAsia="Times New Roman" w:hAnsi="Times New Roman" w:cs="Times New Roman"/>
                <w:sz w:val="20"/>
                <w:szCs w:val="20"/>
                <w:lang w:val="de-DE"/>
              </w:rPr>
            </w:pPr>
          </w:p>
        </w:tc>
        <w:tc>
          <w:tcPr>
            <w:tcW w:w="1558" w:type="dxa"/>
            <w:shd w:val="clear" w:color="auto" w:fill="auto"/>
            <w:vAlign w:val="center"/>
          </w:tcPr>
          <w:p w14:paraId="71F23009" w14:textId="77777777" w:rsidR="009836BA" w:rsidRPr="00EB5D5F" w:rsidRDefault="00D362C7">
            <w:pPr>
              <w:spacing w:line="240" w:lineRule="auto"/>
              <w:rPr>
                <w:rFonts w:eastAsia="Times New Roman"/>
                <w:color w:val="000000"/>
                <w:sz w:val="18"/>
                <w:szCs w:val="18"/>
                <w:lang w:val="de-DE"/>
              </w:rPr>
            </w:pPr>
            <w:proofErr w:type="spellStart"/>
            <w:r w:rsidRPr="00EB5D5F">
              <w:rPr>
                <w:rFonts w:eastAsia="Times New Roman"/>
                <w:color w:val="000000"/>
                <w:sz w:val="18"/>
                <w:szCs w:val="18"/>
                <w:lang w:val="en-US"/>
              </w:rPr>
              <w:t>pgACC</w:t>
            </w:r>
            <w:proofErr w:type="spellEnd"/>
            <w:r w:rsidRPr="00EB5D5F">
              <w:rPr>
                <w:rFonts w:eastAsia="Times New Roman"/>
                <w:color w:val="000000"/>
                <w:sz w:val="18"/>
                <w:szCs w:val="18"/>
                <w:lang w:val="en-US"/>
              </w:rPr>
              <w:t xml:space="preserve"> L</w:t>
            </w:r>
          </w:p>
        </w:tc>
        <w:tc>
          <w:tcPr>
            <w:tcW w:w="1845" w:type="dxa"/>
            <w:shd w:val="clear" w:color="auto" w:fill="auto"/>
            <w:vAlign w:val="center"/>
          </w:tcPr>
          <w:p w14:paraId="7329C5B9" w14:textId="77777777" w:rsidR="009836BA" w:rsidRPr="00EB5D5F" w:rsidRDefault="00D362C7">
            <w:pPr>
              <w:spacing w:line="240" w:lineRule="auto"/>
              <w:rPr>
                <w:rFonts w:eastAsia="Times New Roman"/>
                <w:color w:val="000000"/>
                <w:sz w:val="18"/>
                <w:szCs w:val="18"/>
                <w:lang w:val="en-US"/>
              </w:rPr>
            </w:pPr>
            <w:r w:rsidRPr="00EB5D5F">
              <w:rPr>
                <w:rFonts w:eastAsia="Times New Roman"/>
                <w:color w:val="000000"/>
                <w:sz w:val="18"/>
                <w:szCs w:val="18"/>
                <w:lang w:val="en-US"/>
              </w:rPr>
              <w:t>Superior temporal L, Supramarginal L</w:t>
            </w:r>
          </w:p>
        </w:tc>
        <w:tc>
          <w:tcPr>
            <w:tcW w:w="441" w:type="dxa"/>
            <w:shd w:val="clear" w:color="auto" w:fill="auto"/>
            <w:vAlign w:val="center"/>
          </w:tcPr>
          <w:p w14:paraId="24933F2C" w14:textId="77777777" w:rsidR="009836BA" w:rsidRPr="00EB5D5F" w:rsidRDefault="00D362C7">
            <w:pPr>
              <w:spacing w:line="240" w:lineRule="auto"/>
              <w:jc w:val="center"/>
              <w:rPr>
                <w:rFonts w:eastAsia="Times New Roman"/>
                <w:color w:val="000000"/>
                <w:sz w:val="18"/>
                <w:szCs w:val="18"/>
                <w:lang w:val="de-DE"/>
              </w:rPr>
            </w:pPr>
            <w:r w:rsidRPr="00EB5D5F">
              <w:rPr>
                <w:rFonts w:eastAsia="Times New Roman"/>
                <w:color w:val="000000"/>
                <w:sz w:val="18"/>
                <w:szCs w:val="18"/>
                <w:lang w:val="en-US"/>
              </w:rPr>
              <w:t>90</w:t>
            </w:r>
          </w:p>
        </w:tc>
        <w:tc>
          <w:tcPr>
            <w:tcW w:w="1417" w:type="dxa"/>
            <w:shd w:val="clear" w:color="auto" w:fill="auto"/>
            <w:vAlign w:val="center"/>
          </w:tcPr>
          <w:p w14:paraId="3FEB434A" w14:textId="77777777" w:rsidR="009836BA" w:rsidRPr="00EB5D5F" w:rsidRDefault="00D362C7">
            <w:pPr>
              <w:spacing w:line="240" w:lineRule="auto"/>
              <w:jc w:val="center"/>
              <w:rPr>
                <w:rFonts w:eastAsia="Times New Roman"/>
                <w:color w:val="000000"/>
                <w:sz w:val="18"/>
                <w:szCs w:val="18"/>
                <w:lang w:val="de-DE"/>
              </w:rPr>
            </w:pPr>
            <w:r w:rsidRPr="00EB5D5F">
              <w:rPr>
                <w:rFonts w:eastAsia="Times New Roman"/>
                <w:color w:val="000000"/>
                <w:sz w:val="18"/>
                <w:szCs w:val="18"/>
                <w:lang w:val="en-US"/>
              </w:rPr>
              <w:t>-54 -42 +27</w:t>
            </w:r>
          </w:p>
        </w:tc>
        <w:tc>
          <w:tcPr>
            <w:tcW w:w="993" w:type="dxa"/>
            <w:shd w:val="clear" w:color="auto" w:fill="auto"/>
            <w:vAlign w:val="center"/>
          </w:tcPr>
          <w:p w14:paraId="3F815296" w14:textId="77777777" w:rsidR="009836BA" w:rsidRPr="00EB5D5F" w:rsidRDefault="00D362C7">
            <w:pPr>
              <w:spacing w:line="240" w:lineRule="auto"/>
              <w:jc w:val="center"/>
              <w:rPr>
                <w:rFonts w:eastAsia="Times New Roman"/>
                <w:color w:val="000000"/>
                <w:sz w:val="18"/>
                <w:szCs w:val="18"/>
                <w:lang w:val="de-DE"/>
              </w:rPr>
            </w:pPr>
            <w:r w:rsidRPr="00EB5D5F">
              <w:rPr>
                <w:rFonts w:eastAsia="Times New Roman"/>
                <w:color w:val="000000"/>
                <w:sz w:val="18"/>
                <w:szCs w:val="18"/>
                <w:lang w:val="de-DE"/>
              </w:rPr>
              <w:t>negative</w:t>
            </w:r>
          </w:p>
        </w:tc>
        <w:tc>
          <w:tcPr>
            <w:tcW w:w="851" w:type="dxa"/>
            <w:shd w:val="clear" w:color="auto" w:fill="auto"/>
            <w:vAlign w:val="center"/>
          </w:tcPr>
          <w:p w14:paraId="5F4A2320" w14:textId="77777777" w:rsidR="009836BA" w:rsidRPr="00EB5D5F" w:rsidRDefault="00D362C7">
            <w:pPr>
              <w:spacing w:line="240" w:lineRule="auto"/>
              <w:jc w:val="center"/>
              <w:rPr>
                <w:rFonts w:eastAsia="Times New Roman"/>
                <w:color w:val="000000"/>
                <w:sz w:val="18"/>
                <w:szCs w:val="18"/>
                <w:lang w:val="de-DE"/>
              </w:rPr>
            </w:pPr>
            <w:r w:rsidRPr="00EB5D5F">
              <w:rPr>
                <w:rFonts w:eastAsia="Times New Roman"/>
                <w:color w:val="000000"/>
                <w:sz w:val="18"/>
                <w:szCs w:val="18"/>
                <w:lang w:val="en-US"/>
              </w:rPr>
              <w:t>.011</w:t>
            </w:r>
          </w:p>
        </w:tc>
        <w:tc>
          <w:tcPr>
            <w:tcW w:w="1118" w:type="dxa"/>
            <w:shd w:val="clear" w:color="auto" w:fill="auto"/>
            <w:vAlign w:val="center"/>
          </w:tcPr>
          <w:p w14:paraId="3A326C46" w14:textId="77777777" w:rsidR="009836BA" w:rsidRPr="00EB5D5F" w:rsidRDefault="00D362C7">
            <w:pPr>
              <w:spacing w:line="240" w:lineRule="auto"/>
              <w:jc w:val="center"/>
              <w:rPr>
                <w:rFonts w:eastAsia="Times New Roman"/>
                <w:color w:val="000000"/>
                <w:sz w:val="18"/>
                <w:szCs w:val="18"/>
                <w:lang w:val="de-DE"/>
              </w:rPr>
            </w:pPr>
            <w:r w:rsidRPr="00EB5D5F">
              <w:rPr>
                <w:rFonts w:eastAsia="Times New Roman"/>
                <w:color w:val="000000"/>
                <w:sz w:val="18"/>
                <w:szCs w:val="18"/>
                <w:lang w:val="en-US"/>
              </w:rPr>
              <w:t>.114</w:t>
            </w:r>
          </w:p>
        </w:tc>
        <w:tc>
          <w:tcPr>
            <w:tcW w:w="1980" w:type="dxa"/>
            <w:shd w:val="clear" w:color="auto" w:fill="auto"/>
            <w:vAlign w:val="center"/>
          </w:tcPr>
          <w:p w14:paraId="3B70979D" w14:textId="77777777" w:rsidR="009836BA" w:rsidRPr="00EB5D5F" w:rsidRDefault="00D362C7">
            <w:pPr>
              <w:spacing w:line="240" w:lineRule="auto"/>
              <w:jc w:val="center"/>
              <w:rPr>
                <w:rFonts w:eastAsia="Times New Roman"/>
                <w:color w:val="000000"/>
                <w:sz w:val="18"/>
                <w:szCs w:val="18"/>
                <w:lang w:val="de-DE"/>
              </w:rPr>
            </w:pPr>
            <w:r w:rsidRPr="00EB5D5F">
              <w:rPr>
                <w:rFonts w:eastAsia="Times New Roman"/>
                <w:color w:val="000000"/>
                <w:sz w:val="18"/>
                <w:szCs w:val="18"/>
                <w:lang w:val="en-US"/>
              </w:rPr>
              <w:t>.165 [.</w:t>
            </w:r>
            <w:proofErr w:type="gramStart"/>
            <w:r w:rsidRPr="00EB5D5F">
              <w:rPr>
                <w:rFonts w:eastAsia="Times New Roman"/>
                <w:color w:val="000000"/>
                <w:sz w:val="18"/>
                <w:szCs w:val="18"/>
                <w:lang w:val="en-US"/>
              </w:rPr>
              <w:t>071 ,</w:t>
            </w:r>
            <w:proofErr w:type="gramEnd"/>
            <w:r w:rsidRPr="00EB5D5F">
              <w:rPr>
                <w:rFonts w:eastAsia="Times New Roman"/>
                <w:color w:val="000000"/>
                <w:sz w:val="18"/>
                <w:szCs w:val="18"/>
                <w:lang w:val="en-US"/>
              </w:rPr>
              <w:t xml:space="preserve"> .283]</w:t>
            </w:r>
          </w:p>
        </w:tc>
      </w:tr>
      <w:tr w:rsidR="009836BA" w:rsidRPr="00EB5D5F" w14:paraId="20A4EE03" w14:textId="77777777">
        <w:trPr>
          <w:trHeight w:val="315"/>
        </w:trPr>
        <w:tc>
          <w:tcPr>
            <w:tcW w:w="771" w:type="dxa"/>
            <w:tcBorders>
              <w:bottom w:val="single" w:sz="8" w:space="0" w:color="000000"/>
            </w:tcBorders>
            <w:shd w:val="clear" w:color="auto" w:fill="auto"/>
            <w:vAlign w:val="center"/>
          </w:tcPr>
          <w:p w14:paraId="53611CB5" w14:textId="77777777" w:rsidR="009836BA" w:rsidRPr="00EB5D5F" w:rsidRDefault="00D362C7">
            <w:pPr>
              <w:spacing w:line="240" w:lineRule="auto"/>
              <w:rPr>
                <w:rFonts w:eastAsia="Times New Roman"/>
                <w:color w:val="000000"/>
                <w:sz w:val="18"/>
                <w:szCs w:val="18"/>
                <w:lang w:val="de-DE"/>
              </w:rPr>
            </w:pPr>
            <w:r w:rsidRPr="00EB5D5F">
              <w:rPr>
                <w:rFonts w:eastAsia="Times New Roman"/>
                <w:color w:val="000000"/>
                <w:sz w:val="18"/>
                <w:szCs w:val="18"/>
                <w:lang w:val="en-US"/>
              </w:rPr>
              <w:t> </w:t>
            </w:r>
          </w:p>
        </w:tc>
        <w:tc>
          <w:tcPr>
            <w:tcW w:w="506" w:type="dxa"/>
            <w:tcBorders>
              <w:bottom w:val="single" w:sz="8" w:space="0" w:color="000000"/>
            </w:tcBorders>
            <w:shd w:val="clear" w:color="auto" w:fill="auto"/>
            <w:vAlign w:val="center"/>
          </w:tcPr>
          <w:p w14:paraId="4F972FB5" w14:textId="77777777" w:rsidR="009836BA" w:rsidRPr="00EB5D5F" w:rsidRDefault="00D362C7">
            <w:pPr>
              <w:spacing w:line="240" w:lineRule="auto"/>
              <w:jc w:val="center"/>
              <w:rPr>
                <w:rFonts w:eastAsia="Times New Roman"/>
                <w:color w:val="000000"/>
                <w:sz w:val="18"/>
                <w:szCs w:val="18"/>
                <w:lang w:val="de-DE"/>
              </w:rPr>
            </w:pPr>
            <w:r w:rsidRPr="00EB5D5F">
              <w:rPr>
                <w:rFonts w:eastAsia="Times New Roman"/>
                <w:color w:val="000000"/>
                <w:sz w:val="18"/>
                <w:szCs w:val="18"/>
                <w:lang w:val="en-US"/>
              </w:rPr>
              <w:t> </w:t>
            </w:r>
          </w:p>
        </w:tc>
        <w:tc>
          <w:tcPr>
            <w:tcW w:w="2126" w:type="dxa"/>
            <w:tcBorders>
              <w:bottom w:val="single" w:sz="8" w:space="0" w:color="000000"/>
            </w:tcBorders>
            <w:shd w:val="clear" w:color="auto" w:fill="auto"/>
            <w:vAlign w:val="center"/>
          </w:tcPr>
          <w:p w14:paraId="760E186E" w14:textId="77777777" w:rsidR="009836BA" w:rsidRPr="00EB5D5F" w:rsidRDefault="00D362C7">
            <w:pPr>
              <w:spacing w:line="240" w:lineRule="auto"/>
              <w:rPr>
                <w:rFonts w:eastAsia="Times New Roman"/>
                <w:color w:val="000000"/>
                <w:sz w:val="18"/>
                <w:szCs w:val="18"/>
                <w:lang w:val="de-DE"/>
              </w:rPr>
            </w:pPr>
            <w:r w:rsidRPr="00EB5D5F">
              <w:rPr>
                <w:rFonts w:eastAsia="Times New Roman"/>
                <w:color w:val="000000"/>
                <w:sz w:val="18"/>
                <w:szCs w:val="18"/>
                <w:lang w:val="en-US"/>
              </w:rPr>
              <w:t> </w:t>
            </w:r>
          </w:p>
        </w:tc>
        <w:tc>
          <w:tcPr>
            <w:tcW w:w="1558" w:type="dxa"/>
            <w:tcBorders>
              <w:bottom w:val="single" w:sz="8" w:space="0" w:color="000000"/>
            </w:tcBorders>
            <w:shd w:val="clear" w:color="auto" w:fill="auto"/>
            <w:vAlign w:val="center"/>
          </w:tcPr>
          <w:p w14:paraId="15CC2076" w14:textId="77777777" w:rsidR="009836BA" w:rsidRPr="00EB5D5F" w:rsidRDefault="00D362C7">
            <w:pPr>
              <w:spacing w:line="240" w:lineRule="auto"/>
              <w:rPr>
                <w:rFonts w:eastAsia="Times New Roman"/>
                <w:color w:val="000000"/>
                <w:sz w:val="18"/>
                <w:szCs w:val="18"/>
                <w:lang w:val="de-DE"/>
              </w:rPr>
            </w:pPr>
            <w:r w:rsidRPr="00EB5D5F">
              <w:rPr>
                <w:rFonts w:eastAsia="Times New Roman"/>
                <w:color w:val="000000"/>
                <w:sz w:val="18"/>
                <w:szCs w:val="18"/>
                <w:lang w:val="en-US"/>
              </w:rPr>
              <w:t>Hippocampus R</w:t>
            </w:r>
          </w:p>
        </w:tc>
        <w:tc>
          <w:tcPr>
            <w:tcW w:w="1845" w:type="dxa"/>
            <w:tcBorders>
              <w:bottom w:val="single" w:sz="8" w:space="0" w:color="000000"/>
            </w:tcBorders>
            <w:shd w:val="clear" w:color="auto" w:fill="auto"/>
            <w:vAlign w:val="center"/>
          </w:tcPr>
          <w:p w14:paraId="530602F1" w14:textId="77777777" w:rsidR="009836BA" w:rsidRPr="00EB5D5F" w:rsidRDefault="00D362C7">
            <w:pPr>
              <w:spacing w:line="240" w:lineRule="auto"/>
              <w:rPr>
                <w:rFonts w:eastAsia="Times New Roman"/>
                <w:color w:val="000000"/>
                <w:sz w:val="18"/>
                <w:szCs w:val="18"/>
                <w:lang w:val="de-DE"/>
              </w:rPr>
            </w:pPr>
            <w:r w:rsidRPr="00EB5D5F">
              <w:rPr>
                <w:rFonts w:eastAsia="Times New Roman"/>
                <w:color w:val="000000"/>
                <w:sz w:val="18"/>
                <w:szCs w:val="18"/>
                <w:lang w:val="en-US"/>
              </w:rPr>
              <w:t>Postcentral R</w:t>
            </w:r>
          </w:p>
        </w:tc>
        <w:tc>
          <w:tcPr>
            <w:tcW w:w="441" w:type="dxa"/>
            <w:tcBorders>
              <w:bottom w:val="single" w:sz="8" w:space="0" w:color="000000"/>
            </w:tcBorders>
            <w:shd w:val="clear" w:color="auto" w:fill="auto"/>
            <w:vAlign w:val="center"/>
          </w:tcPr>
          <w:p w14:paraId="28ABBA9C" w14:textId="77777777" w:rsidR="009836BA" w:rsidRPr="00EB5D5F" w:rsidRDefault="00D362C7">
            <w:pPr>
              <w:spacing w:line="240" w:lineRule="auto"/>
              <w:jc w:val="center"/>
              <w:rPr>
                <w:rFonts w:eastAsia="Times New Roman"/>
                <w:color w:val="000000"/>
                <w:sz w:val="18"/>
                <w:szCs w:val="18"/>
                <w:lang w:val="de-DE"/>
              </w:rPr>
            </w:pPr>
            <w:r w:rsidRPr="00EB5D5F">
              <w:rPr>
                <w:rFonts w:eastAsia="Times New Roman"/>
                <w:color w:val="000000"/>
                <w:sz w:val="18"/>
                <w:szCs w:val="18"/>
                <w:lang w:val="en-US"/>
              </w:rPr>
              <w:t>82</w:t>
            </w:r>
          </w:p>
        </w:tc>
        <w:tc>
          <w:tcPr>
            <w:tcW w:w="1417" w:type="dxa"/>
            <w:tcBorders>
              <w:bottom w:val="single" w:sz="8" w:space="0" w:color="000000"/>
            </w:tcBorders>
            <w:shd w:val="clear" w:color="auto" w:fill="auto"/>
            <w:vAlign w:val="center"/>
          </w:tcPr>
          <w:p w14:paraId="5F22AB17" w14:textId="6A4B5EE6" w:rsidR="009836BA" w:rsidRPr="00EB5D5F" w:rsidRDefault="006C5F3A">
            <w:pPr>
              <w:spacing w:line="240" w:lineRule="auto"/>
              <w:jc w:val="center"/>
              <w:rPr>
                <w:rFonts w:eastAsia="Times New Roman"/>
                <w:color w:val="000000"/>
                <w:sz w:val="18"/>
                <w:szCs w:val="18"/>
                <w:lang w:val="de-DE"/>
              </w:rPr>
            </w:pPr>
            <w:r>
              <w:rPr>
                <w:rFonts w:eastAsia="Times New Roman"/>
                <w:color w:val="000000"/>
                <w:sz w:val="18"/>
                <w:szCs w:val="18"/>
                <w:lang w:val="en-US"/>
              </w:rPr>
              <w:t>+</w:t>
            </w:r>
            <w:r w:rsidR="00D362C7" w:rsidRPr="00EB5D5F">
              <w:rPr>
                <w:rFonts w:eastAsia="Times New Roman"/>
                <w:color w:val="000000"/>
                <w:sz w:val="18"/>
                <w:szCs w:val="18"/>
                <w:lang w:val="en-US"/>
              </w:rPr>
              <w:t>48 -27 +57</w:t>
            </w:r>
          </w:p>
        </w:tc>
        <w:tc>
          <w:tcPr>
            <w:tcW w:w="993" w:type="dxa"/>
            <w:tcBorders>
              <w:bottom w:val="single" w:sz="8" w:space="0" w:color="000000"/>
            </w:tcBorders>
            <w:shd w:val="clear" w:color="auto" w:fill="auto"/>
            <w:vAlign w:val="center"/>
          </w:tcPr>
          <w:p w14:paraId="500A88F1" w14:textId="77777777" w:rsidR="009836BA" w:rsidRPr="00EB5D5F" w:rsidRDefault="00D362C7">
            <w:pPr>
              <w:spacing w:line="240" w:lineRule="auto"/>
              <w:jc w:val="center"/>
              <w:rPr>
                <w:rFonts w:eastAsia="Times New Roman"/>
                <w:color w:val="000000"/>
                <w:sz w:val="18"/>
                <w:szCs w:val="18"/>
                <w:lang w:val="de-DE"/>
              </w:rPr>
            </w:pPr>
            <w:r w:rsidRPr="00EB5D5F">
              <w:rPr>
                <w:rFonts w:eastAsia="Times New Roman"/>
                <w:color w:val="000000"/>
                <w:sz w:val="18"/>
                <w:szCs w:val="18"/>
                <w:lang w:val="de-DE"/>
              </w:rPr>
              <w:t>positive</w:t>
            </w:r>
          </w:p>
        </w:tc>
        <w:tc>
          <w:tcPr>
            <w:tcW w:w="851" w:type="dxa"/>
            <w:tcBorders>
              <w:bottom w:val="single" w:sz="8" w:space="0" w:color="000000"/>
            </w:tcBorders>
            <w:shd w:val="clear" w:color="auto" w:fill="auto"/>
            <w:vAlign w:val="center"/>
          </w:tcPr>
          <w:p w14:paraId="3F345B7E" w14:textId="77777777" w:rsidR="009836BA" w:rsidRPr="00EB5D5F" w:rsidRDefault="00D362C7">
            <w:pPr>
              <w:spacing w:line="240" w:lineRule="auto"/>
              <w:jc w:val="center"/>
              <w:rPr>
                <w:rFonts w:eastAsia="Times New Roman"/>
                <w:color w:val="000000"/>
                <w:sz w:val="18"/>
                <w:szCs w:val="18"/>
                <w:lang w:val="de-DE"/>
              </w:rPr>
            </w:pPr>
            <w:r w:rsidRPr="00EB5D5F">
              <w:rPr>
                <w:rFonts w:eastAsia="Times New Roman"/>
                <w:color w:val="000000"/>
                <w:sz w:val="18"/>
                <w:szCs w:val="18"/>
                <w:lang w:val="en-US"/>
              </w:rPr>
              <w:t>.017</w:t>
            </w:r>
          </w:p>
        </w:tc>
        <w:tc>
          <w:tcPr>
            <w:tcW w:w="1118" w:type="dxa"/>
            <w:tcBorders>
              <w:bottom w:val="single" w:sz="8" w:space="0" w:color="000000"/>
            </w:tcBorders>
            <w:shd w:val="clear" w:color="auto" w:fill="auto"/>
            <w:vAlign w:val="center"/>
          </w:tcPr>
          <w:p w14:paraId="56A6D7B9" w14:textId="77777777" w:rsidR="009836BA" w:rsidRPr="00EB5D5F" w:rsidRDefault="00D362C7">
            <w:pPr>
              <w:spacing w:line="240" w:lineRule="auto"/>
              <w:jc w:val="center"/>
              <w:rPr>
                <w:rFonts w:eastAsia="Times New Roman"/>
                <w:color w:val="000000"/>
                <w:sz w:val="18"/>
                <w:szCs w:val="18"/>
                <w:lang w:val="de-DE"/>
              </w:rPr>
            </w:pPr>
            <w:r w:rsidRPr="00EB5D5F">
              <w:rPr>
                <w:rFonts w:eastAsia="Times New Roman"/>
                <w:color w:val="000000"/>
                <w:sz w:val="18"/>
                <w:szCs w:val="18"/>
                <w:lang w:val="en-US"/>
              </w:rPr>
              <w:t>.171</w:t>
            </w:r>
          </w:p>
        </w:tc>
        <w:tc>
          <w:tcPr>
            <w:tcW w:w="1980" w:type="dxa"/>
            <w:tcBorders>
              <w:bottom w:val="single" w:sz="8" w:space="0" w:color="000000"/>
            </w:tcBorders>
            <w:shd w:val="clear" w:color="auto" w:fill="auto"/>
            <w:vAlign w:val="center"/>
          </w:tcPr>
          <w:p w14:paraId="59AEC413" w14:textId="77777777" w:rsidR="009836BA" w:rsidRPr="00EB5D5F" w:rsidRDefault="00D362C7">
            <w:pPr>
              <w:spacing w:line="240" w:lineRule="auto"/>
              <w:jc w:val="center"/>
              <w:rPr>
                <w:rFonts w:eastAsia="Times New Roman"/>
                <w:color w:val="000000"/>
                <w:sz w:val="18"/>
                <w:szCs w:val="18"/>
                <w:lang w:val="de-DE"/>
              </w:rPr>
            </w:pPr>
            <w:r w:rsidRPr="00EB5D5F">
              <w:rPr>
                <w:rFonts w:eastAsia="Times New Roman"/>
                <w:color w:val="000000"/>
                <w:sz w:val="18"/>
                <w:szCs w:val="18"/>
                <w:lang w:val="en-US"/>
              </w:rPr>
              <w:t>.125 [.042, .234]</w:t>
            </w:r>
          </w:p>
        </w:tc>
      </w:tr>
    </w:tbl>
    <w:p w14:paraId="724BAC26" w14:textId="75091EC9" w:rsidR="009836BA" w:rsidRPr="00EB5D5F" w:rsidRDefault="00D362C7">
      <w:pPr>
        <w:spacing w:before="240"/>
        <w:rPr>
          <w:i/>
          <w:sz w:val="20"/>
          <w:szCs w:val="20"/>
          <w:lang w:val="en-US"/>
        </w:rPr>
      </w:pPr>
      <w:r w:rsidRPr="00EB5D5F">
        <w:rPr>
          <w:i/>
          <w:sz w:val="20"/>
          <w:szCs w:val="20"/>
          <w:lang w:val="en-US"/>
        </w:rPr>
        <w:t xml:space="preserve">Note. </w:t>
      </w:r>
      <w:r w:rsidRPr="00EB5D5F">
        <w:rPr>
          <w:sz w:val="20"/>
          <w:szCs w:val="20"/>
          <w:lang w:val="en-US"/>
        </w:rPr>
        <w:t xml:space="preserve">FDR-corrected cluster-size p-values are presented with and without additional Bonferroni correction. The direction of effects indicates if the association between CTQ sum and seed-to-voxel connectivity is positive (higher positive or less negative connectivity with higher CTQ sum scores) or negative (higher negative or less positive connectivity with higher CTQ sum scores). Bootstrapped (N=1000 samples) bias-corrected and accelerated 95% confidence intervals are presented for all effect sizes. HC, healthy control; MDD, major depressive disorder; CTQ, childhood trauma questionnaire; CM, childhood maltreatment; </w:t>
      </w:r>
      <w:proofErr w:type="spellStart"/>
      <w:r w:rsidRPr="00EB5D5F">
        <w:rPr>
          <w:sz w:val="20"/>
          <w:szCs w:val="20"/>
          <w:lang w:val="en-US"/>
        </w:rPr>
        <w:t>sc</w:t>
      </w:r>
      <w:proofErr w:type="spellEnd"/>
      <w:r w:rsidRPr="00EB5D5F">
        <w:rPr>
          <w:sz w:val="20"/>
          <w:szCs w:val="20"/>
          <w:lang w:val="en-US"/>
        </w:rPr>
        <w:t xml:space="preserve">, </w:t>
      </w:r>
      <w:proofErr w:type="spellStart"/>
      <w:r w:rsidRPr="00EB5D5F">
        <w:rPr>
          <w:sz w:val="20"/>
          <w:szCs w:val="20"/>
          <w:lang w:val="en-US"/>
        </w:rPr>
        <w:t>supracallosal</w:t>
      </w:r>
      <w:proofErr w:type="spellEnd"/>
      <w:r w:rsidRPr="00EB5D5F">
        <w:rPr>
          <w:sz w:val="20"/>
          <w:szCs w:val="20"/>
          <w:lang w:val="en-US"/>
        </w:rPr>
        <w:t xml:space="preserve">; </w:t>
      </w:r>
      <w:proofErr w:type="spellStart"/>
      <w:r w:rsidRPr="00EB5D5F">
        <w:rPr>
          <w:sz w:val="20"/>
          <w:szCs w:val="20"/>
          <w:lang w:val="en-US"/>
        </w:rPr>
        <w:t>pg</w:t>
      </w:r>
      <w:proofErr w:type="spellEnd"/>
      <w:r w:rsidRPr="00EB5D5F">
        <w:rPr>
          <w:sz w:val="20"/>
          <w:szCs w:val="20"/>
          <w:lang w:val="en-US"/>
        </w:rPr>
        <w:t>, pr</w:t>
      </w:r>
      <w:r w:rsidR="00983792" w:rsidRPr="00EB5D5F">
        <w:rPr>
          <w:sz w:val="20"/>
          <w:szCs w:val="20"/>
          <w:lang w:val="en-US"/>
        </w:rPr>
        <w:t>e</w:t>
      </w:r>
      <w:r w:rsidRPr="00EB5D5F">
        <w:rPr>
          <w:sz w:val="20"/>
          <w:szCs w:val="20"/>
          <w:lang w:val="en-US"/>
        </w:rPr>
        <w:t>genual; ACC, anterior cingulate cortex; L, left; R, right; CI, confidence interval.</w:t>
      </w:r>
      <w:r w:rsidRPr="00EB5D5F">
        <w:rPr>
          <w:i/>
          <w:sz w:val="20"/>
          <w:szCs w:val="20"/>
          <w:lang w:val="en-US"/>
        </w:rPr>
        <w:t xml:space="preserve"> </w:t>
      </w:r>
    </w:p>
    <w:p w14:paraId="5C181D72" w14:textId="77777777" w:rsidR="009836BA" w:rsidRPr="00EB5D5F" w:rsidRDefault="009836BA">
      <w:pPr>
        <w:spacing w:after="160" w:line="360" w:lineRule="auto"/>
        <w:rPr>
          <w:lang w:val="en-US"/>
        </w:rPr>
      </w:pPr>
    </w:p>
    <w:p w14:paraId="242E9122" w14:textId="77777777" w:rsidR="009836BA" w:rsidRPr="00EB5D5F" w:rsidRDefault="009836BA">
      <w:pPr>
        <w:spacing w:after="160" w:line="360" w:lineRule="auto"/>
        <w:rPr>
          <w:lang w:val="en-US"/>
        </w:rPr>
      </w:pPr>
    </w:p>
    <w:p w14:paraId="29827C5A" w14:textId="77777777" w:rsidR="009836BA" w:rsidRPr="00EB5D5F" w:rsidRDefault="009836BA">
      <w:pPr>
        <w:spacing w:after="160" w:line="360" w:lineRule="auto"/>
        <w:rPr>
          <w:lang w:val="en-US"/>
        </w:rPr>
      </w:pPr>
    </w:p>
    <w:p w14:paraId="0DE9489D" w14:textId="77777777" w:rsidR="009836BA" w:rsidRPr="00EB5D5F" w:rsidRDefault="009836BA">
      <w:pPr>
        <w:spacing w:after="160" w:line="360" w:lineRule="auto"/>
        <w:rPr>
          <w:lang w:val="en-US"/>
        </w:rPr>
      </w:pPr>
    </w:p>
    <w:p w14:paraId="49936030" w14:textId="77777777" w:rsidR="009836BA" w:rsidRPr="00EB5D5F" w:rsidRDefault="009836BA">
      <w:pPr>
        <w:spacing w:after="160" w:line="360" w:lineRule="auto"/>
        <w:rPr>
          <w:lang w:val="en-US"/>
        </w:rPr>
      </w:pPr>
    </w:p>
    <w:p w14:paraId="35DDF146" w14:textId="77777777" w:rsidR="009836BA" w:rsidRPr="00EB5D5F" w:rsidRDefault="009836BA">
      <w:pPr>
        <w:spacing w:after="160" w:line="360" w:lineRule="auto"/>
        <w:rPr>
          <w:lang w:val="en-US"/>
        </w:rPr>
      </w:pPr>
    </w:p>
    <w:p w14:paraId="1D967782" w14:textId="30736D00" w:rsidR="00C4066D" w:rsidRPr="00EB5D5F" w:rsidRDefault="00D362C7" w:rsidP="00C4066D">
      <w:pPr>
        <w:spacing w:after="160" w:line="360" w:lineRule="auto"/>
        <w:rPr>
          <w:lang w:val="en-US"/>
        </w:rPr>
      </w:pPr>
      <w:r w:rsidRPr="00EB5D5F">
        <w:rPr>
          <w:lang w:val="en-US"/>
        </w:rPr>
        <w:t>Table S7. Overview of all primary and secondary analyses.</w:t>
      </w:r>
    </w:p>
    <w:tbl>
      <w:tblPr>
        <w:tblW w:w="15391" w:type="dxa"/>
        <w:tblCellMar>
          <w:left w:w="70" w:type="dxa"/>
          <w:right w:w="70" w:type="dxa"/>
        </w:tblCellMar>
        <w:tblLook w:val="04A0" w:firstRow="1" w:lastRow="0" w:firstColumn="1" w:lastColumn="0" w:noHBand="0" w:noVBand="1"/>
      </w:tblPr>
      <w:tblGrid>
        <w:gridCol w:w="2127"/>
        <w:gridCol w:w="850"/>
        <w:gridCol w:w="1903"/>
        <w:gridCol w:w="475"/>
        <w:gridCol w:w="1405"/>
        <w:gridCol w:w="200"/>
        <w:gridCol w:w="1040"/>
        <w:gridCol w:w="1040"/>
        <w:gridCol w:w="240"/>
        <w:gridCol w:w="648"/>
        <w:gridCol w:w="912"/>
        <w:gridCol w:w="200"/>
        <w:gridCol w:w="1437"/>
        <w:gridCol w:w="683"/>
        <w:gridCol w:w="191"/>
        <w:gridCol w:w="516"/>
        <w:gridCol w:w="1524"/>
      </w:tblGrid>
      <w:tr w:rsidR="00BD6592" w:rsidRPr="00EB5D5F" w14:paraId="7603E19E" w14:textId="77777777" w:rsidTr="00115DF9">
        <w:trPr>
          <w:trHeight w:val="345"/>
        </w:trPr>
        <w:tc>
          <w:tcPr>
            <w:tcW w:w="2127" w:type="dxa"/>
            <w:tcBorders>
              <w:top w:val="single" w:sz="4" w:space="0" w:color="auto"/>
              <w:left w:val="nil"/>
              <w:bottom w:val="nil"/>
              <w:right w:val="nil"/>
            </w:tcBorders>
            <w:shd w:val="clear" w:color="auto" w:fill="auto"/>
            <w:noWrap/>
            <w:vAlign w:val="center"/>
            <w:hideMark/>
          </w:tcPr>
          <w:p w14:paraId="7142A095" w14:textId="77777777" w:rsidR="00BD6592" w:rsidRPr="00EB5D5F" w:rsidRDefault="00BD6592" w:rsidP="00BD6592">
            <w:pPr>
              <w:suppressAutoHyphens w:val="0"/>
              <w:spacing w:line="240" w:lineRule="auto"/>
              <w:jc w:val="center"/>
              <w:rPr>
                <w:rFonts w:eastAsia="Times New Roman"/>
                <w:color w:val="000000"/>
                <w:sz w:val="18"/>
                <w:szCs w:val="18"/>
                <w:lang w:val="en-US"/>
              </w:rPr>
            </w:pPr>
            <w:r w:rsidRPr="00EB5D5F">
              <w:rPr>
                <w:rFonts w:eastAsia="Times New Roman"/>
                <w:color w:val="000000"/>
                <w:sz w:val="18"/>
                <w:szCs w:val="18"/>
                <w:lang w:val="en-US"/>
              </w:rPr>
              <w:t> </w:t>
            </w:r>
          </w:p>
        </w:tc>
        <w:tc>
          <w:tcPr>
            <w:tcW w:w="850" w:type="dxa"/>
            <w:tcBorders>
              <w:top w:val="single" w:sz="4" w:space="0" w:color="auto"/>
              <w:left w:val="nil"/>
              <w:bottom w:val="nil"/>
              <w:right w:val="nil"/>
            </w:tcBorders>
            <w:shd w:val="clear" w:color="auto" w:fill="auto"/>
            <w:noWrap/>
            <w:vAlign w:val="center"/>
            <w:hideMark/>
          </w:tcPr>
          <w:p w14:paraId="24175D7B" w14:textId="77777777" w:rsidR="00BD6592" w:rsidRPr="00EB5D5F" w:rsidRDefault="00BD6592" w:rsidP="00BD6592">
            <w:pPr>
              <w:suppressAutoHyphens w:val="0"/>
              <w:spacing w:line="240" w:lineRule="auto"/>
              <w:jc w:val="center"/>
              <w:rPr>
                <w:rFonts w:eastAsia="Times New Roman"/>
                <w:color w:val="000000"/>
                <w:sz w:val="18"/>
                <w:szCs w:val="18"/>
                <w:lang w:val="en-US"/>
              </w:rPr>
            </w:pPr>
            <w:r w:rsidRPr="00EB5D5F">
              <w:rPr>
                <w:rFonts w:eastAsia="Times New Roman"/>
                <w:color w:val="000000"/>
                <w:sz w:val="18"/>
                <w:szCs w:val="18"/>
                <w:lang w:val="en-US"/>
              </w:rPr>
              <w:t> </w:t>
            </w:r>
          </w:p>
        </w:tc>
        <w:tc>
          <w:tcPr>
            <w:tcW w:w="1903" w:type="dxa"/>
            <w:tcBorders>
              <w:top w:val="single" w:sz="4" w:space="0" w:color="auto"/>
              <w:left w:val="nil"/>
              <w:bottom w:val="nil"/>
              <w:right w:val="nil"/>
            </w:tcBorders>
            <w:shd w:val="clear" w:color="auto" w:fill="auto"/>
            <w:noWrap/>
            <w:vAlign w:val="center"/>
            <w:hideMark/>
          </w:tcPr>
          <w:p w14:paraId="2F69FA25" w14:textId="77777777" w:rsidR="00BD6592" w:rsidRPr="00EB5D5F" w:rsidRDefault="00BD6592" w:rsidP="00BD6592">
            <w:pPr>
              <w:suppressAutoHyphens w:val="0"/>
              <w:spacing w:line="240" w:lineRule="auto"/>
              <w:jc w:val="center"/>
              <w:rPr>
                <w:rFonts w:eastAsia="Times New Roman"/>
                <w:color w:val="000000"/>
                <w:sz w:val="18"/>
                <w:szCs w:val="18"/>
                <w:lang w:val="en-US"/>
              </w:rPr>
            </w:pPr>
            <w:r w:rsidRPr="00EB5D5F">
              <w:rPr>
                <w:rFonts w:eastAsia="Times New Roman"/>
                <w:color w:val="000000"/>
                <w:sz w:val="18"/>
                <w:szCs w:val="18"/>
                <w:lang w:val="en-US"/>
              </w:rPr>
              <w:t> </w:t>
            </w:r>
          </w:p>
        </w:tc>
        <w:tc>
          <w:tcPr>
            <w:tcW w:w="1880" w:type="dxa"/>
            <w:gridSpan w:val="2"/>
            <w:tcBorders>
              <w:top w:val="single" w:sz="4" w:space="0" w:color="auto"/>
              <w:left w:val="nil"/>
              <w:bottom w:val="single" w:sz="4" w:space="0" w:color="auto"/>
              <w:right w:val="nil"/>
            </w:tcBorders>
            <w:shd w:val="clear" w:color="auto" w:fill="auto"/>
            <w:noWrap/>
            <w:vAlign w:val="center"/>
            <w:hideMark/>
          </w:tcPr>
          <w:p w14:paraId="0FAE3BB4"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Amygdala</w:t>
            </w:r>
          </w:p>
        </w:tc>
        <w:tc>
          <w:tcPr>
            <w:tcW w:w="200" w:type="dxa"/>
            <w:tcBorders>
              <w:top w:val="single" w:sz="4" w:space="0" w:color="auto"/>
              <w:left w:val="nil"/>
              <w:bottom w:val="nil"/>
              <w:right w:val="nil"/>
            </w:tcBorders>
            <w:shd w:val="clear" w:color="auto" w:fill="auto"/>
            <w:noWrap/>
            <w:vAlign w:val="center"/>
            <w:hideMark/>
          </w:tcPr>
          <w:p w14:paraId="2A352F33"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w:t>
            </w:r>
          </w:p>
        </w:tc>
        <w:tc>
          <w:tcPr>
            <w:tcW w:w="2080" w:type="dxa"/>
            <w:gridSpan w:val="2"/>
            <w:tcBorders>
              <w:top w:val="single" w:sz="4" w:space="0" w:color="auto"/>
              <w:left w:val="nil"/>
              <w:bottom w:val="single" w:sz="4" w:space="0" w:color="auto"/>
              <w:right w:val="nil"/>
            </w:tcBorders>
            <w:shd w:val="clear" w:color="auto" w:fill="auto"/>
            <w:noWrap/>
            <w:vAlign w:val="center"/>
            <w:hideMark/>
          </w:tcPr>
          <w:p w14:paraId="556083F4"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Hippocampus</w:t>
            </w:r>
          </w:p>
        </w:tc>
        <w:tc>
          <w:tcPr>
            <w:tcW w:w="240" w:type="dxa"/>
            <w:tcBorders>
              <w:top w:val="single" w:sz="4" w:space="0" w:color="auto"/>
              <w:left w:val="nil"/>
              <w:bottom w:val="nil"/>
              <w:right w:val="nil"/>
            </w:tcBorders>
            <w:shd w:val="clear" w:color="auto" w:fill="auto"/>
            <w:noWrap/>
            <w:vAlign w:val="center"/>
            <w:hideMark/>
          </w:tcPr>
          <w:p w14:paraId="72B30BF8"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w:t>
            </w:r>
          </w:p>
        </w:tc>
        <w:tc>
          <w:tcPr>
            <w:tcW w:w="1560" w:type="dxa"/>
            <w:gridSpan w:val="2"/>
            <w:tcBorders>
              <w:top w:val="single" w:sz="4" w:space="0" w:color="auto"/>
              <w:left w:val="nil"/>
              <w:bottom w:val="single" w:sz="4" w:space="0" w:color="auto"/>
              <w:right w:val="nil"/>
            </w:tcBorders>
            <w:shd w:val="clear" w:color="auto" w:fill="auto"/>
            <w:noWrap/>
            <w:vAlign w:val="center"/>
            <w:hideMark/>
          </w:tcPr>
          <w:p w14:paraId="59DF0B40" w14:textId="77777777" w:rsidR="00BD6592" w:rsidRPr="00EB5D5F" w:rsidRDefault="00BD6592" w:rsidP="00BD6592">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sgACC</w:t>
            </w:r>
            <w:proofErr w:type="spellEnd"/>
          </w:p>
        </w:tc>
        <w:tc>
          <w:tcPr>
            <w:tcW w:w="200" w:type="dxa"/>
            <w:tcBorders>
              <w:top w:val="single" w:sz="4" w:space="0" w:color="auto"/>
              <w:left w:val="nil"/>
              <w:bottom w:val="nil"/>
              <w:right w:val="nil"/>
            </w:tcBorders>
            <w:shd w:val="clear" w:color="auto" w:fill="auto"/>
            <w:noWrap/>
            <w:vAlign w:val="center"/>
            <w:hideMark/>
          </w:tcPr>
          <w:p w14:paraId="5CBF6E4A"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w:t>
            </w:r>
          </w:p>
        </w:tc>
        <w:tc>
          <w:tcPr>
            <w:tcW w:w="2120" w:type="dxa"/>
            <w:gridSpan w:val="2"/>
            <w:tcBorders>
              <w:top w:val="single" w:sz="4" w:space="0" w:color="auto"/>
              <w:left w:val="nil"/>
              <w:bottom w:val="single" w:sz="4" w:space="0" w:color="auto"/>
              <w:right w:val="nil"/>
            </w:tcBorders>
            <w:shd w:val="clear" w:color="auto" w:fill="auto"/>
            <w:noWrap/>
            <w:vAlign w:val="center"/>
            <w:hideMark/>
          </w:tcPr>
          <w:p w14:paraId="36F6F722" w14:textId="77777777" w:rsidR="00BD6592" w:rsidRPr="00EB5D5F" w:rsidRDefault="00BD6592" w:rsidP="00BD6592">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pgACC</w:t>
            </w:r>
            <w:proofErr w:type="spellEnd"/>
          </w:p>
        </w:tc>
        <w:tc>
          <w:tcPr>
            <w:tcW w:w="191" w:type="dxa"/>
            <w:tcBorders>
              <w:top w:val="single" w:sz="4" w:space="0" w:color="auto"/>
              <w:left w:val="nil"/>
              <w:bottom w:val="nil"/>
              <w:right w:val="nil"/>
            </w:tcBorders>
            <w:shd w:val="clear" w:color="auto" w:fill="auto"/>
            <w:noWrap/>
            <w:vAlign w:val="center"/>
            <w:hideMark/>
          </w:tcPr>
          <w:p w14:paraId="3B739C8F"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w:t>
            </w:r>
          </w:p>
        </w:tc>
        <w:tc>
          <w:tcPr>
            <w:tcW w:w="2040" w:type="dxa"/>
            <w:gridSpan w:val="2"/>
            <w:tcBorders>
              <w:top w:val="single" w:sz="4" w:space="0" w:color="auto"/>
              <w:left w:val="nil"/>
              <w:bottom w:val="single" w:sz="4" w:space="0" w:color="auto"/>
              <w:right w:val="nil"/>
            </w:tcBorders>
            <w:shd w:val="clear" w:color="auto" w:fill="auto"/>
            <w:noWrap/>
            <w:vAlign w:val="center"/>
            <w:hideMark/>
          </w:tcPr>
          <w:p w14:paraId="5D49DF2E" w14:textId="77777777" w:rsidR="00BD6592" w:rsidRPr="00EB5D5F" w:rsidRDefault="00BD6592" w:rsidP="00BD6592">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scACC</w:t>
            </w:r>
            <w:proofErr w:type="spellEnd"/>
          </w:p>
        </w:tc>
      </w:tr>
      <w:tr w:rsidR="00BD6592" w:rsidRPr="00EB5D5F" w14:paraId="41EFEE34" w14:textId="77777777" w:rsidTr="00115DF9">
        <w:trPr>
          <w:trHeight w:val="300"/>
        </w:trPr>
        <w:tc>
          <w:tcPr>
            <w:tcW w:w="2127" w:type="dxa"/>
            <w:tcBorders>
              <w:top w:val="nil"/>
              <w:left w:val="nil"/>
              <w:bottom w:val="single" w:sz="4" w:space="0" w:color="auto"/>
              <w:right w:val="nil"/>
            </w:tcBorders>
            <w:shd w:val="clear" w:color="auto" w:fill="auto"/>
            <w:noWrap/>
            <w:vAlign w:val="center"/>
            <w:hideMark/>
          </w:tcPr>
          <w:p w14:paraId="0DF3588C" w14:textId="77777777" w:rsidR="00BD6592" w:rsidRPr="00EB5D5F" w:rsidRDefault="00BD6592" w:rsidP="00115DF9">
            <w:pPr>
              <w:suppressAutoHyphens w:val="0"/>
              <w:spacing w:line="240" w:lineRule="auto"/>
              <w:rPr>
                <w:rFonts w:eastAsia="Times New Roman"/>
                <w:color w:val="000000"/>
                <w:sz w:val="18"/>
                <w:szCs w:val="18"/>
                <w:lang w:val="de-DE"/>
              </w:rPr>
            </w:pPr>
            <w:r w:rsidRPr="00EB5D5F">
              <w:rPr>
                <w:rFonts w:eastAsia="Times New Roman"/>
                <w:color w:val="000000"/>
                <w:sz w:val="18"/>
                <w:szCs w:val="18"/>
                <w:lang w:val="de-DE"/>
              </w:rPr>
              <w:t>Sample</w:t>
            </w:r>
          </w:p>
        </w:tc>
        <w:tc>
          <w:tcPr>
            <w:tcW w:w="850" w:type="dxa"/>
            <w:tcBorders>
              <w:top w:val="nil"/>
              <w:left w:val="nil"/>
              <w:bottom w:val="nil"/>
              <w:right w:val="nil"/>
            </w:tcBorders>
            <w:shd w:val="clear" w:color="auto" w:fill="auto"/>
            <w:noWrap/>
            <w:vAlign w:val="center"/>
            <w:hideMark/>
          </w:tcPr>
          <w:p w14:paraId="4B98A6EF"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N</w:t>
            </w:r>
          </w:p>
        </w:tc>
        <w:tc>
          <w:tcPr>
            <w:tcW w:w="1903" w:type="dxa"/>
            <w:tcBorders>
              <w:top w:val="nil"/>
              <w:left w:val="nil"/>
              <w:bottom w:val="nil"/>
              <w:right w:val="nil"/>
            </w:tcBorders>
            <w:shd w:val="clear" w:color="auto" w:fill="auto"/>
            <w:noWrap/>
            <w:vAlign w:val="center"/>
            <w:hideMark/>
          </w:tcPr>
          <w:p w14:paraId="3A4901E1"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xml:space="preserve">CM </w:t>
            </w:r>
            <w:proofErr w:type="spellStart"/>
            <w:r w:rsidRPr="00EB5D5F">
              <w:rPr>
                <w:rFonts w:eastAsia="Times New Roman"/>
                <w:color w:val="000000"/>
                <w:sz w:val="18"/>
                <w:szCs w:val="18"/>
                <w:lang w:val="de-DE"/>
              </w:rPr>
              <w:t>operationalization</w:t>
            </w:r>
            <w:proofErr w:type="spellEnd"/>
          </w:p>
        </w:tc>
        <w:tc>
          <w:tcPr>
            <w:tcW w:w="475" w:type="dxa"/>
            <w:tcBorders>
              <w:top w:val="nil"/>
              <w:left w:val="nil"/>
              <w:bottom w:val="single" w:sz="4" w:space="0" w:color="auto"/>
              <w:right w:val="nil"/>
            </w:tcBorders>
            <w:shd w:val="clear" w:color="auto" w:fill="auto"/>
            <w:noWrap/>
            <w:vAlign w:val="center"/>
            <w:hideMark/>
          </w:tcPr>
          <w:p w14:paraId="1DD9F386" w14:textId="77777777" w:rsidR="00BD6592" w:rsidRPr="00EB5D5F" w:rsidRDefault="00BD6592" w:rsidP="00BD6592">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left</w:t>
            </w:r>
            <w:proofErr w:type="spellEnd"/>
          </w:p>
        </w:tc>
        <w:tc>
          <w:tcPr>
            <w:tcW w:w="1405" w:type="dxa"/>
            <w:tcBorders>
              <w:top w:val="nil"/>
              <w:left w:val="nil"/>
              <w:bottom w:val="single" w:sz="4" w:space="0" w:color="auto"/>
              <w:right w:val="nil"/>
            </w:tcBorders>
            <w:shd w:val="clear" w:color="auto" w:fill="auto"/>
            <w:noWrap/>
            <w:vAlign w:val="center"/>
            <w:hideMark/>
          </w:tcPr>
          <w:p w14:paraId="4D602CE7" w14:textId="77777777" w:rsidR="00BD6592" w:rsidRPr="00EB5D5F" w:rsidRDefault="00BD6592" w:rsidP="00BD6592">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right</w:t>
            </w:r>
            <w:proofErr w:type="spellEnd"/>
          </w:p>
        </w:tc>
        <w:tc>
          <w:tcPr>
            <w:tcW w:w="200" w:type="dxa"/>
            <w:tcBorders>
              <w:top w:val="nil"/>
              <w:left w:val="nil"/>
              <w:bottom w:val="single" w:sz="4" w:space="0" w:color="auto"/>
              <w:right w:val="nil"/>
            </w:tcBorders>
            <w:shd w:val="clear" w:color="auto" w:fill="auto"/>
            <w:noWrap/>
            <w:vAlign w:val="center"/>
            <w:hideMark/>
          </w:tcPr>
          <w:p w14:paraId="7DA76FDB"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w:t>
            </w:r>
          </w:p>
        </w:tc>
        <w:tc>
          <w:tcPr>
            <w:tcW w:w="1040" w:type="dxa"/>
            <w:tcBorders>
              <w:top w:val="nil"/>
              <w:left w:val="nil"/>
              <w:bottom w:val="single" w:sz="4" w:space="0" w:color="auto"/>
              <w:right w:val="nil"/>
            </w:tcBorders>
            <w:shd w:val="clear" w:color="auto" w:fill="auto"/>
            <w:noWrap/>
            <w:vAlign w:val="center"/>
            <w:hideMark/>
          </w:tcPr>
          <w:p w14:paraId="1B7B31E0" w14:textId="77777777" w:rsidR="00BD6592" w:rsidRPr="00EB5D5F" w:rsidRDefault="00BD6592" w:rsidP="00BD6592">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left</w:t>
            </w:r>
            <w:proofErr w:type="spellEnd"/>
          </w:p>
        </w:tc>
        <w:tc>
          <w:tcPr>
            <w:tcW w:w="1040" w:type="dxa"/>
            <w:tcBorders>
              <w:top w:val="nil"/>
              <w:left w:val="nil"/>
              <w:bottom w:val="single" w:sz="4" w:space="0" w:color="auto"/>
              <w:right w:val="nil"/>
            </w:tcBorders>
            <w:shd w:val="clear" w:color="auto" w:fill="auto"/>
            <w:noWrap/>
            <w:vAlign w:val="center"/>
            <w:hideMark/>
          </w:tcPr>
          <w:p w14:paraId="60352807" w14:textId="77777777" w:rsidR="00BD6592" w:rsidRPr="00EB5D5F" w:rsidRDefault="00BD6592" w:rsidP="00BD6592">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right</w:t>
            </w:r>
            <w:proofErr w:type="spellEnd"/>
          </w:p>
        </w:tc>
        <w:tc>
          <w:tcPr>
            <w:tcW w:w="240" w:type="dxa"/>
            <w:tcBorders>
              <w:top w:val="nil"/>
              <w:left w:val="nil"/>
              <w:bottom w:val="single" w:sz="4" w:space="0" w:color="auto"/>
              <w:right w:val="nil"/>
            </w:tcBorders>
            <w:shd w:val="clear" w:color="auto" w:fill="auto"/>
            <w:noWrap/>
            <w:vAlign w:val="center"/>
            <w:hideMark/>
          </w:tcPr>
          <w:p w14:paraId="724D8395"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w:t>
            </w:r>
          </w:p>
        </w:tc>
        <w:tc>
          <w:tcPr>
            <w:tcW w:w="648" w:type="dxa"/>
            <w:tcBorders>
              <w:top w:val="nil"/>
              <w:left w:val="nil"/>
              <w:bottom w:val="single" w:sz="4" w:space="0" w:color="auto"/>
              <w:right w:val="nil"/>
            </w:tcBorders>
            <w:shd w:val="clear" w:color="auto" w:fill="auto"/>
            <w:noWrap/>
            <w:vAlign w:val="center"/>
            <w:hideMark/>
          </w:tcPr>
          <w:p w14:paraId="22BDF2AD" w14:textId="77777777" w:rsidR="00BD6592" w:rsidRPr="00EB5D5F" w:rsidRDefault="00BD6592" w:rsidP="00BD6592">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left</w:t>
            </w:r>
            <w:proofErr w:type="spellEnd"/>
          </w:p>
        </w:tc>
        <w:tc>
          <w:tcPr>
            <w:tcW w:w="912" w:type="dxa"/>
            <w:tcBorders>
              <w:top w:val="nil"/>
              <w:left w:val="nil"/>
              <w:bottom w:val="single" w:sz="4" w:space="0" w:color="auto"/>
              <w:right w:val="nil"/>
            </w:tcBorders>
            <w:shd w:val="clear" w:color="auto" w:fill="auto"/>
            <w:noWrap/>
            <w:vAlign w:val="center"/>
            <w:hideMark/>
          </w:tcPr>
          <w:p w14:paraId="6C13A0F3" w14:textId="77777777" w:rsidR="00BD6592" w:rsidRPr="00EB5D5F" w:rsidRDefault="00BD6592" w:rsidP="00BD6592">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right</w:t>
            </w:r>
            <w:proofErr w:type="spellEnd"/>
          </w:p>
        </w:tc>
        <w:tc>
          <w:tcPr>
            <w:tcW w:w="200" w:type="dxa"/>
            <w:tcBorders>
              <w:top w:val="nil"/>
              <w:left w:val="nil"/>
              <w:bottom w:val="single" w:sz="4" w:space="0" w:color="auto"/>
              <w:right w:val="nil"/>
            </w:tcBorders>
            <w:shd w:val="clear" w:color="auto" w:fill="auto"/>
            <w:noWrap/>
            <w:vAlign w:val="center"/>
            <w:hideMark/>
          </w:tcPr>
          <w:p w14:paraId="48127CC5"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w:t>
            </w:r>
          </w:p>
        </w:tc>
        <w:tc>
          <w:tcPr>
            <w:tcW w:w="1437" w:type="dxa"/>
            <w:tcBorders>
              <w:top w:val="nil"/>
              <w:left w:val="nil"/>
              <w:bottom w:val="single" w:sz="4" w:space="0" w:color="auto"/>
              <w:right w:val="nil"/>
            </w:tcBorders>
            <w:shd w:val="clear" w:color="auto" w:fill="auto"/>
            <w:noWrap/>
            <w:vAlign w:val="center"/>
            <w:hideMark/>
          </w:tcPr>
          <w:p w14:paraId="08495A07" w14:textId="77777777" w:rsidR="00BD6592" w:rsidRPr="00EB5D5F" w:rsidRDefault="00BD6592" w:rsidP="00BD6592">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left</w:t>
            </w:r>
            <w:proofErr w:type="spellEnd"/>
          </w:p>
        </w:tc>
        <w:tc>
          <w:tcPr>
            <w:tcW w:w="683" w:type="dxa"/>
            <w:tcBorders>
              <w:top w:val="nil"/>
              <w:left w:val="nil"/>
              <w:bottom w:val="single" w:sz="4" w:space="0" w:color="auto"/>
              <w:right w:val="nil"/>
            </w:tcBorders>
            <w:shd w:val="clear" w:color="auto" w:fill="auto"/>
            <w:noWrap/>
            <w:vAlign w:val="center"/>
            <w:hideMark/>
          </w:tcPr>
          <w:p w14:paraId="010F6476" w14:textId="77777777" w:rsidR="00BD6592" w:rsidRPr="00EB5D5F" w:rsidRDefault="00BD6592" w:rsidP="00BD6592">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right</w:t>
            </w:r>
            <w:proofErr w:type="spellEnd"/>
          </w:p>
        </w:tc>
        <w:tc>
          <w:tcPr>
            <w:tcW w:w="191" w:type="dxa"/>
            <w:tcBorders>
              <w:top w:val="nil"/>
              <w:left w:val="nil"/>
              <w:bottom w:val="single" w:sz="4" w:space="0" w:color="auto"/>
              <w:right w:val="nil"/>
            </w:tcBorders>
            <w:shd w:val="clear" w:color="auto" w:fill="auto"/>
            <w:noWrap/>
            <w:vAlign w:val="center"/>
            <w:hideMark/>
          </w:tcPr>
          <w:p w14:paraId="468DB2E5"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w:t>
            </w:r>
          </w:p>
        </w:tc>
        <w:tc>
          <w:tcPr>
            <w:tcW w:w="516" w:type="dxa"/>
            <w:tcBorders>
              <w:top w:val="nil"/>
              <w:left w:val="nil"/>
              <w:bottom w:val="single" w:sz="4" w:space="0" w:color="auto"/>
              <w:right w:val="nil"/>
            </w:tcBorders>
            <w:shd w:val="clear" w:color="auto" w:fill="auto"/>
            <w:noWrap/>
            <w:vAlign w:val="center"/>
            <w:hideMark/>
          </w:tcPr>
          <w:p w14:paraId="4514E597" w14:textId="77777777" w:rsidR="00BD6592" w:rsidRPr="00EB5D5F" w:rsidRDefault="00BD6592" w:rsidP="00BD6592">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left</w:t>
            </w:r>
            <w:proofErr w:type="spellEnd"/>
          </w:p>
        </w:tc>
        <w:tc>
          <w:tcPr>
            <w:tcW w:w="1524" w:type="dxa"/>
            <w:tcBorders>
              <w:top w:val="nil"/>
              <w:left w:val="nil"/>
              <w:bottom w:val="single" w:sz="4" w:space="0" w:color="auto"/>
              <w:right w:val="nil"/>
            </w:tcBorders>
            <w:shd w:val="clear" w:color="auto" w:fill="auto"/>
            <w:noWrap/>
            <w:vAlign w:val="center"/>
            <w:hideMark/>
          </w:tcPr>
          <w:p w14:paraId="4DB8B476" w14:textId="77777777" w:rsidR="00BD6592" w:rsidRPr="00EB5D5F" w:rsidRDefault="00BD6592" w:rsidP="00BD6592">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right</w:t>
            </w:r>
            <w:proofErr w:type="spellEnd"/>
          </w:p>
        </w:tc>
      </w:tr>
      <w:tr w:rsidR="00BD6592" w:rsidRPr="00EB5D5F" w14:paraId="390266E3" w14:textId="77777777" w:rsidTr="00115DF9">
        <w:trPr>
          <w:trHeight w:val="300"/>
        </w:trPr>
        <w:tc>
          <w:tcPr>
            <w:tcW w:w="2127" w:type="dxa"/>
            <w:tcBorders>
              <w:top w:val="nil"/>
              <w:left w:val="nil"/>
              <w:bottom w:val="single" w:sz="4" w:space="0" w:color="auto"/>
              <w:right w:val="nil"/>
            </w:tcBorders>
            <w:shd w:val="clear" w:color="auto" w:fill="auto"/>
            <w:noWrap/>
            <w:vAlign w:val="center"/>
            <w:hideMark/>
          </w:tcPr>
          <w:p w14:paraId="2C922AD7" w14:textId="77777777" w:rsidR="00BD6592" w:rsidRPr="00EB5D5F" w:rsidRDefault="00BD6592" w:rsidP="00115DF9">
            <w:pPr>
              <w:suppressAutoHyphens w:val="0"/>
              <w:spacing w:line="240" w:lineRule="auto"/>
              <w:rPr>
                <w:rFonts w:eastAsia="Times New Roman"/>
                <w:b/>
                <w:bCs/>
                <w:i/>
                <w:iCs/>
                <w:color w:val="000000"/>
                <w:sz w:val="18"/>
                <w:szCs w:val="18"/>
                <w:lang w:val="de-DE"/>
              </w:rPr>
            </w:pPr>
            <w:r w:rsidRPr="00EB5D5F">
              <w:rPr>
                <w:rFonts w:eastAsia="Times New Roman"/>
                <w:b/>
                <w:bCs/>
                <w:i/>
                <w:iCs/>
                <w:color w:val="000000"/>
                <w:sz w:val="18"/>
                <w:szCs w:val="18"/>
                <w:lang w:val="de-DE"/>
              </w:rPr>
              <w:t xml:space="preserve">Primary </w:t>
            </w:r>
            <w:proofErr w:type="spellStart"/>
            <w:r w:rsidRPr="00EB5D5F">
              <w:rPr>
                <w:rFonts w:eastAsia="Times New Roman"/>
                <w:b/>
                <w:bCs/>
                <w:i/>
                <w:iCs/>
                <w:color w:val="000000"/>
                <w:sz w:val="18"/>
                <w:szCs w:val="18"/>
                <w:lang w:val="de-DE"/>
              </w:rPr>
              <w:t>analyses</w:t>
            </w:r>
            <w:proofErr w:type="spellEnd"/>
          </w:p>
        </w:tc>
        <w:tc>
          <w:tcPr>
            <w:tcW w:w="850" w:type="dxa"/>
            <w:tcBorders>
              <w:top w:val="single" w:sz="4" w:space="0" w:color="auto"/>
              <w:left w:val="nil"/>
              <w:bottom w:val="single" w:sz="4" w:space="0" w:color="auto"/>
              <w:right w:val="nil"/>
            </w:tcBorders>
            <w:shd w:val="clear" w:color="auto" w:fill="auto"/>
            <w:noWrap/>
            <w:vAlign w:val="center"/>
            <w:hideMark/>
          </w:tcPr>
          <w:p w14:paraId="7E824DCC" w14:textId="77777777" w:rsidR="00BD6592" w:rsidRPr="00EB5D5F" w:rsidRDefault="00BD6592" w:rsidP="00BD6592">
            <w:pPr>
              <w:suppressAutoHyphens w:val="0"/>
              <w:spacing w:line="240" w:lineRule="auto"/>
              <w:jc w:val="center"/>
              <w:rPr>
                <w:rFonts w:eastAsia="Times New Roman"/>
                <w:b/>
                <w:bCs/>
                <w:i/>
                <w:iCs/>
                <w:color w:val="000000"/>
                <w:sz w:val="18"/>
                <w:szCs w:val="18"/>
                <w:lang w:val="de-DE"/>
              </w:rPr>
            </w:pPr>
            <w:r w:rsidRPr="00EB5D5F">
              <w:rPr>
                <w:rFonts w:eastAsia="Times New Roman"/>
                <w:b/>
                <w:bCs/>
                <w:i/>
                <w:iCs/>
                <w:color w:val="000000"/>
                <w:sz w:val="18"/>
                <w:szCs w:val="18"/>
                <w:lang w:val="de-DE"/>
              </w:rPr>
              <w:t> </w:t>
            </w:r>
          </w:p>
        </w:tc>
        <w:tc>
          <w:tcPr>
            <w:tcW w:w="1903" w:type="dxa"/>
            <w:tcBorders>
              <w:top w:val="single" w:sz="4" w:space="0" w:color="auto"/>
              <w:left w:val="nil"/>
              <w:bottom w:val="single" w:sz="4" w:space="0" w:color="auto"/>
              <w:right w:val="nil"/>
            </w:tcBorders>
            <w:shd w:val="clear" w:color="auto" w:fill="auto"/>
            <w:noWrap/>
            <w:vAlign w:val="center"/>
            <w:hideMark/>
          </w:tcPr>
          <w:p w14:paraId="67EF8730"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w:t>
            </w:r>
          </w:p>
        </w:tc>
        <w:tc>
          <w:tcPr>
            <w:tcW w:w="475" w:type="dxa"/>
            <w:tcBorders>
              <w:top w:val="nil"/>
              <w:left w:val="nil"/>
              <w:bottom w:val="single" w:sz="4" w:space="0" w:color="auto"/>
              <w:right w:val="nil"/>
            </w:tcBorders>
            <w:shd w:val="clear" w:color="auto" w:fill="auto"/>
            <w:noWrap/>
            <w:vAlign w:val="center"/>
            <w:hideMark/>
          </w:tcPr>
          <w:p w14:paraId="6B2234D8"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w:t>
            </w:r>
          </w:p>
        </w:tc>
        <w:tc>
          <w:tcPr>
            <w:tcW w:w="1405" w:type="dxa"/>
            <w:tcBorders>
              <w:top w:val="nil"/>
              <w:left w:val="nil"/>
              <w:bottom w:val="single" w:sz="4" w:space="0" w:color="auto"/>
              <w:right w:val="nil"/>
            </w:tcBorders>
            <w:shd w:val="clear" w:color="auto" w:fill="auto"/>
            <w:noWrap/>
            <w:vAlign w:val="center"/>
            <w:hideMark/>
          </w:tcPr>
          <w:p w14:paraId="1A523EB4"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w:t>
            </w:r>
          </w:p>
        </w:tc>
        <w:tc>
          <w:tcPr>
            <w:tcW w:w="200" w:type="dxa"/>
            <w:tcBorders>
              <w:top w:val="nil"/>
              <w:left w:val="nil"/>
              <w:bottom w:val="single" w:sz="4" w:space="0" w:color="auto"/>
              <w:right w:val="nil"/>
            </w:tcBorders>
            <w:shd w:val="clear" w:color="auto" w:fill="auto"/>
            <w:noWrap/>
            <w:vAlign w:val="center"/>
            <w:hideMark/>
          </w:tcPr>
          <w:p w14:paraId="603C3929"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w:t>
            </w:r>
          </w:p>
        </w:tc>
        <w:tc>
          <w:tcPr>
            <w:tcW w:w="1040" w:type="dxa"/>
            <w:tcBorders>
              <w:top w:val="nil"/>
              <w:left w:val="nil"/>
              <w:bottom w:val="single" w:sz="4" w:space="0" w:color="auto"/>
              <w:right w:val="nil"/>
            </w:tcBorders>
            <w:shd w:val="clear" w:color="auto" w:fill="auto"/>
            <w:noWrap/>
            <w:vAlign w:val="center"/>
            <w:hideMark/>
          </w:tcPr>
          <w:p w14:paraId="0169B576"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w:t>
            </w:r>
          </w:p>
        </w:tc>
        <w:tc>
          <w:tcPr>
            <w:tcW w:w="1040" w:type="dxa"/>
            <w:tcBorders>
              <w:top w:val="nil"/>
              <w:left w:val="nil"/>
              <w:bottom w:val="single" w:sz="4" w:space="0" w:color="auto"/>
              <w:right w:val="nil"/>
            </w:tcBorders>
            <w:shd w:val="clear" w:color="auto" w:fill="auto"/>
            <w:noWrap/>
            <w:vAlign w:val="center"/>
            <w:hideMark/>
          </w:tcPr>
          <w:p w14:paraId="4F6321FE"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w:t>
            </w:r>
          </w:p>
        </w:tc>
        <w:tc>
          <w:tcPr>
            <w:tcW w:w="240" w:type="dxa"/>
            <w:tcBorders>
              <w:top w:val="nil"/>
              <w:left w:val="nil"/>
              <w:bottom w:val="single" w:sz="4" w:space="0" w:color="auto"/>
              <w:right w:val="nil"/>
            </w:tcBorders>
            <w:shd w:val="clear" w:color="auto" w:fill="auto"/>
            <w:noWrap/>
            <w:vAlign w:val="center"/>
            <w:hideMark/>
          </w:tcPr>
          <w:p w14:paraId="291BFAF9"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w:t>
            </w:r>
          </w:p>
        </w:tc>
        <w:tc>
          <w:tcPr>
            <w:tcW w:w="648" w:type="dxa"/>
            <w:tcBorders>
              <w:top w:val="nil"/>
              <w:left w:val="nil"/>
              <w:bottom w:val="single" w:sz="4" w:space="0" w:color="auto"/>
              <w:right w:val="nil"/>
            </w:tcBorders>
            <w:shd w:val="clear" w:color="auto" w:fill="auto"/>
            <w:noWrap/>
            <w:vAlign w:val="center"/>
            <w:hideMark/>
          </w:tcPr>
          <w:p w14:paraId="3177DE67"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w:t>
            </w:r>
          </w:p>
        </w:tc>
        <w:tc>
          <w:tcPr>
            <w:tcW w:w="912" w:type="dxa"/>
            <w:tcBorders>
              <w:top w:val="nil"/>
              <w:left w:val="nil"/>
              <w:bottom w:val="single" w:sz="4" w:space="0" w:color="auto"/>
              <w:right w:val="nil"/>
            </w:tcBorders>
            <w:shd w:val="clear" w:color="auto" w:fill="auto"/>
            <w:noWrap/>
            <w:vAlign w:val="center"/>
            <w:hideMark/>
          </w:tcPr>
          <w:p w14:paraId="5E9BD4E1"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w:t>
            </w:r>
          </w:p>
        </w:tc>
        <w:tc>
          <w:tcPr>
            <w:tcW w:w="200" w:type="dxa"/>
            <w:tcBorders>
              <w:top w:val="nil"/>
              <w:left w:val="nil"/>
              <w:bottom w:val="single" w:sz="4" w:space="0" w:color="auto"/>
              <w:right w:val="nil"/>
            </w:tcBorders>
            <w:shd w:val="clear" w:color="auto" w:fill="auto"/>
            <w:noWrap/>
            <w:vAlign w:val="center"/>
            <w:hideMark/>
          </w:tcPr>
          <w:p w14:paraId="1B42B62C"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w:t>
            </w:r>
          </w:p>
        </w:tc>
        <w:tc>
          <w:tcPr>
            <w:tcW w:w="1437" w:type="dxa"/>
            <w:tcBorders>
              <w:top w:val="nil"/>
              <w:left w:val="nil"/>
              <w:bottom w:val="single" w:sz="4" w:space="0" w:color="auto"/>
              <w:right w:val="nil"/>
            </w:tcBorders>
            <w:shd w:val="clear" w:color="auto" w:fill="auto"/>
            <w:noWrap/>
            <w:vAlign w:val="center"/>
            <w:hideMark/>
          </w:tcPr>
          <w:p w14:paraId="6953882E"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w:t>
            </w:r>
          </w:p>
        </w:tc>
        <w:tc>
          <w:tcPr>
            <w:tcW w:w="683" w:type="dxa"/>
            <w:tcBorders>
              <w:top w:val="nil"/>
              <w:left w:val="nil"/>
              <w:bottom w:val="single" w:sz="4" w:space="0" w:color="auto"/>
              <w:right w:val="nil"/>
            </w:tcBorders>
            <w:shd w:val="clear" w:color="auto" w:fill="auto"/>
            <w:noWrap/>
            <w:vAlign w:val="center"/>
            <w:hideMark/>
          </w:tcPr>
          <w:p w14:paraId="449C3084"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w:t>
            </w:r>
          </w:p>
        </w:tc>
        <w:tc>
          <w:tcPr>
            <w:tcW w:w="191" w:type="dxa"/>
            <w:tcBorders>
              <w:top w:val="nil"/>
              <w:left w:val="nil"/>
              <w:bottom w:val="single" w:sz="4" w:space="0" w:color="auto"/>
              <w:right w:val="nil"/>
            </w:tcBorders>
            <w:shd w:val="clear" w:color="auto" w:fill="auto"/>
            <w:noWrap/>
            <w:vAlign w:val="center"/>
            <w:hideMark/>
          </w:tcPr>
          <w:p w14:paraId="36FE0FB2"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w:t>
            </w:r>
          </w:p>
        </w:tc>
        <w:tc>
          <w:tcPr>
            <w:tcW w:w="516" w:type="dxa"/>
            <w:tcBorders>
              <w:top w:val="nil"/>
              <w:left w:val="nil"/>
              <w:bottom w:val="single" w:sz="4" w:space="0" w:color="auto"/>
              <w:right w:val="nil"/>
            </w:tcBorders>
            <w:shd w:val="clear" w:color="auto" w:fill="auto"/>
            <w:noWrap/>
            <w:vAlign w:val="center"/>
            <w:hideMark/>
          </w:tcPr>
          <w:p w14:paraId="4BACEE0A"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w:t>
            </w:r>
          </w:p>
        </w:tc>
        <w:tc>
          <w:tcPr>
            <w:tcW w:w="1524" w:type="dxa"/>
            <w:tcBorders>
              <w:top w:val="nil"/>
              <w:left w:val="nil"/>
              <w:bottom w:val="single" w:sz="4" w:space="0" w:color="auto"/>
              <w:right w:val="nil"/>
            </w:tcBorders>
            <w:shd w:val="clear" w:color="auto" w:fill="auto"/>
            <w:noWrap/>
            <w:vAlign w:val="center"/>
            <w:hideMark/>
          </w:tcPr>
          <w:p w14:paraId="4434CF52"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w:t>
            </w:r>
          </w:p>
        </w:tc>
      </w:tr>
      <w:tr w:rsidR="00BD6592" w:rsidRPr="00EB5D5F" w14:paraId="462F8BD6" w14:textId="77777777" w:rsidTr="00115DF9">
        <w:trPr>
          <w:trHeight w:val="300"/>
        </w:trPr>
        <w:tc>
          <w:tcPr>
            <w:tcW w:w="2127" w:type="dxa"/>
            <w:tcBorders>
              <w:top w:val="nil"/>
              <w:left w:val="nil"/>
              <w:bottom w:val="nil"/>
              <w:right w:val="nil"/>
            </w:tcBorders>
            <w:shd w:val="clear" w:color="auto" w:fill="auto"/>
            <w:noWrap/>
            <w:vAlign w:val="center"/>
            <w:hideMark/>
          </w:tcPr>
          <w:p w14:paraId="2C31F419" w14:textId="77777777" w:rsidR="00BD6592" w:rsidRPr="00EB5D5F" w:rsidRDefault="00BD6592" w:rsidP="00115DF9">
            <w:pPr>
              <w:suppressAutoHyphens w:val="0"/>
              <w:spacing w:line="240" w:lineRule="auto"/>
              <w:rPr>
                <w:rFonts w:eastAsia="Times New Roman"/>
                <w:color w:val="000000"/>
                <w:sz w:val="18"/>
                <w:szCs w:val="18"/>
                <w:lang w:val="de-DE"/>
              </w:rPr>
            </w:pPr>
            <w:r w:rsidRPr="00EB5D5F">
              <w:rPr>
                <w:rFonts w:eastAsia="Times New Roman"/>
                <w:color w:val="000000"/>
                <w:sz w:val="18"/>
                <w:szCs w:val="18"/>
                <w:lang w:val="de-DE"/>
              </w:rPr>
              <w:t>HC+MDD</w:t>
            </w:r>
          </w:p>
        </w:tc>
        <w:tc>
          <w:tcPr>
            <w:tcW w:w="850" w:type="dxa"/>
            <w:tcBorders>
              <w:top w:val="nil"/>
              <w:left w:val="nil"/>
              <w:bottom w:val="nil"/>
              <w:right w:val="nil"/>
            </w:tcBorders>
            <w:shd w:val="clear" w:color="auto" w:fill="auto"/>
            <w:noWrap/>
            <w:vAlign w:val="center"/>
            <w:hideMark/>
          </w:tcPr>
          <w:p w14:paraId="136E3090"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1325</w:t>
            </w:r>
          </w:p>
        </w:tc>
        <w:tc>
          <w:tcPr>
            <w:tcW w:w="1903" w:type="dxa"/>
            <w:tcBorders>
              <w:top w:val="nil"/>
              <w:left w:val="nil"/>
              <w:bottom w:val="nil"/>
              <w:right w:val="nil"/>
            </w:tcBorders>
            <w:shd w:val="clear" w:color="auto" w:fill="auto"/>
            <w:noWrap/>
            <w:vAlign w:val="center"/>
            <w:hideMark/>
          </w:tcPr>
          <w:p w14:paraId="0549B0C0"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xml:space="preserve">CTQ </w:t>
            </w:r>
            <w:proofErr w:type="spellStart"/>
            <w:r w:rsidRPr="00EB5D5F">
              <w:rPr>
                <w:rFonts w:eastAsia="Times New Roman"/>
                <w:color w:val="000000"/>
                <w:sz w:val="18"/>
                <w:szCs w:val="18"/>
                <w:lang w:val="de-DE"/>
              </w:rPr>
              <w:t>sum</w:t>
            </w:r>
            <w:proofErr w:type="spellEnd"/>
          </w:p>
        </w:tc>
        <w:tc>
          <w:tcPr>
            <w:tcW w:w="475" w:type="dxa"/>
            <w:tcBorders>
              <w:top w:val="nil"/>
              <w:left w:val="nil"/>
              <w:bottom w:val="nil"/>
              <w:right w:val="nil"/>
            </w:tcBorders>
            <w:shd w:val="clear" w:color="auto" w:fill="auto"/>
            <w:noWrap/>
            <w:vAlign w:val="center"/>
            <w:hideMark/>
          </w:tcPr>
          <w:p w14:paraId="770E5E35" w14:textId="77777777" w:rsidR="00BD6592" w:rsidRPr="00EB5D5F" w:rsidRDefault="00BD6592" w:rsidP="00BD6592">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1405" w:type="dxa"/>
            <w:tcBorders>
              <w:top w:val="nil"/>
              <w:left w:val="nil"/>
              <w:bottom w:val="nil"/>
              <w:right w:val="nil"/>
            </w:tcBorders>
            <w:shd w:val="clear" w:color="auto" w:fill="auto"/>
            <w:noWrap/>
            <w:vAlign w:val="center"/>
            <w:hideMark/>
          </w:tcPr>
          <w:p w14:paraId="7D411AC0" w14:textId="77777777" w:rsidR="00BD6592" w:rsidRPr="00EB5D5F" w:rsidRDefault="00BD6592" w:rsidP="00BD6592">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200" w:type="dxa"/>
            <w:tcBorders>
              <w:top w:val="nil"/>
              <w:left w:val="nil"/>
              <w:bottom w:val="nil"/>
              <w:right w:val="nil"/>
            </w:tcBorders>
            <w:shd w:val="clear" w:color="auto" w:fill="auto"/>
            <w:noWrap/>
            <w:vAlign w:val="center"/>
            <w:hideMark/>
          </w:tcPr>
          <w:p w14:paraId="45AC2F8F" w14:textId="77777777" w:rsidR="00BD6592" w:rsidRPr="00EB5D5F" w:rsidRDefault="00BD6592" w:rsidP="00BD6592">
            <w:pPr>
              <w:suppressAutoHyphens w:val="0"/>
              <w:spacing w:line="240" w:lineRule="auto"/>
              <w:jc w:val="center"/>
              <w:rPr>
                <w:rFonts w:eastAsia="Times New Roman"/>
                <w:color w:val="000000"/>
                <w:sz w:val="18"/>
                <w:szCs w:val="18"/>
                <w:lang w:val="de-DE"/>
              </w:rPr>
            </w:pPr>
          </w:p>
        </w:tc>
        <w:tc>
          <w:tcPr>
            <w:tcW w:w="1040" w:type="dxa"/>
            <w:tcBorders>
              <w:top w:val="nil"/>
              <w:left w:val="nil"/>
              <w:bottom w:val="nil"/>
              <w:right w:val="nil"/>
            </w:tcBorders>
            <w:shd w:val="clear" w:color="auto" w:fill="auto"/>
            <w:noWrap/>
            <w:vAlign w:val="center"/>
            <w:hideMark/>
          </w:tcPr>
          <w:p w14:paraId="79A96BDE" w14:textId="77777777" w:rsidR="00BD6592" w:rsidRPr="00EB5D5F" w:rsidRDefault="00BD6592" w:rsidP="00BD6592">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1040" w:type="dxa"/>
            <w:tcBorders>
              <w:top w:val="nil"/>
              <w:left w:val="nil"/>
              <w:bottom w:val="nil"/>
              <w:right w:val="nil"/>
            </w:tcBorders>
            <w:shd w:val="clear" w:color="auto" w:fill="auto"/>
            <w:noWrap/>
            <w:vAlign w:val="center"/>
            <w:hideMark/>
          </w:tcPr>
          <w:p w14:paraId="739C2B91" w14:textId="77777777" w:rsidR="00BD6592" w:rsidRPr="00EB5D5F" w:rsidRDefault="00BD6592" w:rsidP="00BD6592">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240" w:type="dxa"/>
            <w:tcBorders>
              <w:top w:val="nil"/>
              <w:left w:val="nil"/>
              <w:bottom w:val="nil"/>
              <w:right w:val="nil"/>
            </w:tcBorders>
            <w:shd w:val="clear" w:color="auto" w:fill="auto"/>
            <w:noWrap/>
            <w:vAlign w:val="center"/>
            <w:hideMark/>
          </w:tcPr>
          <w:p w14:paraId="494046B2" w14:textId="77777777" w:rsidR="00BD6592" w:rsidRPr="00EB5D5F" w:rsidRDefault="00BD6592" w:rsidP="00BD6592">
            <w:pPr>
              <w:suppressAutoHyphens w:val="0"/>
              <w:spacing w:line="240" w:lineRule="auto"/>
              <w:jc w:val="center"/>
              <w:rPr>
                <w:rFonts w:eastAsia="Times New Roman"/>
                <w:color w:val="000000"/>
                <w:sz w:val="18"/>
                <w:szCs w:val="18"/>
                <w:lang w:val="de-DE"/>
              </w:rPr>
            </w:pPr>
          </w:p>
        </w:tc>
        <w:tc>
          <w:tcPr>
            <w:tcW w:w="648" w:type="dxa"/>
            <w:tcBorders>
              <w:top w:val="nil"/>
              <w:left w:val="nil"/>
              <w:bottom w:val="nil"/>
              <w:right w:val="nil"/>
            </w:tcBorders>
            <w:shd w:val="clear" w:color="auto" w:fill="auto"/>
            <w:noWrap/>
            <w:vAlign w:val="center"/>
            <w:hideMark/>
          </w:tcPr>
          <w:p w14:paraId="41E4FF98" w14:textId="77777777" w:rsidR="00BD6592" w:rsidRPr="00EB5D5F" w:rsidRDefault="00BD6592" w:rsidP="00BD6592">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912" w:type="dxa"/>
            <w:tcBorders>
              <w:top w:val="nil"/>
              <w:left w:val="nil"/>
              <w:bottom w:val="nil"/>
              <w:right w:val="nil"/>
            </w:tcBorders>
            <w:shd w:val="clear" w:color="auto" w:fill="auto"/>
            <w:noWrap/>
            <w:vAlign w:val="center"/>
            <w:hideMark/>
          </w:tcPr>
          <w:p w14:paraId="092E3766" w14:textId="77777777" w:rsidR="00BD6592" w:rsidRPr="00EB5D5F" w:rsidRDefault="00BD6592" w:rsidP="00BD6592">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200" w:type="dxa"/>
            <w:tcBorders>
              <w:top w:val="nil"/>
              <w:left w:val="nil"/>
              <w:bottom w:val="nil"/>
              <w:right w:val="nil"/>
            </w:tcBorders>
            <w:shd w:val="clear" w:color="auto" w:fill="auto"/>
            <w:noWrap/>
            <w:vAlign w:val="center"/>
            <w:hideMark/>
          </w:tcPr>
          <w:p w14:paraId="4D0FFAFA" w14:textId="77777777" w:rsidR="00BD6592" w:rsidRPr="00EB5D5F" w:rsidRDefault="00BD6592" w:rsidP="00BD6592">
            <w:pPr>
              <w:suppressAutoHyphens w:val="0"/>
              <w:spacing w:line="240" w:lineRule="auto"/>
              <w:jc w:val="center"/>
              <w:rPr>
                <w:rFonts w:eastAsia="Times New Roman"/>
                <w:color w:val="000000"/>
                <w:sz w:val="18"/>
                <w:szCs w:val="18"/>
                <w:lang w:val="de-DE"/>
              </w:rPr>
            </w:pPr>
          </w:p>
        </w:tc>
        <w:tc>
          <w:tcPr>
            <w:tcW w:w="1437" w:type="dxa"/>
            <w:tcBorders>
              <w:top w:val="nil"/>
              <w:left w:val="nil"/>
              <w:bottom w:val="nil"/>
              <w:right w:val="nil"/>
            </w:tcBorders>
            <w:shd w:val="clear" w:color="auto" w:fill="auto"/>
            <w:noWrap/>
            <w:vAlign w:val="center"/>
            <w:hideMark/>
          </w:tcPr>
          <w:p w14:paraId="791C2820" w14:textId="77777777" w:rsidR="00BD6592" w:rsidRPr="00EB5D5F" w:rsidRDefault="00BD6592" w:rsidP="00BD6592">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683" w:type="dxa"/>
            <w:tcBorders>
              <w:top w:val="nil"/>
              <w:left w:val="nil"/>
              <w:bottom w:val="nil"/>
              <w:right w:val="nil"/>
            </w:tcBorders>
            <w:shd w:val="clear" w:color="auto" w:fill="auto"/>
            <w:noWrap/>
            <w:vAlign w:val="center"/>
            <w:hideMark/>
          </w:tcPr>
          <w:p w14:paraId="483C55A0" w14:textId="77777777" w:rsidR="00BD6592" w:rsidRPr="00EB5D5F" w:rsidRDefault="00BD6592" w:rsidP="00BD6592">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191" w:type="dxa"/>
            <w:tcBorders>
              <w:top w:val="nil"/>
              <w:left w:val="nil"/>
              <w:bottom w:val="nil"/>
              <w:right w:val="nil"/>
            </w:tcBorders>
            <w:shd w:val="clear" w:color="auto" w:fill="auto"/>
            <w:noWrap/>
            <w:vAlign w:val="center"/>
            <w:hideMark/>
          </w:tcPr>
          <w:p w14:paraId="4DADBAA8" w14:textId="77777777" w:rsidR="00BD6592" w:rsidRPr="00EB5D5F" w:rsidRDefault="00BD6592" w:rsidP="00BD6592">
            <w:pPr>
              <w:suppressAutoHyphens w:val="0"/>
              <w:spacing w:line="240" w:lineRule="auto"/>
              <w:jc w:val="center"/>
              <w:rPr>
                <w:rFonts w:eastAsia="Times New Roman"/>
                <w:color w:val="000000"/>
                <w:sz w:val="18"/>
                <w:szCs w:val="18"/>
                <w:lang w:val="de-DE"/>
              </w:rPr>
            </w:pPr>
          </w:p>
        </w:tc>
        <w:tc>
          <w:tcPr>
            <w:tcW w:w="516" w:type="dxa"/>
            <w:tcBorders>
              <w:top w:val="nil"/>
              <w:left w:val="nil"/>
              <w:bottom w:val="nil"/>
              <w:right w:val="nil"/>
            </w:tcBorders>
            <w:shd w:val="clear" w:color="auto" w:fill="auto"/>
            <w:noWrap/>
            <w:vAlign w:val="center"/>
            <w:hideMark/>
          </w:tcPr>
          <w:p w14:paraId="1CDEAF93" w14:textId="77777777" w:rsidR="00BD6592" w:rsidRPr="00EB5D5F" w:rsidRDefault="00BD6592" w:rsidP="00BD6592">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1524" w:type="dxa"/>
            <w:tcBorders>
              <w:top w:val="nil"/>
              <w:left w:val="nil"/>
              <w:bottom w:val="nil"/>
              <w:right w:val="nil"/>
            </w:tcBorders>
            <w:shd w:val="clear" w:color="auto" w:fill="auto"/>
            <w:noWrap/>
            <w:vAlign w:val="center"/>
            <w:hideMark/>
          </w:tcPr>
          <w:p w14:paraId="26026D80" w14:textId="77777777" w:rsidR="00BD6592" w:rsidRPr="00EB5D5F" w:rsidRDefault="00BD6592" w:rsidP="00BD6592">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r>
      <w:tr w:rsidR="00BD6592" w:rsidRPr="00EB5D5F" w14:paraId="1B00E95A" w14:textId="77777777" w:rsidTr="00115DF9">
        <w:trPr>
          <w:trHeight w:val="360"/>
        </w:trPr>
        <w:tc>
          <w:tcPr>
            <w:tcW w:w="2127" w:type="dxa"/>
            <w:tcBorders>
              <w:top w:val="nil"/>
              <w:left w:val="nil"/>
              <w:bottom w:val="nil"/>
              <w:right w:val="nil"/>
            </w:tcBorders>
            <w:shd w:val="clear" w:color="auto" w:fill="auto"/>
            <w:noWrap/>
            <w:vAlign w:val="center"/>
            <w:hideMark/>
          </w:tcPr>
          <w:p w14:paraId="29145D65" w14:textId="77777777" w:rsidR="00BD6592" w:rsidRPr="00EB5D5F" w:rsidRDefault="00BD6592" w:rsidP="00115DF9">
            <w:pPr>
              <w:suppressAutoHyphens w:val="0"/>
              <w:spacing w:line="240" w:lineRule="auto"/>
              <w:rPr>
                <w:rFonts w:eastAsia="Times New Roman"/>
                <w:color w:val="000000"/>
                <w:sz w:val="18"/>
                <w:szCs w:val="18"/>
                <w:lang w:val="de-DE"/>
              </w:rPr>
            </w:pPr>
            <w:r w:rsidRPr="00EB5D5F">
              <w:rPr>
                <w:rFonts w:eastAsia="Times New Roman"/>
                <w:color w:val="000000"/>
                <w:sz w:val="18"/>
                <w:szCs w:val="18"/>
                <w:lang w:val="de-DE"/>
              </w:rPr>
              <w:t>HC</w:t>
            </w:r>
          </w:p>
        </w:tc>
        <w:tc>
          <w:tcPr>
            <w:tcW w:w="850" w:type="dxa"/>
            <w:tcBorders>
              <w:top w:val="nil"/>
              <w:left w:val="nil"/>
              <w:bottom w:val="nil"/>
              <w:right w:val="nil"/>
            </w:tcBorders>
            <w:shd w:val="clear" w:color="auto" w:fill="auto"/>
            <w:noWrap/>
            <w:vAlign w:val="center"/>
            <w:hideMark/>
          </w:tcPr>
          <w:p w14:paraId="0D4FBE91"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701</w:t>
            </w:r>
          </w:p>
        </w:tc>
        <w:tc>
          <w:tcPr>
            <w:tcW w:w="1903" w:type="dxa"/>
            <w:tcBorders>
              <w:top w:val="nil"/>
              <w:left w:val="nil"/>
              <w:bottom w:val="nil"/>
              <w:right w:val="nil"/>
            </w:tcBorders>
            <w:shd w:val="clear" w:color="auto" w:fill="auto"/>
            <w:noWrap/>
            <w:vAlign w:val="center"/>
            <w:hideMark/>
          </w:tcPr>
          <w:p w14:paraId="474E701B"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xml:space="preserve">CTQ </w:t>
            </w:r>
            <w:proofErr w:type="spellStart"/>
            <w:r w:rsidRPr="00EB5D5F">
              <w:rPr>
                <w:rFonts w:eastAsia="Times New Roman"/>
                <w:color w:val="000000"/>
                <w:sz w:val="18"/>
                <w:szCs w:val="18"/>
                <w:lang w:val="de-DE"/>
              </w:rPr>
              <w:t>sum</w:t>
            </w:r>
            <w:proofErr w:type="spellEnd"/>
          </w:p>
        </w:tc>
        <w:tc>
          <w:tcPr>
            <w:tcW w:w="475" w:type="dxa"/>
            <w:tcBorders>
              <w:top w:val="nil"/>
              <w:left w:val="nil"/>
              <w:bottom w:val="nil"/>
              <w:right w:val="nil"/>
            </w:tcBorders>
            <w:shd w:val="clear" w:color="auto" w:fill="auto"/>
            <w:noWrap/>
            <w:vAlign w:val="center"/>
            <w:hideMark/>
          </w:tcPr>
          <w:p w14:paraId="272F94D3" w14:textId="77777777" w:rsidR="00BD6592" w:rsidRPr="00EB5D5F" w:rsidRDefault="00BD6592" w:rsidP="00BD6592">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1405" w:type="dxa"/>
            <w:tcBorders>
              <w:top w:val="nil"/>
              <w:left w:val="nil"/>
              <w:bottom w:val="nil"/>
              <w:right w:val="nil"/>
            </w:tcBorders>
            <w:shd w:val="clear" w:color="auto" w:fill="auto"/>
            <w:noWrap/>
            <w:vAlign w:val="center"/>
            <w:hideMark/>
          </w:tcPr>
          <w:p w14:paraId="676D3466" w14:textId="77777777" w:rsidR="00BD6592" w:rsidRPr="00EB5D5F" w:rsidRDefault="00BD6592" w:rsidP="00BD6592">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200" w:type="dxa"/>
            <w:tcBorders>
              <w:top w:val="nil"/>
              <w:left w:val="nil"/>
              <w:bottom w:val="nil"/>
              <w:right w:val="nil"/>
            </w:tcBorders>
            <w:shd w:val="clear" w:color="auto" w:fill="auto"/>
            <w:noWrap/>
            <w:vAlign w:val="center"/>
            <w:hideMark/>
          </w:tcPr>
          <w:p w14:paraId="63800D69" w14:textId="77777777" w:rsidR="00BD6592" w:rsidRPr="00EB5D5F" w:rsidRDefault="00BD6592" w:rsidP="00BD6592">
            <w:pPr>
              <w:suppressAutoHyphens w:val="0"/>
              <w:spacing w:line="240" w:lineRule="auto"/>
              <w:jc w:val="center"/>
              <w:rPr>
                <w:rFonts w:eastAsia="Times New Roman"/>
                <w:color w:val="000000"/>
                <w:sz w:val="18"/>
                <w:szCs w:val="18"/>
                <w:lang w:val="de-DE"/>
              </w:rPr>
            </w:pPr>
          </w:p>
        </w:tc>
        <w:tc>
          <w:tcPr>
            <w:tcW w:w="1040" w:type="dxa"/>
            <w:tcBorders>
              <w:top w:val="nil"/>
              <w:left w:val="nil"/>
              <w:bottom w:val="nil"/>
              <w:right w:val="nil"/>
            </w:tcBorders>
            <w:shd w:val="clear" w:color="auto" w:fill="auto"/>
            <w:noWrap/>
            <w:vAlign w:val="center"/>
            <w:hideMark/>
          </w:tcPr>
          <w:p w14:paraId="428F659D"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xml:space="preserve">1 </w:t>
            </w:r>
            <w:proofErr w:type="spellStart"/>
            <w:r w:rsidRPr="00EB5D5F">
              <w:rPr>
                <w:rFonts w:eastAsia="Times New Roman"/>
                <w:color w:val="000000"/>
                <w:sz w:val="18"/>
                <w:szCs w:val="18"/>
                <w:lang w:val="de-DE"/>
              </w:rPr>
              <w:t>cluster</w:t>
            </w:r>
            <w:proofErr w:type="spellEnd"/>
          </w:p>
        </w:tc>
        <w:tc>
          <w:tcPr>
            <w:tcW w:w="1040" w:type="dxa"/>
            <w:tcBorders>
              <w:top w:val="nil"/>
              <w:left w:val="nil"/>
              <w:bottom w:val="nil"/>
              <w:right w:val="nil"/>
            </w:tcBorders>
            <w:shd w:val="clear" w:color="auto" w:fill="auto"/>
            <w:noWrap/>
            <w:vAlign w:val="center"/>
            <w:hideMark/>
          </w:tcPr>
          <w:p w14:paraId="123A042A" w14:textId="77777777" w:rsidR="00BD6592" w:rsidRPr="00EB5D5F" w:rsidRDefault="00BD6592" w:rsidP="00BD6592">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240" w:type="dxa"/>
            <w:tcBorders>
              <w:top w:val="nil"/>
              <w:left w:val="nil"/>
              <w:bottom w:val="nil"/>
              <w:right w:val="nil"/>
            </w:tcBorders>
            <w:shd w:val="clear" w:color="auto" w:fill="auto"/>
            <w:noWrap/>
            <w:vAlign w:val="center"/>
            <w:hideMark/>
          </w:tcPr>
          <w:p w14:paraId="56BE87B6" w14:textId="77777777" w:rsidR="00BD6592" w:rsidRPr="00EB5D5F" w:rsidRDefault="00BD6592" w:rsidP="00BD6592">
            <w:pPr>
              <w:suppressAutoHyphens w:val="0"/>
              <w:spacing w:line="240" w:lineRule="auto"/>
              <w:jc w:val="center"/>
              <w:rPr>
                <w:rFonts w:eastAsia="Times New Roman"/>
                <w:color w:val="000000"/>
                <w:sz w:val="18"/>
                <w:szCs w:val="18"/>
                <w:lang w:val="de-DE"/>
              </w:rPr>
            </w:pPr>
          </w:p>
        </w:tc>
        <w:tc>
          <w:tcPr>
            <w:tcW w:w="648" w:type="dxa"/>
            <w:tcBorders>
              <w:top w:val="nil"/>
              <w:left w:val="nil"/>
              <w:bottom w:val="nil"/>
              <w:right w:val="nil"/>
            </w:tcBorders>
            <w:shd w:val="clear" w:color="auto" w:fill="auto"/>
            <w:noWrap/>
            <w:vAlign w:val="center"/>
            <w:hideMark/>
          </w:tcPr>
          <w:p w14:paraId="666943C1" w14:textId="77777777" w:rsidR="00BD6592" w:rsidRPr="00EB5D5F" w:rsidRDefault="00BD6592" w:rsidP="00BD6592">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912" w:type="dxa"/>
            <w:tcBorders>
              <w:top w:val="nil"/>
              <w:left w:val="nil"/>
              <w:bottom w:val="nil"/>
              <w:right w:val="nil"/>
            </w:tcBorders>
            <w:shd w:val="clear" w:color="auto" w:fill="auto"/>
            <w:noWrap/>
            <w:vAlign w:val="center"/>
            <w:hideMark/>
          </w:tcPr>
          <w:p w14:paraId="6F593FDE" w14:textId="77777777" w:rsidR="00BD6592" w:rsidRPr="00EB5D5F" w:rsidRDefault="00BD6592" w:rsidP="00BD6592">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200" w:type="dxa"/>
            <w:tcBorders>
              <w:top w:val="nil"/>
              <w:left w:val="nil"/>
              <w:bottom w:val="nil"/>
              <w:right w:val="nil"/>
            </w:tcBorders>
            <w:shd w:val="clear" w:color="auto" w:fill="auto"/>
            <w:noWrap/>
            <w:vAlign w:val="center"/>
            <w:hideMark/>
          </w:tcPr>
          <w:p w14:paraId="4DF4120C" w14:textId="77777777" w:rsidR="00BD6592" w:rsidRPr="00EB5D5F" w:rsidRDefault="00BD6592" w:rsidP="00BD6592">
            <w:pPr>
              <w:suppressAutoHyphens w:val="0"/>
              <w:spacing w:line="240" w:lineRule="auto"/>
              <w:jc w:val="center"/>
              <w:rPr>
                <w:rFonts w:eastAsia="Times New Roman"/>
                <w:color w:val="000000"/>
                <w:sz w:val="18"/>
                <w:szCs w:val="18"/>
                <w:lang w:val="de-DE"/>
              </w:rPr>
            </w:pPr>
          </w:p>
        </w:tc>
        <w:tc>
          <w:tcPr>
            <w:tcW w:w="1437" w:type="dxa"/>
            <w:tcBorders>
              <w:top w:val="nil"/>
              <w:left w:val="nil"/>
              <w:bottom w:val="nil"/>
              <w:right w:val="nil"/>
            </w:tcBorders>
            <w:shd w:val="clear" w:color="auto" w:fill="auto"/>
            <w:noWrap/>
            <w:vAlign w:val="center"/>
            <w:hideMark/>
          </w:tcPr>
          <w:p w14:paraId="27652D81" w14:textId="77777777" w:rsidR="00BD6592" w:rsidRPr="00EB5D5F" w:rsidRDefault="00BD6592" w:rsidP="00BD6592">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683" w:type="dxa"/>
            <w:tcBorders>
              <w:top w:val="nil"/>
              <w:left w:val="nil"/>
              <w:bottom w:val="nil"/>
              <w:right w:val="nil"/>
            </w:tcBorders>
            <w:shd w:val="clear" w:color="auto" w:fill="auto"/>
            <w:noWrap/>
            <w:vAlign w:val="center"/>
            <w:hideMark/>
          </w:tcPr>
          <w:p w14:paraId="6F8F6ADA" w14:textId="77777777" w:rsidR="00BD6592" w:rsidRPr="00EB5D5F" w:rsidRDefault="00BD6592" w:rsidP="00BD6592">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191" w:type="dxa"/>
            <w:tcBorders>
              <w:top w:val="nil"/>
              <w:left w:val="nil"/>
              <w:bottom w:val="nil"/>
              <w:right w:val="nil"/>
            </w:tcBorders>
            <w:shd w:val="clear" w:color="auto" w:fill="auto"/>
            <w:noWrap/>
            <w:vAlign w:val="center"/>
            <w:hideMark/>
          </w:tcPr>
          <w:p w14:paraId="6C0327DA" w14:textId="77777777" w:rsidR="00BD6592" w:rsidRPr="00EB5D5F" w:rsidRDefault="00BD6592" w:rsidP="00BD6592">
            <w:pPr>
              <w:suppressAutoHyphens w:val="0"/>
              <w:spacing w:line="240" w:lineRule="auto"/>
              <w:jc w:val="center"/>
              <w:rPr>
                <w:rFonts w:eastAsia="Times New Roman"/>
                <w:color w:val="000000"/>
                <w:sz w:val="18"/>
                <w:szCs w:val="18"/>
                <w:lang w:val="de-DE"/>
              </w:rPr>
            </w:pPr>
          </w:p>
        </w:tc>
        <w:tc>
          <w:tcPr>
            <w:tcW w:w="516" w:type="dxa"/>
            <w:tcBorders>
              <w:top w:val="nil"/>
              <w:left w:val="nil"/>
              <w:bottom w:val="nil"/>
              <w:right w:val="nil"/>
            </w:tcBorders>
            <w:shd w:val="clear" w:color="auto" w:fill="auto"/>
            <w:noWrap/>
            <w:vAlign w:val="center"/>
            <w:hideMark/>
          </w:tcPr>
          <w:p w14:paraId="501CBD5F" w14:textId="77777777" w:rsidR="00BD6592" w:rsidRPr="00EB5D5F" w:rsidRDefault="00BD6592" w:rsidP="00BD6592">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1524" w:type="dxa"/>
            <w:tcBorders>
              <w:top w:val="nil"/>
              <w:left w:val="nil"/>
              <w:bottom w:val="nil"/>
              <w:right w:val="nil"/>
            </w:tcBorders>
            <w:shd w:val="clear" w:color="auto" w:fill="auto"/>
            <w:noWrap/>
            <w:vAlign w:val="center"/>
            <w:hideMark/>
          </w:tcPr>
          <w:p w14:paraId="7999C3FE"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xml:space="preserve">3 </w:t>
            </w:r>
            <w:proofErr w:type="spellStart"/>
            <w:r w:rsidRPr="00EB5D5F">
              <w:rPr>
                <w:rFonts w:eastAsia="Times New Roman"/>
                <w:color w:val="000000"/>
                <w:sz w:val="18"/>
                <w:szCs w:val="18"/>
                <w:lang w:val="de-DE"/>
              </w:rPr>
              <w:t>clusters</w:t>
            </w:r>
            <w:proofErr w:type="spellEnd"/>
          </w:p>
        </w:tc>
      </w:tr>
      <w:tr w:rsidR="00BD6592" w:rsidRPr="00EB5D5F" w14:paraId="764A5C98" w14:textId="77777777" w:rsidTr="00115DF9">
        <w:trPr>
          <w:trHeight w:val="315"/>
        </w:trPr>
        <w:tc>
          <w:tcPr>
            <w:tcW w:w="2127" w:type="dxa"/>
            <w:tcBorders>
              <w:top w:val="nil"/>
              <w:left w:val="nil"/>
              <w:bottom w:val="nil"/>
              <w:right w:val="nil"/>
            </w:tcBorders>
            <w:shd w:val="clear" w:color="auto" w:fill="auto"/>
            <w:noWrap/>
            <w:vAlign w:val="center"/>
            <w:hideMark/>
          </w:tcPr>
          <w:p w14:paraId="0D04E1C3" w14:textId="77777777" w:rsidR="00BD6592" w:rsidRPr="00EB5D5F" w:rsidRDefault="00BD6592" w:rsidP="00115DF9">
            <w:pPr>
              <w:suppressAutoHyphens w:val="0"/>
              <w:spacing w:line="240" w:lineRule="auto"/>
              <w:rPr>
                <w:rFonts w:eastAsia="Times New Roman"/>
                <w:color w:val="000000"/>
                <w:sz w:val="18"/>
                <w:szCs w:val="18"/>
                <w:lang w:val="de-DE"/>
              </w:rPr>
            </w:pPr>
            <w:r w:rsidRPr="00EB5D5F">
              <w:rPr>
                <w:rFonts w:eastAsia="Times New Roman"/>
                <w:color w:val="000000"/>
                <w:sz w:val="18"/>
                <w:szCs w:val="18"/>
                <w:lang w:val="de-DE"/>
              </w:rPr>
              <w:t>MDD</w:t>
            </w:r>
          </w:p>
        </w:tc>
        <w:tc>
          <w:tcPr>
            <w:tcW w:w="850" w:type="dxa"/>
            <w:tcBorders>
              <w:top w:val="nil"/>
              <w:left w:val="nil"/>
              <w:bottom w:val="nil"/>
              <w:right w:val="nil"/>
            </w:tcBorders>
            <w:shd w:val="clear" w:color="auto" w:fill="auto"/>
            <w:noWrap/>
            <w:vAlign w:val="center"/>
            <w:hideMark/>
          </w:tcPr>
          <w:p w14:paraId="0F55B4EF" w14:textId="70DC5636" w:rsidR="00BD6592" w:rsidRPr="00EB5D5F" w:rsidRDefault="00115DF9"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624</w:t>
            </w:r>
          </w:p>
        </w:tc>
        <w:tc>
          <w:tcPr>
            <w:tcW w:w="1903" w:type="dxa"/>
            <w:tcBorders>
              <w:top w:val="nil"/>
              <w:left w:val="nil"/>
              <w:bottom w:val="nil"/>
              <w:right w:val="nil"/>
            </w:tcBorders>
            <w:shd w:val="clear" w:color="auto" w:fill="auto"/>
            <w:noWrap/>
            <w:vAlign w:val="center"/>
            <w:hideMark/>
          </w:tcPr>
          <w:p w14:paraId="660AE60D"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xml:space="preserve">CTQ </w:t>
            </w:r>
            <w:proofErr w:type="spellStart"/>
            <w:r w:rsidRPr="00EB5D5F">
              <w:rPr>
                <w:rFonts w:eastAsia="Times New Roman"/>
                <w:color w:val="000000"/>
                <w:sz w:val="18"/>
                <w:szCs w:val="18"/>
                <w:lang w:val="de-DE"/>
              </w:rPr>
              <w:t>sum</w:t>
            </w:r>
            <w:proofErr w:type="spellEnd"/>
          </w:p>
        </w:tc>
        <w:tc>
          <w:tcPr>
            <w:tcW w:w="475" w:type="dxa"/>
            <w:tcBorders>
              <w:top w:val="nil"/>
              <w:left w:val="nil"/>
              <w:bottom w:val="nil"/>
              <w:right w:val="nil"/>
            </w:tcBorders>
            <w:shd w:val="clear" w:color="auto" w:fill="auto"/>
            <w:noWrap/>
            <w:vAlign w:val="center"/>
            <w:hideMark/>
          </w:tcPr>
          <w:p w14:paraId="4B286786" w14:textId="77777777" w:rsidR="00BD6592" w:rsidRPr="00EB5D5F" w:rsidRDefault="00BD6592" w:rsidP="00BD6592">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1405" w:type="dxa"/>
            <w:tcBorders>
              <w:top w:val="nil"/>
              <w:left w:val="nil"/>
              <w:bottom w:val="nil"/>
              <w:right w:val="nil"/>
            </w:tcBorders>
            <w:shd w:val="clear" w:color="auto" w:fill="auto"/>
            <w:noWrap/>
            <w:vAlign w:val="center"/>
            <w:hideMark/>
          </w:tcPr>
          <w:p w14:paraId="6818619C"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xml:space="preserve">3 </w:t>
            </w:r>
            <w:proofErr w:type="spellStart"/>
            <w:r w:rsidRPr="00EB5D5F">
              <w:rPr>
                <w:rFonts w:eastAsia="Times New Roman"/>
                <w:color w:val="000000"/>
                <w:sz w:val="18"/>
                <w:szCs w:val="18"/>
                <w:lang w:val="de-DE"/>
              </w:rPr>
              <w:t>clusters</w:t>
            </w:r>
            <w:proofErr w:type="spellEnd"/>
          </w:p>
        </w:tc>
        <w:tc>
          <w:tcPr>
            <w:tcW w:w="200" w:type="dxa"/>
            <w:tcBorders>
              <w:top w:val="nil"/>
              <w:left w:val="nil"/>
              <w:bottom w:val="nil"/>
              <w:right w:val="nil"/>
            </w:tcBorders>
            <w:shd w:val="clear" w:color="auto" w:fill="auto"/>
            <w:noWrap/>
            <w:vAlign w:val="center"/>
            <w:hideMark/>
          </w:tcPr>
          <w:p w14:paraId="0A658706" w14:textId="77777777" w:rsidR="00BD6592" w:rsidRPr="00EB5D5F" w:rsidRDefault="00BD6592" w:rsidP="00BD6592">
            <w:pPr>
              <w:suppressAutoHyphens w:val="0"/>
              <w:spacing w:line="240" w:lineRule="auto"/>
              <w:jc w:val="center"/>
              <w:rPr>
                <w:rFonts w:eastAsia="Times New Roman"/>
                <w:color w:val="000000"/>
                <w:sz w:val="18"/>
                <w:szCs w:val="18"/>
                <w:lang w:val="de-DE"/>
              </w:rPr>
            </w:pPr>
          </w:p>
        </w:tc>
        <w:tc>
          <w:tcPr>
            <w:tcW w:w="1040" w:type="dxa"/>
            <w:tcBorders>
              <w:top w:val="nil"/>
              <w:left w:val="nil"/>
              <w:bottom w:val="nil"/>
              <w:right w:val="nil"/>
            </w:tcBorders>
            <w:shd w:val="clear" w:color="auto" w:fill="auto"/>
            <w:noWrap/>
            <w:vAlign w:val="center"/>
            <w:hideMark/>
          </w:tcPr>
          <w:p w14:paraId="73F9B37D" w14:textId="77777777" w:rsidR="00BD6592" w:rsidRPr="00EB5D5F" w:rsidRDefault="00BD6592" w:rsidP="00BD6592">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1040" w:type="dxa"/>
            <w:tcBorders>
              <w:top w:val="nil"/>
              <w:left w:val="nil"/>
              <w:bottom w:val="nil"/>
              <w:right w:val="nil"/>
            </w:tcBorders>
            <w:shd w:val="clear" w:color="auto" w:fill="auto"/>
            <w:noWrap/>
            <w:vAlign w:val="center"/>
            <w:hideMark/>
          </w:tcPr>
          <w:p w14:paraId="4D67B919" w14:textId="77777777" w:rsidR="00BD6592" w:rsidRPr="00EB5D5F" w:rsidRDefault="00BD6592" w:rsidP="00BD6592">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240" w:type="dxa"/>
            <w:tcBorders>
              <w:top w:val="nil"/>
              <w:left w:val="nil"/>
              <w:bottom w:val="nil"/>
              <w:right w:val="nil"/>
            </w:tcBorders>
            <w:shd w:val="clear" w:color="auto" w:fill="auto"/>
            <w:noWrap/>
            <w:vAlign w:val="center"/>
            <w:hideMark/>
          </w:tcPr>
          <w:p w14:paraId="1F34C322" w14:textId="77777777" w:rsidR="00BD6592" w:rsidRPr="00EB5D5F" w:rsidRDefault="00BD6592" w:rsidP="00BD6592">
            <w:pPr>
              <w:suppressAutoHyphens w:val="0"/>
              <w:spacing w:line="240" w:lineRule="auto"/>
              <w:jc w:val="center"/>
              <w:rPr>
                <w:rFonts w:eastAsia="Times New Roman"/>
                <w:color w:val="000000"/>
                <w:sz w:val="18"/>
                <w:szCs w:val="18"/>
                <w:lang w:val="de-DE"/>
              </w:rPr>
            </w:pPr>
          </w:p>
        </w:tc>
        <w:tc>
          <w:tcPr>
            <w:tcW w:w="648" w:type="dxa"/>
            <w:tcBorders>
              <w:top w:val="nil"/>
              <w:left w:val="nil"/>
              <w:bottom w:val="nil"/>
              <w:right w:val="nil"/>
            </w:tcBorders>
            <w:shd w:val="clear" w:color="auto" w:fill="auto"/>
            <w:noWrap/>
            <w:vAlign w:val="center"/>
            <w:hideMark/>
          </w:tcPr>
          <w:p w14:paraId="462EBB07" w14:textId="77777777" w:rsidR="00BD6592" w:rsidRPr="00EB5D5F" w:rsidRDefault="00BD6592" w:rsidP="00BD6592">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912" w:type="dxa"/>
            <w:tcBorders>
              <w:top w:val="nil"/>
              <w:left w:val="nil"/>
              <w:bottom w:val="nil"/>
              <w:right w:val="nil"/>
            </w:tcBorders>
            <w:shd w:val="clear" w:color="auto" w:fill="auto"/>
            <w:noWrap/>
            <w:vAlign w:val="center"/>
            <w:hideMark/>
          </w:tcPr>
          <w:p w14:paraId="09C9E6EB" w14:textId="77777777" w:rsidR="00BD6592" w:rsidRPr="00EB5D5F" w:rsidRDefault="00BD6592" w:rsidP="00BD6592">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200" w:type="dxa"/>
            <w:tcBorders>
              <w:top w:val="nil"/>
              <w:left w:val="nil"/>
              <w:bottom w:val="nil"/>
              <w:right w:val="nil"/>
            </w:tcBorders>
            <w:shd w:val="clear" w:color="auto" w:fill="auto"/>
            <w:noWrap/>
            <w:vAlign w:val="center"/>
            <w:hideMark/>
          </w:tcPr>
          <w:p w14:paraId="21AC8403" w14:textId="77777777" w:rsidR="00BD6592" w:rsidRPr="00EB5D5F" w:rsidRDefault="00BD6592" w:rsidP="00BD6592">
            <w:pPr>
              <w:suppressAutoHyphens w:val="0"/>
              <w:spacing w:line="240" w:lineRule="auto"/>
              <w:jc w:val="center"/>
              <w:rPr>
                <w:rFonts w:eastAsia="Times New Roman"/>
                <w:color w:val="000000"/>
                <w:sz w:val="18"/>
                <w:szCs w:val="18"/>
                <w:lang w:val="de-DE"/>
              </w:rPr>
            </w:pPr>
          </w:p>
        </w:tc>
        <w:tc>
          <w:tcPr>
            <w:tcW w:w="1437" w:type="dxa"/>
            <w:tcBorders>
              <w:top w:val="nil"/>
              <w:left w:val="nil"/>
              <w:bottom w:val="nil"/>
              <w:right w:val="nil"/>
            </w:tcBorders>
            <w:shd w:val="clear" w:color="auto" w:fill="auto"/>
            <w:noWrap/>
            <w:vAlign w:val="center"/>
            <w:hideMark/>
          </w:tcPr>
          <w:p w14:paraId="72513B3B" w14:textId="77777777" w:rsidR="00BD6592" w:rsidRPr="00EB5D5F" w:rsidRDefault="00BD6592" w:rsidP="00BD6592">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683" w:type="dxa"/>
            <w:tcBorders>
              <w:top w:val="nil"/>
              <w:left w:val="nil"/>
              <w:bottom w:val="nil"/>
              <w:right w:val="nil"/>
            </w:tcBorders>
            <w:shd w:val="clear" w:color="auto" w:fill="auto"/>
            <w:noWrap/>
            <w:vAlign w:val="center"/>
            <w:hideMark/>
          </w:tcPr>
          <w:p w14:paraId="315A45F6" w14:textId="77777777" w:rsidR="00BD6592" w:rsidRPr="00EB5D5F" w:rsidRDefault="00BD6592" w:rsidP="00BD6592">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191" w:type="dxa"/>
            <w:tcBorders>
              <w:top w:val="nil"/>
              <w:left w:val="nil"/>
              <w:bottom w:val="nil"/>
              <w:right w:val="nil"/>
            </w:tcBorders>
            <w:shd w:val="clear" w:color="auto" w:fill="auto"/>
            <w:noWrap/>
            <w:vAlign w:val="center"/>
            <w:hideMark/>
          </w:tcPr>
          <w:p w14:paraId="6F3ACE33" w14:textId="77777777" w:rsidR="00BD6592" w:rsidRPr="00EB5D5F" w:rsidRDefault="00BD6592" w:rsidP="00BD6592">
            <w:pPr>
              <w:suppressAutoHyphens w:val="0"/>
              <w:spacing w:line="240" w:lineRule="auto"/>
              <w:jc w:val="center"/>
              <w:rPr>
                <w:rFonts w:eastAsia="Times New Roman"/>
                <w:color w:val="000000"/>
                <w:sz w:val="18"/>
                <w:szCs w:val="18"/>
                <w:lang w:val="de-DE"/>
              </w:rPr>
            </w:pPr>
          </w:p>
        </w:tc>
        <w:tc>
          <w:tcPr>
            <w:tcW w:w="516" w:type="dxa"/>
            <w:tcBorders>
              <w:top w:val="nil"/>
              <w:left w:val="nil"/>
              <w:bottom w:val="nil"/>
              <w:right w:val="nil"/>
            </w:tcBorders>
            <w:shd w:val="clear" w:color="auto" w:fill="auto"/>
            <w:noWrap/>
            <w:vAlign w:val="center"/>
            <w:hideMark/>
          </w:tcPr>
          <w:p w14:paraId="3E056095" w14:textId="77777777" w:rsidR="00BD6592" w:rsidRPr="00EB5D5F" w:rsidRDefault="00BD6592" w:rsidP="00BD6592">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1524" w:type="dxa"/>
            <w:tcBorders>
              <w:top w:val="nil"/>
              <w:left w:val="nil"/>
              <w:bottom w:val="nil"/>
              <w:right w:val="nil"/>
            </w:tcBorders>
            <w:shd w:val="clear" w:color="auto" w:fill="auto"/>
            <w:noWrap/>
            <w:vAlign w:val="center"/>
            <w:hideMark/>
          </w:tcPr>
          <w:p w14:paraId="6F56F6E3" w14:textId="77777777" w:rsidR="00BD6592" w:rsidRPr="00EB5D5F" w:rsidRDefault="00BD6592" w:rsidP="00BD6592">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r>
      <w:tr w:rsidR="00BD6592" w:rsidRPr="00EB5D5F" w14:paraId="4500CFD6" w14:textId="77777777" w:rsidTr="00115DF9">
        <w:trPr>
          <w:trHeight w:val="300"/>
        </w:trPr>
        <w:tc>
          <w:tcPr>
            <w:tcW w:w="2127" w:type="dxa"/>
            <w:tcBorders>
              <w:top w:val="single" w:sz="4" w:space="0" w:color="auto"/>
              <w:left w:val="nil"/>
              <w:bottom w:val="single" w:sz="4" w:space="0" w:color="auto"/>
              <w:right w:val="nil"/>
            </w:tcBorders>
            <w:shd w:val="clear" w:color="auto" w:fill="auto"/>
            <w:noWrap/>
            <w:vAlign w:val="center"/>
            <w:hideMark/>
          </w:tcPr>
          <w:p w14:paraId="7AED6978" w14:textId="469ED7A2" w:rsidR="00BD6592" w:rsidRPr="00EB5D5F" w:rsidRDefault="00040907" w:rsidP="00115DF9">
            <w:pPr>
              <w:suppressAutoHyphens w:val="0"/>
              <w:spacing w:line="240" w:lineRule="auto"/>
              <w:rPr>
                <w:rFonts w:eastAsia="Times New Roman"/>
                <w:b/>
                <w:bCs/>
                <w:i/>
                <w:iCs/>
                <w:color w:val="000000"/>
                <w:sz w:val="18"/>
                <w:szCs w:val="18"/>
                <w:lang w:val="de-DE"/>
              </w:rPr>
            </w:pPr>
            <w:proofErr w:type="spellStart"/>
            <w:r w:rsidRPr="00EB5D5F">
              <w:rPr>
                <w:rFonts w:eastAsia="Times New Roman"/>
                <w:b/>
                <w:bCs/>
                <w:i/>
                <w:iCs/>
                <w:color w:val="000000"/>
                <w:sz w:val="18"/>
                <w:szCs w:val="18"/>
                <w:lang w:val="de-DE"/>
              </w:rPr>
              <w:t>Secondary</w:t>
            </w:r>
            <w:proofErr w:type="spellEnd"/>
            <w:r w:rsidR="00BD6592" w:rsidRPr="00EB5D5F">
              <w:rPr>
                <w:rFonts w:eastAsia="Times New Roman"/>
                <w:b/>
                <w:bCs/>
                <w:i/>
                <w:iCs/>
                <w:color w:val="000000"/>
                <w:sz w:val="18"/>
                <w:szCs w:val="18"/>
                <w:lang w:val="de-DE"/>
              </w:rPr>
              <w:t xml:space="preserve"> </w:t>
            </w:r>
            <w:proofErr w:type="spellStart"/>
            <w:r w:rsidR="00BD6592" w:rsidRPr="00EB5D5F">
              <w:rPr>
                <w:rFonts w:eastAsia="Times New Roman"/>
                <w:b/>
                <w:bCs/>
                <w:i/>
                <w:iCs/>
                <w:color w:val="000000"/>
                <w:sz w:val="18"/>
                <w:szCs w:val="18"/>
                <w:lang w:val="de-DE"/>
              </w:rPr>
              <w:t>analyses</w:t>
            </w:r>
            <w:proofErr w:type="spellEnd"/>
          </w:p>
        </w:tc>
        <w:tc>
          <w:tcPr>
            <w:tcW w:w="850" w:type="dxa"/>
            <w:tcBorders>
              <w:top w:val="single" w:sz="4" w:space="0" w:color="auto"/>
              <w:left w:val="nil"/>
              <w:bottom w:val="single" w:sz="4" w:space="0" w:color="auto"/>
              <w:right w:val="nil"/>
            </w:tcBorders>
            <w:shd w:val="clear" w:color="auto" w:fill="auto"/>
            <w:noWrap/>
            <w:vAlign w:val="center"/>
            <w:hideMark/>
          </w:tcPr>
          <w:p w14:paraId="00F419E8" w14:textId="77777777" w:rsidR="00BD6592" w:rsidRPr="00EB5D5F" w:rsidRDefault="00BD6592" w:rsidP="00BD6592">
            <w:pPr>
              <w:suppressAutoHyphens w:val="0"/>
              <w:spacing w:line="240" w:lineRule="auto"/>
              <w:jc w:val="center"/>
              <w:rPr>
                <w:rFonts w:eastAsia="Times New Roman"/>
                <w:b/>
                <w:bCs/>
                <w:i/>
                <w:iCs/>
                <w:color w:val="000000"/>
                <w:sz w:val="18"/>
                <w:szCs w:val="18"/>
                <w:lang w:val="de-DE"/>
              </w:rPr>
            </w:pPr>
            <w:r w:rsidRPr="00EB5D5F">
              <w:rPr>
                <w:rFonts w:eastAsia="Times New Roman"/>
                <w:b/>
                <w:bCs/>
                <w:i/>
                <w:iCs/>
                <w:color w:val="000000"/>
                <w:sz w:val="18"/>
                <w:szCs w:val="18"/>
                <w:lang w:val="de-DE"/>
              </w:rPr>
              <w:t> </w:t>
            </w:r>
          </w:p>
        </w:tc>
        <w:tc>
          <w:tcPr>
            <w:tcW w:w="1903" w:type="dxa"/>
            <w:tcBorders>
              <w:top w:val="single" w:sz="4" w:space="0" w:color="auto"/>
              <w:left w:val="nil"/>
              <w:bottom w:val="single" w:sz="4" w:space="0" w:color="auto"/>
              <w:right w:val="nil"/>
            </w:tcBorders>
            <w:shd w:val="clear" w:color="auto" w:fill="auto"/>
            <w:noWrap/>
            <w:vAlign w:val="center"/>
            <w:hideMark/>
          </w:tcPr>
          <w:p w14:paraId="2F928FC1"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w:t>
            </w:r>
          </w:p>
        </w:tc>
        <w:tc>
          <w:tcPr>
            <w:tcW w:w="475" w:type="dxa"/>
            <w:tcBorders>
              <w:top w:val="single" w:sz="4" w:space="0" w:color="auto"/>
              <w:left w:val="nil"/>
              <w:bottom w:val="single" w:sz="4" w:space="0" w:color="auto"/>
              <w:right w:val="nil"/>
            </w:tcBorders>
            <w:shd w:val="clear" w:color="auto" w:fill="auto"/>
            <w:noWrap/>
            <w:vAlign w:val="center"/>
            <w:hideMark/>
          </w:tcPr>
          <w:p w14:paraId="24A1BAFB"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w:t>
            </w:r>
          </w:p>
        </w:tc>
        <w:tc>
          <w:tcPr>
            <w:tcW w:w="1405" w:type="dxa"/>
            <w:tcBorders>
              <w:top w:val="single" w:sz="4" w:space="0" w:color="auto"/>
              <w:left w:val="nil"/>
              <w:bottom w:val="single" w:sz="4" w:space="0" w:color="auto"/>
              <w:right w:val="nil"/>
            </w:tcBorders>
            <w:shd w:val="clear" w:color="auto" w:fill="auto"/>
            <w:noWrap/>
            <w:vAlign w:val="center"/>
            <w:hideMark/>
          </w:tcPr>
          <w:p w14:paraId="6B8EE252"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w:t>
            </w:r>
          </w:p>
        </w:tc>
        <w:tc>
          <w:tcPr>
            <w:tcW w:w="200" w:type="dxa"/>
            <w:tcBorders>
              <w:top w:val="single" w:sz="4" w:space="0" w:color="auto"/>
              <w:left w:val="nil"/>
              <w:bottom w:val="single" w:sz="4" w:space="0" w:color="auto"/>
              <w:right w:val="nil"/>
            </w:tcBorders>
            <w:shd w:val="clear" w:color="auto" w:fill="auto"/>
            <w:noWrap/>
            <w:vAlign w:val="center"/>
            <w:hideMark/>
          </w:tcPr>
          <w:p w14:paraId="638D4FA6"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w:t>
            </w:r>
          </w:p>
        </w:tc>
        <w:tc>
          <w:tcPr>
            <w:tcW w:w="1040" w:type="dxa"/>
            <w:tcBorders>
              <w:top w:val="single" w:sz="4" w:space="0" w:color="auto"/>
              <w:left w:val="nil"/>
              <w:bottom w:val="single" w:sz="4" w:space="0" w:color="auto"/>
              <w:right w:val="nil"/>
            </w:tcBorders>
            <w:shd w:val="clear" w:color="auto" w:fill="auto"/>
            <w:noWrap/>
            <w:vAlign w:val="center"/>
            <w:hideMark/>
          </w:tcPr>
          <w:p w14:paraId="3F356C18"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w:t>
            </w:r>
          </w:p>
        </w:tc>
        <w:tc>
          <w:tcPr>
            <w:tcW w:w="1040" w:type="dxa"/>
            <w:tcBorders>
              <w:top w:val="single" w:sz="4" w:space="0" w:color="auto"/>
              <w:left w:val="nil"/>
              <w:bottom w:val="single" w:sz="4" w:space="0" w:color="auto"/>
              <w:right w:val="nil"/>
            </w:tcBorders>
            <w:shd w:val="clear" w:color="auto" w:fill="auto"/>
            <w:noWrap/>
            <w:vAlign w:val="center"/>
            <w:hideMark/>
          </w:tcPr>
          <w:p w14:paraId="7F80B7EC"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w:t>
            </w:r>
          </w:p>
        </w:tc>
        <w:tc>
          <w:tcPr>
            <w:tcW w:w="240" w:type="dxa"/>
            <w:tcBorders>
              <w:top w:val="single" w:sz="4" w:space="0" w:color="auto"/>
              <w:left w:val="nil"/>
              <w:bottom w:val="single" w:sz="4" w:space="0" w:color="auto"/>
              <w:right w:val="nil"/>
            </w:tcBorders>
            <w:shd w:val="clear" w:color="auto" w:fill="auto"/>
            <w:noWrap/>
            <w:vAlign w:val="center"/>
            <w:hideMark/>
          </w:tcPr>
          <w:p w14:paraId="081CC576"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w:t>
            </w:r>
          </w:p>
        </w:tc>
        <w:tc>
          <w:tcPr>
            <w:tcW w:w="648" w:type="dxa"/>
            <w:tcBorders>
              <w:top w:val="single" w:sz="4" w:space="0" w:color="auto"/>
              <w:left w:val="nil"/>
              <w:bottom w:val="single" w:sz="4" w:space="0" w:color="auto"/>
              <w:right w:val="nil"/>
            </w:tcBorders>
            <w:shd w:val="clear" w:color="auto" w:fill="auto"/>
            <w:noWrap/>
            <w:vAlign w:val="center"/>
            <w:hideMark/>
          </w:tcPr>
          <w:p w14:paraId="52CFE28F"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w:t>
            </w:r>
          </w:p>
        </w:tc>
        <w:tc>
          <w:tcPr>
            <w:tcW w:w="912" w:type="dxa"/>
            <w:tcBorders>
              <w:top w:val="single" w:sz="4" w:space="0" w:color="auto"/>
              <w:left w:val="nil"/>
              <w:bottom w:val="single" w:sz="4" w:space="0" w:color="auto"/>
              <w:right w:val="nil"/>
            </w:tcBorders>
            <w:shd w:val="clear" w:color="auto" w:fill="auto"/>
            <w:noWrap/>
            <w:vAlign w:val="center"/>
            <w:hideMark/>
          </w:tcPr>
          <w:p w14:paraId="0C33659D"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w:t>
            </w:r>
          </w:p>
        </w:tc>
        <w:tc>
          <w:tcPr>
            <w:tcW w:w="200" w:type="dxa"/>
            <w:tcBorders>
              <w:top w:val="single" w:sz="4" w:space="0" w:color="auto"/>
              <w:left w:val="nil"/>
              <w:bottom w:val="single" w:sz="4" w:space="0" w:color="auto"/>
              <w:right w:val="nil"/>
            </w:tcBorders>
            <w:shd w:val="clear" w:color="auto" w:fill="auto"/>
            <w:noWrap/>
            <w:vAlign w:val="center"/>
            <w:hideMark/>
          </w:tcPr>
          <w:p w14:paraId="2ACDED76"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w:t>
            </w:r>
          </w:p>
        </w:tc>
        <w:tc>
          <w:tcPr>
            <w:tcW w:w="1437" w:type="dxa"/>
            <w:tcBorders>
              <w:top w:val="single" w:sz="4" w:space="0" w:color="auto"/>
              <w:left w:val="nil"/>
              <w:bottom w:val="single" w:sz="4" w:space="0" w:color="auto"/>
              <w:right w:val="nil"/>
            </w:tcBorders>
            <w:shd w:val="clear" w:color="auto" w:fill="auto"/>
            <w:noWrap/>
            <w:vAlign w:val="center"/>
            <w:hideMark/>
          </w:tcPr>
          <w:p w14:paraId="391B8EE6"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w:t>
            </w:r>
          </w:p>
        </w:tc>
        <w:tc>
          <w:tcPr>
            <w:tcW w:w="683" w:type="dxa"/>
            <w:tcBorders>
              <w:top w:val="single" w:sz="4" w:space="0" w:color="auto"/>
              <w:left w:val="nil"/>
              <w:bottom w:val="single" w:sz="4" w:space="0" w:color="auto"/>
              <w:right w:val="nil"/>
            </w:tcBorders>
            <w:shd w:val="clear" w:color="auto" w:fill="auto"/>
            <w:noWrap/>
            <w:vAlign w:val="center"/>
            <w:hideMark/>
          </w:tcPr>
          <w:p w14:paraId="7145EEE2"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w:t>
            </w:r>
          </w:p>
        </w:tc>
        <w:tc>
          <w:tcPr>
            <w:tcW w:w="191" w:type="dxa"/>
            <w:tcBorders>
              <w:top w:val="single" w:sz="4" w:space="0" w:color="auto"/>
              <w:left w:val="nil"/>
              <w:bottom w:val="single" w:sz="4" w:space="0" w:color="auto"/>
              <w:right w:val="nil"/>
            </w:tcBorders>
            <w:shd w:val="clear" w:color="auto" w:fill="auto"/>
            <w:noWrap/>
            <w:vAlign w:val="center"/>
            <w:hideMark/>
          </w:tcPr>
          <w:p w14:paraId="22EA526F"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w:t>
            </w:r>
          </w:p>
        </w:tc>
        <w:tc>
          <w:tcPr>
            <w:tcW w:w="516" w:type="dxa"/>
            <w:tcBorders>
              <w:top w:val="single" w:sz="4" w:space="0" w:color="auto"/>
              <w:left w:val="nil"/>
              <w:bottom w:val="single" w:sz="4" w:space="0" w:color="auto"/>
              <w:right w:val="nil"/>
            </w:tcBorders>
            <w:shd w:val="clear" w:color="auto" w:fill="auto"/>
            <w:noWrap/>
            <w:vAlign w:val="center"/>
            <w:hideMark/>
          </w:tcPr>
          <w:p w14:paraId="12692965"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w:t>
            </w:r>
          </w:p>
        </w:tc>
        <w:tc>
          <w:tcPr>
            <w:tcW w:w="1524" w:type="dxa"/>
            <w:tcBorders>
              <w:top w:val="single" w:sz="4" w:space="0" w:color="auto"/>
              <w:left w:val="nil"/>
              <w:bottom w:val="single" w:sz="4" w:space="0" w:color="auto"/>
              <w:right w:val="nil"/>
            </w:tcBorders>
            <w:shd w:val="clear" w:color="auto" w:fill="auto"/>
            <w:noWrap/>
            <w:vAlign w:val="center"/>
            <w:hideMark/>
          </w:tcPr>
          <w:p w14:paraId="6765BC97" w14:textId="77777777" w:rsidR="00BD6592" w:rsidRPr="00EB5D5F" w:rsidRDefault="00BD6592" w:rsidP="00BD6592">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w:t>
            </w:r>
          </w:p>
        </w:tc>
      </w:tr>
      <w:tr w:rsidR="00115DF9" w:rsidRPr="00EB5D5F" w14:paraId="465AE550" w14:textId="77777777" w:rsidTr="00115DF9">
        <w:trPr>
          <w:trHeight w:val="300"/>
        </w:trPr>
        <w:tc>
          <w:tcPr>
            <w:tcW w:w="2127" w:type="dxa"/>
            <w:tcBorders>
              <w:top w:val="single" w:sz="4" w:space="0" w:color="auto"/>
              <w:left w:val="nil"/>
              <w:right w:val="nil"/>
            </w:tcBorders>
            <w:shd w:val="clear" w:color="auto" w:fill="auto"/>
            <w:noWrap/>
            <w:vAlign w:val="center"/>
          </w:tcPr>
          <w:p w14:paraId="1A03DA3A" w14:textId="2DFF5913" w:rsidR="00115DF9" w:rsidRPr="00EB5D5F" w:rsidRDefault="00115DF9" w:rsidP="00115DF9">
            <w:pPr>
              <w:suppressAutoHyphens w:val="0"/>
              <w:spacing w:line="240" w:lineRule="auto"/>
              <w:rPr>
                <w:rFonts w:eastAsia="Times New Roman"/>
                <w:b/>
                <w:bCs/>
                <w:i/>
                <w:iCs/>
                <w:color w:val="000000"/>
                <w:sz w:val="18"/>
                <w:szCs w:val="18"/>
                <w:lang w:val="de-DE"/>
              </w:rPr>
            </w:pPr>
            <w:r w:rsidRPr="00EB5D5F">
              <w:rPr>
                <w:rFonts w:eastAsia="Times New Roman"/>
                <w:color w:val="000000"/>
                <w:sz w:val="18"/>
                <w:szCs w:val="18"/>
                <w:lang w:val="de-DE"/>
              </w:rPr>
              <w:t xml:space="preserve">MDD </w:t>
            </w:r>
            <w:proofErr w:type="spellStart"/>
            <w:r w:rsidRPr="00EB5D5F">
              <w:rPr>
                <w:rFonts w:eastAsia="Times New Roman"/>
                <w:color w:val="000000"/>
                <w:sz w:val="18"/>
                <w:szCs w:val="18"/>
                <w:lang w:val="de-DE"/>
              </w:rPr>
              <w:t>acute</w:t>
            </w:r>
            <w:proofErr w:type="spellEnd"/>
          </w:p>
        </w:tc>
        <w:tc>
          <w:tcPr>
            <w:tcW w:w="850" w:type="dxa"/>
            <w:tcBorders>
              <w:top w:val="single" w:sz="4" w:space="0" w:color="auto"/>
              <w:left w:val="nil"/>
              <w:right w:val="nil"/>
            </w:tcBorders>
            <w:shd w:val="clear" w:color="auto" w:fill="auto"/>
            <w:noWrap/>
            <w:vAlign w:val="center"/>
          </w:tcPr>
          <w:p w14:paraId="20D7B1F9" w14:textId="3808F0F7" w:rsidR="00115DF9" w:rsidRPr="00EB5D5F" w:rsidRDefault="00115DF9" w:rsidP="00115DF9">
            <w:pPr>
              <w:suppressAutoHyphens w:val="0"/>
              <w:spacing w:line="240" w:lineRule="auto"/>
              <w:jc w:val="center"/>
              <w:rPr>
                <w:rFonts w:eastAsia="Times New Roman"/>
                <w:b/>
                <w:bCs/>
                <w:i/>
                <w:iCs/>
                <w:color w:val="000000"/>
                <w:sz w:val="18"/>
                <w:szCs w:val="18"/>
                <w:lang w:val="de-DE"/>
              </w:rPr>
            </w:pPr>
            <w:r w:rsidRPr="00EB5D5F">
              <w:rPr>
                <w:rFonts w:eastAsia="Times New Roman"/>
                <w:color w:val="000000"/>
                <w:sz w:val="18"/>
                <w:szCs w:val="18"/>
                <w:lang w:val="de-DE"/>
              </w:rPr>
              <w:t>264</w:t>
            </w:r>
          </w:p>
        </w:tc>
        <w:tc>
          <w:tcPr>
            <w:tcW w:w="1903" w:type="dxa"/>
            <w:tcBorders>
              <w:top w:val="single" w:sz="4" w:space="0" w:color="auto"/>
              <w:left w:val="nil"/>
              <w:right w:val="nil"/>
            </w:tcBorders>
            <w:shd w:val="clear" w:color="auto" w:fill="auto"/>
            <w:noWrap/>
            <w:vAlign w:val="center"/>
          </w:tcPr>
          <w:p w14:paraId="0DD35B34" w14:textId="4A10FD03" w:rsidR="00115DF9" w:rsidRPr="00EB5D5F" w:rsidRDefault="00115DF9" w:rsidP="00115DF9">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xml:space="preserve">CTQ </w:t>
            </w:r>
            <w:proofErr w:type="spellStart"/>
            <w:r w:rsidRPr="00EB5D5F">
              <w:rPr>
                <w:rFonts w:eastAsia="Times New Roman"/>
                <w:color w:val="000000"/>
                <w:sz w:val="18"/>
                <w:szCs w:val="18"/>
                <w:lang w:val="de-DE"/>
              </w:rPr>
              <w:t>sum</w:t>
            </w:r>
            <w:proofErr w:type="spellEnd"/>
          </w:p>
        </w:tc>
        <w:tc>
          <w:tcPr>
            <w:tcW w:w="475" w:type="dxa"/>
            <w:tcBorders>
              <w:top w:val="single" w:sz="4" w:space="0" w:color="auto"/>
              <w:left w:val="nil"/>
              <w:right w:val="nil"/>
            </w:tcBorders>
            <w:shd w:val="clear" w:color="auto" w:fill="auto"/>
            <w:noWrap/>
            <w:vAlign w:val="center"/>
          </w:tcPr>
          <w:p w14:paraId="005E80C8" w14:textId="08C7284C"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1405" w:type="dxa"/>
            <w:tcBorders>
              <w:top w:val="single" w:sz="4" w:space="0" w:color="auto"/>
              <w:left w:val="nil"/>
              <w:right w:val="nil"/>
            </w:tcBorders>
            <w:shd w:val="clear" w:color="auto" w:fill="auto"/>
            <w:noWrap/>
            <w:vAlign w:val="center"/>
          </w:tcPr>
          <w:p w14:paraId="447F368C" w14:textId="5B6194AB" w:rsidR="00115DF9" w:rsidRPr="00EB5D5F" w:rsidRDefault="00115DF9" w:rsidP="00115DF9">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xml:space="preserve">1 </w:t>
            </w:r>
            <w:proofErr w:type="spellStart"/>
            <w:r w:rsidRPr="00EB5D5F">
              <w:rPr>
                <w:rFonts w:eastAsia="Times New Roman"/>
                <w:color w:val="000000"/>
                <w:sz w:val="18"/>
                <w:szCs w:val="18"/>
                <w:lang w:val="de-DE"/>
              </w:rPr>
              <w:t>cluster</w:t>
            </w:r>
            <w:proofErr w:type="spellEnd"/>
          </w:p>
        </w:tc>
        <w:tc>
          <w:tcPr>
            <w:tcW w:w="200" w:type="dxa"/>
            <w:tcBorders>
              <w:top w:val="single" w:sz="4" w:space="0" w:color="auto"/>
              <w:left w:val="nil"/>
              <w:right w:val="nil"/>
            </w:tcBorders>
            <w:shd w:val="clear" w:color="auto" w:fill="auto"/>
            <w:noWrap/>
            <w:vAlign w:val="center"/>
          </w:tcPr>
          <w:p w14:paraId="5F5C740C" w14:textId="77777777" w:rsidR="00115DF9" w:rsidRPr="00EB5D5F" w:rsidRDefault="00115DF9" w:rsidP="00115DF9">
            <w:pPr>
              <w:suppressAutoHyphens w:val="0"/>
              <w:spacing w:line="240" w:lineRule="auto"/>
              <w:jc w:val="center"/>
              <w:rPr>
                <w:rFonts w:eastAsia="Times New Roman"/>
                <w:color w:val="000000"/>
                <w:sz w:val="18"/>
                <w:szCs w:val="18"/>
                <w:lang w:val="de-DE"/>
              </w:rPr>
            </w:pPr>
          </w:p>
        </w:tc>
        <w:tc>
          <w:tcPr>
            <w:tcW w:w="1040" w:type="dxa"/>
            <w:tcBorders>
              <w:top w:val="single" w:sz="4" w:space="0" w:color="auto"/>
              <w:left w:val="nil"/>
              <w:right w:val="nil"/>
            </w:tcBorders>
            <w:shd w:val="clear" w:color="auto" w:fill="auto"/>
            <w:noWrap/>
            <w:vAlign w:val="center"/>
          </w:tcPr>
          <w:p w14:paraId="78DCDAC1" w14:textId="499152A4"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1040" w:type="dxa"/>
            <w:tcBorders>
              <w:top w:val="single" w:sz="4" w:space="0" w:color="auto"/>
              <w:left w:val="nil"/>
              <w:right w:val="nil"/>
            </w:tcBorders>
            <w:shd w:val="clear" w:color="auto" w:fill="auto"/>
            <w:noWrap/>
            <w:vAlign w:val="center"/>
          </w:tcPr>
          <w:p w14:paraId="4BC11B9E" w14:textId="671C3458"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240" w:type="dxa"/>
            <w:tcBorders>
              <w:top w:val="single" w:sz="4" w:space="0" w:color="auto"/>
              <w:left w:val="nil"/>
              <w:right w:val="nil"/>
            </w:tcBorders>
            <w:shd w:val="clear" w:color="auto" w:fill="auto"/>
            <w:noWrap/>
            <w:vAlign w:val="center"/>
          </w:tcPr>
          <w:p w14:paraId="4A4D5FD4" w14:textId="77777777" w:rsidR="00115DF9" w:rsidRPr="00EB5D5F" w:rsidRDefault="00115DF9" w:rsidP="00115DF9">
            <w:pPr>
              <w:suppressAutoHyphens w:val="0"/>
              <w:spacing w:line="240" w:lineRule="auto"/>
              <w:jc w:val="center"/>
              <w:rPr>
                <w:rFonts w:eastAsia="Times New Roman"/>
                <w:color w:val="000000"/>
                <w:sz w:val="18"/>
                <w:szCs w:val="18"/>
                <w:lang w:val="de-DE"/>
              </w:rPr>
            </w:pPr>
          </w:p>
        </w:tc>
        <w:tc>
          <w:tcPr>
            <w:tcW w:w="648" w:type="dxa"/>
            <w:tcBorders>
              <w:top w:val="single" w:sz="4" w:space="0" w:color="auto"/>
              <w:left w:val="nil"/>
              <w:right w:val="nil"/>
            </w:tcBorders>
            <w:shd w:val="clear" w:color="auto" w:fill="auto"/>
            <w:noWrap/>
            <w:vAlign w:val="center"/>
          </w:tcPr>
          <w:p w14:paraId="15622348" w14:textId="4010FAD8"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912" w:type="dxa"/>
            <w:tcBorders>
              <w:top w:val="single" w:sz="4" w:space="0" w:color="auto"/>
              <w:left w:val="nil"/>
              <w:right w:val="nil"/>
            </w:tcBorders>
            <w:shd w:val="clear" w:color="auto" w:fill="auto"/>
            <w:noWrap/>
            <w:vAlign w:val="center"/>
          </w:tcPr>
          <w:p w14:paraId="70F03DC5" w14:textId="6674195E"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200" w:type="dxa"/>
            <w:tcBorders>
              <w:top w:val="single" w:sz="4" w:space="0" w:color="auto"/>
              <w:left w:val="nil"/>
              <w:right w:val="nil"/>
            </w:tcBorders>
            <w:shd w:val="clear" w:color="auto" w:fill="auto"/>
            <w:noWrap/>
            <w:vAlign w:val="center"/>
          </w:tcPr>
          <w:p w14:paraId="4B7EACBF" w14:textId="77777777" w:rsidR="00115DF9" w:rsidRPr="00EB5D5F" w:rsidRDefault="00115DF9" w:rsidP="00115DF9">
            <w:pPr>
              <w:suppressAutoHyphens w:val="0"/>
              <w:spacing w:line="240" w:lineRule="auto"/>
              <w:jc w:val="center"/>
              <w:rPr>
                <w:rFonts w:eastAsia="Times New Roman"/>
                <w:color w:val="000000"/>
                <w:sz w:val="18"/>
                <w:szCs w:val="18"/>
                <w:lang w:val="de-DE"/>
              </w:rPr>
            </w:pPr>
          </w:p>
        </w:tc>
        <w:tc>
          <w:tcPr>
            <w:tcW w:w="1437" w:type="dxa"/>
            <w:tcBorders>
              <w:top w:val="single" w:sz="4" w:space="0" w:color="auto"/>
              <w:left w:val="nil"/>
              <w:right w:val="nil"/>
            </w:tcBorders>
            <w:shd w:val="clear" w:color="auto" w:fill="auto"/>
            <w:noWrap/>
            <w:vAlign w:val="center"/>
          </w:tcPr>
          <w:p w14:paraId="55B5F0BB" w14:textId="0EFE1061"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683" w:type="dxa"/>
            <w:tcBorders>
              <w:top w:val="single" w:sz="4" w:space="0" w:color="auto"/>
              <w:left w:val="nil"/>
              <w:right w:val="nil"/>
            </w:tcBorders>
            <w:shd w:val="clear" w:color="auto" w:fill="auto"/>
            <w:noWrap/>
            <w:vAlign w:val="center"/>
          </w:tcPr>
          <w:p w14:paraId="3FE10B81" w14:textId="43C71BED"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191" w:type="dxa"/>
            <w:tcBorders>
              <w:top w:val="single" w:sz="4" w:space="0" w:color="auto"/>
              <w:left w:val="nil"/>
              <w:right w:val="nil"/>
            </w:tcBorders>
            <w:shd w:val="clear" w:color="auto" w:fill="auto"/>
            <w:noWrap/>
            <w:vAlign w:val="center"/>
          </w:tcPr>
          <w:p w14:paraId="378317F9" w14:textId="77777777" w:rsidR="00115DF9" w:rsidRPr="00EB5D5F" w:rsidRDefault="00115DF9" w:rsidP="00115DF9">
            <w:pPr>
              <w:suppressAutoHyphens w:val="0"/>
              <w:spacing w:line="240" w:lineRule="auto"/>
              <w:jc w:val="center"/>
              <w:rPr>
                <w:rFonts w:eastAsia="Times New Roman"/>
                <w:color w:val="000000"/>
                <w:sz w:val="18"/>
                <w:szCs w:val="18"/>
                <w:lang w:val="de-DE"/>
              </w:rPr>
            </w:pPr>
          </w:p>
        </w:tc>
        <w:tc>
          <w:tcPr>
            <w:tcW w:w="516" w:type="dxa"/>
            <w:tcBorders>
              <w:top w:val="single" w:sz="4" w:space="0" w:color="auto"/>
              <w:left w:val="nil"/>
              <w:right w:val="nil"/>
            </w:tcBorders>
            <w:shd w:val="clear" w:color="auto" w:fill="auto"/>
            <w:noWrap/>
            <w:vAlign w:val="center"/>
          </w:tcPr>
          <w:p w14:paraId="3B3B8991" w14:textId="48871FE6"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1524" w:type="dxa"/>
            <w:tcBorders>
              <w:top w:val="single" w:sz="4" w:space="0" w:color="auto"/>
              <w:left w:val="nil"/>
              <w:right w:val="nil"/>
            </w:tcBorders>
            <w:shd w:val="clear" w:color="auto" w:fill="auto"/>
            <w:noWrap/>
            <w:vAlign w:val="center"/>
          </w:tcPr>
          <w:p w14:paraId="76195EE8" w14:textId="02DF9B5E"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r>
      <w:tr w:rsidR="00115DF9" w:rsidRPr="00EB5D5F" w14:paraId="423BAA01" w14:textId="77777777" w:rsidTr="00115DF9">
        <w:trPr>
          <w:trHeight w:val="300"/>
        </w:trPr>
        <w:tc>
          <w:tcPr>
            <w:tcW w:w="2127" w:type="dxa"/>
            <w:tcBorders>
              <w:left w:val="nil"/>
              <w:bottom w:val="nil"/>
              <w:right w:val="nil"/>
            </w:tcBorders>
            <w:shd w:val="clear" w:color="auto" w:fill="auto"/>
            <w:noWrap/>
            <w:vAlign w:val="center"/>
            <w:hideMark/>
          </w:tcPr>
          <w:p w14:paraId="4B321C8F" w14:textId="77777777" w:rsidR="00115DF9" w:rsidRPr="00EB5D5F" w:rsidRDefault="00115DF9" w:rsidP="00115DF9">
            <w:pPr>
              <w:suppressAutoHyphens w:val="0"/>
              <w:spacing w:line="240" w:lineRule="auto"/>
              <w:rPr>
                <w:rFonts w:eastAsia="Times New Roman"/>
                <w:color w:val="000000"/>
                <w:sz w:val="18"/>
                <w:szCs w:val="18"/>
                <w:lang w:val="de-DE"/>
              </w:rPr>
            </w:pPr>
            <w:r w:rsidRPr="00EB5D5F">
              <w:rPr>
                <w:rFonts w:eastAsia="Times New Roman"/>
                <w:color w:val="000000"/>
                <w:sz w:val="18"/>
                <w:szCs w:val="18"/>
                <w:lang w:val="de-DE"/>
              </w:rPr>
              <w:t>HC+MDD</w:t>
            </w:r>
          </w:p>
        </w:tc>
        <w:tc>
          <w:tcPr>
            <w:tcW w:w="850" w:type="dxa"/>
            <w:tcBorders>
              <w:left w:val="nil"/>
              <w:bottom w:val="nil"/>
              <w:right w:val="nil"/>
            </w:tcBorders>
            <w:shd w:val="clear" w:color="auto" w:fill="auto"/>
            <w:noWrap/>
            <w:vAlign w:val="center"/>
            <w:hideMark/>
          </w:tcPr>
          <w:p w14:paraId="5C7E6F4B" w14:textId="77777777" w:rsidR="00115DF9" w:rsidRPr="00EB5D5F" w:rsidRDefault="00115DF9" w:rsidP="00115DF9">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1325</w:t>
            </w:r>
          </w:p>
        </w:tc>
        <w:tc>
          <w:tcPr>
            <w:tcW w:w="1903" w:type="dxa"/>
            <w:tcBorders>
              <w:left w:val="nil"/>
              <w:bottom w:val="nil"/>
              <w:right w:val="nil"/>
            </w:tcBorders>
            <w:shd w:val="clear" w:color="auto" w:fill="auto"/>
            <w:noWrap/>
            <w:vAlign w:val="center"/>
            <w:hideMark/>
          </w:tcPr>
          <w:p w14:paraId="798065D0" w14:textId="77777777" w:rsidR="00115DF9" w:rsidRPr="00EB5D5F" w:rsidRDefault="00115DF9" w:rsidP="00115DF9">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CM vs. non-CM</w:t>
            </w:r>
          </w:p>
        </w:tc>
        <w:tc>
          <w:tcPr>
            <w:tcW w:w="475" w:type="dxa"/>
            <w:tcBorders>
              <w:left w:val="nil"/>
              <w:bottom w:val="nil"/>
              <w:right w:val="nil"/>
            </w:tcBorders>
            <w:shd w:val="clear" w:color="auto" w:fill="auto"/>
            <w:noWrap/>
            <w:vAlign w:val="center"/>
            <w:hideMark/>
          </w:tcPr>
          <w:p w14:paraId="4DCEC709"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1405" w:type="dxa"/>
            <w:tcBorders>
              <w:left w:val="nil"/>
              <w:bottom w:val="nil"/>
              <w:right w:val="nil"/>
            </w:tcBorders>
            <w:shd w:val="clear" w:color="auto" w:fill="auto"/>
            <w:noWrap/>
            <w:vAlign w:val="center"/>
            <w:hideMark/>
          </w:tcPr>
          <w:p w14:paraId="10B68275"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200" w:type="dxa"/>
            <w:tcBorders>
              <w:left w:val="nil"/>
              <w:bottom w:val="nil"/>
              <w:right w:val="nil"/>
            </w:tcBorders>
            <w:shd w:val="clear" w:color="auto" w:fill="auto"/>
            <w:noWrap/>
            <w:vAlign w:val="center"/>
            <w:hideMark/>
          </w:tcPr>
          <w:p w14:paraId="44B78258" w14:textId="77777777" w:rsidR="00115DF9" w:rsidRPr="00EB5D5F" w:rsidRDefault="00115DF9" w:rsidP="00115DF9">
            <w:pPr>
              <w:suppressAutoHyphens w:val="0"/>
              <w:spacing w:line="240" w:lineRule="auto"/>
              <w:jc w:val="center"/>
              <w:rPr>
                <w:rFonts w:eastAsia="Times New Roman"/>
                <w:color w:val="000000"/>
                <w:sz w:val="18"/>
                <w:szCs w:val="18"/>
                <w:lang w:val="de-DE"/>
              </w:rPr>
            </w:pPr>
          </w:p>
        </w:tc>
        <w:tc>
          <w:tcPr>
            <w:tcW w:w="1040" w:type="dxa"/>
            <w:tcBorders>
              <w:left w:val="nil"/>
              <w:bottom w:val="nil"/>
              <w:right w:val="nil"/>
            </w:tcBorders>
            <w:shd w:val="clear" w:color="auto" w:fill="auto"/>
            <w:noWrap/>
            <w:vAlign w:val="center"/>
            <w:hideMark/>
          </w:tcPr>
          <w:p w14:paraId="4F103A84"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1040" w:type="dxa"/>
            <w:tcBorders>
              <w:left w:val="nil"/>
              <w:bottom w:val="nil"/>
              <w:right w:val="nil"/>
            </w:tcBorders>
            <w:shd w:val="clear" w:color="auto" w:fill="auto"/>
            <w:noWrap/>
            <w:vAlign w:val="center"/>
            <w:hideMark/>
          </w:tcPr>
          <w:p w14:paraId="3CA1BDE8"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240" w:type="dxa"/>
            <w:tcBorders>
              <w:left w:val="nil"/>
              <w:bottom w:val="nil"/>
              <w:right w:val="nil"/>
            </w:tcBorders>
            <w:shd w:val="clear" w:color="auto" w:fill="auto"/>
            <w:noWrap/>
            <w:vAlign w:val="center"/>
            <w:hideMark/>
          </w:tcPr>
          <w:p w14:paraId="23FF52F6" w14:textId="77777777" w:rsidR="00115DF9" w:rsidRPr="00EB5D5F" w:rsidRDefault="00115DF9" w:rsidP="00115DF9">
            <w:pPr>
              <w:suppressAutoHyphens w:val="0"/>
              <w:spacing w:line="240" w:lineRule="auto"/>
              <w:jc w:val="center"/>
              <w:rPr>
                <w:rFonts w:eastAsia="Times New Roman"/>
                <w:color w:val="000000"/>
                <w:sz w:val="18"/>
                <w:szCs w:val="18"/>
                <w:lang w:val="de-DE"/>
              </w:rPr>
            </w:pPr>
          </w:p>
        </w:tc>
        <w:tc>
          <w:tcPr>
            <w:tcW w:w="648" w:type="dxa"/>
            <w:tcBorders>
              <w:left w:val="nil"/>
              <w:bottom w:val="nil"/>
              <w:right w:val="nil"/>
            </w:tcBorders>
            <w:shd w:val="clear" w:color="auto" w:fill="auto"/>
            <w:noWrap/>
            <w:vAlign w:val="center"/>
            <w:hideMark/>
          </w:tcPr>
          <w:p w14:paraId="151E6D81"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912" w:type="dxa"/>
            <w:tcBorders>
              <w:left w:val="nil"/>
              <w:bottom w:val="nil"/>
              <w:right w:val="nil"/>
            </w:tcBorders>
            <w:shd w:val="clear" w:color="auto" w:fill="auto"/>
            <w:noWrap/>
            <w:vAlign w:val="center"/>
            <w:hideMark/>
          </w:tcPr>
          <w:p w14:paraId="4B5BA1F0"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200" w:type="dxa"/>
            <w:tcBorders>
              <w:left w:val="nil"/>
              <w:bottom w:val="nil"/>
              <w:right w:val="nil"/>
            </w:tcBorders>
            <w:shd w:val="clear" w:color="auto" w:fill="auto"/>
            <w:noWrap/>
            <w:vAlign w:val="center"/>
            <w:hideMark/>
          </w:tcPr>
          <w:p w14:paraId="1560573F" w14:textId="77777777" w:rsidR="00115DF9" w:rsidRPr="00EB5D5F" w:rsidRDefault="00115DF9" w:rsidP="00115DF9">
            <w:pPr>
              <w:suppressAutoHyphens w:val="0"/>
              <w:spacing w:line="240" w:lineRule="auto"/>
              <w:jc w:val="center"/>
              <w:rPr>
                <w:rFonts w:eastAsia="Times New Roman"/>
                <w:color w:val="000000"/>
                <w:sz w:val="18"/>
                <w:szCs w:val="18"/>
                <w:lang w:val="de-DE"/>
              </w:rPr>
            </w:pPr>
          </w:p>
        </w:tc>
        <w:tc>
          <w:tcPr>
            <w:tcW w:w="1437" w:type="dxa"/>
            <w:tcBorders>
              <w:left w:val="nil"/>
              <w:bottom w:val="nil"/>
              <w:right w:val="nil"/>
            </w:tcBorders>
            <w:shd w:val="clear" w:color="auto" w:fill="auto"/>
            <w:noWrap/>
            <w:vAlign w:val="center"/>
            <w:hideMark/>
          </w:tcPr>
          <w:p w14:paraId="2BFFC44F"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683" w:type="dxa"/>
            <w:tcBorders>
              <w:left w:val="nil"/>
              <w:bottom w:val="nil"/>
              <w:right w:val="nil"/>
            </w:tcBorders>
            <w:shd w:val="clear" w:color="auto" w:fill="auto"/>
            <w:noWrap/>
            <w:vAlign w:val="center"/>
            <w:hideMark/>
          </w:tcPr>
          <w:p w14:paraId="0E1ADBED"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191" w:type="dxa"/>
            <w:tcBorders>
              <w:left w:val="nil"/>
              <w:bottom w:val="nil"/>
              <w:right w:val="nil"/>
            </w:tcBorders>
            <w:shd w:val="clear" w:color="auto" w:fill="auto"/>
            <w:noWrap/>
            <w:vAlign w:val="center"/>
            <w:hideMark/>
          </w:tcPr>
          <w:p w14:paraId="3773C2AE" w14:textId="77777777" w:rsidR="00115DF9" w:rsidRPr="00EB5D5F" w:rsidRDefault="00115DF9" w:rsidP="00115DF9">
            <w:pPr>
              <w:suppressAutoHyphens w:val="0"/>
              <w:spacing w:line="240" w:lineRule="auto"/>
              <w:jc w:val="center"/>
              <w:rPr>
                <w:rFonts w:eastAsia="Times New Roman"/>
                <w:color w:val="000000"/>
                <w:sz w:val="18"/>
                <w:szCs w:val="18"/>
                <w:lang w:val="de-DE"/>
              </w:rPr>
            </w:pPr>
          </w:p>
        </w:tc>
        <w:tc>
          <w:tcPr>
            <w:tcW w:w="516" w:type="dxa"/>
            <w:tcBorders>
              <w:left w:val="nil"/>
              <w:bottom w:val="nil"/>
              <w:right w:val="nil"/>
            </w:tcBorders>
            <w:shd w:val="clear" w:color="auto" w:fill="auto"/>
            <w:noWrap/>
            <w:vAlign w:val="center"/>
            <w:hideMark/>
          </w:tcPr>
          <w:p w14:paraId="6F004DCC"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1524" w:type="dxa"/>
            <w:tcBorders>
              <w:left w:val="nil"/>
              <w:bottom w:val="nil"/>
              <w:right w:val="nil"/>
            </w:tcBorders>
            <w:shd w:val="clear" w:color="auto" w:fill="auto"/>
            <w:noWrap/>
            <w:vAlign w:val="center"/>
            <w:hideMark/>
          </w:tcPr>
          <w:p w14:paraId="79B57AF9"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r>
      <w:tr w:rsidR="00115DF9" w:rsidRPr="00EB5D5F" w14:paraId="6247EAA6" w14:textId="77777777" w:rsidTr="00115DF9">
        <w:trPr>
          <w:trHeight w:val="300"/>
        </w:trPr>
        <w:tc>
          <w:tcPr>
            <w:tcW w:w="2127" w:type="dxa"/>
            <w:tcBorders>
              <w:top w:val="nil"/>
              <w:left w:val="nil"/>
              <w:bottom w:val="nil"/>
              <w:right w:val="nil"/>
            </w:tcBorders>
            <w:shd w:val="clear" w:color="auto" w:fill="auto"/>
            <w:noWrap/>
            <w:vAlign w:val="center"/>
            <w:hideMark/>
          </w:tcPr>
          <w:p w14:paraId="05F5B279" w14:textId="77777777" w:rsidR="00115DF9" w:rsidRPr="00EB5D5F" w:rsidRDefault="00115DF9" w:rsidP="00115DF9">
            <w:pPr>
              <w:suppressAutoHyphens w:val="0"/>
              <w:spacing w:line="240" w:lineRule="auto"/>
              <w:rPr>
                <w:rFonts w:eastAsia="Times New Roman"/>
                <w:color w:val="000000"/>
                <w:sz w:val="18"/>
                <w:szCs w:val="18"/>
                <w:lang w:val="de-DE"/>
              </w:rPr>
            </w:pPr>
            <w:r w:rsidRPr="00EB5D5F">
              <w:rPr>
                <w:rFonts w:eastAsia="Times New Roman"/>
                <w:color w:val="000000"/>
                <w:sz w:val="18"/>
                <w:szCs w:val="18"/>
                <w:lang w:val="de-DE"/>
              </w:rPr>
              <w:t>HC+MDD</w:t>
            </w:r>
          </w:p>
        </w:tc>
        <w:tc>
          <w:tcPr>
            <w:tcW w:w="850" w:type="dxa"/>
            <w:tcBorders>
              <w:top w:val="nil"/>
              <w:left w:val="nil"/>
              <w:bottom w:val="nil"/>
              <w:right w:val="nil"/>
            </w:tcBorders>
            <w:shd w:val="clear" w:color="auto" w:fill="auto"/>
            <w:noWrap/>
            <w:vAlign w:val="center"/>
            <w:hideMark/>
          </w:tcPr>
          <w:p w14:paraId="3DCC71B9" w14:textId="77777777" w:rsidR="00115DF9" w:rsidRPr="00EB5D5F" w:rsidRDefault="00115DF9" w:rsidP="00115DF9">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320</w:t>
            </w:r>
          </w:p>
        </w:tc>
        <w:tc>
          <w:tcPr>
            <w:tcW w:w="1903" w:type="dxa"/>
            <w:tcBorders>
              <w:top w:val="nil"/>
              <w:left w:val="nil"/>
              <w:bottom w:val="nil"/>
              <w:right w:val="nil"/>
            </w:tcBorders>
            <w:shd w:val="clear" w:color="auto" w:fill="auto"/>
            <w:noWrap/>
            <w:vAlign w:val="center"/>
            <w:hideMark/>
          </w:tcPr>
          <w:p w14:paraId="67338EA9" w14:textId="77777777" w:rsidR="00115DF9" w:rsidRPr="00EB5D5F" w:rsidRDefault="00115DF9" w:rsidP="00115DF9">
            <w:pPr>
              <w:suppressAutoHyphens w:val="0"/>
              <w:spacing w:line="240" w:lineRule="auto"/>
              <w:jc w:val="center"/>
              <w:rPr>
                <w:rFonts w:eastAsia="Times New Roman"/>
                <w:color w:val="000000"/>
                <w:sz w:val="18"/>
                <w:szCs w:val="18"/>
                <w:lang w:val="en-US"/>
              </w:rPr>
            </w:pPr>
            <w:r w:rsidRPr="00EB5D5F">
              <w:rPr>
                <w:rFonts w:eastAsia="Times New Roman"/>
                <w:color w:val="000000"/>
                <w:sz w:val="18"/>
                <w:szCs w:val="18"/>
                <w:lang w:val="en-US"/>
              </w:rPr>
              <w:t>severe CM vs. non-CM</w:t>
            </w:r>
          </w:p>
        </w:tc>
        <w:tc>
          <w:tcPr>
            <w:tcW w:w="475" w:type="dxa"/>
            <w:tcBorders>
              <w:top w:val="nil"/>
              <w:left w:val="nil"/>
              <w:bottom w:val="nil"/>
              <w:right w:val="nil"/>
            </w:tcBorders>
            <w:shd w:val="clear" w:color="auto" w:fill="auto"/>
            <w:noWrap/>
            <w:vAlign w:val="center"/>
            <w:hideMark/>
          </w:tcPr>
          <w:p w14:paraId="3FF4DC09"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1405" w:type="dxa"/>
            <w:tcBorders>
              <w:top w:val="nil"/>
              <w:left w:val="nil"/>
              <w:bottom w:val="nil"/>
              <w:right w:val="nil"/>
            </w:tcBorders>
            <w:shd w:val="clear" w:color="auto" w:fill="auto"/>
            <w:noWrap/>
            <w:vAlign w:val="center"/>
            <w:hideMark/>
          </w:tcPr>
          <w:p w14:paraId="2FAA1BAA"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200" w:type="dxa"/>
            <w:tcBorders>
              <w:top w:val="nil"/>
              <w:left w:val="nil"/>
              <w:bottom w:val="nil"/>
              <w:right w:val="nil"/>
            </w:tcBorders>
            <w:shd w:val="clear" w:color="auto" w:fill="auto"/>
            <w:noWrap/>
            <w:vAlign w:val="center"/>
            <w:hideMark/>
          </w:tcPr>
          <w:p w14:paraId="2BF40CCB" w14:textId="77777777" w:rsidR="00115DF9" w:rsidRPr="00EB5D5F" w:rsidRDefault="00115DF9" w:rsidP="00115DF9">
            <w:pPr>
              <w:suppressAutoHyphens w:val="0"/>
              <w:spacing w:line="240" w:lineRule="auto"/>
              <w:jc w:val="center"/>
              <w:rPr>
                <w:rFonts w:eastAsia="Times New Roman"/>
                <w:color w:val="000000"/>
                <w:sz w:val="18"/>
                <w:szCs w:val="18"/>
                <w:lang w:val="de-DE"/>
              </w:rPr>
            </w:pPr>
          </w:p>
        </w:tc>
        <w:tc>
          <w:tcPr>
            <w:tcW w:w="1040" w:type="dxa"/>
            <w:tcBorders>
              <w:top w:val="nil"/>
              <w:left w:val="nil"/>
              <w:bottom w:val="nil"/>
              <w:right w:val="nil"/>
            </w:tcBorders>
            <w:shd w:val="clear" w:color="auto" w:fill="auto"/>
            <w:noWrap/>
            <w:vAlign w:val="center"/>
            <w:hideMark/>
          </w:tcPr>
          <w:p w14:paraId="4C9B9EE3"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1040" w:type="dxa"/>
            <w:tcBorders>
              <w:top w:val="nil"/>
              <w:left w:val="nil"/>
              <w:bottom w:val="nil"/>
              <w:right w:val="nil"/>
            </w:tcBorders>
            <w:shd w:val="clear" w:color="auto" w:fill="auto"/>
            <w:noWrap/>
            <w:vAlign w:val="center"/>
            <w:hideMark/>
          </w:tcPr>
          <w:p w14:paraId="092B4DD3"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240" w:type="dxa"/>
            <w:tcBorders>
              <w:top w:val="nil"/>
              <w:left w:val="nil"/>
              <w:bottom w:val="nil"/>
              <w:right w:val="nil"/>
            </w:tcBorders>
            <w:shd w:val="clear" w:color="auto" w:fill="auto"/>
            <w:noWrap/>
            <w:vAlign w:val="center"/>
            <w:hideMark/>
          </w:tcPr>
          <w:p w14:paraId="5D554595" w14:textId="77777777" w:rsidR="00115DF9" w:rsidRPr="00EB5D5F" w:rsidRDefault="00115DF9" w:rsidP="00115DF9">
            <w:pPr>
              <w:suppressAutoHyphens w:val="0"/>
              <w:spacing w:line="240" w:lineRule="auto"/>
              <w:jc w:val="center"/>
              <w:rPr>
                <w:rFonts w:eastAsia="Times New Roman"/>
                <w:color w:val="000000"/>
                <w:sz w:val="18"/>
                <w:szCs w:val="18"/>
                <w:lang w:val="de-DE"/>
              </w:rPr>
            </w:pPr>
          </w:p>
        </w:tc>
        <w:tc>
          <w:tcPr>
            <w:tcW w:w="648" w:type="dxa"/>
            <w:tcBorders>
              <w:top w:val="nil"/>
              <w:left w:val="nil"/>
              <w:bottom w:val="nil"/>
              <w:right w:val="nil"/>
            </w:tcBorders>
            <w:shd w:val="clear" w:color="auto" w:fill="auto"/>
            <w:noWrap/>
            <w:vAlign w:val="center"/>
            <w:hideMark/>
          </w:tcPr>
          <w:p w14:paraId="2B5B4C3B"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912" w:type="dxa"/>
            <w:tcBorders>
              <w:top w:val="nil"/>
              <w:left w:val="nil"/>
              <w:bottom w:val="nil"/>
              <w:right w:val="nil"/>
            </w:tcBorders>
            <w:shd w:val="clear" w:color="auto" w:fill="auto"/>
            <w:noWrap/>
            <w:vAlign w:val="center"/>
            <w:hideMark/>
          </w:tcPr>
          <w:p w14:paraId="68884ADF"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200" w:type="dxa"/>
            <w:tcBorders>
              <w:top w:val="nil"/>
              <w:left w:val="nil"/>
              <w:bottom w:val="nil"/>
              <w:right w:val="nil"/>
            </w:tcBorders>
            <w:shd w:val="clear" w:color="auto" w:fill="auto"/>
            <w:noWrap/>
            <w:vAlign w:val="center"/>
            <w:hideMark/>
          </w:tcPr>
          <w:p w14:paraId="4FAD4C3D" w14:textId="77777777" w:rsidR="00115DF9" w:rsidRPr="00EB5D5F" w:rsidRDefault="00115DF9" w:rsidP="00115DF9">
            <w:pPr>
              <w:suppressAutoHyphens w:val="0"/>
              <w:spacing w:line="240" w:lineRule="auto"/>
              <w:jc w:val="center"/>
              <w:rPr>
                <w:rFonts w:eastAsia="Times New Roman"/>
                <w:color w:val="000000"/>
                <w:sz w:val="18"/>
                <w:szCs w:val="18"/>
                <w:lang w:val="de-DE"/>
              </w:rPr>
            </w:pPr>
          </w:p>
        </w:tc>
        <w:tc>
          <w:tcPr>
            <w:tcW w:w="1437" w:type="dxa"/>
            <w:tcBorders>
              <w:top w:val="nil"/>
              <w:left w:val="nil"/>
              <w:bottom w:val="nil"/>
              <w:right w:val="nil"/>
            </w:tcBorders>
            <w:shd w:val="clear" w:color="auto" w:fill="auto"/>
            <w:noWrap/>
            <w:vAlign w:val="center"/>
            <w:hideMark/>
          </w:tcPr>
          <w:p w14:paraId="4652AA55"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683" w:type="dxa"/>
            <w:tcBorders>
              <w:top w:val="nil"/>
              <w:left w:val="nil"/>
              <w:bottom w:val="nil"/>
              <w:right w:val="nil"/>
            </w:tcBorders>
            <w:shd w:val="clear" w:color="auto" w:fill="auto"/>
            <w:noWrap/>
            <w:vAlign w:val="center"/>
            <w:hideMark/>
          </w:tcPr>
          <w:p w14:paraId="6C5D677A"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191" w:type="dxa"/>
            <w:tcBorders>
              <w:top w:val="nil"/>
              <w:left w:val="nil"/>
              <w:bottom w:val="nil"/>
              <w:right w:val="nil"/>
            </w:tcBorders>
            <w:shd w:val="clear" w:color="auto" w:fill="auto"/>
            <w:noWrap/>
            <w:vAlign w:val="center"/>
            <w:hideMark/>
          </w:tcPr>
          <w:p w14:paraId="5657A30A" w14:textId="77777777" w:rsidR="00115DF9" w:rsidRPr="00EB5D5F" w:rsidRDefault="00115DF9" w:rsidP="00115DF9">
            <w:pPr>
              <w:suppressAutoHyphens w:val="0"/>
              <w:spacing w:line="240" w:lineRule="auto"/>
              <w:jc w:val="center"/>
              <w:rPr>
                <w:rFonts w:eastAsia="Times New Roman"/>
                <w:color w:val="000000"/>
                <w:sz w:val="18"/>
                <w:szCs w:val="18"/>
                <w:lang w:val="de-DE"/>
              </w:rPr>
            </w:pPr>
          </w:p>
        </w:tc>
        <w:tc>
          <w:tcPr>
            <w:tcW w:w="516" w:type="dxa"/>
            <w:tcBorders>
              <w:top w:val="nil"/>
              <w:left w:val="nil"/>
              <w:bottom w:val="nil"/>
              <w:right w:val="nil"/>
            </w:tcBorders>
            <w:shd w:val="clear" w:color="auto" w:fill="auto"/>
            <w:noWrap/>
            <w:vAlign w:val="center"/>
            <w:hideMark/>
          </w:tcPr>
          <w:p w14:paraId="7B1689E0"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1524" w:type="dxa"/>
            <w:tcBorders>
              <w:top w:val="nil"/>
              <w:left w:val="nil"/>
              <w:bottom w:val="nil"/>
              <w:right w:val="nil"/>
            </w:tcBorders>
            <w:shd w:val="clear" w:color="auto" w:fill="auto"/>
            <w:noWrap/>
            <w:vAlign w:val="center"/>
            <w:hideMark/>
          </w:tcPr>
          <w:p w14:paraId="2AB44F03"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r>
      <w:tr w:rsidR="00115DF9" w:rsidRPr="00EB5D5F" w14:paraId="1A57E15B" w14:textId="77777777" w:rsidTr="00115DF9">
        <w:trPr>
          <w:trHeight w:val="330"/>
        </w:trPr>
        <w:tc>
          <w:tcPr>
            <w:tcW w:w="2127" w:type="dxa"/>
            <w:tcBorders>
              <w:top w:val="nil"/>
              <w:left w:val="nil"/>
              <w:bottom w:val="nil"/>
              <w:right w:val="nil"/>
            </w:tcBorders>
            <w:shd w:val="clear" w:color="auto" w:fill="auto"/>
            <w:noWrap/>
            <w:vAlign w:val="center"/>
            <w:hideMark/>
          </w:tcPr>
          <w:p w14:paraId="7C01C3DC" w14:textId="77777777" w:rsidR="00115DF9" w:rsidRPr="00EB5D5F" w:rsidRDefault="00115DF9" w:rsidP="00115DF9">
            <w:pPr>
              <w:suppressAutoHyphens w:val="0"/>
              <w:spacing w:line="240" w:lineRule="auto"/>
              <w:rPr>
                <w:rFonts w:eastAsia="Times New Roman"/>
                <w:color w:val="000000"/>
                <w:sz w:val="18"/>
                <w:szCs w:val="18"/>
                <w:lang w:val="de-DE"/>
              </w:rPr>
            </w:pPr>
            <w:r w:rsidRPr="00EB5D5F">
              <w:rPr>
                <w:rFonts w:eastAsia="Times New Roman"/>
                <w:color w:val="000000"/>
                <w:sz w:val="18"/>
                <w:szCs w:val="18"/>
                <w:lang w:val="de-DE"/>
              </w:rPr>
              <w:t>HC</w:t>
            </w:r>
          </w:p>
        </w:tc>
        <w:tc>
          <w:tcPr>
            <w:tcW w:w="850" w:type="dxa"/>
            <w:tcBorders>
              <w:top w:val="nil"/>
              <w:left w:val="nil"/>
              <w:bottom w:val="nil"/>
              <w:right w:val="nil"/>
            </w:tcBorders>
            <w:shd w:val="clear" w:color="auto" w:fill="auto"/>
            <w:noWrap/>
            <w:vAlign w:val="center"/>
            <w:hideMark/>
          </w:tcPr>
          <w:p w14:paraId="6AC3BBCA" w14:textId="77777777" w:rsidR="00115DF9" w:rsidRPr="00EB5D5F" w:rsidRDefault="00115DF9" w:rsidP="00115DF9">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701</w:t>
            </w:r>
          </w:p>
        </w:tc>
        <w:tc>
          <w:tcPr>
            <w:tcW w:w="1903" w:type="dxa"/>
            <w:tcBorders>
              <w:top w:val="nil"/>
              <w:left w:val="nil"/>
              <w:bottom w:val="nil"/>
              <w:right w:val="nil"/>
            </w:tcBorders>
            <w:shd w:val="clear" w:color="auto" w:fill="auto"/>
            <w:noWrap/>
            <w:vAlign w:val="center"/>
            <w:hideMark/>
          </w:tcPr>
          <w:p w14:paraId="720831BC" w14:textId="77777777" w:rsidR="00115DF9" w:rsidRPr="00EB5D5F" w:rsidRDefault="00115DF9" w:rsidP="00115DF9">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CM vs. non-CM</w:t>
            </w:r>
          </w:p>
        </w:tc>
        <w:tc>
          <w:tcPr>
            <w:tcW w:w="475" w:type="dxa"/>
            <w:tcBorders>
              <w:top w:val="nil"/>
              <w:left w:val="nil"/>
              <w:bottom w:val="nil"/>
              <w:right w:val="nil"/>
            </w:tcBorders>
            <w:shd w:val="clear" w:color="auto" w:fill="auto"/>
            <w:noWrap/>
            <w:vAlign w:val="center"/>
            <w:hideMark/>
          </w:tcPr>
          <w:p w14:paraId="3F68F514"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1405" w:type="dxa"/>
            <w:tcBorders>
              <w:top w:val="nil"/>
              <w:left w:val="nil"/>
              <w:bottom w:val="nil"/>
              <w:right w:val="nil"/>
            </w:tcBorders>
            <w:shd w:val="clear" w:color="auto" w:fill="auto"/>
            <w:noWrap/>
            <w:vAlign w:val="center"/>
            <w:hideMark/>
          </w:tcPr>
          <w:p w14:paraId="388EDCCE"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200" w:type="dxa"/>
            <w:tcBorders>
              <w:top w:val="nil"/>
              <w:left w:val="nil"/>
              <w:bottom w:val="nil"/>
              <w:right w:val="nil"/>
            </w:tcBorders>
            <w:shd w:val="clear" w:color="auto" w:fill="auto"/>
            <w:noWrap/>
            <w:vAlign w:val="center"/>
            <w:hideMark/>
          </w:tcPr>
          <w:p w14:paraId="5BB98AD3" w14:textId="77777777" w:rsidR="00115DF9" w:rsidRPr="00EB5D5F" w:rsidRDefault="00115DF9" w:rsidP="00115DF9">
            <w:pPr>
              <w:suppressAutoHyphens w:val="0"/>
              <w:spacing w:line="240" w:lineRule="auto"/>
              <w:jc w:val="center"/>
              <w:rPr>
                <w:rFonts w:eastAsia="Times New Roman"/>
                <w:color w:val="000000"/>
                <w:sz w:val="18"/>
                <w:szCs w:val="18"/>
                <w:lang w:val="de-DE"/>
              </w:rPr>
            </w:pPr>
          </w:p>
        </w:tc>
        <w:tc>
          <w:tcPr>
            <w:tcW w:w="1040" w:type="dxa"/>
            <w:tcBorders>
              <w:top w:val="nil"/>
              <w:left w:val="nil"/>
              <w:bottom w:val="nil"/>
              <w:right w:val="nil"/>
            </w:tcBorders>
            <w:shd w:val="clear" w:color="auto" w:fill="auto"/>
            <w:noWrap/>
            <w:vAlign w:val="center"/>
            <w:hideMark/>
          </w:tcPr>
          <w:p w14:paraId="780F9F22" w14:textId="77777777" w:rsidR="00115DF9" w:rsidRPr="00EB5D5F" w:rsidRDefault="00115DF9" w:rsidP="00115DF9">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xml:space="preserve">1 </w:t>
            </w:r>
            <w:proofErr w:type="spellStart"/>
            <w:r w:rsidRPr="00EB5D5F">
              <w:rPr>
                <w:rFonts w:eastAsia="Times New Roman"/>
                <w:color w:val="000000"/>
                <w:sz w:val="18"/>
                <w:szCs w:val="18"/>
                <w:lang w:val="de-DE"/>
              </w:rPr>
              <w:t>cluster</w:t>
            </w:r>
            <w:proofErr w:type="spellEnd"/>
          </w:p>
        </w:tc>
        <w:tc>
          <w:tcPr>
            <w:tcW w:w="1040" w:type="dxa"/>
            <w:tcBorders>
              <w:top w:val="nil"/>
              <w:left w:val="nil"/>
              <w:bottom w:val="nil"/>
              <w:right w:val="nil"/>
            </w:tcBorders>
            <w:shd w:val="clear" w:color="auto" w:fill="auto"/>
            <w:noWrap/>
            <w:vAlign w:val="center"/>
            <w:hideMark/>
          </w:tcPr>
          <w:p w14:paraId="0A58DD6E"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240" w:type="dxa"/>
            <w:tcBorders>
              <w:top w:val="nil"/>
              <w:left w:val="nil"/>
              <w:bottom w:val="nil"/>
              <w:right w:val="nil"/>
            </w:tcBorders>
            <w:shd w:val="clear" w:color="auto" w:fill="auto"/>
            <w:noWrap/>
            <w:vAlign w:val="center"/>
            <w:hideMark/>
          </w:tcPr>
          <w:p w14:paraId="0E338507" w14:textId="77777777" w:rsidR="00115DF9" w:rsidRPr="00EB5D5F" w:rsidRDefault="00115DF9" w:rsidP="00115DF9">
            <w:pPr>
              <w:suppressAutoHyphens w:val="0"/>
              <w:spacing w:line="240" w:lineRule="auto"/>
              <w:jc w:val="center"/>
              <w:rPr>
                <w:rFonts w:eastAsia="Times New Roman"/>
                <w:color w:val="000000"/>
                <w:sz w:val="18"/>
                <w:szCs w:val="18"/>
                <w:lang w:val="de-DE"/>
              </w:rPr>
            </w:pPr>
          </w:p>
        </w:tc>
        <w:tc>
          <w:tcPr>
            <w:tcW w:w="648" w:type="dxa"/>
            <w:tcBorders>
              <w:top w:val="nil"/>
              <w:left w:val="nil"/>
              <w:bottom w:val="nil"/>
              <w:right w:val="nil"/>
            </w:tcBorders>
            <w:shd w:val="clear" w:color="auto" w:fill="auto"/>
            <w:noWrap/>
            <w:vAlign w:val="center"/>
            <w:hideMark/>
          </w:tcPr>
          <w:p w14:paraId="69831CA1"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912" w:type="dxa"/>
            <w:tcBorders>
              <w:top w:val="nil"/>
              <w:left w:val="nil"/>
              <w:bottom w:val="nil"/>
              <w:right w:val="nil"/>
            </w:tcBorders>
            <w:shd w:val="clear" w:color="auto" w:fill="auto"/>
            <w:noWrap/>
            <w:vAlign w:val="center"/>
            <w:hideMark/>
          </w:tcPr>
          <w:p w14:paraId="65EE4A71"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200" w:type="dxa"/>
            <w:tcBorders>
              <w:top w:val="nil"/>
              <w:left w:val="nil"/>
              <w:bottom w:val="nil"/>
              <w:right w:val="nil"/>
            </w:tcBorders>
            <w:shd w:val="clear" w:color="auto" w:fill="auto"/>
            <w:noWrap/>
            <w:vAlign w:val="center"/>
            <w:hideMark/>
          </w:tcPr>
          <w:p w14:paraId="01AAB7DB" w14:textId="77777777" w:rsidR="00115DF9" w:rsidRPr="00EB5D5F" w:rsidRDefault="00115DF9" w:rsidP="00115DF9">
            <w:pPr>
              <w:suppressAutoHyphens w:val="0"/>
              <w:spacing w:line="240" w:lineRule="auto"/>
              <w:jc w:val="center"/>
              <w:rPr>
                <w:rFonts w:eastAsia="Times New Roman"/>
                <w:color w:val="000000"/>
                <w:sz w:val="18"/>
                <w:szCs w:val="18"/>
                <w:lang w:val="de-DE"/>
              </w:rPr>
            </w:pPr>
          </w:p>
        </w:tc>
        <w:tc>
          <w:tcPr>
            <w:tcW w:w="1437" w:type="dxa"/>
            <w:tcBorders>
              <w:top w:val="nil"/>
              <w:left w:val="nil"/>
              <w:bottom w:val="nil"/>
              <w:right w:val="nil"/>
            </w:tcBorders>
            <w:shd w:val="clear" w:color="auto" w:fill="auto"/>
            <w:noWrap/>
            <w:vAlign w:val="center"/>
            <w:hideMark/>
          </w:tcPr>
          <w:p w14:paraId="0D5C0821"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683" w:type="dxa"/>
            <w:tcBorders>
              <w:top w:val="nil"/>
              <w:left w:val="nil"/>
              <w:bottom w:val="nil"/>
              <w:right w:val="nil"/>
            </w:tcBorders>
            <w:shd w:val="clear" w:color="auto" w:fill="auto"/>
            <w:noWrap/>
            <w:vAlign w:val="center"/>
            <w:hideMark/>
          </w:tcPr>
          <w:p w14:paraId="1EB09CFB"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191" w:type="dxa"/>
            <w:tcBorders>
              <w:top w:val="nil"/>
              <w:left w:val="nil"/>
              <w:bottom w:val="nil"/>
              <w:right w:val="nil"/>
            </w:tcBorders>
            <w:shd w:val="clear" w:color="auto" w:fill="auto"/>
            <w:noWrap/>
            <w:vAlign w:val="center"/>
            <w:hideMark/>
          </w:tcPr>
          <w:p w14:paraId="7882FC22" w14:textId="77777777" w:rsidR="00115DF9" w:rsidRPr="00EB5D5F" w:rsidRDefault="00115DF9" w:rsidP="00115DF9">
            <w:pPr>
              <w:suppressAutoHyphens w:val="0"/>
              <w:spacing w:line="240" w:lineRule="auto"/>
              <w:jc w:val="center"/>
              <w:rPr>
                <w:rFonts w:eastAsia="Times New Roman"/>
                <w:color w:val="000000"/>
                <w:sz w:val="18"/>
                <w:szCs w:val="18"/>
                <w:lang w:val="de-DE"/>
              </w:rPr>
            </w:pPr>
          </w:p>
        </w:tc>
        <w:tc>
          <w:tcPr>
            <w:tcW w:w="516" w:type="dxa"/>
            <w:tcBorders>
              <w:top w:val="nil"/>
              <w:left w:val="nil"/>
              <w:bottom w:val="nil"/>
              <w:right w:val="nil"/>
            </w:tcBorders>
            <w:shd w:val="clear" w:color="auto" w:fill="auto"/>
            <w:noWrap/>
            <w:vAlign w:val="center"/>
            <w:hideMark/>
          </w:tcPr>
          <w:p w14:paraId="540F91F9"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1524" w:type="dxa"/>
            <w:tcBorders>
              <w:top w:val="nil"/>
              <w:left w:val="nil"/>
              <w:bottom w:val="nil"/>
              <w:right w:val="nil"/>
            </w:tcBorders>
            <w:shd w:val="clear" w:color="auto" w:fill="auto"/>
            <w:noWrap/>
            <w:vAlign w:val="center"/>
            <w:hideMark/>
          </w:tcPr>
          <w:p w14:paraId="745FCD67"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r>
      <w:tr w:rsidR="00115DF9" w:rsidRPr="00EB5D5F" w14:paraId="002A7674" w14:textId="77777777" w:rsidTr="00115DF9">
        <w:trPr>
          <w:trHeight w:val="330"/>
        </w:trPr>
        <w:tc>
          <w:tcPr>
            <w:tcW w:w="2127" w:type="dxa"/>
            <w:tcBorders>
              <w:top w:val="nil"/>
              <w:left w:val="nil"/>
              <w:bottom w:val="nil"/>
              <w:right w:val="nil"/>
            </w:tcBorders>
            <w:shd w:val="clear" w:color="auto" w:fill="auto"/>
            <w:noWrap/>
            <w:vAlign w:val="center"/>
            <w:hideMark/>
          </w:tcPr>
          <w:p w14:paraId="386D1A21" w14:textId="77777777" w:rsidR="00115DF9" w:rsidRPr="00EB5D5F" w:rsidRDefault="00115DF9" w:rsidP="00115DF9">
            <w:pPr>
              <w:suppressAutoHyphens w:val="0"/>
              <w:spacing w:line="240" w:lineRule="auto"/>
              <w:rPr>
                <w:rFonts w:eastAsia="Times New Roman"/>
                <w:color w:val="000000"/>
                <w:sz w:val="18"/>
                <w:szCs w:val="18"/>
                <w:lang w:val="de-DE"/>
              </w:rPr>
            </w:pPr>
            <w:r w:rsidRPr="00EB5D5F">
              <w:rPr>
                <w:rFonts w:eastAsia="Times New Roman"/>
                <w:color w:val="000000"/>
                <w:sz w:val="18"/>
                <w:szCs w:val="18"/>
                <w:lang w:val="de-DE"/>
              </w:rPr>
              <w:t>HC</w:t>
            </w:r>
          </w:p>
        </w:tc>
        <w:tc>
          <w:tcPr>
            <w:tcW w:w="850" w:type="dxa"/>
            <w:tcBorders>
              <w:top w:val="nil"/>
              <w:left w:val="nil"/>
              <w:bottom w:val="nil"/>
              <w:right w:val="nil"/>
            </w:tcBorders>
            <w:shd w:val="clear" w:color="auto" w:fill="auto"/>
            <w:noWrap/>
            <w:vAlign w:val="center"/>
            <w:hideMark/>
          </w:tcPr>
          <w:p w14:paraId="4C90350F" w14:textId="77777777" w:rsidR="00115DF9" w:rsidRPr="00EB5D5F" w:rsidRDefault="00115DF9" w:rsidP="00115DF9">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156</w:t>
            </w:r>
          </w:p>
        </w:tc>
        <w:tc>
          <w:tcPr>
            <w:tcW w:w="1903" w:type="dxa"/>
            <w:tcBorders>
              <w:top w:val="nil"/>
              <w:left w:val="nil"/>
              <w:bottom w:val="nil"/>
              <w:right w:val="nil"/>
            </w:tcBorders>
            <w:shd w:val="clear" w:color="auto" w:fill="auto"/>
            <w:noWrap/>
            <w:vAlign w:val="center"/>
            <w:hideMark/>
          </w:tcPr>
          <w:p w14:paraId="53506ED1" w14:textId="77777777" w:rsidR="00115DF9" w:rsidRPr="00EB5D5F" w:rsidRDefault="00115DF9" w:rsidP="00115DF9">
            <w:pPr>
              <w:suppressAutoHyphens w:val="0"/>
              <w:spacing w:line="240" w:lineRule="auto"/>
              <w:jc w:val="center"/>
              <w:rPr>
                <w:rFonts w:eastAsia="Times New Roman"/>
                <w:color w:val="000000"/>
                <w:sz w:val="18"/>
                <w:szCs w:val="18"/>
                <w:lang w:val="en-US"/>
              </w:rPr>
            </w:pPr>
            <w:r w:rsidRPr="00EB5D5F">
              <w:rPr>
                <w:rFonts w:eastAsia="Times New Roman"/>
                <w:color w:val="000000"/>
                <w:sz w:val="18"/>
                <w:szCs w:val="18"/>
                <w:lang w:val="en-US"/>
              </w:rPr>
              <w:t>severe CM vs. non-CM</w:t>
            </w:r>
          </w:p>
        </w:tc>
        <w:tc>
          <w:tcPr>
            <w:tcW w:w="475" w:type="dxa"/>
            <w:tcBorders>
              <w:top w:val="nil"/>
              <w:left w:val="nil"/>
              <w:bottom w:val="nil"/>
              <w:right w:val="nil"/>
            </w:tcBorders>
            <w:shd w:val="clear" w:color="auto" w:fill="auto"/>
            <w:noWrap/>
            <w:vAlign w:val="center"/>
            <w:hideMark/>
          </w:tcPr>
          <w:p w14:paraId="4FB8371E"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1405" w:type="dxa"/>
            <w:tcBorders>
              <w:top w:val="nil"/>
              <w:left w:val="nil"/>
              <w:bottom w:val="nil"/>
              <w:right w:val="nil"/>
            </w:tcBorders>
            <w:shd w:val="clear" w:color="auto" w:fill="auto"/>
            <w:noWrap/>
            <w:vAlign w:val="center"/>
            <w:hideMark/>
          </w:tcPr>
          <w:p w14:paraId="69276904"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200" w:type="dxa"/>
            <w:tcBorders>
              <w:top w:val="nil"/>
              <w:left w:val="nil"/>
              <w:bottom w:val="nil"/>
              <w:right w:val="nil"/>
            </w:tcBorders>
            <w:shd w:val="clear" w:color="auto" w:fill="auto"/>
            <w:noWrap/>
            <w:vAlign w:val="center"/>
            <w:hideMark/>
          </w:tcPr>
          <w:p w14:paraId="27F4A69B" w14:textId="77777777" w:rsidR="00115DF9" w:rsidRPr="00EB5D5F" w:rsidRDefault="00115DF9" w:rsidP="00115DF9">
            <w:pPr>
              <w:suppressAutoHyphens w:val="0"/>
              <w:spacing w:line="240" w:lineRule="auto"/>
              <w:jc w:val="center"/>
              <w:rPr>
                <w:rFonts w:eastAsia="Times New Roman"/>
                <w:color w:val="000000"/>
                <w:sz w:val="18"/>
                <w:szCs w:val="18"/>
                <w:lang w:val="de-DE"/>
              </w:rPr>
            </w:pPr>
          </w:p>
        </w:tc>
        <w:tc>
          <w:tcPr>
            <w:tcW w:w="1040" w:type="dxa"/>
            <w:tcBorders>
              <w:top w:val="nil"/>
              <w:left w:val="nil"/>
              <w:bottom w:val="nil"/>
              <w:right w:val="nil"/>
            </w:tcBorders>
            <w:shd w:val="clear" w:color="auto" w:fill="auto"/>
            <w:noWrap/>
            <w:vAlign w:val="center"/>
            <w:hideMark/>
          </w:tcPr>
          <w:p w14:paraId="6FA84E37"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1040" w:type="dxa"/>
            <w:tcBorders>
              <w:top w:val="nil"/>
              <w:left w:val="nil"/>
              <w:bottom w:val="nil"/>
              <w:right w:val="nil"/>
            </w:tcBorders>
            <w:shd w:val="clear" w:color="auto" w:fill="auto"/>
            <w:noWrap/>
            <w:vAlign w:val="center"/>
            <w:hideMark/>
          </w:tcPr>
          <w:p w14:paraId="26CD7FE1"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240" w:type="dxa"/>
            <w:tcBorders>
              <w:top w:val="nil"/>
              <w:left w:val="nil"/>
              <w:bottom w:val="nil"/>
              <w:right w:val="nil"/>
            </w:tcBorders>
            <w:shd w:val="clear" w:color="auto" w:fill="auto"/>
            <w:noWrap/>
            <w:vAlign w:val="center"/>
            <w:hideMark/>
          </w:tcPr>
          <w:p w14:paraId="34AFA3CB" w14:textId="77777777" w:rsidR="00115DF9" w:rsidRPr="00EB5D5F" w:rsidRDefault="00115DF9" w:rsidP="00115DF9">
            <w:pPr>
              <w:suppressAutoHyphens w:val="0"/>
              <w:spacing w:line="240" w:lineRule="auto"/>
              <w:jc w:val="center"/>
              <w:rPr>
                <w:rFonts w:eastAsia="Times New Roman"/>
                <w:color w:val="000000"/>
                <w:sz w:val="18"/>
                <w:szCs w:val="18"/>
                <w:lang w:val="de-DE"/>
              </w:rPr>
            </w:pPr>
          </w:p>
        </w:tc>
        <w:tc>
          <w:tcPr>
            <w:tcW w:w="648" w:type="dxa"/>
            <w:tcBorders>
              <w:top w:val="nil"/>
              <w:left w:val="nil"/>
              <w:bottom w:val="nil"/>
              <w:right w:val="nil"/>
            </w:tcBorders>
            <w:shd w:val="clear" w:color="auto" w:fill="auto"/>
            <w:noWrap/>
            <w:vAlign w:val="center"/>
            <w:hideMark/>
          </w:tcPr>
          <w:p w14:paraId="512B8068"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912" w:type="dxa"/>
            <w:tcBorders>
              <w:top w:val="nil"/>
              <w:left w:val="nil"/>
              <w:bottom w:val="nil"/>
              <w:right w:val="nil"/>
            </w:tcBorders>
            <w:shd w:val="clear" w:color="auto" w:fill="auto"/>
            <w:noWrap/>
            <w:vAlign w:val="center"/>
            <w:hideMark/>
          </w:tcPr>
          <w:p w14:paraId="0CE9F192"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200" w:type="dxa"/>
            <w:tcBorders>
              <w:top w:val="nil"/>
              <w:left w:val="nil"/>
              <w:bottom w:val="nil"/>
              <w:right w:val="nil"/>
            </w:tcBorders>
            <w:shd w:val="clear" w:color="auto" w:fill="auto"/>
            <w:noWrap/>
            <w:vAlign w:val="center"/>
            <w:hideMark/>
          </w:tcPr>
          <w:p w14:paraId="05E53513" w14:textId="77777777" w:rsidR="00115DF9" w:rsidRPr="00EB5D5F" w:rsidRDefault="00115DF9" w:rsidP="00115DF9">
            <w:pPr>
              <w:suppressAutoHyphens w:val="0"/>
              <w:spacing w:line="240" w:lineRule="auto"/>
              <w:jc w:val="center"/>
              <w:rPr>
                <w:rFonts w:eastAsia="Times New Roman"/>
                <w:color w:val="000000"/>
                <w:sz w:val="18"/>
                <w:szCs w:val="18"/>
                <w:lang w:val="de-DE"/>
              </w:rPr>
            </w:pPr>
          </w:p>
        </w:tc>
        <w:tc>
          <w:tcPr>
            <w:tcW w:w="1437" w:type="dxa"/>
            <w:tcBorders>
              <w:top w:val="nil"/>
              <w:left w:val="nil"/>
              <w:bottom w:val="nil"/>
              <w:right w:val="nil"/>
            </w:tcBorders>
            <w:shd w:val="clear" w:color="auto" w:fill="auto"/>
            <w:noWrap/>
            <w:vAlign w:val="center"/>
            <w:hideMark/>
          </w:tcPr>
          <w:p w14:paraId="4531D4DF"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683" w:type="dxa"/>
            <w:tcBorders>
              <w:top w:val="nil"/>
              <w:left w:val="nil"/>
              <w:bottom w:val="nil"/>
              <w:right w:val="nil"/>
            </w:tcBorders>
            <w:shd w:val="clear" w:color="auto" w:fill="auto"/>
            <w:noWrap/>
            <w:vAlign w:val="center"/>
            <w:hideMark/>
          </w:tcPr>
          <w:p w14:paraId="23C046FB"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191" w:type="dxa"/>
            <w:tcBorders>
              <w:top w:val="nil"/>
              <w:left w:val="nil"/>
              <w:bottom w:val="nil"/>
              <w:right w:val="nil"/>
            </w:tcBorders>
            <w:shd w:val="clear" w:color="auto" w:fill="auto"/>
            <w:noWrap/>
            <w:vAlign w:val="center"/>
            <w:hideMark/>
          </w:tcPr>
          <w:p w14:paraId="226FC81A" w14:textId="77777777" w:rsidR="00115DF9" w:rsidRPr="00EB5D5F" w:rsidRDefault="00115DF9" w:rsidP="00115DF9">
            <w:pPr>
              <w:suppressAutoHyphens w:val="0"/>
              <w:spacing w:line="240" w:lineRule="auto"/>
              <w:jc w:val="center"/>
              <w:rPr>
                <w:rFonts w:eastAsia="Times New Roman"/>
                <w:color w:val="000000"/>
                <w:sz w:val="18"/>
                <w:szCs w:val="18"/>
                <w:lang w:val="de-DE"/>
              </w:rPr>
            </w:pPr>
          </w:p>
        </w:tc>
        <w:tc>
          <w:tcPr>
            <w:tcW w:w="516" w:type="dxa"/>
            <w:tcBorders>
              <w:top w:val="nil"/>
              <w:left w:val="nil"/>
              <w:bottom w:val="nil"/>
              <w:right w:val="nil"/>
            </w:tcBorders>
            <w:shd w:val="clear" w:color="auto" w:fill="auto"/>
            <w:noWrap/>
            <w:vAlign w:val="center"/>
            <w:hideMark/>
          </w:tcPr>
          <w:p w14:paraId="355C5AC6"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1524" w:type="dxa"/>
            <w:tcBorders>
              <w:top w:val="nil"/>
              <w:left w:val="nil"/>
              <w:bottom w:val="nil"/>
              <w:right w:val="nil"/>
            </w:tcBorders>
            <w:shd w:val="clear" w:color="auto" w:fill="auto"/>
            <w:noWrap/>
            <w:vAlign w:val="center"/>
            <w:hideMark/>
          </w:tcPr>
          <w:p w14:paraId="331322CA" w14:textId="77777777" w:rsidR="00115DF9" w:rsidRPr="00EB5D5F" w:rsidRDefault="00115DF9" w:rsidP="00115DF9">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xml:space="preserve">1 </w:t>
            </w:r>
            <w:proofErr w:type="spellStart"/>
            <w:r w:rsidRPr="00EB5D5F">
              <w:rPr>
                <w:rFonts w:eastAsia="Times New Roman"/>
                <w:color w:val="000000"/>
                <w:sz w:val="18"/>
                <w:szCs w:val="18"/>
                <w:lang w:val="de-DE"/>
              </w:rPr>
              <w:t>cluster</w:t>
            </w:r>
            <w:proofErr w:type="spellEnd"/>
          </w:p>
        </w:tc>
      </w:tr>
      <w:tr w:rsidR="00115DF9" w:rsidRPr="00EB5D5F" w14:paraId="7C5B89AC" w14:textId="77777777" w:rsidTr="00115DF9">
        <w:trPr>
          <w:trHeight w:val="315"/>
        </w:trPr>
        <w:tc>
          <w:tcPr>
            <w:tcW w:w="2127" w:type="dxa"/>
            <w:tcBorders>
              <w:top w:val="nil"/>
              <w:left w:val="nil"/>
              <w:bottom w:val="nil"/>
              <w:right w:val="nil"/>
            </w:tcBorders>
            <w:shd w:val="clear" w:color="auto" w:fill="auto"/>
            <w:noWrap/>
            <w:vAlign w:val="center"/>
            <w:hideMark/>
          </w:tcPr>
          <w:p w14:paraId="780EF629" w14:textId="77777777" w:rsidR="00115DF9" w:rsidRPr="00EB5D5F" w:rsidRDefault="00115DF9" w:rsidP="00115DF9">
            <w:pPr>
              <w:suppressAutoHyphens w:val="0"/>
              <w:spacing w:line="240" w:lineRule="auto"/>
              <w:rPr>
                <w:rFonts w:eastAsia="Times New Roman"/>
                <w:color w:val="000000"/>
                <w:sz w:val="18"/>
                <w:szCs w:val="18"/>
                <w:lang w:val="de-DE"/>
              </w:rPr>
            </w:pPr>
            <w:r w:rsidRPr="00EB5D5F">
              <w:rPr>
                <w:rFonts w:eastAsia="Times New Roman"/>
                <w:color w:val="000000"/>
                <w:sz w:val="18"/>
                <w:szCs w:val="18"/>
                <w:lang w:val="de-DE"/>
              </w:rPr>
              <w:t>MDD</w:t>
            </w:r>
          </w:p>
        </w:tc>
        <w:tc>
          <w:tcPr>
            <w:tcW w:w="850" w:type="dxa"/>
            <w:tcBorders>
              <w:top w:val="nil"/>
              <w:left w:val="nil"/>
              <w:bottom w:val="nil"/>
              <w:right w:val="nil"/>
            </w:tcBorders>
            <w:shd w:val="clear" w:color="auto" w:fill="auto"/>
            <w:noWrap/>
            <w:vAlign w:val="center"/>
            <w:hideMark/>
          </w:tcPr>
          <w:p w14:paraId="710681AC" w14:textId="79BBA56B" w:rsidR="00115DF9" w:rsidRPr="00EB5D5F" w:rsidRDefault="00115DF9" w:rsidP="00115DF9">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624</w:t>
            </w:r>
          </w:p>
        </w:tc>
        <w:tc>
          <w:tcPr>
            <w:tcW w:w="1903" w:type="dxa"/>
            <w:tcBorders>
              <w:top w:val="nil"/>
              <w:left w:val="nil"/>
              <w:bottom w:val="nil"/>
              <w:right w:val="nil"/>
            </w:tcBorders>
            <w:shd w:val="clear" w:color="auto" w:fill="auto"/>
            <w:noWrap/>
            <w:vAlign w:val="center"/>
            <w:hideMark/>
          </w:tcPr>
          <w:p w14:paraId="21A99899" w14:textId="77777777" w:rsidR="00115DF9" w:rsidRPr="00EB5D5F" w:rsidRDefault="00115DF9" w:rsidP="00115DF9">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CM vs. non-CM</w:t>
            </w:r>
          </w:p>
        </w:tc>
        <w:tc>
          <w:tcPr>
            <w:tcW w:w="475" w:type="dxa"/>
            <w:tcBorders>
              <w:top w:val="nil"/>
              <w:left w:val="nil"/>
              <w:bottom w:val="nil"/>
              <w:right w:val="nil"/>
            </w:tcBorders>
            <w:shd w:val="clear" w:color="auto" w:fill="auto"/>
            <w:noWrap/>
            <w:vAlign w:val="center"/>
            <w:hideMark/>
          </w:tcPr>
          <w:p w14:paraId="024FFBD4"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1405" w:type="dxa"/>
            <w:tcBorders>
              <w:top w:val="nil"/>
              <w:left w:val="nil"/>
              <w:bottom w:val="nil"/>
              <w:right w:val="nil"/>
            </w:tcBorders>
            <w:shd w:val="clear" w:color="auto" w:fill="auto"/>
            <w:noWrap/>
            <w:vAlign w:val="center"/>
            <w:hideMark/>
          </w:tcPr>
          <w:p w14:paraId="517CAA1D" w14:textId="77777777" w:rsidR="00115DF9" w:rsidRPr="00EB5D5F" w:rsidRDefault="00115DF9" w:rsidP="00115DF9">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xml:space="preserve">1 </w:t>
            </w:r>
            <w:proofErr w:type="spellStart"/>
            <w:r w:rsidRPr="00EB5D5F">
              <w:rPr>
                <w:rFonts w:eastAsia="Times New Roman"/>
                <w:color w:val="000000"/>
                <w:sz w:val="18"/>
                <w:szCs w:val="18"/>
                <w:lang w:val="de-DE"/>
              </w:rPr>
              <w:t>cluster</w:t>
            </w:r>
            <w:proofErr w:type="spellEnd"/>
            <w:r w:rsidRPr="00EB5D5F">
              <w:rPr>
                <w:rFonts w:eastAsia="Times New Roman"/>
                <w:color w:val="000000"/>
                <w:sz w:val="18"/>
                <w:szCs w:val="18"/>
                <w:lang w:val="de-DE"/>
              </w:rPr>
              <w:t xml:space="preserve"> </w:t>
            </w:r>
          </w:p>
        </w:tc>
        <w:tc>
          <w:tcPr>
            <w:tcW w:w="200" w:type="dxa"/>
            <w:tcBorders>
              <w:top w:val="nil"/>
              <w:left w:val="nil"/>
              <w:bottom w:val="nil"/>
              <w:right w:val="nil"/>
            </w:tcBorders>
            <w:shd w:val="clear" w:color="auto" w:fill="auto"/>
            <w:noWrap/>
            <w:vAlign w:val="center"/>
            <w:hideMark/>
          </w:tcPr>
          <w:p w14:paraId="3696F9EC" w14:textId="77777777" w:rsidR="00115DF9" w:rsidRPr="00EB5D5F" w:rsidRDefault="00115DF9" w:rsidP="00115DF9">
            <w:pPr>
              <w:suppressAutoHyphens w:val="0"/>
              <w:spacing w:line="240" w:lineRule="auto"/>
              <w:jc w:val="center"/>
              <w:rPr>
                <w:rFonts w:eastAsia="Times New Roman"/>
                <w:color w:val="000000"/>
                <w:sz w:val="18"/>
                <w:szCs w:val="18"/>
                <w:lang w:val="de-DE"/>
              </w:rPr>
            </w:pPr>
          </w:p>
        </w:tc>
        <w:tc>
          <w:tcPr>
            <w:tcW w:w="1040" w:type="dxa"/>
            <w:tcBorders>
              <w:top w:val="nil"/>
              <w:left w:val="nil"/>
              <w:bottom w:val="nil"/>
              <w:right w:val="nil"/>
            </w:tcBorders>
            <w:shd w:val="clear" w:color="auto" w:fill="auto"/>
            <w:noWrap/>
            <w:vAlign w:val="center"/>
            <w:hideMark/>
          </w:tcPr>
          <w:p w14:paraId="58FEA5FA"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1040" w:type="dxa"/>
            <w:tcBorders>
              <w:top w:val="nil"/>
              <w:left w:val="nil"/>
              <w:bottom w:val="nil"/>
              <w:right w:val="nil"/>
            </w:tcBorders>
            <w:shd w:val="clear" w:color="auto" w:fill="auto"/>
            <w:noWrap/>
            <w:vAlign w:val="center"/>
            <w:hideMark/>
          </w:tcPr>
          <w:p w14:paraId="3C326075"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240" w:type="dxa"/>
            <w:tcBorders>
              <w:top w:val="nil"/>
              <w:left w:val="nil"/>
              <w:bottom w:val="nil"/>
              <w:right w:val="nil"/>
            </w:tcBorders>
            <w:shd w:val="clear" w:color="auto" w:fill="auto"/>
            <w:noWrap/>
            <w:vAlign w:val="center"/>
            <w:hideMark/>
          </w:tcPr>
          <w:p w14:paraId="73AB2CE9" w14:textId="77777777" w:rsidR="00115DF9" w:rsidRPr="00EB5D5F" w:rsidRDefault="00115DF9" w:rsidP="00115DF9">
            <w:pPr>
              <w:suppressAutoHyphens w:val="0"/>
              <w:spacing w:line="240" w:lineRule="auto"/>
              <w:jc w:val="center"/>
              <w:rPr>
                <w:rFonts w:eastAsia="Times New Roman"/>
                <w:color w:val="000000"/>
                <w:sz w:val="18"/>
                <w:szCs w:val="18"/>
                <w:lang w:val="de-DE"/>
              </w:rPr>
            </w:pPr>
          </w:p>
        </w:tc>
        <w:tc>
          <w:tcPr>
            <w:tcW w:w="648" w:type="dxa"/>
            <w:tcBorders>
              <w:top w:val="nil"/>
              <w:left w:val="nil"/>
              <w:bottom w:val="nil"/>
              <w:right w:val="nil"/>
            </w:tcBorders>
            <w:shd w:val="clear" w:color="auto" w:fill="auto"/>
            <w:noWrap/>
            <w:vAlign w:val="center"/>
            <w:hideMark/>
          </w:tcPr>
          <w:p w14:paraId="08E6E0A2"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912" w:type="dxa"/>
            <w:tcBorders>
              <w:top w:val="nil"/>
              <w:left w:val="nil"/>
              <w:bottom w:val="nil"/>
              <w:right w:val="nil"/>
            </w:tcBorders>
            <w:shd w:val="clear" w:color="auto" w:fill="auto"/>
            <w:noWrap/>
            <w:vAlign w:val="center"/>
            <w:hideMark/>
          </w:tcPr>
          <w:p w14:paraId="1C444F3E"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200" w:type="dxa"/>
            <w:tcBorders>
              <w:top w:val="nil"/>
              <w:left w:val="nil"/>
              <w:bottom w:val="nil"/>
              <w:right w:val="nil"/>
            </w:tcBorders>
            <w:shd w:val="clear" w:color="auto" w:fill="auto"/>
            <w:noWrap/>
            <w:vAlign w:val="center"/>
            <w:hideMark/>
          </w:tcPr>
          <w:p w14:paraId="03A0AD55" w14:textId="77777777" w:rsidR="00115DF9" w:rsidRPr="00EB5D5F" w:rsidRDefault="00115DF9" w:rsidP="00115DF9">
            <w:pPr>
              <w:suppressAutoHyphens w:val="0"/>
              <w:spacing w:line="240" w:lineRule="auto"/>
              <w:jc w:val="center"/>
              <w:rPr>
                <w:rFonts w:eastAsia="Times New Roman"/>
                <w:color w:val="000000"/>
                <w:sz w:val="18"/>
                <w:szCs w:val="18"/>
                <w:lang w:val="de-DE"/>
              </w:rPr>
            </w:pPr>
          </w:p>
        </w:tc>
        <w:tc>
          <w:tcPr>
            <w:tcW w:w="1437" w:type="dxa"/>
            <w:tcBorders>
              <w:top w:val="nil"/>
              <w:left w:val="nil"/>
              <w:bottom w:val="nil"/>
              <w:right w:val="nil"/>
            </w:tcBorders>
            <w:shd w:val="clear" w:color="auto" w:fill="auto"/>
            <w:noWrap/>
            <w:vAlign w:val="center"/>
            <w:hideMark/>
          </w:tcPr>
          <w:p w14:paraId="46264502"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683" w:type="dxa"/>
            <w:tcBorders>
              <w:top w:val="nil"/>
              <w:left w:val="nil"/>
              <w:bottom w:val="nil"/>
              <w:right w:val="nil"/>
            </w:tcBorders>
            <w:shd w:val="clear" w:color="auto" w:fill="auto"/>
            <w:noWrap/>
            <w:vAlign w:val="center"/>
            <w:hideMark/>
          </w:tcPr>
          <w:p w14:paraId="4532413B"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191" w:type="dxa"/>
            <w:tcBorders>
              <w:top w:val="nil"/>
              <w:left w:val="nil"/>
              <w:bottom w:val="nil"/>
              <w:right w:val="nil"/>
            </w:tcBorders>
            <w:shd w:val="clear" w:color="auto" w:fill="auto"/>
            <w:noWrap/>
            <w:vAlign w:val="center"/>
            <w:hideMark/>
          </w:tcPr>
          <w:p w14:paraId="33FD56AA" w14:textId="77777777" w:rsidR="00115DF9" w:rsidRPr="00EB5D5F" w:rsidRDefault="00115DF9" w:rsidP="00115DF9">
            <w:pPr>
              <w:suppressAutoHyphens w:val="0"/>
              <w:spacing w:line="240" w:lineRule="auto"/>
              <w:jc w:val="center"/>
              <w:rPr>
                <w:rFonts w:eastAsia="Times New Roman"/>
                <w:color w:val="000000"/>
                <w:sz w:val="18"/>
                <w:szCs w:val="18"/>
                <w:lang w:val="de-DE"/>
              </w:rPr>
            </w:pPr>
          </w:p>
        </w:tc>
        <w:tc>
          <w:tcPr>
            <w:tcW w:w="516" w:type="dxa"/>
            <w:tcBorders>
              <w:top w:val="nil"/>
              <w:left w:val="nil"/>
              <w:bottom w:val="nil"/>
              <w:right w:val="nil"/>
            </w:tcBorders>
            <w:shd w:val="clear" w:color="auto" w:fill="auto"/>
            <w:noWrap/>
            <w:vAlign w:val="center"/>
            <w:hideMark/>
          </w:tcPr>
          <w:p w14:paraId="18F2969F"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1524" w:type="dxa"/>
            <w:tcBorders>
              <w:top w:val="nil"/>
              <w:left w:val="nil"/>
              <w:bottom w:val="nil"/>
              <w:right w:val="nil"/>
            </w:tcBorders>
            <w:shd w:val="clear" w:color="auto" w:fill="auto"/>
            <w:noWrap/>
            <w:vAlign w:val="center"/>
            <w:hideMark/>
          </w:tcPr>
          <w:p w14:paraId="2D890397"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r>
      <w:tr w:rsidR="00115DF9" w:rsidRPr="00EB5D5F" w14:paraId="5174F816" w14:textId="77777777" w:rsidTr="00115DF9">
        <w:trPr>
          <w:trHeight w:val="375"/>
        </w:trPr>
        <w:tc>
          <w:tcPr>
            <w:tcW w:w="2127" w:type="dxa"/>
            <w:tcBorders>
              <w:top w:val="nil"/>
              <w:left w:val="nil"/>
              <w:bottom w:val="nil"/>
              <w:right w:val="nil"/>
            </w:tcBorders>
            <w:shd w:val="clear" w:color="auto" w:fill="auto"/>
            <w:noWrap/>
            <w:vAlign w:val="center"/>
            <w:hideMark/>
          </w:tcPr>
          <w:p w14:paraId="5EBD992C" w14:textId="77777777" w:rsidR="00115DF9" w:rsidRPr="00EB5D5F" w:rsidRDefault="00115DF9" w:rsidP="00115DF9">
            <w:pPr>
              <w:suppressAutoHyphens w:val="0"/>
              <w:spacing w:line="240" w:lineRule="auto"/>
              <w:rPr>
                <w:rFonts w:eastAsia="Times New Roman"/>
                <w:color w:val="000000"/>
                <w:sz w:val="18"/>
                <w:szCs w:val="18"/>
                <w:lang w:val="de-DE"/>
              </w:rPr>
            </w:pPr>
            <w:r w:rsidRPr="00EB5D5F">
              <w:rPr>
                <w:rFonts w:eastAsia="Times New Roman"/>
                <w:color w:val="000000"/>
                <w:sz w:val="18"/>
                <w:szCs w:val="18"/>
                <w:lang w:val="de-DE"/>
              </w:rPr>
              <w:t>MDD</w:t>
            </w:r>
          </w:p>
        </w:tc>
        <w:tc>
          <w:tcPr>
            <w:tcW w:w="850" w:type="dxa"/>
            <w:tcBorders>
              <w:top w:val="nil"/>
              <w:left w:val="nil"/>
              <w:bottom w:val="nil"/>
              <w:right w:val="nil"/>
            </w:tcBorders>
            <w:shd w:val="clear" w:color="auto" w:fill="auto"/>
            <w:noWrap/>
            <w:vAlign w:val="center"/>
            <w:hideMark/>
          </w:tcPr>
          <w:p w14:paraId="2AAA1968" w14:textId="77777777" w:rsidR="00115DF9" w:rsidRPr="00EB5D5F" w:rsidRDefault="00115DF9" w:rsidP="00115DF9">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134</w:t>
            </w:r>
          </w:p>
        </w:tc>
        <w:tc>
          <w:tcPr>
            <w:tcW w:w="1903" w:type="dxa"/>
            <w:tcBorders>
              <w:top w:val="nil"/>
              <w:left w:val="nil"/>
              <w:bottom w:val="nil"/>
              <w:right w:val="nil"/>
            </w:tcBorders>
            <w:shd w:val="clear" w:color="auto" w:fill="auto"/>
            <w:noWrap/>
            <w:vAlign w:val="center"/>
            <w:hideMark/>
          </w:tcPr>
          <w:p w14:paraId="5A9D7E40" w14:textId="77777777" w:rsidR="00115DF9" w:rsidRPr="00EB5D5F" w:rsidRDefault="00115DF9" w:rsidP="00115DF9">
            <w:pPr>
              <w:suppressAutoHyphens w:val="0"/>
              <w:spacing w:line="240" w:lineRule="auto"/>
              <w:jc w:val="center"/>
              <w:rPr>
                <w:rFonts w:eastAsia="Times New Roman"/>
                <w:color w:val="000000"/>
                <w:sz w:val="18"/>
                <w:szCs w:val="18"/>
                <w:lang w:val="en-US"/>
              </w:rPr>
            </w:pPr>
            <w:r w:rsidRPr="00EB5D5F">
              <w:rPr>
                <w:rFonts w:eastAsia="Times New Roman"/>
                <w:color w:val="000000"/>
                <w:sz w:val="18"/>
                <w:szCs w:val="18"/>
                <w:lang w:val="en-US"/>
              </w:rPr>
              <w:t>severe CM vs. non-CM</w:t>
            </w:r>
          </w:p>
        </w:tc>
        <w:tc>
          <w:tcPr>
            <w:tcW w:w="475" w:type="dxa"/>
            <w:tcBorders>
              <w:top w:val="nil"/>
              <w:left w:val="nil"/>
              <w:bottom w:val="nil"/>
              <w:right w:val="nil"/>
            </w:tcBorders>
            <w:shd w:val="clear" w:color="auto" w:fill="auto"/>
            <w:noWrap/>
            <w:vAlign w:val="center"/>
            <w:hideMark/>
          </w:tcPr>
          <w:p w14:paraId="6701446D"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1405" w:type="dxa"/>
            <w:tcBorders>
              <w:top w:val="nil"/>
              <w:left w:val="nil"/>
              <w:bottom w:val="nil"/>
              <w:right w:val="nil"/>
            </w:tcBorders>
            <w:shd w:val="clear" w:color="auto" w:fill="auto"/>
            <w:noWrap/>
            <w:vAlign w:val="center"/>
            <w:hideMark/>
          </w:tcPr>
          <w:p w14:paraId="36AAE802"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200" w:type="dxa"/>
            <w:tcBorders>
              <w:top w:val="nil"/>
              <w:left w:val="nil"/>
              <w:bottom w:val="nil"/>
              <w:right w:val="nil"/>
            </w:tcBorders>
            <w:shd w:val="clear" w:color="auto" w:fill="auto"/>
            <w:noWrap/>
            <w:vAlign w:val="center"/>
            <w:hideMark/>
          </w:tcPr>
          <w:p w14:paraId="55936978" w14:textId="77777777" w:rsidR="00115DF9" w:rsidRPr="00EB5D5F" w:rsidRDefault="00115DF9" w:rsidP="00115DF9">
            <w:pPr>
              <w:suppressAutoHyphens w:val="0"/>
              <w:spacing w:line="240" w:lineRule="auto"/>
              <w:jc w:val="center"/>
              <w:rPr>
                <w:rFonts w:eastAsia="Times New Roman"/>
                <w:color w:val="000000"/>
                <w:sz w:val="18"/>
                <w:szCs w:val="18"/>
                <w:lang w:val="de-DE"/>
              </w:rPr>
            </w:pPr>
          </w:p>
        </w:tc>
        <w:tc>
          <w:tcPr>
            <w:tcW w:w="1040" w:type="dxa"/>
            <w:tcBorders>
              <w:top w:val="nil"/>
              <w:left w:val="nil"/>
              <w:bottom w:val="nil"/>
              <w:right w:val="nil"/>
            </w:tcBorders>
            <w:shd w:val="clear" w:color="auto" w:fill="auto"/>
            <w:noWrap/>
            <w:vAlign w:val="center"/>
            <w:hideMark/>
          </w:tcPr>
          <w:p w14:paraId="13420B25"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1040" w:type="dxa"/>
            <w:tcBorders>
              <w:top w:val="nil"/>
              <w:left w:val="nil"/>
              <w:bottom w:val="nil"/>
              <w:right w:val="nil"/>
            </w:tcBorders>
            <w:shd w:val="clear" w:color="auto" w:fill="auto"/>
            <w:noWrap/>
            <w:vAlign w:val="center"/>
            <w:hideMark/>
          </w:tcPr>
          <w:p w14:paraId="67B24927" w14:textId="77777777" w:rsidR="00115DF9" w:rsidRPr="00EB5D5F" w:rsidRDefault="00115DF9" w:rsidP="00115DF9">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xml:space="preserve">1 </w:t>
            </w:r>
            <w:proofErr w:type="spellStart"/>
            <w:r w:rsidRPr="00EB5D5F">
              <w:rPr>
                <w:rFonts w:eastAsia="Times New Roman"/>
                <w:color w:val="000000"/>
                <w:sz w:val="18"/>
                <w:szCs w:val="18"/>
                <w:lang w:val="de-DE"/>
              </w:rPr>
              <w:t>cluster</w:t>
            </w:r>
            <w:proofErr w:type="spellEnd"/>
          </w:p>
        </w:tc>
        <w:tc>
          <w:tcPr>
            <w:tcW w:w="240" w:type="dxa"/>
            <w:tcBorders>
              <w:top w:val="nil"/>
              <w:left w:val="nil"/>
              <w:bottom w:val="nil"/>
              <w:right w:val="nil"/>
            </w:tcBorders>
            <w:shd w:val="clear" w:color="auto" w:fill="auto"/>
            <w:noWrap/>
            <w:vAlign w:val="center"/>
            <w:hideMark/>
          </w:tcPr>
          <w:p w14:paraId="3DAD5EA5" w14:textId="77777777" w:rsidR="00115DF9" w:rsidRPr="00EB5D5F" w:rsidRDefault="00115DF9" w:rsidP="00115DF9">
            <w:pPr>
              <w:suppressAutoHyphens w:val="0"/>
              <w:spacing w:line="240" w:lineRule="auto"/>
              <w:jc w:val="center"/>
              <w:rPr>
                <w:rFonts w:eastAsia="Times New Roman"/>
                <w:color w:val="000000"/>
                <w:sz w:val="18"/>
                <w:szCs w:val="18"/>
                <w:lang w:val="de-DE"/>
              </w:rPr>
            </w:pPr>
          </w:p>
        </w:tc>
        <w:tc>
          <w:tcPr>
            <w:tcW w:w="648" w:type="dxa"/>
            <w:tcBorders>
              <w:top w:val="nil"/>
              <w:left w:val="nil"/>
              <w:bottom w:val="nil"/>
              <w:right w:val="nil"/>
            </w:tcBorders>
            <w:shd w:val="clear" w:color="auto" w:fill="auto"/>
            <w:noWrap/>
            <w:vAlign w:val="center"/>
            <w:hideMark/>
          </w:tcPr>
          <w:p w14:paraId="3F14B4FC"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912" w:type="dxa"/>
            <w:tcBorders>
              <w:top w:val="nil"/>
              <w:left w:val="nil"/>
              <w:bottom w:val="nil"/>
              <w:right w:val="nil"/>
            </w:tcBorders>
            <w:shd w:val="clear" w:color="auto" w:fill="auto"/>
            <w:noWrap/>
            <w:vAlign w:val="center"/>
            <w:hideMark/>
          </w:tcPr>
          <w:p w14:paraId="1870079C"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200" w:type="dxa"/>
            <w:tcBorders>
              <w:top w:val="nil"/>
              <w:left w:val="nil"/>
              <w:bottom w:val="nil"/>
              <w:right w:val="nil"/>
            </w:tcBorders>
            <w:shd w:val="clear" w:color="auto" w:fill="auto"/>
            <w:noWrap/>
            <w:vAlign w:val="center"/>
            <w:hideMark/>
          </w:tcPr>
          <w:p w14:paraId="1CE099E8" w14:textId="77777777" w:rsidR="00115DF9" w:rsidRPr="00EB5D5F" w:rsidRDefault="00115DF9" w:rsidP="00115DF9">
            <w:pPr>
              <w:suppressAutoHyphens w:val="0"/>
              <w:spacing w:line="240" w:lineRule="auto"/>
              <w:jc w:val="center"/>
              <w:rPr>
                <w:rFonts w:eastAsia="Times New Roman"/>
                <w:color w:val="000000"/>
                <w:sz w:val="18"/>
                <w:szCs w:val="18"/>
                <w:lang w:val="de-DE"/>
              </w:rPr>
            </w:pPr>
          </w:p>
        </w:tc>
        <w:tc>
          <w:tcPr>
            <w:tcW w:w="1437" w:type="dxa"/>
            <w:tcBorders>
              <w:top w:val="nil"/>
              <w:left w:val="nil"/>
              <w:bottom w:val="nil"/>
              <w:right w:val="nil"/>
            </w:tcBorders>
            <w:shd w:val="clear" w:color="auto" w:fill="auto"/>
            <w:noWrap/>
            <w:vAlign w:val="center"/>
            <w:hideMark/>
          </w:tcPr>
          <w:p w14:paraId="6F7D0F87" w14:textId="77777777" w:rsidR="00115DF9" w:rsidRPr="00EB5D5F" w:rsidRDefault="00115DF9" w:rsidP="00115DF9">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xml:space="preserve">2 </w:t>
            </w:r>
            <w:proofErr w:type="spellStart"/>
            <w:r w:rsidRPr="00EB5D5F">
              <w:rPr>
                <w:rFonts w:eastAsia="Times New Roman"/>
                <w:color w:val="000000"/>
                <w:sz w:val="18"/>
                <w:szCs w:val="18"/>
                <w:lang w:val="de-DE"/>
              </w:rPr>
              <w:t>clusters</w:t>
            </w:r>
            <w:proofErr w:type="spellEnd"/>
          </w:p>
        </w:tc>
        <w:tc>
          <w:tcPr>
            <w:tcW w:w="683" w:type="dxa"/>
            <w:tcBorders>
              <w:top w:val="nil"/>
              <w:left w:val="nil"/>
              <w:bottom w:val="nil"/>
              <w:right w:val="nil"/>
            </w:tcBorders>
            <w:shd w:val="clear" w:color="auto" w:fill="auto"/>
            <w:noWrap/>
            <w:vAlign w:val="center"/>
            <w:hideMark/>
          </w:tcPr>
          <w:p w14:paraId="2BC99B5D"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191" w:type="dxa"/>
            <w:tcBorders>
              <w:top w:val="nil"/>
              <w:left w:val="nil"/>
              <w:bottom w:val="nil"/>
              <w:right w:val="nil"/>
            </w:tcBorders>
            <w:shd w:val="clear" w:color="auto" w:fill="auto"/>
            <w:noWrap/>
            <w:vAlign w:val="center"/>
            <w:hideMark/>
          </w:tcPr>
          <w:p w14:paraId="705A1939" w14:textId="77777777" w:rsidR="00115DF9" w:rsidRPr="00EB5D5F" w:rsidRDefault="00115DF9" w:rsidP="00115DF9">
            <w:pPr>
              <w:suppressAutoHyphens w:val="0"/>
              <w:spacing w:line="240" w:lineRule="auto"/>
              <w:jc w:val="center"/>
              <w:rPr>
                <w:rFonts w:eastAsia="Times New Roman"/>
                <w:color w:val="000000"/>
                <w:sz w:val="18"/>
                <w:szCs w:val="18"/>
                <w:lang w:val="de-DE"/>
              </w:rPr>
            </w:pPr>
          </w:p>
        </w:tc>
        <w:tc>
          <w:tcPr>
            <w:tcW w:w="516" w:type="dxa"/>
            <w:tcBorders>
              <w:top w:val="nil"/>
              <w:left w:val="nil"/>
              <w:bottom w:val="nil"/>
              <w:right w:val="nil"/>
            </w:tcBorders>
            <w:shd w:val="clear" w:color="auto" w:fill="auto"/>
            <w:noWrap/>
            <w:vAlign w:val="center"/>
            <w:hideMark/>
          </w:tcPr>
          <w:p w14:paraId="4B8682C3"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1524" w:type="dxa"/>
            <w:tcBorders>
              <w:top w:val="nil"/>
              <w:left w:val="nil"/>
              <w:bottom w:val="nil"/>
              <w:right w:val="nil"/>
            </w:tcBorders>
            <w:shd w:val="clear" w:color="auto" w:fill="auto"/>
            <w:noWrap/>
            <w:vAlign w:val="center"/>
            <w:hideMark/>
          </w:tcPr>
          <w:p w14:paraId="025351C7"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r>
      <w:tr w:rsidR="00115DF9" w:rsidRPr="00EB5D5F" w14:paraId="4A64ABD6" w14:textId="77777777" w:rsidTr="00115DF9">
        <w:trPr>
          <w:trHeight w:val="300"/>
        </w:trPr>
        <w:tc>
          <w:tcPr>
            <w:tcW w:w="2127" w:type="dxa"/>
            <w:tcBorders>
              <w:top w:val="nil"/>
              <w:left w:val="nil"/>
              <w:bottom w:val="single" w:sz="4" w:space="0" w:color="auto"/>
              <w:right w:val="nil"/>
            </w:tcBorders>
            <w:shd w:val="clear" w:color="auto" w:fill="auto"/>
            <w:noWrap/>
            <w:vAlign w:val="center"/>
            <w:hideMark/>
          </w:tcPr>
          <w:p w14:paraId="0F5E5810" w14:textId="77777777" w:rsidR="00115DF9" w:rsidRPr="00EB5D5F" w:rsidRDefault="00115DF9" w:rsidP="00115DF9">
            <w:pPr>
              <w:suppressAutoHyphens w:val="0"/>
              <w:spacing w:line="240" w:lineRule="auto"/>
              <w:rPr>
                <w:rFonts w:eastAsia="Times New Roman"/>
                <w:color w:val="000000"/>
                <w:sz w:val="18"/>
                <w:szCs w:val="18"/>
                <w:lang w:val="de-DE"/>
              </w:rPr>
            </w:pPr>
            <w:r w:rsidRPr="00EB5D5F">
              <w:rPr>
                <w:rFonts w:eastAsia="Times New Roman"/>
                <w:color w:val="000000"/>
                <w:sz w:val="18"/>
                <w:szCs w:val="18"/>
                <w:lang w:val="de-DE"/>
              </w:rPr>
              <w:t xml:space="preserve">MDD </w:t>
            </w:r>
            <w:proofErr w:type="spellStart"/>
            <w:r w:rsidRPr="00EB5D5F">
              <w:rPr>
                <w:rFonts w:eastAsia="Times New Roman"/>
                <w:color w:val="000000"/>
                <w:sz w:val="18"/>
                <w:szCs w:val="18"/>
                <w:lang w:val="de-DE"/>
              </w:rPr>
              <w:t>acute</w:t>
            </w:r>
            <w:proofErr w:type="spellEnd"/>
          </w:p>
        </w:tc>
        <w:tc>
          <w:tcPr>
            <w:tcW w:w="850" w:type="dxa"/>
            <w:tcBorders>
              <w:top w:val="nil"/>
              <w:left w:val="nil"/>
              <w:bottom w:val="single" w:sz="4" w:space="0" w:color="auto"/>
              <w:right w:val="nil"/>
            </w:tcBorders>
            <w:shd w:val="clear" w:color="auto" w:fill="auto"/>
            <w:noWrap/>
            <w:vAlign w:val="center"/>
            <w:hideMark/>
          </w:tcPr>
          <w:p w14:paraId="31650FCA" w14:textId="77777777" w:rsidR="00115DF9" w:rsidRPr="00EB5D5F" w:rsidRDefault="00115DF9" w:rsidP="00115DF9">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264</w:t>
            </w:r>
          </w:p>
        </w:tc>
        <w:tc>
          <w:tcPr>
            <w:tcW w:w="1903" w:type="dxa"/>
            <w:tcBorders>
              <w:top w:val="nil"/>
              <w:left w:val="nil"/>
              <w:bottom w:val="single" w:sz="4" w:space="0" w:color="auto"/>
              <w:right w:val="nil"/>
            </w:tcBorders>
            <w:shd w:val="clear" w:color="auto" w:fill="auto"/>
            <w:noWrap/>
            <w:vAlign w:val="center"/>
            <w:hideMark/>
          </w:tcPr>
          <w:p w14:paraId="0D1B9825" w14:textId="77777777" w:rsidR="00115DF9" w:rsidRPr="00EB5D5F" w:rsidRDefault="00115DF9" w:rsidP="00115DF9">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CM vs. non-CM</w:t>
            </w:r>
          </w:p>
        </w:tc>
        <w:tc>
          <w:tcPr>
            <w:tcW w:w="475" w:type="dxa"/>
            <w:tcBorders>
              <w:top w:val="nil"/>
              <w:left w:val="nil"/>
              <w:bottom w:val="single" w:sz="4" w:space="0" w:color="auto"/>
              <w:right w:val="nil"/>
            </w:tcBorders>
            <w:shd w:val="clear" w:color="auto" w:fill="auto"/>
            <w:noWrap/>
            <w:vAlign w:val="center"/>
            <w:hideMark/>
          </w:tcPr>
          <w:p w14:paraId="76A87C29"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1405" w:type="dxa"/>
            <w:tcBorders>
              <w:top w:val="nil"/>
              <w:left w:val="nil"/>
              <w:bottom w:val="single" w:sz="4" w:space="0" w:color="auto"/>
              <w:right w:val="nil"/>
            </w:tcBorders>
            <w:shd w:val="clear" w:color="auto" w:fill="auto"/>
            <w:noWrap/>
            <w:vAlign w:val="center"/>
            <w:hideMark/>
          </w:tcPr>
          <w:p w14:paraId="38B01DFE"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200" w:type="dxa"/>
            <w:tcBorders>
              <w:top w:val="nil"/>
              <w:left w:val="nil"/>
              <w:bottom w:val="single" w:sz="4" w:space="0" w:color="auto"/>
              <w:right w:val="nil"/>
            </w:tcBorders>
            <w:shd w:val="clear" w:color="auto" w:fill="auto"/>
            <w:noWrap/>
            <w:vAlign w:val="center"/>
            <w:hideMark/>
          </w:tcPr>
          <w:p w14:paraId="577B5EBB" w14:textId="77777777" w:rsidR="00115DF9" w:rsidRPr="00EB5D5F" w:rsidRDefault="00115DF9" w:rsidP="00115DF9">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w:t>
            </w:r>
          </w:p>
        </w:tc>
        <w:tc>
          <w:tcPr>
            <w:tcW w:w="1040" w:type="dxa"/>
            <w:tcBorders>
              <w:top w:val="nil"/>
              <w:left w:val="nil"/>
              <w:bottom w:val="single" w:sz="4" w:space="0" w:color="auto"/>
              <w:right w:val="nil"/>
            </w:tcBorders>
            <w:shd w:val="clear" w:color="auto" w:fill="auto"/>
            <w:noWrap/>
            <w:vAlign w:val="center"/>
            <w:hideMark/>
          </w:tcPr>
          <w:p w14:paraId="32EE1462"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1040" w:type="dxa"/>
            <w:tcBorders>
              <w:top w:val="nil"/>
              <w:left w:val="nil"/>
              <w:bottom w:val="single" w:sz="4" w:space="0" w:color="auto"/>
              <w:right w:val="nil"/>
            </w:tcBorders>
            <w:shd w:val="clear" w:color="auto" w:fill="auto"/>
            <w:noWrap/>
            <w:vAlign w:val="center"/>
            <w:hideMark/>
          </w:tcPr>
          <w:p w14:paraId="7290D561"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240" w:type="dxa"/>
            <w:tcBorders>
              <w:top w:val="nil"/>
              <w:left w:val="nil"/>
              <w:bottom w:val="single" w:sz="4" w:space="0" w:color="auto"/>
              <w:right w:val="nil"/>
            </w:tcBorders>
            <w:shd w:val="clear" w:color="auto" w:fill="auto"/>
            <w:noWrap/>
            <w:vAlign w:val="center"/>
            <w:hideMark/>
          </w:tcPr>
          <w:p w14:paraId="3956EC04" w14:textId="77777777" w:rsidR="00115DF9" w:rsidRPr="00EB5D5F" w:rsidRDefault="00115DF9" w:rsidP="00115DF9">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w:t>
            </w:r>
          </w:p>
        </w:tc>
        <w:tc>
          <w:tcPr>
            <w:tcW w:w="648" w:type="dxa"/>
            <w:tcBorders>
              <w:top w:val="nil"/>
              <w:left w:val="nil"/>
              <w:bottom w:val="single" w:sz="4" w:space="0" w:color="auto"/>
              <w:right w:val="nil"/>
            </w:tcBorders>
            <w:shd w:val="clear" w:color="auto" w:fill="auto"/>
            <w:noWrap/>
            <w:vAlign w:val="center"/>
            <w:hideMark/>
          </w:tcPr>
          <w:p w14:paraId="56A92001"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912" w:type="dxa"/>
            <w:tcBorders>
              <w:top w:val="nil"/>
              <w:left w:val="nil"/>
              <w:bottom w:val="single" w:sz="4" w:space="0" w:color="auto"/>
              <w:right w:val="nil"/>
            </w:tcBorders>
            <w:shd w:val="clear" w:color="auto" w:fill="auto"/>
            <w:noWrap/>
            <w:vAlign w:val="center"/>
            <w:hideMark/>
          </w:tcPr>
          <w:p w14:paraId="313DBC4D"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200" w:type="dxa"/>
            <w:tcBorders>
              <w:top w:val="nil"/>
              <w:left w:val="nil"/>
              <w:bottom w:val="single" w:sz="4" w:space="0" w:color="auto"/>
              <w:right w:val="nil"/>
            </w:tcBorders>
            <w:shd w:val="clear" w:color="auto" w:fill="auto"/>
            <w:noWrap/>
            <w:vAlign w:val="center"/>
            <w:hideMark/>
          </w:tcPr>
          <w:p w14:paraId="286DAC11" w14:textId="77777777" w:rsidR="00115DF9" w:rsidRPr="00EB5D5F" w:rsidRDefault="00115DF9" w:rsidP="00115DF9">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w:t>
            </w:r>
          </w:p>
        </w:tc>
        <w:tc>
          <w:tcPr>
            <w:tcW w:w="1437" w:type="dxa"/>
            <w:tcBorders>
              <w:top w:val="nil"/>
              <w:left w:val="nil"/>
              <w:bottom w:val="single" w:sz="4" w:space="0" w:color="auto"/>
              <w:right w:val="nil"/>
            </w:tcBorders>
            <w:shd w:val="clear" w:color="auto" w:fill="auto"/>
            <w:noWrap/>
            <w:vAlign w:val="center"/>
            <w:hideMark/>
          </w:tcPr>
          <w:p w14:paraId="126ED6B4"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683" w:type="dxa"/>
            <w:tcBorders>
              <w:top w:val="nil"/>
              <w:left w:val="nil"/>
              <w:bottom w:val="single" w:sz="4" w:space="0" w:color="auto"/>
              <w:right w:val="nil"/>
            </w:tcBorders>
            <w:shd w:val="clear" w:color="auto" w:fill="auto"/>
            <w:noWrap/>
            <w:vAlign w:val="center"/>
            <w:hideMark/>
          </w:tcPr>
          <w:p w14:paraId="412F78A7"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191" w:type="dxa"/>
            <w:tcBorders>
              <w:top w:val="nil"/>
              <w:left w:val="nil"/>
              <w:bottom w:val="single" w:sz="4" w:space="0" w:color="auto"/>
              <w:right w:val="nil"/>
            </w:tcBorders>
            <w:shd w:val="clear" w:color="auto" w:fill="auto"/>
            <w:noWrap/>
            <w:vAlign w:val="center"/>
            <w:hideMark/>
          </w:tcPr>
          <w:p w14:paraId="55348086" w14:textId="77777777" w:rsidR="00115DF9" w:rsidRPr="00EB5D5F" w:rsidRDefault="00115DF9" w:rsidP="00115DF9">
            <w:pPr>
              <w:suppressAutoHyphens w:val="0"/>
              <w:spacing w:line="240" w:lineRule="auto"/>
              <w:jc w:val="center"/>
              <w:rPr>
                <w:rFonts w:eastAsia="Times New Roman"/>
                <w:color w:val="000000"/>
                <w:sz w:val="18"/>
                <w:szCs w:val="18"/>
                <w:lang w:val="de-DE"/>
              </w:rPr>
            </w:pPr>
            <w:r w:rsidRPr="00EB5D5F">
              <w:rPr>
                <w:rFonts w:eastAsia="Times New Roman"/>
                <w:color w:val="000000"/>
                <w:sz w:val="18"/>
                <w:szCs w:val="18"/>
                <w:lang w:val="de-DE"/>
              </w:rPr>
              <w:t> </w:t>
            </w:r>
          </w:p>
        </w:tc>
        <w:tc>
          <w:tcPr>
            <w:tcW w:w="516" w:type="dxa"/>
            <w:tcBorders>
              <w:top w:val="nil"/>
              <w:left w:val="nil"/>
              <w:bottom w:val="single" w:sz="4" w:space="0" w:color="auto"/>
              <w:right w:val="nil"/>
            </w:tcBorders>
            <w:shd w:val="clear" w:color="auto" w:fill="auto"/>
            <w:noWrap/>
            <w:vAlign w:val="center"/>
            <w:hideMark/>
          </w:tcPr>
          <w:p w14:paraId="5A33770F"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c>
          <w:tcPr>
            <w:tcW w:w="1524" w:type="dxa"/>
            <w:tcBorders>
              <w:top w:val="nil"/>
              <w:left w:val="nil"/>
              <w:bottom w:val="single" w:sz="4" w:space="0" w:color="auto"/>
              <w:right w:val="nil"/>
            </w:tcBorders>
            <w:shd w:val="clear" w:color="auto" w:fill="auto"/>
            <w:noWrap/>
            <w:vAlign w:val="center"/>
            <w:hideMark/>
          </w:tcPr>
          <w:p w14:paraId="036B6740" w14:textId="77777777" w:rsidR="00115DF9" w:rsidRPr="00EB5D5F" w:rsidRDefault="00115DF9" w:rsidP="00115DF9">
            <w:pPr>
              <w:suppressAutoHyphens w:val="0"/>
              <w:spacing w:line="240" w:lineRule="auto"/>
              <w:jc w:val="center"/>
              <w:rPr>
                <w:rFonts w:eastAsia="Times New Roman"/>
                <w:color w:val="000000"/>
                <w:sz w:val="18"/>
                <w:szCs w:val="18"/>
                <w:lang w:val="de-DE"/>
              </w:rPr>
            </w:pPr>
            <w:proofErr w:type="spellStart"/>
            <w:r w:rsidRPr="00EB5D5F">
              <w:rPr>
                <w:rFonts w:eastAsia="Times New Roman"/>
                <w:color w:val="000000"/>
                <w:sz w:val="18"/>
                <w:szCs w:val="18"/>
                <w:lang w:val="de-DE"/>
              </w:rPr>
              <w:t>ns</w:t>
            </w:r>
            <w:proofErr w:type="spellEnd"/>
          </w:p>
        </w:tc>
      </w:tr>
    </w:tbl>
    <w:p w14:paraId="7488F458" w14:textId="1DFBA006" w:rsidR="00BD6592" w:rsidRPr="00EB5D5F" w:rsidRDefault="00BD6592" w:rsidP="00BD6592">
      <w:pPr>
        <w:spacing w:before="240"/>
        <w:rPr>
          <w:i/>
          <w:sz w:val="20"/>
          <w:szCs w:val="20"/>
          <w:lang w:val="en-US"/>
        </w:rPr>
      </w:pPr>
      <w:r w:rsidRPr="00EB5D5F">
        <w:rPr>
          <w:i/>
          <w:sz w:val="20"/>
          <w:szCs w:val="20"/>
          <w:lang w:val="en-US"/>
        </w:rPr>
        <w:t xml:space="preserve">Note. </w:t>
      </w:r>
      <w:r w:rsidR="006A1E2A" w:rsidRPr="00EB5D5F">
        <w:rPr>
          <w:iCs/>
          <w:sz w:val="20"/>
          <w:szCs w:val="20"/>
          <w:lang w:val="en-US"/>
        </w:rPr>
        <w:t>Number of</w:t>
      </w:r>
      <w:r w:rsidR="006A1E2A" w:rsidRPr="00EB5D5F">
        <w:rPr>
          <w:i/>
          <w:sz w:val="20"/>
          <w:szCs w:val="20"/>
          <w:lang w:val="en-US"/>
        </w:rPr>
        <w:t xml:space="preserve"> </w:t>
      </w:r>
      <w:r w:rsidR="006A1E2A" w:rsidRPr="00EB5D5F">
        <w:rPr>
          <w:iCs/>
          <w:sz w:val="20"/>
          <w:szCs w:val="20"/>
          <w:lang w:val="en-US"/>
        </w:rPr>
        <w:t xml:space="preserve">significant clusters before applying Bonferroni-correction for multiple comparisons. CM versus non-CM analyses </w:t>
      </w:r>
      <w:proofErr w:type="gramStart"/>
      <w:r w:rsidR="006A1E2A" w:rsidRPr="00EB5D5F">
        <w:rPr>
          <w:iCs/>
          <w:sz w:val="20"/>
          <w:szCs w:val="20"/>
          <w:lang w:val="en-US"/>
        </w:rPr>
        <w:t>are</w:t>
      </w:r>
      <w:proofErr w:type="gramEnd"/>
      <w:r w:rsidR="006A1E2A" w:rsidRPr="00EB5D5F">
        <w:rPr>
          <w:iCs/>
          <w:sz w:val="20"/>
          <w:szCs w:val="20"/>
          <w:lang w:val="en-US"/>
        </w:rPr>
        <w:t xml:space="preserve"> using a cutoff-based categorization approach. Severe CM vs non-CM compare tail percentage CTQ groups, </w:t>
      </w:r>
      <w:proofErr w:type="gramStart"/>
      <w:r w:rsidR="006A1E2A" w:rsidRPr="00EB5D5F">
        <w:rPr>
          <w:iCs/>
          <w:sz w:val="20"/>
          <w:szCs w:val="20"/>
          <w:lang w:val="en-US"/>
        </w:rPr>
        <w:t>i.e.</w:t>
      </w:r>
      <w:proofErr w:type="gramEnd"/>
      <w:r w:rsidR="006A1E2A" w:rsidRPr="00EB5D5F">
        <w:rPr>
          <w:iCs/>
          <w:sz w:val="20"/>
          <w:szCs w:val="20"/>
          <w:lang w:val="en-US"/>
        </w:rPr>
        <w:t xml:space="preserve"> individuals that reported severe CM (10% highest CTQ sum points) were compared to individuals with very low reports of CM (10% lowest CTQ sum points). ns = non-significant</w:t>
      </w:r>
      <w:r w:rsidR="00E03CB4" w:rsidRPr="00EB5D5F">
        <w:rPr>
          <w:iCs/>
          <w:sz w:val="20"/>
          <w:szCs w:val="20"/>
          <w:lang w:val="en-US"/>
        </w:rPr>
        <w:t xml:space="preserve"> already before Bonferroni correction</w:t>
      </w:r>
      <w:r w:rsidR="006A1E2A" w:rsidRPr="00EB5D5F">
        <w:rPr>
          <w:iCs/>
          <w:sz w:val="20"/>
          <w:szCs w:val="20"/>
          <w:lang w:val="en-US"/>
        </w:rPr>
        <w:t>, HC = healthy controls, MDD = major depressive disorder, CM = childhood maltreatment,</w:t>
      </w:r>
      <w:r w:rsidR="006A1E2A" w:rsidRPr="00EB5D5F">
        <w:rPr>
          <w:i/>
          <w:sz w:val="20"/>
          <w:szCs w:val="20"/>
          <w:lang w:val="en-US"/>
        </w:rPr>
        <w:t xml:space="preserve"> </w:t>
      </w:r>
      <w:proofErr w:type="spellStart"/>
      <w:r w:rsidR="003D7B37" w:rsidRPr="00EB5D5F">
        <w:rPr>
          <w:sz w:val="20"/>
          <w:szCs w:val="20"/>
          <w:lang w:val="en-US"/>
        </w:rPr>
        <w:t>sgACC</w:t>
      </w:r>
      <w:proofErr w:type="spellEnd"/>
      <w:r w:rsidR="003D7B37" w:rsidRPr="00EB5D5F">
        <w:rPr>
          <w:sz w:val="20"/>
          <w:szCs w:val="20"/>
          <w:lang w:val="en-US"/>
        </w:rPr>
        <w:t xml:space="preserve"> = </w:t>
      </w:r>
      <w:proofErr w:type="spellStart"/>
      <w:r w:rsidR="003D7B37" w:rsidRPr="00EB5D5F">
        <w:rPr>
          <w:sz w:val="20"/>
          <w:szCs w:val="20"/>
          <w:lang w:val="en-US"/>
        </w:rPr>
        <w:t>subgenual</w:t>
      </w:r>
      <w:proofErr w:type="spellEnd"/>
      <w:r w:rsidR="003D7B37" w:rsidRPr="00EB5D5F">
        <w:rPr>
          <w:sz w:val="20"/>
          <w:szCs w:val="20"/>
          <w:lang w:val="en-US"/>
        </w:rPr>
        <w:t xml:space="preserve"> anterior cin</w:t>
      </w:r>
      <w:r w:rsidR="00983792" w:rsidRPr="00EB5D5F">
        <w:rPr>
          <w:sz w:val="20"/>
          <w:szCs w:val="20"/>
          <w:lang w:val="en-US"/>
        </w:rPr>
        <w:t>g</w:t>
      </w:r>
      <w:r w:rsidR="003D7B37" w:rsidRPr="00EB5D5F">
        <w:rPr>
          <w:sz w:val="20"/>
          <w:szCs w:val="20"/>
          <w:lang w:val="en-US"/>
        </w:rPr>
        <w:t xml:space="preserve">ulate cortex, </w:t>
      </w:r>
      <w:proofErr w:type="spellStart"/>
      <w:r w:rsidR="003D7B37" w:rsidRPr="00EB5D5F">
        <w:rPr>
          <w:sz w:val="20"/>
          <w:szCs w:val="20"/>
          <w:lang w:val="en-US"/>
        </w:rPr>
        <w:t>pgACC</w:t>
      </w:r>
      <w:proofErr w:type="spellEnd"/>
      <w:r w:rsidR="003D7B37" w:rsidRPr="00EB5D5F">
        <w:rPr>
          <w:sz w:val="20"/>
          <w:szCs w:val="20"/>
          <w:lang w:val="en-US"/>
        </w:rPr>
        <w:t xml:space="preserve"> = pregenual anterior cingulate cortex, </w:t>
      </w:r>
      <w:proofErr w:type="spellStart"/>
      <w:r w:rsidR="003D7B37" w:rsidRPr="00EB5D5F">
        <w:rPr>
          <w:sz w:val="20"/>
          <w:szCs w:val="20"/>
          <w:lang w:val="en-US"/>
        </w:rPr>
        <w:t>scACC</w:t>
      </w:r>
      <w:proofErr w:type="spellEnd"/>
      <w:r w:rsidR="003D7B37" w:rsidRPr="00EB5D5F">
        <w:rPr>
          <w:sz w:val="20"/>
          <w:szCs w:val="20"/>
          <w:lang w:val="en-US"/>
        </w:rPr>
        <w:t xml:space="preserve"> = </w:t>
      </w:r>
      <w:proofErr w:type="spellStart"/>
      <w:r w:rsidR="003D7B37" w:rsidRPr="00EB5D5F">
        <w:rPr>
          <w:sz w:val="20"/>
          <w:szCs w:val="20"/>
          <w:lang w:val="en-US"/>
        </w:rPr>
        <w:t>supracallosal</w:t>
      </w:r>
      <w:proofErr w:type="spellEnd"/>
      <w:r w:rsidR="003D7B37" w:rsidRPr="00EB5D5F">
        <w:rPr>
          <w:sz w:val="20"/>
          <w:szCs w:val="20"/>
          <w:lang w:val="en-US"/>
        </w:rPr>
        <w:t xml:space="preserve"> anterior cingulate cortex</w:t>
      </w:r>
      <w:r w:rsidR="006A1E2A" w:rsidRPr="00EB5D5F">
        <w:rPr>
          <w:sz w:val="20"/>
          <w:szCs w:val="20"/>
          <w:lang w:val="en-US"/>
        </w:rPr>
        <w:t>.</w:t>
      </w:r>
      <w:r w:rsidRPr="00EB5D5F">
        <w:rPr>
          <w:i/>
          <w:sz w:val="20"/>
          <w:szCs w:val="20"/>
          <w:lang w:val="en-US"/>
        </w:rPr>
        <w:t xml:space="preserve"> </w:t>
      </w:r>
    </w:p>
    <w:p w14:paraId="78732333" w14:textId="77777777" w:rsidR="00E2693C" w:rsidRPr="00EB5D5F" w:rsidRDefault="00E2693C">
      <w:pPr>
        <w:spacing w:after="160" w:line="360" w:lineRule="auto"/>
        <w:rPr>
          <w:lang w:val="en-US"/>
        </w:rPr>
      </w:pPr>
    </w:p>
    <w:p w14:paraId="5ABFC9DF" w14:textId="77777777" w:rsidR="009836BA" w:rsidRPr="00EB5D5F" w:rsidRDefault="009836BA">
      <w:pPr>
        <w:spacing w:after="160" w:line="360" w:lineRule="auto"/>
        <w:rPr>
          <w:lang w:val="en-US"/>
        </w:rPr>
      </w:pPr>
    </w:p>
    <w:p w14:paraId="0AB05C36" w14:textId="61BE8814" w:rsidR="00115DF9" w:rsidRPr="00EB5D5F" w:rsidRDefault="00115DF9">
      <w:pPr>
        <w:spacing w:line="240" w:lineRule="auto"/>
        <w:rPr>
          <w:lang w:val="en-US"/>
        </w:rPr>
      </w:pPr>
      <w:r w:rsidRPr="00EB5D5F">
        <w:rPr>
          <w:lang w:val="en-US"/>
        </w:rPr>
        <w:br w:type="page"/>
      </w:r>
    </w:p>
    <w:p w14:paraId="4801BFCC" w14:textId="77777777" w:rsidR="009836BA" w:rsidRPr="00EB5D5F" w:rsidRDefault="00D362C7" w:rsidP="008317A8">
      <w:pPr>
        <w:spacing w:after="240" w:line="240" w:lineRule="auto"/>
        <w:rPr>
          <w:lang w:val="en-US"/>
        </w:rPr>
      </w:pPr>
      <w:r w:rsidRPr="00EB5D5F">
        <w:rPr>
          <w:lang w:val="en-US"/>
        </w:rPr>
        <w:lastRenderedPageBreak/>
        <w:t xml:space="preserve">Table S8. Additional analyses controlling for confounding effects of medication, motion, and education (right </w:t>
      </w:r>
      <w:proofErr w:type="spellStart"/>
      <w:r w:rsidRPr="00EB5D5F">
        <w:rPr>
          <w:lang w:val="en-US"/>
        </w:rPr>
        <w:t>amydala</w:t>
      </w:r>
      <w:proofErr w:type="spellEnd"/>
      <w:r w:rsidRPr="00EB5D5F">
        <w:rPr>
          <w:lang w:val="en-US"/>
        </w:rPr>
        <w:t xml:space="preserve"> seed).</w:t>
      </w:r>
    </w:p>
    <w:tbl>
      <w:tblPr>
        <w:tblW w:w="5000" w:type="pct"/>
        <w:tblCellMar>
          <w:left w:w="70" w:type="dxa"/>
          <w:right w:w="70" w:type="dxa"/>
        </w:tblCellMar>
        <w:tblLook w:val="04A0" w:firstRow="1" w:lastRow="0" w:firstColumn="1" w:lastColumn="0" w:noHBand="0" w:noVBand="1"/>
      </w:tblPr>
      <w:tblGrid>
        <w:gridCol w:w="1543"/>
        <w:gridCol w:w="4658"/>
        <w:gridCol w:w="1169"/>
        <w:gridCol w:w="994"/>
        <w:gridCol w:w="1806"/>
        <w:gridCol w:w="1180"/>
        <w:gridCol w:w="2937"/>
      </w:tblGrid>
      <w:tr w:rsidR="00C208B0" w:rsidRPr="00EB5D5F" w14:paraId="0E99B83B" w14:textId="77777777" w:rsidTr="00C208B0">
        <w:trPr>
          <w:trHeight w:val="315"/>
        </w:trPr>
        <w:tc>
          <w:tcPr>
            <w:tcW w:w="540" w:type="pct"/>
            <w:tcBorders>
              <w:top w:val="single" w:sz="8" w:space="0" w:color="000000"/>
              <w:bottom w:val="single" w:sz="8" w:space="0" w:color="000000"/>
            </w:tcBorders>
            <w:shd w:val="clear" w:color="auto" w:fill="auto"/>
            <w:vAlign w:val="center"/>
          </w:tcPr>
          <w:p w14:paraId="0627C7AF" w14:textId="77777777" w:rsidR="00C208B0" w:rsidRPr="00EB5D5F" w:rsidRDefault="00C208B0" w:rsidP="008317A8">
            <w:pPr>
              <w:spacing w:line="240" w:lineRule="auto"/>
              <w:rPr>
                <w:rFonts w:eastAsia="Times New Roman"/>
                <w:color w:val="000000"/>
                <w:sz w:val="20"/>
                <w:szCs w:val="20"/>
                <w:lang w:val="de-DE"/>
              </w:rPr>
            </w:pPr>
            <w:r w:rsidRPr="00EB5D5F">
              <w:rPr>
                <w:rFonts w:eastAsia="Times New Roman"/>
                <w:color w:val="000000"/>
                <w:sz w:val="20"/>
                <w:szCs w:val="20"/>
                <w:lang w:val="de-DE"/>
              </w:rPr>
              <w:t>Sample</w:t>
            </w:r>
          </w:p>
        </w:tc>
        <w:tc>
          <w:tcPr>
            <w:tcW w:w="1630" w:type="pct"/>
            <w:tcBorders>
              <w:top w:val="single" w:sz="8" w:space="0" w:color="000000"/>
              <w:bottom w:val="single" w:sz="8" w:space="0" w:color="000000"/>
            </w:tcBorders>
            <w:shd w:val="clear" w:color="auto" w:fill="auto"/>
            <w:vAlign w:val="center"/>
          </w:tcPr>
          <w:p w14:paraId="3F243E7F" w14:textId="77777777" w:rsidR="00C208B0" w:rsidRPr="00EB5D5F" w:rsidRDefault="00C208B0" w:rsidP="008317A8">
            <w:pPr>
              <w:spacing w:line="240" w:lineRule="auto"/>
              <w:jc w:val="center"/>
              <w:rPr>
                <w:sz w:val="20"/>
                <w:szCs w:val="20"/>
              </w:rPr>
            </w:pPr>
            <w:r w:rsidRPr="00EB5D5F">
              <w:rPr>
                <w:sz w:val="20"/>
                <w:szCs w:val="20"/>
              </w:rPr>
              <w:t xml:space="preserve">Controlling </w:t>
            </w:r>
            <w:proofErr w:type="spellStart"/>
            <w:r w:rsidRPr="00EB5D5F">
              <w:rPr>
                <w:sz w:val="20"/>
                <w:szCs w:val="20"/>
              </w:rPr>
              <w:t>for</w:t>
            </w:r>
            <w:proofErr w:type="spellEnd"/>
          </w:p>
        </w:tc>
        <w:tc>
          <w:tcPr>
            <w:tcW w:w="409" w:type="pct"/>
            <w:tcBorders>
              <w:top w:val="single" w:sz="8" w:space="0" w:color="000000"/>
              <w:bottom w:val="single" w:sz="8" w:space="0" w:color="000000"/>
            </w:tcBorders>
            <w:shd w:val="clear" w:color="auto" w:fill="auto"/>
            <w:vAlign w:val="center"/>
          </w:tcPr>
          <w:p w14:paraId="6C7E5145" w14:textId="77777777" w:rsidR="00C208B0" w:rsidRPr="00EB5D5F" w:rsidRDefault="00C208B0" w:rsidP="008317A8">
            <w:pPr>
              <w:spacing w:line="240" w:lineRule="auto"/>
              <w:jc w:val="center"/>
              <w:rPr>
                <w:rFonts w:eastAsia="Times New Roman"/>
                <w:color w:val="000000"/>
                <w:sz w:val="20"/>
                <w:szCs w:val="20"/>
                <w:lang w:val="de-DE"/>
              </w:rPr>
            </w:pPr>
            <w:r w:rsidRPr="00EB5D5F">
              <w:rPr>
                <w:rFonts w:eastAsia="Times New Roman"/>
                <w:color w:val="000000"/>
                <w:sz w:val="20"/>
                <w:szCs w:val="20"/>
                <w:lang w:val="de-DE"/>
              </w:rPr>
              <w:t>N</w:t>
            </w:r>
          </w:p>
        </w:tc>
        <w:tc>
          <w:tcPr>
            <w:tcW w:w="348" w:type="pct"/>
            <w:tcBorders>
              <w:top w:val="single" w:sz="8" w:space="0" w:color="000000"/>
              <w:bottom w:val="single" w:sz="8" w:space="0" w:color="000000"/>
            </w:tcBorders>
            <w:shd w:val="clear" w:color="auto" w:fill="auto"/>
            <w:vAlign w:val="center"/>
          </w:tcPr>
          <w:p w14:paraId="48066D5E" w14:textId="77777777" w:rsidR="00C208B0" w:rsidRPr="00EB5D5F" w:rsidRDefault="00C208B0" w:rsidP="008317A8">
            <w:pPr>
              <w:spacing w:line="240" w:lineRule="auto"/>
              <w:jc w:val="center"/>
              <w:rPr>
                <w:rFonts w:eastAsia="Times New Roman"/>
                <w:color w:val="000000"/>
                <w:sz w:val="20"/>
                <w:szCs w:val="20"/>
                <w:lang w:val="de-DE"/>
              </w:rPr>
            </w:pPr>
            <w:r w:rsidRPr="00EB5D5F">
              <w:rPr>
                <w:rFonts w:eastAsia="Times New Roman"/>
                <w:color w:val="000000"/>
                <w:sz w:val="20"/>
                <w:szCs w:val="20"/>
                <w:lang w:val="de-DE"/>
              </w:rPr>
              <w:t>k</w:t>
            </w:r>
          </w:p>
        </w:tc>
        <w:tc>
          <w:tcPr>
            <w:tcW w:w="632" w:type="pct"/>
            <w:tcBorders>
              <w:top w:val="single" w:sz="8" w:space="0" w:color="000000"/>
              <w:bottom w:val="single" w:sz="8" w:space="0" w:color="000000"/>
            </w:tcBorders>
            <w:shd w:val="clear" w:color="auto" w:fill="auto"/>
            <w:vAlign w:val="center"/>
          </w:tcPr>
          <w:p w14:paraId="399E85EB" w14:textId="77777777" w:rsidR="00C208B0" w:rsidRPr="00EB5D5F" w:rsidRDefault="00C208B0" w:rsidP="008317A8">
            <w:pPr>
              <w:spacing w:line="240" w:lineRule="auto"/>
              <w:jc w:val="center"/>
              <w:rPr>
                <w:rFonts w:eastAsia="Times New Roman"/>
                <w:color w:val="000000"/>
                <w:sz w:val="20"/>
                <w:szCs w:val="20"/>
                <w:lang w:val="de-DE"/>
              </w:rPr>
            </w:pPr>
            <w:proofErr w:type="spellStart"/>
            <w:r w:rsidRPr="00EB5D5F">
              <w:rPr>
                <w:rFonts w:eastAsia="Times New Roman"/>
                <w:color w:val="000000"/>
                <w:sz w:val="20"/>
                <w:szCs w:val="20"/>
                <w:lang w:val="de-DE"/>
              </w:rPr>
              <w:t>peak-voxel</w:t>
            </w:r>
            <w:proofErr w:type="spellEnd"/>
            <w:r w:rsidRPr="00EB5D5F">
              <w:rPr>
                <w:rFonts w:eastAsia="Times New Roman"/>
                <w:color w:val="000000"/>
                <w:sz w:val="20"/>
                <w:szCs w:val="20"/>
                <w:lang w:val="de-DE"/>
              </w:rPr>
              <w:t xml:space="preserve"> </w:t>
            </w:r>
            <w:proofErr w:type="spellStart"/>
            <w:r w:rsidRPr="00EB5D5F">
              <w:rPr>
                <w:rFonts w:eastAsia="Times New Roman"/>
                <w:color w:val="000000"/>
                <w:sz w:val="20"/>
                <w:szCs w:val="20"/>
                <w:lang w:val="de-DE"/>
              </w:rPr>
              <w:t>coordinates</w:t>
            </w:r>
            <w:proofErr w:type="spellEnd"/>
          </w:p>
        </w:tc>
        <w:tc>
          <w:tcPr>
            <w:tcW w:w="413" w:type="pct"/>
            <w:tcBorders>
              <w:top w:val="single" w:sz="8" w:space="0" w:color="000000"/>
              <w:bottom w:val="single" w:sz="8" w:space="0" w:color="000000"/>
            </w:tcBorders>
            <w:shd w:val="clear" w:color="auto" w:fill="auto"/>
            <w:vAlign w:val="center"/>
          </w:tcPr>
          <w:p w14:paraId="118448E3" w14:textId="77777777" w:rsidR="00C208B0" w:rsidRPr="00EB5D5F" w:rsidRDefault="00C208B0" w:rsidP="008317A8">
            <w:pPr>
              <w:spacing w:line="240" w:lineRule="auto"/>
              <w:jc w:val="center"/>
              <w:rPr>
                <w:rFonts w:eastAsia="Times New Roman"/>
                <w:color w:val="000000"/>
                <w:sz w:val="20"/>
                <w:szCs w:val="20"/>
                <w:lang w:val="de-DE"/>
              </w:rPr>
            </w:pPr>
            <w:r w:rsidRPr="00EB5D5F">
              <w:rPr>
                <w:rFonts w:eastAsia="Times New Roman"/>
                <w:color w:val="000000"/>
                <w:sz w:val="20"/>
                <w:szCs w:val="20"/>
                <w:lang w:val="de-DE"/>
              </w:rPr>
              <w:t>p-FDR</w:t>
            </w:r>
          </w:p>
        </w:tc>
        <w:tc>
          <w:tcPr>
            <w:tcW w:w="1028" w:type="pct"/>
            <w:tcBorders>
              <w:top w:val="single" w:sz="8" w:space="0" w:color="000000"/>
              <w:bottom w:val="single" w:sz="8" w:space="0" w:color="000000"/>
            </w:tcBorders>
            <w:shd w:val="clear" w:color="auto" w:fill="auto"/>
            <w:vAlign w:val="center"/>
          </w:tcPr>
          <w:p w14:paraId="1AECEF01" w14:textId="77777777" w:rsidR="00C208B0" w:rsidRPr="00EB5D5F" w:rsidRDefault="00C208B0" w:rsidP="008317A8">
            <w:pPr>
              <w:spacing w:line="240" w:lineRule="auto"/>
              <w:jc w:val="center"/>
              <w:rPr>
                <w:rFonts w:eastAsia="Times New Roman"/>
                <w:color w:val="000000"/>
                <w:sz w:val="20"/>
                <w:szCs w:val="20"/>
                <w:lang w:val="de-DE"/>
              </w:rPr>
            </w:pPr>
            <w:r w:rsidRPr="00EB5D5F">
              <w:rPr>
                <w:rFonts w:eastAsia="Times New Roman"/>
                <w:color w:val="000000"/>
                <w:sz w:val="20"/>
                <w:szCs w:val="20"/>
                <w:lang w:val="de-DE"/>
              </w:rPr>
              <w:t>partial η² [95%-CI]</w:t>
            </w:r>
          </w:p>
        </w:tc>
      </w:tr>
      <w:tr w:rsidR="00C208B0" w:rsidRPr="00EB5D5F" w14:paraId="4C5E6A53" w14:textId="77777777" w:rsidTr="00C208B0">
        <w:trPr>
          <w:trHeight w:val="300"/>
        </w:trPr>
        <w:tc>
          <w:tcPr>
            <w:tcW w:w="540" w:type="pct"/>
            <w:shd w:val="clear" w:color="auto" w:fill="auto"/>
            <w:vAlign w:val="center"/>
          </w:tcPr>
          <w:p w14:paraId="3A3D721F" w14:textId="77777777" w:rsidR="00C208B0" w:rsidRPr="00EB5D5F" w:rsidRDefault="00C208B0" w:rsidP="008317A8">
            <w:pPr>
              <w:spacing w:line="240" w:lineRule="auto"/>
              <w:jc w:val="center"/>
              <w:rPr>
                <w:rFonts w:eastAsia="Times New Roman"/>
                <w:color w:val="000000"/>
                <w:sz w:val="20"/>
                <w:szCs w:val="20"/>
                <w:lang w:val="de-DE"/>
              </w:rPr>
            </w:pPr>
            <w:r w:rsidRPr="00EB5D5F">
              <w:rPr>
                <w:rFonts w:eastAsia="Times New Roman"/>
                <w:color w:val="000000"/>
                <w:sz w:val="20"/>
                <w:szCs w:val="20"/>
                <w:lang w:val="de-DE"/>
              </w:rPr>
              <w:t>MDD</w:t>
            </w:r>
          </w:p>
        </w:tc>
        <w:tc>
          <w:tcPr>
            <w:tcW w:w="1630" w:type="pct"/>
            <w:shd w:val="clear" w:color="auto" w:fill="auto"/>
            <w:vAlign w:val="center"/>
          </w:tcPr>
          <w:p w14:paraId="624FDC10" w14:textId="77777777" w:rsidR="00C208B0" w:rsidRPr="00EB5D5F" w:rsidRDefault="00C208B0" w:rsidP="008317A8">
            <w:pPr>
              <w:spacing w:line="240" w:lineRule="auto"/>
              <w:jc w:val="center"/>
              <w:rPr>
                <w:sz w:val="20"/>
                <w:szCs w:val="20"/>
                <w:lang w:val="en-US"/>
              </w:rPr>
            </w:pPr>
            <w:bookmarkStart w:id="1" w:name="__DdeLink__1838_367101506"/>
            <w:proofErr w:type="spellStart"/>
            <w:r w:rsidRPr="00EB5D5F">
              <w:rPr>
                <w:sz w:val="20"/>
                <w:szCs w:val="20"/>
              </w:rPr>
              <w:t>age</w:t>
            </w:r>
            <w:proofErr w:type="spellEnd"/>
            <w:r w:rsidRPr="00EB5D5F">
              <w:rPr>
                <w:sz w:val="20"/>
                <w:szCs w:val="20"/>
              </w:rPr>
              <w:t xml:space="preserve">, sex, </w:t>
            </w:r>
            <w:proofErr w:type="spellStart"/>
            <w:r w:rsidRPr="00EB5D5F">
              <w:rPr>
                <w:sz w:val="20"/>
                <w:szCs w:val="20"/>
              </w:rPr>
              <w:t>site</w:t>
            </w:r>
            <w:proofErr w:type="spellEnd"/>
            <w:r w:rsidRPr="00EB5D5F">
              <w:rPr>
                <w:sz w:val="20"/>
                <w:szCs w:val="20"/>
              </w:rPr>
              <w:t xml:space="preserve">, </w:t>
            </w:r>
            <w:bookmarkEnd w:id="1"/>
            <w:proofErr w:type="spellStart"/>
            <w:r w:rsidRPr="00EB5D5F">
              <w:rPr>
                <w:sz w:val="20"/>
                <w:szCs w:val="20"/>
              </w:rPr>
              <w:t>education</w:t>
            </w:r>
            <w:proofErr w:type="spellEnd"/>
          </w:p>
        </w:tc>
        <w:tc>
          <w:tcPr>
            <w:tcW w:w="409" w:type="pct"/>
            <w:shd w:val="clear" w:color="auto" w:fill="auto"/>
            <w:vAlign w:val="center"/>
          </w:tcPr>
          <w:p w14:paraId="2CBA329F" w14:textId="77777777" w:rsidR="00C208B0" w:rsidRPr="00EB5D5F" w:rsidRDefault="00C208B0" w:rsidP="008317A8">
            <w:pPr>
              <w:pStyle w:val="TableContents"/>
              <w:spacing w:line="240" w:lineRule="auto"/>
              <w:jc w:val="center"/>
              <w:rPr>
                <w:sz w:val="20"/>
                <w:szCs w:val="20"/>
              </w:rPr>
            </w:pPr>
            <w:r w:rsidRPr="00EB5D5F">
              <w:rPr>
                <w:sz w:val="20"/>
                <w:szCs w:val="20"/>
              </w:rPr>
              <w:t>622</w:t>
            </w:r>
          </w:p>
        </w:tc>
        <w:tc>
          <w:tcPr>
            <w:tcW w:w="348" w:type="pct"/>
            <w:shd w:val="clear" w:color="auto" w:fill="auto"/>
            <w:vAlign w:val="center"/>
          </w:tcPr>
          <w:p w14:paraId="4A6895D4" w14:textId="77777777" w:rsidR="00C208B0" w:rsidRPr="00EB5D5F" w:rsidRDefault="00C208B0" w:rsidP="008317A8">
            <w:pPr>
              <w:spacing w:line="240" w:lineRule="auto"/>
              <w:jc w:val="center"/>
              <w:rPr>
                <w:sz w:val="20"/>
                <w:szCs w:val="20"/>
              </w:rPr>
            </w:pPr>
            <w:r w:rsidRPr="00EB5D5F">
              <w:rPr>
                <w:sz w:val="20"/>
                <w:szCs w:val="20"/>
              </w:rPr>
              <w:t>92</w:t>
            </w:r>
          </w:p>
        </w:tc>
        <w:tc>
          <w:tcPr>
            <w:tcW w:w="632" w:type="pct"/>
            <w:shd w:val="clear" w:color="auto" w:fill="auto"/>
            <w:vAlign w:val="center"/>
          </w:tcPr>
          <w:p w14:paraId="2948B0DF" w14:textId="2448743C" w:rsidR="00C208B0" w:rsidRPr="00EB5D5F" w:rsidRDefault="00C208B0" w:rsidP="008317A8">
            <w:pPr>
              <w:pStyle w:val="TableContents"/>
              <w:spacing w:line="240" w:lineRule="auto"/>
              <w:jc w:val="center"/>
              <w:rPr>
                <w:sz w:val="20"/>
                <w:szCs w:val="20"/>
              </w:rPr>
            </w:pPr>
            <w:r w:rsidRPr="00EB5D5F">
              <w:rPr>
                <w:sz w:val="20"/>
                <w:szCs w:val="20"/>
              </w:rPr>
              <w:t>0 -36 +48</w:t>
            </w:r>
          </w:p>
        </w:tc>
        <w:tc>
          <w:tcPr>
            <w:tcW w:w="413" w:type="pct"/>
            <w:shd w:val="clear" w:color="auto" w:fill="auto"/>
            <w:vAlign w:val="center"/>
          </w:tcPr>
          <w:p w14:paraId="64B62018" w14:textId="2D2DAF09" w:rsidR="00C208B0" w:rsidRPr="00EB5D5F" w:rsidRDefault="00C208B0" w:rsidP="008317A8">
            <w:pPr>
              <w:spacing w:line="240" w:lineRule="auto"/>
              <w:jc w:val="center"/>
              <w:rPr>
                <w:sz w:val="20"/>
                <w:szCs w:val="20"/>
              </w:rPr>
            </w:pPr>
            <w:r w:rsidRPr="00EB5D5F">
              <w:rPr>
                <w:sz w:val="20"/>
                <w:szCs w:val="20"/>
              </w:rPr>
              <w:t>.037</w:t>
            </w:r>
          </w:p>
        </w:tc>
        <w:tc>
          <w:tcPr>
            <w:tcW w:w="1028" w:type="pct"/>
            <w:shd w:val="clear" w:color="auto" w:fill="auto"/>
            <w:vAlign w:val="center"/>
          </w:tcPr>
          <w:p w14:paraId="39FA24B1" w14:textId="116AEF22" w:rsidR="00C208B0" w:rsidRPr="00EB5D5F" w:rsidRDefault="00C208B0" w:rsidP="008317A8">
            <w:pPr>
              <w:pStyle w:val="TableContents"/>
              <w:spacing w:line="240" w:lineRule="auto"/>
              <w:jc w:val="center"/>
              <w:rPr>
                <w:sz w:val="20"/>
                <w:szCs w:val="20"/>
              </w:rPr>
            </w:pPr>
            <w:r w:rsidRPr="00EB5D5F">
              <w:rPr>
                <w:sz w:val="20"/>
                <w:szCs w:val="20"/>
              </w:rPr>
              <w:t>.033 [.012, .068]</w:t>
            </w:r>
          </w:p>
        </w:tc>
      </w:tr>
      <w:tr w:rsidR="00C208B0" w:rsidRPr="00EB5D5F" w14:paraId="06F174C7" w14:textId="77777777" w:rsidTr="00C208B0">
        <w:trPr>
          <w:trHeight w:hRule="exact" w:val="300"/>
        </w:trPr>
        <w:tc>
          <w:tcPr>
            <w:tcW w:w="540" w:type="pct"/>
            <w:shd w:val="clear" w:color="auto" w:fill="auto"/>
            <w:vAlign w:val="bottom"/>
          </w:tcPr>
          <w:p w14:paraId="5D21CBB1" w14:textId="77777777" w:rsidR="00C208B0" w:rsidRPr="00EB5D5F" w:rsidRDefault="00C208B0" w:rsidP="008317A8">
            <w:pPr>
              <w:spacing w:line="240" w:lineRule="auto"/>
              <w:jc w:val="center"/>
              <w:rPr>
                <w:rFonts w:eastAsia="Times New Roman"/>
                <w:color w:val="000000"/>
                <w:sz w:val="20"/>
                <w:szCs w:val="20"/>
                <w:lang w:val="de-DE"/>
              </w:rPr>
            </w:pPr>
          </w:p>
        </w:tc>
        <w:tc>
          <w:tcPr>
            <w:tcW w:w="1630" w:type="pct"/>
            <w:shd w:val="clear" w:color="auto" w:fill="auto"/>
            <w:vAlign w:val="bottom"/>
          </w:tcPr>
          <w:p w14:paraId="74902176" w14:textId="77777777" w:rsidR="00C208B0" w:rsidRPr="00EB5D5F" w:rsidRDefault="00C208B0" w:rsidP="008317A8">
            <w:pPr>
              <w:spacing w:line="240" w:lineRule="auto"/>
              <w:jc w:val="center"/>
              <w:rPr>
                <w:rFonts w:ascii="Times New Roman" w:eastAsia="Times New Roman" w:hAnsi="Times New Roman" w:cs="Times New Roman"/>
                <w:sz w:val="20"/>
                <w:szCs w:val="20"/>
                <w:lang w:val="de-DE"/>
              </w:rPr>
            </w:pPr>
          </w:p>
        </w:tc>
        <w:tc>
          <w:tcPr>
            <w:tcW w:w="409" w:type="pct"/>
            <w:shd w:val="clear" w:color="auto" w:fill="auto"/>
            <w:vAlign w:val="bottom"/>
          </w:tcPr>
          <w:p w14:paraId="586095BD" w14:textId="77777777" w:rsidR="00C208B0" w:rsidRPr="00EB5D5F" w:rsidRDefault="00C208B0" w:rsidP="008317A8">
            <w:pPr>
              <w:pStyle w:val="TableContents"/>
              <w:spacing w:line="240" w:lineRule="auto"/>
              <w:jc w:val="center"/>
              <w:rPr>
                <w:sz w:val="20"/>
                <w:szCs w:val="20"/>
              </w:rPr>
            </w:pPr>
          </w:p>
        </w:tc>
        <w:tc>
          <w:tcPr>
            <w:tcW w:w="348" w:type="pct"/>
            <w:shd w:val="clear" w:color="auto" w:fill="auto"/>
            <w:vAlign w:val="bottom"/>
          </w:tcPr>
          <w:p w14:paraId="763E8D75" w14:textId="77777777" w:rsidR="00C208B0" w:rsidRPr="00EB5D5F" w:rsidRDefault="00C208B0" w:rsidP="008317A8">
            <w:pPr>
              <w:spacing w:line="240" w:lineRule="auto"/>
              <w:jc w:val="center"/>
              <w:rPr>
                <w:rFonts w:eastAsia="Times New Roman" w:cs="Times New Roman"/>
                <w:sz w:val="20"/>
                <w:szCs w:val="20"/>
                <w:lang w:val="de-DE"/>
              </w:rPr>
            </w:pPr>
            <w:r w:rsidRPr="00EB5D5F">
              <w:rPr>
                <w:rFonts w:eastAsia="Times New Roman" w:cs="Times New Roman"/>
                <w:sz w:val="20"/>
                <w:szCs w:val="20"/>
                <w:lang w:val="de-DE"/>
              </w:rPr>
              <w:t>77</w:t>
            </w:r>
          </w:p>
        </w:tc>
        <w:tc>
          <w:tcPr>
            <w:tcW w:w="632" w:type="pct"/>
            <w:shd w:val="clear" w:color="auto" w:fill="auto"/>
            <w:vAlign w:val="bottom"/>
          </w:tcPr>
          <w:p w14:paraId="58C5B56B" w14:textId="77777777" w:rsidR="00C208B0" w:rsidRPr="00EB5D5F" w:rsidRDefault="00C208B0" w:rsidP="008317A8">
            <w:pPr>
              <w:pStyle w:val="TableContents"/>
              <w:spacing w:line="240" w:lineRule="auto"/>
              <w:jc w:val="center"/>
              <w:rPr>
                <w:sz w:val="20"/>
                <w:szCs w:val="20"/>
              </w:rPr>
            </w:pPr>
            <w:r w:rsidRPr="00EB5D5F">
              <w:rPr>
                <w:sz w:val="20"/>
                <w:szCs w:val="20"/>
              </w:rPr>
              <w:t>+21 +42 +48</w:t>
            </w:r>
          </w:p>
        </w:tc>
        <w:tc>
          <w:tcPr>
            <w:tcW w:w="413" w:type="pct"/>
            <w:shd w:val="clear" w:color="auto" w:fill="auto"/>
            <w:vAlign w:val="bottom"/>
          </w:tcPr>
          <w:p w14:paraId="33CDA3B6" w14:textId="12885F32" w:rsidR="00C208B0" w:rsidRPr="00EB5D5F" w:rsidRDefault="00C208B0" w:rsidP="008317A8">
            <w:pPr>
              <w:spacing w:line="240" w:lineRule="auto"/>
              <w:jc w:val="center"/>
              <w:rPr>
                <w:rFonts w:eastAsia="Times New Roman" w:cs="Times New Roman"/>
                <w:sz w:val="20"/>
                <w:szCs w:val="20"/>
                <w:lang w:val="de-DE"/>
              </w:rPr>
            </w:pPr>
            <w:r w:rsidRPr="00EB5D5F">
              <w:rPr>
                <w:rFonts w:eastAsia="Times New Roman" w:cs="Times New Roman"/>
                <w:sz w:val="20"/>
                <w:szCs w:val="20"/>
                <w:lang w:val="de-DE"/>
              </w:rPr>
              <w:t>.038</w:t>
            </w:r>
          </w:p>
        </w:tc>
        <w:tc>
          <w:tcPr>
            <w:tcW w:w="1028" w:type="pct"/>
            <w:shd w:val="clear" w:color="auto" w:fill="auto"/>
            <w:vAlign w:val="bottom"/>
          </w:tcPr>
          <w:p w14:paraId="730E4EC9" w14:textId="1E0601BE" w:rsidR="00C208B0" w:rsidRPr="00EB5D5F" w:rsidRDefault="00C208B0" w:rsidP="008317A8">
            <w:pPr>
              <w:pStyle w:val="TableContents"/>
              <w:spacing w:line="240" w:lineRule="auto"/>
              <w:jc w:val="center"/>
              <w:rPr>
                <w:sz w:val="20"/>
                <w:szCs w:val="20"/>
              </w:rPr>
            </w:pPr>
            <w:r w:rsidRPr="00EB5D5F">
              <w:rPr>
                <w:sz w:val="20"/>
                <w:szCs w:val="20"/>
              </w:rPr>
              <w:t>.033 [.011, .067]</w:t>
            </w:r>
          </w:p>
        </w:tc>
      </w:tr>
      <w:tr w:rsidR="00C208B0" w:rsidRPr="00EB5D5F" w14:paraId="56078474" w14:textId="77777777" w:rsidTr="00C208B0">
        <w:trPr>
          <w:trHeight w:val="300"/>
        </w:trPr>
        <w:tc>
          <w:tcPr>
            <w:tcW w:w="540" w:type="pct"/>
            <w:shd w:val="clear" w:color="auto" w:fill="auto"/>
            <w:vAlign w:val="center"/>
          </w:tcPr>
          <w:p w14:paraId="78199E3A" w14:textId="77777777" w:rsidR="00C208B0" w:rsidRPr="00EB5D5F" w:rsidRDefault="00C208B0" w:rsidP="008317A8">
            <w:pPr>
              <w:spacing w:line="240" w:lineRule="auto"/>
              <w:jc w:val="center"/>
              <w:rPr>
                <w:rFonts w:eastAsia="Times New Roman"/>
                <w:color w:val="000000"/>
                <w:sz w:val="20"/>
                <w:szCs w:val="20"/>
                <w:lang w:val="en-US"/>
              </w:rPr>
            </w:pPr>
            <w:r w:rsidRPr="00EB5D5F">
              <w:rPr>
                <w:rFonts w:eastAsia="Times New Roman"/>
                <w:color w:val="000000"/>
                <w:sz w:val="20"/>
                <w:szCs w:val="20"/>
                <w:lang w:val="en-US"/>
              </w:rPr>
              <w:t>MDD</w:t>
            </w:r>
          </w:p>
        </w:tc>
        <w:tc>
          <w:tcPr>
            <w:tcW w:w="1630" w:type="pct"/>
            <w:shd w:val="clear" w:color="auto" w:fill="auto"/>
            <w:vAlign w:val="center"/>
          </w:tcPr>
          <w:p w14:paraId="09D81028" w14:textId="77777777" w:rsidR="00C208B0" w:rsidRPr="00EB5D5F" w:rsidRDefault="00C208B0" w:rsidP="008317A8">
            <w:pPr>
              <w:spacing w:line="240" w:lineRule="auto"/>
              <w:jc w:val="center"/>
              <w:rPr>
                <w:sz w:val="20"/>
                <w:szCs w:val="20"/>
                <w:lang w:val="en-US"/>
              </w:rPr>
            </w:pPr>
            <w:r w:rsidRPr="00EB5D5F">
              <w:rPr>
                <w:sz w:val="20"/>
                <w:szCs w:val="20"/>
                <w:lang w:val="en-US"/>
              </w:rPr>
              <w:t>age, sex, site, mean motion</w:t>
            </w:r>
          </w:p>
        </w:tc>
        <w:tc>
          <w:tcPr>
            <w:tcW w:w="409" w:type="pct"/>
            <w:shd w:val="clear" w:color="auto" w:fill="auto"/>
            <w:vAlign w:val="center"/>
          </w:tcPr>
          <w:p w14:paraId="40F09663" w14:textId="77777777" w:rsidR="00C208B0" w:rsidRPr="00EB5D5F" w:rsidRDefault="00C208B0" w:rsidP="008317A8">
            <w:pPr>
              <w:pStyle w:val="TableContents"/>
              <w:spacing w:line="240" w:lineRule="auto"/>
              <w:jc w:val="center"/>
              <w:rPr>
                <w:sz w:val="20"/>
                <w:szCs w:val="20"/>
              </w:rPr>
            </w:pPr>
            <w:r w:rsidRPr="00EB5D5F">
              <w:rPr>
                <w:sz w:val="20"/>
                <w:szCs w:val="20"/>
              </w:rPr>
              <w:t>624</w:t>
            </w:r>
          </w:p>
        </w:tc>
        <w:tc>
          <w:tcPr>
            <w:tcW w:w="348" w:type="pct"/>
            <w:shd w:val="clear" w:color="auto" w:fill="auto"/>
            <w:vAlign w:val="center"/>
          </w:tcPr>
          <w:p w14:paraId="16F49CB5" w14:textId="77777777" w:rsidR="00C208B0" w:rsidRPr="00EB5D5F" w:rsidRDefault="00C208B0" w:rsidP="008317A8">
            <w:pPr>
              <w:spacing w:line="240" w:lineRule="auto"/>
              <w:jc w:val="center"/>
              <w:rPr>
                <w:sz w:val="20"/>
                <w:szCs w:val="20"/>
              </w:rPr>
            </w:pPr>
            <w:r w:rsidRPr="00EB5D5F">
              <w:rPr>
                <w:sz w:val="20"/>
                <w:szCs w:val="20"/>
              </w:rPr>
              <w:t>124</w:t>
            </w:r>
          </w:p>
        </w:tc>
        <w:tc>
          <w:tcPr>
            <w:tcW w:w="632" w:type="pct"/>
            <w:shd w:val="clear" w:color="auto" w:fill="auto"/>
            <w:vAlign w:val="center"/>
          </w:tcPr>
          <w:p w14:paraId="412C8CCB" w14:textId="77777777" w:rsidR="00C208B0" w:rsidRPr="00EB5D5F" w:rsidRDefault="00C208B0" w:rsidP="008317A8">
            <w:pPr>
              <w:pStyle w:val="TableContents"/>
              <w:spacing w:line="240" w:lineRule="auto"/>
              <w:jc w:val="center"/>
              <w:rPr>
                <w:sz w:val="20"/>
                <w:szCs w:val="20"/>
              </w:rPr>
            </w:pPr>
            <w:r w:rsidRPr="00EB5D5F">
              <w:rPr>
                <w:sz w:val="20"/>
                <w:szCs w:val="20"/>
              </w:rPr>
              <w:t>+21 +45 +48</w:t>
            </w:r>
          </w:p>
        </w:tc>
        <w:tc>
          <w:tcPr>
            <w:tcW w:w="413" w:type="pct"/>
            <w:shd w:val="clear" w:color="auto" w:fill="auto"/>
            <w:vAlign w:val="center"/>
          </w:tcPr>
          <w:p w14:paraId="652214B2" w14:textId="49EE8A92" w:rsidR="00C208B0" w:rsidRPr="00EB5D5F" w:rsidRDefault="00C208B0" w:rsidP="008317A8">
            <w:pPr>
              <w:spacing w:line="240" w:lineRule="auto"/>
              <w:jc w:val="center"/>
              <w:rPr>
                <w:sz w:val="20"/>
                <w:szCs w:val="20"/>
              </w:rPr>
            </w:pPr>
            <w:r w:rsidRPr="00EB5D5F">
              <w:rPr>
                <w:sz w:val="20"/>
                <w:szCs w:val="20"/>
              </w:rPr>
              <w:t>.010</w:t>
            </w:r>
          </w:p>
        </w:tc>
        <w:tc>
          <w:tcPr>
            <w:tcW w:w="1028" w:type="pct"/>
            <w:shd w:val="clear" w:color="auto" w:fill="auto"/>
            <w:vAlign w:val="center"/>
          </w:tcPr>
          <w:p w14:paraId="6780DF68" w14:textId="33CF1501" w:rsidR="00C208B0" w:rsidRPr="00EB5D5F" w:rsidRDefault="00C208B0" w:rsidP="008317A8">
            <w:pPr>
              <w:pStyle w:val="TableContents"/>
              <w:spacing w:line="240" w:lineRule="auto"/>
              <w:jc w:val="center"/>
              <w:rPr>
                <w:sz w:val="20"/>
                <w:szCs w:val="20"/>
              </w:rPr>
            </w:pPr>
            <w:r w:rsidRPr="00EB5D5F">
              <w:rPr>
                <w:sz w:val="20"/>
                <w:szCs w:val="20"/>
              </w:rPr>
              <w:t>.038 [.014, .077]</w:t>
            </w:r>
          </w:p>
        </w:tc>
      </w:tr>
      <w:tr w:rsidR="00C208B0" w:rsidRPr="00EB5D5F" w14:paraId="38518D9E" w14:textId="77777777" w:rsidTr="00C208B0">
        <w:trPr>
          <w:trHeight w:hRule="exact" w:val="300"/>
        </w:trPr>
        <w:tc>
          <w:tcPr>
            <w:tcW w:w="540" w:type="pct"/>
            <w:shd w:val="clear" w:color="auto" w:fill="auto"/>
            <w:vAlign w:val="bottom"/>
          </w:tcPr>
          <w:p w14:paraId="797130A7" w14:textId="77777777" w:rsidR="00C208B0" w:rsidRPr="00EB5D5F" w:rsidRDefault="00C208B0" w:rsidP="008317A8">
            <w:pPr>
              <w:spacing w:line="240" w:lineRule="auto"/>
              <w:jc w:val="center"/>
              <w:rPr>
                <w:rFonts w:eastAsia="Times New Roman"/>
                <w:color w:val="000000"/>
                <w:sz w:val="20"/>
                <w:szCs w:val="20"/>
                <w:lang w:val="de-DE"/>
              </w:rPr>
            </w:pPr>
          </w:p>
        </w:tc>
        <w:tc>
          <w:tcPr>
            <w:tcW w:w="1630" w:type="pct"/>
            <w:shd w:val="clear" w:color="auto" w:fill="auto"/>
            <w:vAlign w:val="bottom"/>
          </w:tcPr>
          <w:p w14:paraId="066460B2" w14:textId="77777777" w:rsidR="00C208B0" w:rsidRPr="00EB5D5F" w:rsidRDefault="00C208B0" w:rsidP="008317A8">
            <w:pPr>
              <w:spacing w:line="240" w:lineRule="auto"/>
              <w:jc w:val="center"/>
              <w:rPr>
                <w:rFonts w:ascii="Times New Roman" w:eastAsia="Times New Roman" w:hAnsi="Times New Roman" w:cs="Times New Roman"/>
                <w:sz w:val="20"/>
                <w:szCs w:val="20"/>
                <w:lang w:val="de-DE"/>
              </w:rPr>
            </w:pPr>
          </w:p>
        </w:tc>
        <w:tc>
          <w:tcPr>
            <w:tcW w:w="409" w:type="pct"/>
            <w:shd w:val="clear" w:color="auto" w:fill="auto"/>
            <w:vAlign w:val="bottom"/>
          </w:tcPr>
          <w:p w14:paraId="53DE410A" w14:textId="77777777" w:rsidR="00C208B0" w:rsidRPr="00EB5D5F" w:rsidRDefault="00C208B0" w:rsidP="008317A8">
            <w:pPr>
              <w:pStyle w:val="TableContents"/>
              <w:spacing w:line="240" w:lineRule="auto"/>
              <w:jc w:val="center"/>
              <w:rPr>
                <w:sz w:val="20"/>
                <w:szCs w:val="20"/>
              </w:rPr>
            </w:pPr>
          </w:p>
        </w:tc>
        <w:tc>
          <w:tcPr>
            <w:tcW w:w="348" w:type="pct"/>
            <w:shd w:val="clear" w:color="auto" w:fill="auto"/>
            <w:vAlign w:val="bottom"/>
          </w:tcPr>
          <w:p w14:paraId="7ED873D3" w14:textId="77777777" w:rsidR="00C208B0" w:rsidRPr="00EB5D5F" w:rsidRDefault="00C208B0" w:rsidP="008317A8">
            <w:pPr>
              <w:spacing w:line="240" w:lineRule="auto"/>
              <w:jc w:val="center"/>
              <w:rPr>
                <w:rFonts w:eastAsia="Times New Roman" w:cs="Times New Roman"/>
                <w:sz w:val="20"/>
                <w:szCs w:val="20"/>
                <w:lang w:val="de-DE"/>
              </w:rPr>
            </w:pPr>
            <w:r w:rsidRPr="00EB5D5F">
              <w:rPr>
                <w:rFonts w:eastAsia="Times New Roman" w:cs="Times New Roman"/>
                <w:sz w:val="20"/>
                <w:szCs w:val="20"/>
                <w:lang w:val="de-DE"/>
              </w:rPr>
              <w:t>83</w:t>
            </w:r>
          </w:p>
        </w:tc>
        <w:tc>
          <w:tcPr>
            <w:tcW w:w="632" w:type="pct"/>
            <w:shd w:val="clear" w:color="auto" w:fill="auto"/>
            <w:vAlign w:val="bottom"/>
          </w:tcPr>
          <w:p w14:paraId="50E05EBC" w14:textId="4DEAB1C0" w:rsidR="00C208B0" w:rsidRPr="00EB5D5F" w:rsidRDefault="00C208B0" w:rsidP="008317A8">
            <w:pPr>
              <w:pStyle w:val="TableContents"/>
              <w:spacing w:line="240" w:lineRule="auto"/>
              <w:jc w:val="center"/>
              <w:rPr>
                <w:sz w:val="20"/>
                <w:szCs w:val="20"/>
              </w:rPr>
            </w:pPr>
            <w:r w:rsidRPr="00EB5D5F">
              <w:rPr>
                <w:sz w:val="20"/>
                <w:szCs w:val="20"/>
              </w:rPr>
              <w:t>0 -36 +48</w:t>
            </w:r>
          </w:p>
        </w:tc>
        <w:tc>
          <w:tcPr>
            <w:tcW w:w="413" w:type="pct"/>
            <w:shd w:val="clear" w:color="auto" w:fill="auto"/>
            <w:vAlign w:val="bottom"/>
          </w:tcPr>
          <w:p w14:paraId="4A9F4084" w14:textId="685B562E" w:rsidR="00C208B0" w:rsidRPr="00EB5D5F" w:rsidRDefault="00C208B0" w:rsidP="008317A8">
            <w:pPr>
              <w:spacing w:line="240" w:lineRule="auto"/>
              <w:jc w:val="center"/>
              <w:rPr>
                <w:rFonts w:eastAsia="Times New Roman" w:cs="Times New Roman"/>
                <w:sz w:val="20"/>
                <w:szCs w:val="20"/>
                <w:lang w:val="de-DE"/>
              </w:rPr>
            </w:pPr>
            <w:r w:rsidRPr="00EB5D5F">
              <w:rPr>
                <w:rFonts w:eastAsia="Times New Roman" w:cs="Times New Roman"/>
                <w:sz w:val="20"/>
                <w:szCs w:val="20"/>
                <w:lang w:val="de-DE"/>
              </w:rPr>
              <w:t>.031</w:t>
            </w:r>
          </w:p>
        </w:tc>
        <w:tc>
          <w:tcPr>
            <w:tcW w:w="1028" w:type="pct"/>
            <w:shd w:val="clear" w:color="auto" w:fill="auto"/>
            <w:vAlign w:val="bottom"/>
          </w:tcPr>
          <w:p w14:paraId="5A7AE935" w14:textId="00CD737D" w:rsidR="00C208B0" w:rsidRPr="00EB5D5F" w:rsidRDefault="00C208B0" w:rsidP="008317A8">
            <w:pPr>
              <w:pStyle w:val="TableContents"/>
              <w:spacing w:line="240" w:lineRule="auto"/>
              <w:jc w:val="center"/>
              <w:rPr>
                <w:sz w:val="20"/>
                <w:szCs w:val="20"/>
              </w:rPr>
            </w:pPr>
            <w:r w:rsidRPr="00EB5D5F">
              <w:rPr>
                <w:sz w:val="20"/>
                <w:szCs w:val="20"/>
              </w:rPr>
              <w:t>.031 [.009, .066]</w:t>
            </w:r>
          </w:p>
        </w:tc>
      </w:tr>
      <w:tr w:rsidR="00C208B0" w:rsidRPr="00EB5D5F" w14:paraId="048D8986" w14:textId="77777777" w:rsidTr="00C208B0">
        <w:trPr>
          <w:trHeight w:val="300"/>
        </w:trPr>
        <w:tc>
          <w:tcPr>
            <w:tcW w:w="540" w:type="pct"/>
            <w:shd w:val="clear" w:color="auto" w:fill="auto"/>
            <w:vAlign w:val="center"/>
          </w:tcPr>
          <w:p w14:paraId="2BB2A770" w14:textId="77777777" w:rsidR="00C208B0" w:rsidRPr="00EB5D5F" w:rsidRDefault="00C208B0" w:rsidP="008317A8">
            <w:pPr>
              <w:spacing w:line="240" w:lineRule="auto"/>
              <w:jc w:val="center"/>
              <w:rPr>
                <w:rFonts w:eastAsia="Times New Roman"/>
                <w:color w:val="000000"/>
                <w:sz w:val="20"/>
                <w:szCs w:val="20"/>
                <w:lang w:val="de-DE"/>
              </w:rPr>
            </w:pPr>
            <w:r w:rsidRPr="00EB5D5F">
              <w:rPr>
                <w:rFonts w:eastAsia="Times New Roman"/>
                <w:color w:val="000000"/>
                <w:sz w:val="20"/>
                <w:szCs w:val="20"/>
                <w:lang w:val="de-DE"/>
              </w:rPr>
              <w:t>MDD</w:t>
            </w:r>
          </w:p>
        </w:tc>
        <w:tc>
          <w:tcPr>
            <w:tcW w:w="1630" w:type="pct"/>
            <w:shd w:val="clear" w:color="auto" w:fill="auto"/>
            <w:vAlign w:val="center"/>
          </w:tcPr>
          <w:p w14:paraId="7FCE40A3" w14:textId="77777777" w:rsidR="00C208B0" w:rsidRPr="00EB5D5F" w:rsidRDefault="00C208B0" w:rsidP="008317A8">
            <w:pPr>
              <w:spacing w:line="240" w:lineRule="auto"/>
              <w:jc w:val="center"/>
              <w:rPr>
                <w:sz w:val="20"/>
                <w:szCs w:val="20"/>
                <w:lang w:val="en-US"/>
              </w:rPr>
            </w:pPr>
            <w:proofErr w:type="spellStart"/>
            <w:r w:rsidRPr="00EB5D5F">
              <w:rPr>
                <w:sz w:val="20"/>
                <w:szCs w:val="20"/>
              </w:rPr>
              <w:t>age</w:t>
            </w:r>
            <w:proofErr w:type="spellEnd"/>
            <w:r w:rsidRPr="00EB5D5F">
              <w:rPr>
                <w:sz w:val="20"/>
                <w:szCs w:val="20"/>
              </w:rPr>
              <w:t xml:space="preserve">, sex, </w:t>
            </w:r>
            <w:proofErr w:type="spellStart"/>
            <w:r w:rsidRPr="00EB5D5F">
              <w:rPr>
                <w:sz w:val="20"/>
                <w:szCs w:val="20"/>
              </w:rPr>
              <w:t>site</w:t>
            </w:r>
            <w:proofErr w:type="spellEnd"/>
            <w:r w:rsidRPr="00EB5D5F">
              <w:rPr>
                <w:sz w:val="20"/>
                <w:szCs w:val="20"/>
              </w:rPr>
              <w:t xml:space="preserve">, </w:t>
            </w:r>
            <w:proofErr w:type="spellStart"/>
            <w:r w:rsidRPr="00EB5D5F">
              <w:rPr>
                <w:sz w:val="20"/>
                <w:szCs w:val="20"/>
              </w:rPr>
              <w:t>medication</w:t>
            </w:r>
            <w:proofErr w:type="spellEnd"/>
          </w:p>
        </w:tc>
        <w:tc>
          <w:tcPr>
            <w:tcW w:w="409" w:type="pct"/>
            <w:shd w:val="clear" w:color="auto" w:fill="auto"/>
            <w:vAlign w:val="center"/>
          </w:tcPr>
          <w:p w14:paraId="26929BF6" w14:textId="77777777" w:rsidR="00C208B0" w:rsidRPr="00EB5D5F" w:rsidRDefault="00C208B0" w:rsidP="008317A8">
            <w:pPr>
              <w:pStyle w:val="TableContents"/>
              <w:spacing w:line="240" w:lineRule="auto"/>
              <w:jc w:val="center"/>
              <w:rPr>
                <w:sz w:val="20"/>
                <w:szCs w:val="20"/>
              </w:rPr>
            </w:pPr>
            <w:r w:rsidRPr="00EB5D5F">
              <w:rPr>
                <w:sz w:val="20"/>
                <w:szCs w:val="20"/>
              </w:rPr>
              <w:t>624</w:t>
            </w:r>
          </w:p>
        </w:tc>
        <w:tc>
          <w:tcPr>
            <w:tcW w:w="348" w:type="pct"/>
            <w:shd w:val="clear" w:color="auto" w:fill="auto"/>
            <w:vAlign w:val="center"/>
          </w:tcPr>
          <w:p w14:paraId="04CB141B" w14:textId="77777777" w:rsidR="00C208B0" w:rsidRPr="00EB5D5F" w:rsidRDefault="00C208B0" w:rsidP="008317A8">
            <w:pPr>
              <w:spacing w:line="240" w:lineRule="auto"/>
              <w:jc w:val="center"/>
              <w:rPr>
                <w:sz w:val="20"/>
                <w:szCs w:val="20"/>
              </w:rPr>
            </w:pPr>
            <w:r w:rsidRPr="00EB5D5F">
              <w:rPr>
                <w:sz w:val="20"/>
                <w:szCs w:val="20"/>
              </w:rPr>
              <w:t>127</w:t>
            </w:r>
          </w:p>
        </w:tc>
        <w:tc>
          <w:tcPr>
            <w:tcW w:w="632" w:type="pct"/>
            <w:shd w:val="clear" w:color="auto" w:fill="auto"/>
            <w:vAlign w:val="center"/>
          </w:tcPr>
          <w:p w14:paraId="7DCF0B39" w14:textId="77777777" w:rsidR="00C208B0" w:rsidRPr="00EB5D5F" w:rsidRDefault="00C208B0" w:rsidP="008317A8">
            <w:pPr>
              <w:pStyle w:val="TableContents"/>
              <w:spacing w:line="240" w:lineRule="auto"/>
              <w:jc w:val="center"/>
              <w:rPr>
                <w:sz w:val="20"/>
                <w:szCs w:val="20"/>
              </w:rPr>
            </w:pPr>
            <w:r w:rsidRPr="00EB5D5F">
              <w:rPr>
                <w:sz w:val="20"/>
                <w:szCs w:val="20"/>
              </w:rPr>
              <w:t>+21 +45 +48</w:t>
            </w:r>
          </w:p>
        </w:tc>
        <w:tc>
          <w:tcPr>
            <w:tcW w:w="413" w:type="pct"/>
            <w:shd w:val="clear" w:color="auto" w:fill="auto"/>
            <w:vAlign w:val="center"/>
          </w:tcPr>
          <w:p w14:paraId="0AEE8B7D" w14:textId="748CA231" w:rsidR="00C208B0" w:rsidRPr="00EB5D5F" w:rsidRDefault="00C208B0" w:rsidP="008317A8">
            <w:pPr>
              <w:spacing w:line="240" w:lineRule="auto"/>
              <w:jc w:val="center"/>
              <w:rPr>
                <w:sz w:val="20"/>
                <w:szCs w:val="20"/>
              </w:rPr>
            </w:pPr>
            <w:r w:rsidRPr="00EB5D5F">
              <w:rPr>
                <w:sz w:val="20"/>
                <w:szCs w:val="20"/>
              </w:rPr>
              <w:t>.009</w:t>
            </w:r>
          </w:p>
        </w:tc>
        <w:tc>
          <w:tcPr>
            <w:tcW w:w="1028" w:type="pct"/>
            <w:shd w:val="clear" w:color="auto" w:fill="auto"/>
            <w:vAlign w:val="center"/>
          </w:tcPr>
          <w:p w14:paraId="7C69DE99" w14:textId="75F5743F" w:rsidR="00C208B0" w:rsidRPr="00EB5D5F" w:rsidRDefault="00C208B0" w:rsidP="008317A8">
            <w:pPr>
              <w:pStyle w:val="TableContents"/>
              <w:spacing w:line="240" w:lineRule="auto"/>
              <w:jc w:val="center"/>
              <w:rPr>
                <w:sz w:val="20"/>
                <w:szCs w:val="20"/>
              </w:rPr>
            </w:pPr>
            <w:r w:rsidRPr="00EB5D5F">
              <w:rPr>
                <w:sz w:val="20"/>
                <w:szCs w:val="20"/>
              </w:rPr>
              <w:t>.039 [.015, .078]</w:t>
            </w:r>
          </w:p>
        </w:tc>
      </w:tr>
      <w:tr w:rsidR="00C208B0" w:rsidRPr="00EB5D5F" w14:paraId="6BC7847C" w14:textId="77777777" w:rsidTr="00C208B0">
        <w:trPr>
          <w:trHeight w:hRule="exact" w:val="300"/>
        </w:trPr>
        <w:tc>
          <w:tcPr>
            <w:tcW w:w="540" w:type="pct"/>
            <w:shd w:val="clear" w:color="auto" w:fill="auto"/>
            <w:vAlign w:val="bottom"/>
          </w:tcPr>
          <w:p w14:paraId="44E1898F" w14:textId="77777777" w:rsidR="00C208B0" w:rsidRPr="00EB5D5F" w:rsidRDefault="00C208B0" w:rsidP="008317A8">
            <w:pPr>
              <w:spacing w:line="240" w:lineRule="auto"/>
              <w:jc w:val="center"/>
              <w:rPr>
                <w:rFonts w:eastAsia="Times New Roman"/>
                <w:color w:val="000000"/>
                <w:sz w:val="20"/>
                <w:szCs w:val="20"/>
                <w:lang w:val="de-DE"/>
              </w:rPr>
            </w:pPr>
          </w:p>
        </w:tc>
        <w:tc>
          <w:tcPr>
            <w:tcW w:w="1630" w:type="pct"/>
            <w:shd w:val="clear" w:color="auto" w:fill="auto"/>
            <w:vAlign w:val="bottom"/>
          </w:tcPr>
          <w:p w14:paraId="1B670F6A" w14:textId="77777777" w:rsidR="00C208B0" w:rsidRPr="00EB5D5F" w:rsidRDefault="00C208B0" w:rsidP="008317A8">
            <w:pPr>
              <w:spacing w:line="240" w:lineRule="auto"/>
              <w:jc w:val="center"/>
              <w:rPr>
                <w:rFonts w:ascii="Times New Roman" w:eastAsia="Times New Roman" w:hAnsi="Times New Roman" w:cs="Times New Roman"/>
                <w:sz w:val="20"/>
                <w:szCs w:val="20"/>
                <w:lang w:val="de-DE"/>
              </w:rPr>
            </w:pPr>
          </w:p>
        </w:tc>
        <w:tc>
          <w:tcPr>
            <w:tcW w:w="409" w:type="pct"/>
            <w:shd w:val="clear" w:color="auto" w:fill="auto"/>
            <w:vAlign w:val="bottom"/>
          </w:tcPr>
          <w:p w14:paraId="5BC70E87" w14:textId="77777777" w:rsidR="00C208B0" w:rsidRPr="00EB5D5F" w:rsidRDefault="00C208B0" w:rsidP="008317A8">
            <w:pPr>
              <w:pStyle w:val="TableContents"/>
              <w:spacing w:line="240" w:lineRule="auto"/>
              <w:jc w:val="center"/>
              <w:rPr>
                <w:sz w:val="20"/>
                <w:szCs w:val="20"/>
              </w:rPr>
            </w:pPr>
          </w:p>
        </w:tc>
        <w:tc>
          <w:tcPr>
            <w:tcW w:w="348" w:type="pct"/>
            <w:shd w:val="clear" w:color="auto" w:fill="auto"/>
            <w:vAlign w:val="bottom"/>
          </w:tcPr>
          <w:p w14:paraId="571B42A4" w14:textId="77777777" w:rsidR="00C208B0" w:rsidRPr="00EB5D5F" w:rsidRDefault="00C208B0" w:rsidP="008317A8">
            <w:pPr>
              <w:spacing w:line="240" w:lineRule="auto"/>
              <w:jc w:val="center"/>
              <w:rPr>
                <w:rFonts w:eastAsia="Times New Roman" w:cs="Times New Roman"/>
                <w:sz w:val="20"/>
                <w:szCs w:val="20"/>
                <w:lang w:val="de-DE"/>
              </w:rPr>
            </w:pPr>
            <w:r w:rsidRPr="00EB5D5F">
              <w:rPr>
                <w:rFonts w:eastAsia="Times New Roman" w:cs="Times New Roman"/>
                <w:sz w:val="20"/>
                <w:szCs w:val="20"/>
                <w:lang w:val="de-DE"/>
              </w:rPr>
              <w:t>76</w:t>
            </w:r>
          </w:p>
        </w:tc>
        <w:tc>
          <w:tcPr>
            <w:tcW w:w="632" w:type="pct"/>
            <w:shd w:val="clear" w:color="auto" w:fill="auto"/>
            <w:vAlign w:val="bottom"/>
          </w:tcPr>
          <w:p w14:paraId="4BD8779A" w14:textId="567AADC1" w:rsidR="00C208B0" w:rsidRPr="00EB5D5F" w:rsidRDefault="00C208B0" w:rsidP="008317A8">
            <w:pPr>
              <w:pStyle w:val="TableContents"/>
              <w:spacing w:line="240" w:lineRule="auto"/>
              <w:jc w:val="center"/>
              <w:rPr>
                <w:sz w:val="20"/>
                <w:szCs w:val="20"/>
              </w:rPr>
            </w:pPr>
            <w:r w:rsidRPr="00EB5D5F">
              <w:rPr>
                <w:sz w:val="20"/>
                <w:szCs w:val="20"/>
              </w:rPr>
              <w:t>0 -36 +48</w:t>
            </w:r>
          </w:p>
        </w:tc>
        <w:tc>
          <w:tcPr>
            <w:tcW w:w="413" w:type="pct"/>
            <w:shd w:val="clear" w:color="auto" w:fill="auto"/>
            <w:vAlign w:val="bottom"/>
          </w:tcPr>
          <w:p w14:paraId="4A71299C" w14:textId="5CF85B4E" w:rsidR="00C208B0" w:rsidRPr="00EB5D5F" w:rsidRDefault="00C208B0" w:rsidP="008317A8">
            <w:pPr>
              <w:spacing w:line="240" w:lineRule="auto"/>
              <w:jc w:val="center"/>
              <w:rPr>
                <w:rFonts w:eastAsia="Times New Roman" w:cs="Times New Roman"/>
                <w:sz w:val="20"/>
                <w:szCs w:val="20"/>
                <w:lang w:val="de-DE"/>
              </w:rPr>
            </w:pPr>
            <w:r w:rsidRPr="00EB5D5F">
              <w:rPr>
                <w:rFonts w:eastAsia="Times New Roman" w:cs="Times New Roman"/>
                <w:sz w:val="20"/>
                <w:szCs w:val="20"/>
                <w:lang w:val="de-DE"/>
              </w:rPr>
              <w:t>.044</w:t>
            </w:r>
          </w:p>
        </w:tc>
        <w:tc>
          <w:tcPr>
            <w:tcW w:w="1028" w:type="pct"/>
            <w:shd w:val="clear" w:color="auto" w:fill="auto"/>
            <w:vAlign w:val="bottom"/>
          </w:tcPr>
          <w:p w14:paraId="72561744" w14:textId="695EFEEF" w:rsidR="00C208B0" w:rsidRPr="00EB5D5F" w:rsidRDefault="00C208B0" w:rsidP="008317A8">
            <w:pPr>
              <w:pStyle w:val="TableContents"/>
              <w:spacing w:line="240" w:lineRule="auto"/>
              <w:jc w:val="center"/>
              <w:rPr>
                <w:sz w:val="20"/>
                <w:szCs w:val="20"/>
              </w:rPr>
            </w:pPr>
            <w:r w:rsidRPr="00EB5D5F">
              <w:rPr>
                <w:sz w:val="20"/>
                <w:szCs w:val="20"/>
              </w:rPr>
              <w:t>.030 [.008, .062]</w:t>
            </w:r>
          </w:p>
        </w:tc>
      </w:tr>
      <w:tr w:rsidR="00C208B0" w:rsidRPr="00EB5D5F" w14:paraId="4FA6FED0" w14:textId="77777777" w:rsidTr="00C208B0">
        <w:trPr>
          <w:trHeight w:val="300"/>
        </w:trPr>
        <w:tc>
          <w:tcPr>
            <w:tcW w:w="540" w:type="pct"/>
            <w:shd w:val="clear" w:color="auto" w:fill="auto"/>
            <w:tcMar>
              <w:top w:w="55" w:type="dxa"/>
              <w:bottom w:w="55" w:type="dxa"/>
            </w:tcMar>
            <w:vAlign w:val="center"/>
          </w:tcPr>
          <w:p w14:paraId="603281C1" w14:textId="77777777" w:rsidR="00C208B0" w:rsidRPr="00EB5D5F" w:rsidRDefault="00C208B0" w:rsidP="008317A8">
            <w:pPr>
              <w:spacing w:line="240" w:lineRule="auto"/>
              <w:jc w:val="center"/>
              <w:rPr>
                <w:sz w:val="20"/>
                <w:szCs w:val="20"/>
                <w:lang w:val="en-US"/>
              </w:rPr>
            </w:pPr>
            <w:r w:rsidRPr="00EB5D5F">
              <w:rPr>
                <w:rFonts w:eastAsia="Times New Roman"/>
                <w:color w:val="000000"/>
                <w:sz w:val="20"/>
                <w:szCs w:val="20"/>
                <w:lang w:val="en-US"/>
              </w:rPr>
              <w:t>MDD</w:t>
            </w:r>
          </w:p>
        </w:tc>
        <w:tc>
          <w:tcPr>
            <w:tcW w:w="1630" w:type="pct"/>
            <w:shd w:val="clear" w:color="auto" w:fill="auto"/>
            <w:tcMar>
              <w:top w:w="55" w:type="dxa"/>
              <w:bottom w:w="55" w:type="dxa"/>
            </w:tcMar>
            <w:vAlign w:val="center"/>
          </w:tcPr>
          <w:p w14:paraId="0CA8BAEF" w14:textId="77777777" w:rsidR="00C208B0" w:rsidRPr="00EB5D5F" w:rsidRDefault="00C208B0" w:rsidP="008317A8">
            <w:pPr>
              <w:spacing w:line="240" w:lineRule="auto"/>
              <w:jc w:val="center"/>
              <w:rPr>
                <w:sz w:val="20"/>
                <w:szCs w:val="20"/>
                <w:lang w:val="en-US"/>
              </w:rPr>
            </w:pPr>
            <w:r w:rsidRPr="00EB5D5F">
              <w:rPr>
                <w:sz w:val="20"/>
                <w:szCs w:val="20"/>
                <w:lang w:val="en-US"/>
              </w:rPr>
              <w:t>age, sex, site, mean motion, medication, education</w:t>
            </w:r>
          </w:p>
        </w:tc>
        <w:tc>
          <w:tcPr>
            <w:tcW w:w="409" w:type="pct"/>
            <w:shd w:val="clear" w:color="auto" w:fill="auto"/>
            <w:tcMar>
              <w:top w:w="55" w:type="dxa"/>
              <w:bottom w:w="55" w:type="dxa"/>
            </w:tcMar>
            <w:vAlign w:val="center"/>
          </w:tcPr>
          <w:p w14:paraId="401812EE" w14:textId="77777777" w:rsidR="00C208B0" w:rsidRPr="00EB5D5F" w:rsidRDefault="00C208B0" w:rsidP="008317A8">
            <w:pPr>
              <w:pStyle w:val="TableContents"/>
              <w:spacing w:line="240" w:lineRule="auto"/>
              <w:jc w:val="center"/>
              <w:rPr>
                <w:sz w:val="20"/>
                <w:szCs w:val="20"/>
              </w:rPr>
            </w:pPr>
            <w:r w:rsidRPr="00EB5D5F">
              <w:rPr>
                <w:sz w:val="20"/>
                <w:szCs w:val="20"/>
              </w:rPr>
              <w:t>622</w:t>
            </w:r>
          </w:p>
        </w:tc>
        <w:tc>
          <w:tcPr>
            <w:tcW w:w="348" w:type="pct"/>
            <w:shd w:val="clear" w:color="auto" w:fill="auto"/>
            <w:vAlign w:val="center"/>
          </w:tcPr>
          <w:p w14:paraId="33474B41" w14:textId="77777777" w:rsidR="00C208B0" w:rsidRPr="00EB5D5F" w:rsidRDefault="00C208B0" w:rsidP="008317A8">
            <w:pPr>
              <w:spacing w:line="240" w:lineRule="auto"/>
              <w:jc w:val="center"/>
              <w:rPr>
                <w:sz w:val="20"/>
                <w:szCs w:val="20"/>
              </w:rPr>
            </w:pPr>
            <w:r w:rsidRPr="00EB5D5F">
              <w:rPr>
                <w:sz w:val="20"/>
                <w:szCs w:val="20"/>
              </w:rPr>
              <w:t>106</w:t>
            </w:r>
          </w:p>
        </w:tc>
        <w:tc>
          <w:tcPr>
            <w:tcW w:w="632" w:type="pct"/>
            <w:shd w:val="clear" w:color="auto" w:fill="auto"/>
            <w:vAlign w:val="center"/>
          </w:tcPr>
          <w:p w14:paraId="511EB9FB" w14:textId="03C461DE" w:rsidR="00C208B0" w:rsidRPr="00EB5D5F" w:rsidRDefault="00C208B0" w:rsidP="008317A8">
            <w:pPr>
              <w:pStyle w:val="TableContents"/>
              <w:spacing w:line="240" w:lineRule="auto"/>
              <w:jc w:val="center"/>
              <w:rPr>
                <w:sz w:val="20"/>
                <w:szCs w:val="20"/>
              </w:rPr>
            </w:pPr>
            <w:r w:rsidRPr="00EB5D5F">
              <w:rPr>
                <w:sz w:val="20"/>
                <w:szCs w:val="20"/>
              </w:rPr>
              <w:t>0 -36 +48</w:t>
            </w:r>
          </w:p>
        </w:tc>
        <w:tc>
          <w:tcPr>
            <w:tcW w:w="413" w:type="pct"/>
            <w:shd w:val="clear" w:color="auto" w:fill="auto"/>
            <w:vAlign w:val="center"/>
          </w:tcPr>
          <w:p w14:paraId="22D1A2F5" w14:textId="1C2B3660" w:rsidR="00C208B0" w:rsidRPr="00EB5D5F" w:rsidRDefault="00C208B0" w:rsidP="008317A8">
            <w:pPr>
              <w:spacing w:line="240" w:lineRule="auto"/>
              <w:jc w:val="center"/>
              <w:rPr>
                <w:sz w:val="20"/>
                <w:szCs w:val="20"/>
              </w:rPr>
            </w:pPr>
            <w:r w:rsidRPr="00EB5D5F">
              <w:rPr>
                <w:sz w:val="20"/>
                <w:szCs w:val="20"/>
              </w:rPr>
              <w:t>.019</w:t>
            </w:r>
          </w:p>
        </w:tc>
        <w:tc>
          <w:tcPr>
            <w:tcW w:w="1028" w:type="pct"/>
            <w:shd w:val="clear" w:color="auto" w:fill="auto"/>
            <w:vAlign w:val="center"/>
          </w:tcPr>
          <w:p w14:paraId="5F656380" w14:textId="2CB2F98D" w:rsidR="00C208B0" w:rsidRPr="00EB5D5F" w:rsidRDefault="00C208B0" w:rsidP="008317A8">
            <w:pPr>
              <w:pStyle w:val="TableContents"/>
              <w:spacing w:line="240" w:lineRule="auto"/>
              <w:jc w:val="center"/>
              <w:rPr>
                <w:sz w:val="20"/>
                <w:szCs w:val="20"/>
              </w:rPr>
            </w:pPr>
            <w:r w:rsidRPr="00EB5D5F">
              <w:rPr>
                <w:sz w:val="20"/>
                <w:szCs w:val="20"/>
              </w:rPr>
              <w:t>.033 [.011, .069]</w:t>
            </w:r>
          </w:p>
        </w:tc>
      </w:tr>
      <w:tr w:rsidR="00C208B0" w:rsidRPr="00EB5D5F" w14:paraId="183F12D5" w14:textId="77777777" w:rsidTr="00C208B0">
        <w:trPr>
          <w:trHeight w:val="300"/>
        </w:trPr>
        <w:tc>
          <w:tcPr>
            <w:tcW w:w="540" w:type="pct"/>
            <w:shd w:val="clear" w:color="auto" w:fill="auto"/>
            <w:tcMar>
              <w:top w:w="55" w:type="dxa"/>
              <w:bottom w:w="55" w:type="dxa"/>
            </w:tcMar>
            <w:vAlign w:val="center"/>
          </w:tcPr>
          <w:p w14:paraId="548A5F2F" w14:textId="77777777" w:rsidR="00C208B0" w:rsidRPr="00EB5D5F" w:rsidRDefault="00C208B0" w:rsidP="008317A8">
            <w:pPr>
              <w:spacing w:line="240" w:lineRule="auto"/>
              <w:jc w:val="center"/>
              <w:rPr>
                <w:sz w:val="20"/>
                <w:szCs w:val="20"/>
                <w:lang w:val="en-US"/>
              </w:rPr>
            </w:pPr>
          </w:p>
        </w:tc>
        <w:tc>
          <w:tcPr>
            <w:tcW w:w="1630" w:type="pct"/>
            <w:shd w:val="clear" w:color="auto" w:fill="auto"/>
            <w:tcMar>
              <w:top w:w="55" w:type="dxa"/>
              <w:bottom w:w="55" w:type="dxa"/>
            </w:tcMar>
            <w:vAlign w:val="center"/>
          </w:tcPr>
          <w:p w14:paraId="5B725DF2" w14:textId="77777777" w:rsidR="00C208B0" w:rsidRPr="00EB5D5F" w:rsidRDefault="00C208B0" w:rsidP="008317A8">
            <w:pPr>
              <w:spacing w:line="240" w:lineRule="auto"/>
              <w:jc w:val="center"/>
              <w:rPr>
                <w:sz w:val="20"/>
                <w:szCs w:val="20"/>
                <w:lang w:val="en-US"/>
              </w:rPr>
            </w:pPr>
          </w:p>
        </w:tc>
        <w:tc>
          <w:tcPr>
            <w:tcW w:w="409" w:type="pct"/>
            <w:shd w:val="clear" w:color="auto" w:fill="auto"/>
            <w:tcMar>
              <w:top w:w="55" w:type="dxa"/>
              <w:bottom w:w="55" w:type="dxa"/>
            </w:tcMar>
            <w:vAlign w:val="center"/>
          </w:tcPr>
          <w:p w14:paraId="4D8AFEE1" w14:textId="77777777" w:rsidR="00C208B0" w:rsidRPr="00EB5D5F" w:rsidRDefault="00C208B0" w:rsidP="008317A8">
            <w:pPr>
              <w:pStyle w:val="TableContents"/>
              <w:spacing w:line="240" w:lineRule="auto"/>
              <w:jc w:val="center"/>
              <w:rPr>
                <w:sz w:val="20"/>
                <w:szCs w:val="20"/>
              </w:rPr>
            </w:pPr>
          </w:p>
        </w:tc>
        <w:tc>
          <w:tcPr>
            <w:tcW w:w="348" w:type="pct"/>
            <w:shd w:val="clear" w:color="auto" w:fill="auto"/>
            <w:vAlign w:val="center"/>
          </w:tcPr>
          <w:p w14:paraId="67D06833" w14:textId="77777777" w:rsidR="00C208B0" w:rsidRPr="00EB5D5F" w:rsidRDefault="00C208B0" w:rsidP="008317A8">
            <w:pPr>
              <w:spacing w:line="240" w:lineRule="auto"/>
              <w:jc w:val="center"/>
              <w:rPr>
                <w:sz w:val="20"/>
                <w:szCs w:val="20"/>
              </w:rPr>
            </w:pPr>
            <w:r w:rsidRPr="00EB5D5F">
              <w:rPr>
                <w:sz w:val="20"/>
                <w:szCs w:val="20"/>
              </w:rPr>
              <w:t>89</w:t>
            </w:r>
          </w:p>
        </w:tc>
        <w:tc>
          <w:tcPr>
            <w:tcW w:w="632" w:type="pct"/>
            <w:shd w:val="clear" w:color="auto" w:fill="auto"/>
            <w:vAlign w:val="center"/>
          </w:tcPr>
          <w:p w14:paraId="413A66A9" w14:textId="77777777" w:rsidR="00C208B0" w:rsidRPr="00EB5D5F" w:rsidRDefault="00C208B0" w:rsidP="008317A8">
            <w:pPr>
              <w:pStyle w:val="TableContents"/>
              <w:spacing w:line="240" w:lineRule="auto"/>
              <w:jc w:val="center"/>
              <w:rPr>
                <w:sz w:val="20"/>
                <w:szCs w:val="20"/>
              </w:rPr>
            </w:pPr>
            <w:r w:rsidRPr="00EB5D5F">
              <w:rPr>
                <w:sz w:val="20"/>
                <w:szCs w:val="20"/>
              </w:rPr>
              <w:t>+21 +42 +48</w:t>
            </w:r>
          </w:p>
        </w:tc>
        <w:tc>
          <w:tcPr>
            <w:tcW w:w="413" w:type="pct"/>
            <w:shd w:val="clear" w:color="auto" w:fill="auto"/>
            <w:vAlign w:val="center"/>
          </w:tcPr>
          <w:p w14:paraId="78813E14" w14:textId="50B37233" w:rsidR="00C208B0" w:rsidRPr="00EB5D5F" w:rsidRDefault="00C208B0" w:rsidP="008317A8">
            <w:pPr>
              <w:spacing w:line="240" w:lineRule="auto"/>
              <w:jc w:val="center"/>
              <w:rPr>
                <w:sz w:val="20"/>
                <w:szCs w:val="20"/>
              </w:rPr>
            </w:pPr>
            <w:r w:rsidRPr="00EB5D5F">
              <w:rPr>
                <w:sz w:val="20"/>
                <w:szCs w:val="20"/>
              </w:rPr>
              <w:t>.020</w:t>
            </w:r>
          </w:p>
        </w:tc>
        <w:tc>
          <w:tcPr>
            <w:tcW w:w="1028" w:type="pct"/>
            <w:shd w:val="clear" w:color="auto" w:fill="auto"/>
            <w:vAlign w:val="center"/>
          </w:tcPr>
          <w:p w14:paraId="1137798F" w14:textId="6A104E85" w:rsidR="00C208B0" w:rsidRPr="00EB5D5F" w:rsidRDefault="00C208B0" w:rsidP="008317A8">
            <w:pPr>
              <w:pStyle w:val="TableContents"/>
              <w:spacing w:line="240" w:lineRule="auto"/>
              <w:jc w:val="center"/>
              <w:rPr>
                <w:sz w:val="20"/>
                <w:szCs w:val="20"/>
              </w:rPr>
            </w:pPr>
            <w:r w:rsidRPr="00EB5D5F">
              <w:rPr>
                <w:sz w:val="20"/>
                <w:szCs w:val="20"/>
              </w:rPr>
              <w:t>.033 [.011, .065]</w:t>
            </w:r>
          </w:p>
        </w:tc>
      </w:tr>
      <w:tr w:rsidR="00C208B0" w:rsidRPr="00EB5D5F" w14:paraId="3CBC12F8" w14:textId="77777777" w:rsidTr="00C208B0">
        <w:trPr>
          <w:trHeight w:val="300"/>
        </w:trPr>
        <w:tc>
          <w:tcPr>
            <w:tcW w:w="540" w:type="pct"/>
            <w:shd w:val="clear" w:color="auto" w:fill="auto"/>
            <w:tcMar>
              <w:top w:w="55" w:type="dxa"/>
              <w:bottom w:w="55" w:type="dxa"/>
            </w:tcMar>
            <w:vAlign w:val="center"/>
          </w:tcPr>
          <w:p w14:paraId="46C22B7A" w14:textId="77777777" w:rsidR="00C208B0" w:rsidRPr="00EB5D5F" w:rsidRDefault="00C208B0" w:rsidP="008317A8">
            <w:pPr>
              <w:spacing w:line="240" w:lineRule="auto"/>
              <w:jc w:val="center"/>
              <w:rPr>
                <w:sz w:val="20"/>
                <w:szCs w:val="20"/>
              </w:rPr>
            </w:pPr>
            <w:r w:rsidRPr="00EB5D5F">
              <w:rPr>
                <w:sz w:val="20"/>
                <w:szCs w:val="20"/>
              </w:rPr>
              <w:t xml:space="preserve">MDD </w:t>
            </w:r>
          </w:p>
        </w:tc>
        <w:tc>
          <w:tcPr>
            <w:tcW w:w="1630" w:type="pct"/>
            <w:shd w:val="clear" w:color="auto" w:fill="auto"/>
            <w:tcMar>
              <w:top w:w="55" w:type="dxa"/>
              <w:bottom w:w="55" w:type="dxa"/>
            </w:tcMar>
            <w:vAlign w:val="center"/>
          </w:tcPr>
          <w:p w14:paraId="220AC6B5" w14:textId="77777777" w:rsidR="00C208B0" w:rsidRPr="00EB5D5F" w:rsidRDefault="00C208B0" w:rsidP="008317A8">
            <w:pPr>
              <w:spacing w:line="240" w:lineRule="auto"/>
              <w:jc w:val="center"/>
              <w:rPr>
                <w:sz w:val="20"/>
                <w:szCs w:val="20"/>
                <w:lang w:val="en-US"/>
              </w:rPr>
            </w:pPr>
            <w:bookmarkStart w:id="2" w:name="__DdeLink__1838_3671015061"/>
            <w:r w:rsidRPr="00EB5D5F">
              <w:rPr>
                <w:sz w:val="20"/>
                <w:szCs w:val="20"/>
                <w:lang w:val="en-US"/>
              </w:rPr>
              <w:t xml:space="preserve">age, sex, site, </w:t>
            </w:r>
            <w:bookmarkEnd w:id="2"/>
            <w:r w:rsidRPr="00EB5D5F">
              <w:rPr>
                <w:sz w:val="20"/>
                <w:szCs w:val="20"/>
                <w:lang w:val="en-US"/>
              </w:rPr>
              <w:t>education, excluding subjects with less than 150 valid frames</w:t>
            </w:r>
          </w:p>
        </w:tc>
        <w:tc>
          <w:tcPr>
            <w:tcW w:w="409" w:type="pct"/>
            <w:shd w:val="clear" w:color="auto" w:fill="auto"/>
            <w:tcMar>
              <w:top w:w="55" w:type="dxa"/>
              <w:bottom w:w="55" w:type="dxa"/>
            </w:tcMar>
            <w:vAlign w:val="center"/>
          </w:tcPr>
          <w:p w14:paraId="1275CA00" w14:textId="77777777" w:rsidR="00C208B0" w:rsidRPr="00EB5D5F" w:rsidRDefault="00C208B0" w:rsidP="008317A8">
            <w:pPr>
              <w:pStyle w:val="TableContents"/>
              <w:spacing w:line="240" w:lineRule="auto"/>
              <w:jc w:val="center"/>
              <w:rPr>
                <w:sz w:val="20"/>
                <w:szCs w:val="20"/>
              </w:rPr>
            </w:pPr>
            <w:r w:rsidRPr="00EB5D5F">
              <w:rPr>
                <w:sz w:val="20"/>
                <w:szCs w:val="20"/>
              </w:rPr>
              <w:t>615</w:t>
            </w:r>
          </w:p>
        </w:tc>
        <w:tc>
          <w:tcPr>
            <w:tcW w:w="348" w:type="pct"/>
            <w:shd w:val="clear" w:color="auto" w:fill="auto"/>
            <w:vAlign w:val="center"/>
          </w:tcPr>
          <w:p w14:paraId="7C253867" w14:textId="77777777" w:rsidR="00C208B0" w:rsidRPr="00EB5D5F" w:rsidRDefault="00C208B0" w:rsidP="008317A8">
            <w:pPr>
              <w:spacing w:line="240" w:lineRule="auto"/>
              <w:jc w:val="center"/>
              <w:rPr>
                <w:sz w:val="20"/>
                <w:szCs w:val="20"/>
              </w:rPr>
            </w:pPr>
            <w:r w:rsidRPr="00EB5D5F">
              <w:rPr>
                <w:sz w:val="20"/>
                <w:szCs w:val="20"/>
              </w:rPr>
              <w:t>131</w:t>
            </w:r>
          </w:p>
        </w:tc>
        <w:tc>
          <w:tcPr>
            <w:tcW w:w="632" w:type="pct"/>
            <w:shd w:val="clear" w:color="auto" w:fill="auto"/>
            <w:vAlign w:val="center"/>
          </w:tcPr>
          <w:p w14:paraId="3AF1C17A" w14:textId="77777777" w:rsidR="00C208B0" w:rsidRPr="00EB5D5F" w:rsidRDefault="00C208B0" w:rsidP="008317A8">
            <w:pPr>
              <w:pStyle w:val="TableContents"/>
              <w:spacing w:line="240" w:lineRule="auto"/>
              <w:jc w:val="center"/>
              <w:rPr>
                <w:sz w:val="20"/>
                <w:szCs w:val="20"/>
              </w:rPr>
            </w:pPr>
            <w:r w:rsidRPr="00EB5D5F">
              <w:rPr>
                <w:sz w:val="20"/>
                <w:szCs w:val="20"/>
              </w:rPr>
              <w:t>+21 +42 +48</w:t>
            </w:r>
          </w:p>
        </w:tc>
        <w:tc>
          <w:tcPr>
            <w:tcW w:w="413" w:type="pct"/>
            <w:shd w:val="clear" w:color="auto" w:fill="auto"/>
            <w:vAlign w:val="center"/>
          </w:tcPr>
          <w:p w14:paraId="67983B1C" w14:textId="2D07B50D" w:rsidR="00C208B0" w:rsidRPr="00EB5D5F" w:rsidRDefault="00C208B0" w:rsidP="008317A8">
            <w:pPr>
              <w:spacing w:line="240" w:lineRule="auto"/>
              <w:jc w:val="center"/>
              <w:rPr>
                <w:sz w:val="20"/>
                <w:szCs w:val="20"/>
              </w:rPr>
            </w:pPr>
            <w:r w:rsidRPr="00EB5D5F">
              <w:rPr>
                <w:sz w:val="20"/>
                <w:szCs w:val="20"/>
              </w:rPr>
              <w:t>.006</w:t>
            </w:r>
          </w:p>
        </w:tc>
        <w:tc>
          <w:tcPr>
            <w:tcW w:w="1028" w:type="pct"/>
            <w:shd w:val="clear" w:color="auto" w:fill="auto"/>
            <w:vAlign w:val="center"/>
          </w:tcPr>
          <w:p w14:paraId="5620A08D" w14:textId="3D5D9058" w:rsidR="00C208B0" w:rsidRPr="00EB5D5F" w:rsidRDefault="00C208B0" w:rsidP="008317A8">
            <w:pPr>
              <w:pStyle w:val="TableContents"/>
              <w:spacing w:line="240" w:lineRule="auto"/>
              <w:jc w:val="center"/>
              <w:rPr>
                <w:sz w:val="20"/>
                <w:szCs w:val="20"/>
              </w:rPr>
            </w:pPr>
            <w:r w:rsidRPr="00EB5D5F">
              <w:rPr>
                <w:sz w:val="20"/>
                <w:szCs w:val="20"/>
              </w:rPr>
              <w:t>.033 [.012, .065]</w:t>
            </w:r>
          </w:p>
        </w:tc>
      </w:tr>
      <w:tr w:rsidR="00C208B0" w:rsidRPr="00EB5D5F" w14:paraId="296FC494" w14:textId="77777777" w:rsidTr="00C208B0">
        <w:trPr>
          <w:trHeight w:val="300"/>
        </w:trPr>
        <w:tc>
          <w:tcPr>
            <w:tcW w:w="540" w:type="pct"/>
            <w:shd w:val="clear" w:color="auto" w:fill="auto"/>
            <w:tcMar>
              <w:top w:w="55" w:type="dxa"/>
              <w:bottom w:w="55" w:type="dxa"/>
            </w:tcMar>
            <w:vAlign w:val="center"/>
          </w:tcPr>
          <w:p w14:paraId="16309474" w14:textId="77777777" w:rsidR="00C208B0" w:rsidRPr="00EB5D5F" w:rsidRDefault="00C208B0" w:rsidP="008317A8">
            <w:pPr>
              <w:spacing w:line="240" w:lineRule="auto"/>
              <w:jc w:val="center"/>
              <w:rPr>
                <w:sz w:val="20"/>
                <w:szCs w:val="20"/>
                <w:lang w:val="en-US"/>
              </w:rPr>
            </w:pPr>
          </w:p>
        </w:tc>
        <w:tc>
          <w:tcPr>
            <w:tcW w:w="1630" w:type="pct"/>
            <w:shd w:val="clear" w:color="auto" w:fill="auto"/>
            <w:tcMar>
              <w:top w:w="55" w:type="dxa"/>
              <w:bottom w:w="55" w:type="dxa"/>
            </w:tcMar>
            <w:vAlign w:val="center"/>
          </w:tcPr>
          <w:p w14:paraId="60BBF03E" w14:textId="77777777" w:rsidR="00C208B0" w:rsidRPr="00EB5D5F" w:rsidRDefault="00C208B0" w:rsidP="008317A8">
            <w:pPr>
              <w:spacing w:line="240" w:lineRule="auto"/>
              <w:jc w:val="center"/>
              <w:rPr>
                <w:rFonts w:ascii="Times New Roman" w:eastAsia="Times New Roman" w:hAnsi="Times New Roman" w:cs="Times New Roman"/>
                <w:sz w:val="20"/>
                <w:szCs w:val="20"/>
                <w:lang w:val="de-DE"/>
              </w:rPr>
            </w:pPr>
          </w:p>
        </w:tc>
        <w:tc>
          <w:tcPr>
            <w:tcW w:w="409" w:type="pct"/>
            <w:shd w:val="clear" w:color="auto" w:fill="auto"/>
            <w:tcMar>
              <w:top w:w="55" w:type="dxa"/>
              <w:bottom w:w="55" w:type="dxa"/>
            </w:tcMar>
            <w:vAlign w:val="center"/>
          </w:tcPr>
          <w:p w14:paraId="24FC6D04" w14:textId="77777777" w:rsidR="00C208B0" w:rsidRPr="00EB5D5F" w:rsidRDefault="00C208B0" w:rsidP="008317A8">
            <w:pPr>
              <w:pStyle w:val="TableContents"/>
              <w:spacing w:line="240" w:lineRule="auto"/>
              <w:jc w:val="center"/>
              <w:rPr>
                <w:sz w:val="20"/>
                <w:szCs w:val="20"/>
              </w:rPr>
            </w:pPr>
          </w:p>
        </w:tc>
        <w:tc>
          <w:tcPr>
            <w:tcW w:w="348" w:type="pct"/>
            <w:shd w:val="clear" w:color="auto" w:fill="auto"/>
            <w:vAlign w:val="center"/>
          </w:tcPr>
          <w:p w14:paraId="251C88EC" w14:textId="77777777" w:rsidR="00C208B0" w:rsidRPr="00EB5D5F" w:rsidRDefault="00C208B0" w:rsidP="008317A8">
            <w:pPr>
              <w:spacing w:line="240" w:lineRule="auto"/>
              <w:jc w:val="center"/>
              <w:rPr>
                <w:sz w:val="20"/>
                <w:szCs w:val="20"/>
              </w:rPr>
            </w:pPr>
            <w:r w:rsidRPr="00EB5D5F">
              <w:rPr>
                <w:sz w:val="20"/>
                <w:szCs w:val="20"/>
              </w:rPr>
              <w:t>87</w:t>
            </w:r>
          </w:p>
        </w:tc>
        <w:tc>
          <w:tcPr>
            <w:tcW w:w="632" w:type="pct"/>
            <w:shd w:val="clear" w:color="auto" w:fill="auto"/>
            <w:vAlign w:val="center"/>
          </w:tcPr>
          <w:p w14:paraId="52BD9C21" w14:textId="77777777" w:rsidR="00C208B0" w:rsidRPr="00EB5D5F" w:rsidRDefault="00C208B0" w:rsidP="008317A8">
            <w:pPr>
              <w:pStyle w:val="TableContents"/>
              <w:spacing w:line="240" w:lineRule="auto"/>
              <w:jc w:val="center"/>
              <w:rPr>
                <w:sz w:val="20"/>
                <w:szCs w:val="20"/>
              </w:rPr>
            </w:pPr>
            <w:r w:rsidRPr="00EB5D5F">
              <w:rPr>
                <w:sz w:val="20"/>
                <w:szCs w:val="20"/>
              </w:rPr>
              <w:t>+24 +21 +54</w:t>
            </w:r>
          </w:p>
        </w:tc>
        <w:tc>
          <w:tcPr>
            <w:tcW w:w="413" w:type="pct"/>
            <w:shd w:val="clear" w:color="auto" w:fill="auto"/>
            <w:vAlign w:val="center"/>
          </w:tcPr>
          <w:p w14:paraId="4F1B7907" w14:textId="2D9D9261" w:rsidR="00C208B0" w:rsidRPr="00EB5D5F" w:rsidRDefault="00C208B0" w:rsidP="008317A8">
            <w:pPr>
              <w:spacing w:line="240" w:lineRule="auto"/>
              <w:jc w:val="center"/>
              <w:rPr>
                <w:sz w:val="20"/>
                <w:szCs w:val="20"/>
              </w:rPr>
            </w:pPr>
            <w:r w:rsidRPr="00EB5D5F">
              <w:rPr>
                <w:sz w:val="20"/>
                <w:szCs w:val="20"/>
              </w:rPr>
              <w:t>.022</w:t>
            </w:r>
          </w:p>
        </w:tc>
        <w:tc>
          <w:tcPr>
            <w:tcW w:w="1028" w:type="pct"/>
            <w:shd w:val="clear" w:color="auto" w:fill="auto"/>
            <w:vAlign w:val="center"/>
          </w:tcPr>
          <w:p w14:paraId="6BFECF9E" w14:textId="2322ADCC" w:rsidR="00C208B0" w:rsidRPr="00EB5D5F" w:rsidRDefault="00C208B0" w:rsidP="008317A8">
            <w:pPr>
              <w:pStyle w:val="TableContents"/>
              <w:spacing w:line="240" w:lineRule="auto"/>
              <w:jc w:val="center"/>
              <w:rPr>
                <w:sz w:val="20"/>
                <w:szCs w:val="20"/>
              </w:rPr>
            </w:pPr>
            <w:r w:rsidRPr="00EB5D5F">
              <w:rPr>
                <w:sz w:val="20"/>
                <w:szCs w:val="20"/>
              </w:rPr>
              <w:t>.034 [.012, .067]</w:t>
            </w:r>
          </w:p>
        </w:tc>
      </w:tr>
      <w:tr w:rsidR="00C208B0" w:rsidRPr="00EB5D5F" w14:paraId="2A442AD8" w14:textId="77777777" w:rsidTr="00C208B0">
        <w:trPr>
          <w:trHeight w:val="300"/>
        </w:trPr>
        <w:tc>
          <w:tcPr>
            <w:tcW w:w="540" w:type="pct"/>
            <w:shd w:val="clear" w:color="auto" w:fill="auto"/>
            <w:tcMar>
              <w:top w:w="55" w:type="dxa"/>
              <w:bottom w:w="55" w:type="dxa"/>
            </w:tcMar>
            <w:vAlign w:val="center"/>
          </w:tcPr>
          <w:p w14:paraId="3FD5360F" w14:textId="77777777" w:rsidR="00C208B0" w:rsidRPr="00EB5D5F" w:rsidRDefault="00C208B0" w:rsidP="008317A8">
            <w:pPr>
              <w:spacing w:line="240" w:lineRule="auto"/>
              <w:jc w:val="center"/>
              <w:rPr>
                <w:sz w:val="20"/>
                <w:szCs w:val="20"/>
                <w:lang w:val="en-US"/>
              </w:rPr>
            </w:pPr>
          </w:p>
        </w:tc>
        <w:tc>
          <w:tcPr>
            <w:tcW w:w="1630" w:type="pct"/>
            <w:shd w:val="clear" w:color="auto" w:fill="auto"/>
            <w:tcMar>
              <w:top w:w="55" w:type="dxa"/>
              <w:bottom w:w="55" w:type="dxa"/>
            </w:tcMar>
            <w:vAlign w:val="center"/>
          </w:tcPr>
          <w:p w14:paraId="7187C48C" w14:textId="77777777" w:rsidR="00C208B0" w:rsidRPr="00EB5D5F" w:rsidRDefault="00C208B0" w:rsidP="008317A8">
            <w:pPr>
              <w:spacing w:line="240" w:lineRule="auto"/>
              <w:jc w:val="center"/>
              <w:rPr>
                <w:rFonts w:ascii="Times New Roman" w:eastAsia="Times New Roman" w:hAnsi="Times New Roman" w:cs="Times New Roman"/>
                <w:sz w:val="20"/>
                <w:szCs w:val="20"/>
                <w:lang w:val="de-DE"/>
              </w:rPr>
            </w:pPr>
          </w:p>
        </w:tc>
        <w:tc>
          <w:tcPr>
            <w:tcW w:w="409" w:type="pct"/>
            <w:shd w:val="clear" w:color="auto" w:fill="auto"/>
            <w:tcMar>
              <w:top w:w="55" w:type="dxa"/>
              <w:bottom w:w="55" w:type="dxa"/>
            </w:tcMar>
            <w:vAlign w:val="center"/>
          </w:tcPr>
          <w:p w14:paraId="008C2CAB" w14:textId="77777777" w:rsidR="00C208B0" w:rsidRPr="00EB5D5F" w:rsidRDefault="00C208B0" w:rsidP="008317A8">
            <w:pPr>
              <w:pStyle w:val="TableContents"/>
              <w:spacing w:line="240" w:lineRule="auto"/>
              <w:jc w:val="center"/>
              <w:rPr>
                <w:sz w:val="20"/>
                <w:szCs w:val="20"/>
              </w:rPr>
            </w:pPr>
          </w:p>
        </w:tc>
        <w:tc>
          <w:tcPr>
            <w:tcW w:w="348" w:type="pct"/>
            <w:shd w:val="clear" w:color="auto" w:fill="auto"/>
            <w:vAlign w:val="center"/>
          </w:tcPr>
          <w:p w14:paraId="66C9F3CE" w14:textId="77777777" w:rsidR="00C208B0" w:rsidRPr="00EB5D5F" w:rsidRDefault="00C208B0" w:rsidP="008317A8">
            <w:pPr>
              <w:spacing w:line="240" w:lineRule="auto"/>
              <w:jc w:val="center"/>
              <w:rPr>
                <w:sz w:val="20"/>
                <w:szCs w:val="20"/>
              </w:rPr>
            </w:pPr>
            <w:r w:rsidRPr="00EB5D5F">
              <w:rPr>
                <w:sz w:val="20"/>
                <w:szCs w:val="20"/>
              </w:rPr>
              <w:t>65</w:t>
            </w:r>
          </w:p>
        </w:tc>
        <w:tc>
          <w:tcPr>
            <w:tcW w:w="632" w:type="pct"/>
            <w:shd w:val="clear" w:color="auto" w:fill="auto"/>
            <w:vAlign w:val="center"/>
          </w:tcPr>
          <w:p w14:paraId="6C9B15D0" w14:textId="63709072" w:rsidR="00C208B0" w:rsidRPr="00EB5D5F" w:rsidRDefault="00C208B0" w:rsidP="008317A8">
            <w:pPr>
              <w:pStyle w:val="TableContents"/>
              <w:spacing w:line="240" w:lineRule="auto"/>
              <w:jc w:val="center"/>
              <w:rPr>
                <w:sz w:val="20"/>
                <w:szCs w:val="20"/>
              </w:rPr>
            </w:pPr>
            <w:r w:rsidRPr="00EB5D5F">
              <w:rPr>
                <w:sz w:val="20"/>
                <w:szCs w:val="20"/>
              </w:rPr>
              <w:t>0 -36 +48</w:t>
            </w:r>
          </w:p>
        </w:tc>
        <w:tc>
          <w:tcPr>
            <w:tcW w:w="413" w:type="pct"/>
            <w:shd w:val="clear" w:color="auto" w:fill="auto"/>
            <w:vAlign w:val="center"/>
          </w:tcPr>
          <w:p w14:paraId="14A0CB58" w14:textId="773F7063" w:rsidR="00C208B0" w:rsidRPr="00EB5D5F" w:rsidRDefault="00C208B0" w:rsidP="008317A8">
            <w:pPr>
              <w:spacing w:line="240" w:lineRule="auto"/>
              <w:jc w:val="center"/>
              <w:rPr>
                <w:sz w:val="20"/>
                <w:szCs w:val="20"/>
              </w:rPr>
            </w:pPr>
            <w:r w:rsidRPr="00EB5D5F">
              <w:rPr>
                <w:sz w:val="20"/>
                <w:szCs w:val="20"/>
              </w:rPr>
              <w:t>.044</w:t>
            </w:r>
          </w:p>
        </w:tc>
        <w:tc>
          <w:tcPr>
            <w:tcW w:w="1028" w:type="pct"/>
            <w:shd w:val="clear" w:color="auto" w:fill="auto"/>
            <w:vAlign w:val="center"/>
          </w:tcPr>
          <w:p w14:paraId="77A5AF54" w14:textId="14BBF82A" w:rsidR="00C208B0" w:rsidRPr="00EB5D5F" w:rsidRDefault="00C208B0" w:rsidP="008317A8">
            <w:pPr>
              <w:pStyle w:val="TableContents"/>
              <w:spacing w:line="240" w:lineRule="auto"/>
              <w:jc w:val="center"/>
              <w:rPr>
                <w:sz w:val="20"/>
                <w:szCs w:val="20"/>
              </w:rPr>
            </w:pPr>
            <w:r w:rsidRPr="00EB5D5F">
              <w:rPr>
                <w:sz w:val="20"/>
                <w:szCs w:val="20"/>
              </w:rPr>
              <w:t>.036 [.013, .067]</w:t>
            </w:r>
          </w:p>
        </w:tc>
      </w:tr>
      <w:tr w:rsidR="00C208B0" w:rsidRPr="00EB5D5F" w14:paraId="7E3B8E06" w14:textId="77777777" w:rsidTr="00C208B0">
        <w:trPr>
          <w:trHeight w:val="300"/>
        </w:trPr>
        <w:tc>
          <w:tcPr>
            <w:tcW w:w="540" w:type="pct"/>
            <w:shd w:val="clear" w:color="auto" w:fill="auto"/>
            <w:tcMar>
              <w:top w:w="55" w:type="dxa"/>
              <w:bottom w:w="55" w:type="dxa"/>
            </w:tcMar>
            <w:vAlign w:val="center"/>
          </w:tcPr>
          <w:p w14:paraId="142C67BB" w14:textId="77777777" w:rsidR="00C208B0" w:rsidRPr="00EB5D5F" w:rsidRDefault="00C208B0" w:rsidP="008317A8">
            <w:pPr>
              <w:spacing w:line="240" w:lineRule="auto"/>
              <w:jc w:val="center"/>
              <w:rPr>
                <w:sz w:val="20"/>
                <w:szCs w:val="20"/>
              </w:rPr>
            </w:pPr>
            <w:r w:rsidRPr="00EB5D5F">
              <w:rPr>
                <w:sz w:val="20"/>
                <w:szCs w:val="20"/>
              </w:rPr>
              <w:t xml:space="preserve">MDD </w:t>
            </w:r>
          </w:p>
        </w:tc>
        <w:tc>
          <w:tcPr>
            <w:tcW w:w="1630" w:type="pct"/>
            <w:shd w:val="clear" w:color="auto" w:fill="auto"/>
            <w:tcMar>
              <w:top w:w="55" w:type="dxa"/>
              <w:bottom w:w="55" w:type="dxa"/>
            </w:tcMar>
            <w:vAlign w:val="center"/>
          </w:tcPr>
          <w:p w14:paraId="06941A73" w14:textId="77777777" w:rsidR="00C208B0" w:rsidRPr="00EB5D5F" w:rsidRDefault="00C208B0" w:rsidP="008317A8">
            <w:pPr>
              <w:spacing w:line="240" w:lineRule="auto"/>
              <w:jc w:val="center"/>
              <w:rPr>
                <w:sz w:val="20"/>
                <w:szCs w:val="20"/>
                <w:lang w:val="en-US"/>
              </w:rPr>
            </w:pPr>
            <w:r w:rsidRPr="00EB5D5F">
              <w:rPr>
                <w:sz w:val="20"/>
                <w:szCs w:val="20"/>
                <w:lang w:val="en-US"/>
              </w:rPr>
              <w:t>age, sex, site, mean motion, excluding subjects with less than 150 valid frames</w:t>
            </w:r>
          </w:p>
        </w:tc>
        <w:tc>
          <w:tcPr>
            <w:tcW w:w="409" w:type="pct"/>
            <w:shd w:val="clear" w:color="auto" w:fill="auto"/>
            <w:tcMar>
              <w:top w:w="55" w:type="dxa"/>
              <w:bottom w:w="55" w:type="dxa"/>
            </w:tcMar>
            <w:vAlign w:val="center"/>
          </w:tcPr>
          <w:p w14:paraId="7AC75303" w14:textId="77777777" w:rsidR="00C208B0" w:rsidRPr="00EB5D5F" w:rsidRDefault="00C208B0" w:rsidP="008317A8">
            <w:pPr>
              <w:pStyle w:val="TableContents"/>
              <w:spacing w:line="240" w:lineRule="auto"/>
              <w:jc w:val="center"/>
              <w:rPr>
                <w:sz w:val="20"/>
                <w:szCs w:val="20"/>
              </w:rPr>
            </w:pPr>
            <w:r w:rsidRPr="00EB5D5F">
              <w:rPr>
                <w:sz w:val="20"/>
                <w:szCs w:val="20"/>
              </w:rPr>
              <w:t>617</w:t>
            </w:r>
          </w:p>
        </w:tc>
        <w:tc>
          <w:tcPr>
            <w:tcW w:w="348" w:type="pct"/>
            <w:shd w:val="clear" w:color="auto" w:fill="auto"/>
            <w:vAlign w:val="center"/>
          </w:tcPr>
          <w:p w14:paraId="6B694EAE" w14:textId="77777777" w:rsidR="00C208B0" w:rsidRPr="00EB5D5F" w:rsidRDefault="00C208B0" w:rsidP="008317A8">
            <w:pPr>
              <w:spacing w:line="240" w:lineRule="auto"/>
              <w:jc w:val="center"/>
              <w:rPr>
                <w:sz w:val="20"/>
                <w:szCs w:val="20"/>
              </w:rPr>
            </w:pPr>
            <w:r w:rsidRPr="00EB5D5F">
              <w:rPr>
                <w:sz w:val="20"/>
                <w:szCs w:val="20"/>
              </w:rPr>
              <w:t>260</w:t>
            </w:r>
          </w:p>
        </w:tc>
        <w:tc>
          <w:tcPr>
            <w:tcW w:w="632" w:type="pct"/>
            <w:shd w:val="clear" w:color="auto" w:fill="auto"/>
            <w:vAlign w:val="center"/>
          </w:tcPr>
          <w:p w14:paraId="41FC6358" w14:textId="77777777" w:rsidR="00C208B0" w:rsidRPr="00EB5D5F" w:rsidRDefault="00C208B0" w:rsidP="008317A8">
            <w:pPr>
              <w:pStyle w:val="TableContents"/>
              <w:spacing w:line="240" w:lineRule="auto"/>
              <w:jc w:val="center"/>
              <w:rPr>
                <w:sz w:val="20"/>
                <w:szCs w:val="20"/>
              </w:rPr>
            </w:pPr>
            <w:r w:rsidRPr="00EB5D5F">
              <w:rPr>
                <w:sz w:val="20"/>
                <w:szCs w:val="20"/>
              </w:rPr>
              <w:t>+24 +12 +54</w:t>
            </w:r>
          </w:p>
        </w:tc>
        <w:tc>
          <w:tcPr>
            <w:tcW w:w="413" w:type="pct"/>
            <w:shd w:val="clear" w:color="auto" w:fill="auto"/>
            <w:vAlign w:val="center"/>
          </w:tcPr>
          <w:p w14:paraId="0A7C03CF" w14:textId="16150115" w:rsidR="00C208B0" w:rsidRPr="00EB5D5F" w:rsidRDefault="00C208B0" w:rsidP="008317A8">
            <w:pPr>
              <w:spacing w:line="240" w:lineRule="auto"/>
              <w:jc w:val="center"/>
              <w:rPr>
                <w:sz w:val="20"/>
                <w:szCs w:val="20"/>
              </w:rPr>
            </w:pPr>
            <w:r w:rsidRPr="00EB5D5F">
              <w:rPr>
                <w:sz w:val="20"/>
                <w:szCs w:val="20"/>
              </w:rPr>
              <w:t>&lt;.001</w:t>
            </w:r>
          </w:p>
        </w:tc>
        <w:tc>
          <w:tcPr>
            <w:tcW w:w="1028" w:type="pct"/>
            <w:shd w:val="clear" w:color="auto" w:fill="auto"/>
            <w:vAlign w:val="center"/>
          </w:tcPr>
          <w:p w14:paraId="52AAD1B2" w14:textId="230731BE" w:rsidR="00C208B0" w:rsidRPr="00EB5D5F" w:rsidRDefault="00C208B0" w:rsidP="008317A8">
            <w:pPr>
              <w:pStyle w:val="TableContents"/>
              <w:spacing w:line="240" w:lineRule="auto"/>
              <w:jc w:val="center"/>
              <w:rPr>
                <w:sz w:val="20"/>
                <w:szCs w:val="20"/>
              </w:rPr>
            </w:pPr>
            <w:r w:rsidRPr="00EB5D5F">
              <w:rPr>
                <w:sz w:val="20"/>
                <w:szCs w:val="20"/>
              </w:rPr>
              <w:t>.053 [.024, .097]</w:t>
            </w:r>
          </w:p>
        </w:tc>
      </w:tr>
      <w:tr w:rsidR="00C208B0" w:rsidRPr="00EB5D5F" w14:paraId="03F612F7" w14:textId="77777777" w:rsidTr="00C208B0">
        <w:trPr>
          <w:trHeight w:val="300"/>
        </w:trPr>
        <w:tc>
          <w:tcPr>
            <w:tcW w:w="540" w:type="pct"/>
            <w:shd w:val="clear" w:color="auto" w:fill="auto"/>
            <w:tcMar>
              <w:top w:w="55" w:type="dxa"/>
              <w:bottom w:w="55" w:type="dxa"/>
            </w:tcMar>
            <w:vAlign w:val="center"/>
          </w:tcPr>
          <w:p w14:paraId="4DC47FC1" w14:textId="77777777" w:rsidR="00C208B0" w:rsidRPr="00EB5D5F" w:rsidRDefault="00C208B0" w:rsidP="008317A8">
            <w:pPr>
              <w:spacing w:line="240" w:lineRule="auto"/>
              <w:jc w:val="center"/>
              <w:rPr>
                <w:sz w:val="20"/>
                <w:szCs w:val="20"/>
                <w:lang w:val="en-US"/>
              </w:rPr>
            </w:pPr>
          </w:p>
        </w:tc>
        <w:tc>
          <w:tcPr>
            <w:tcW w:w="1630" w:type="pct"/>
            <w:shd w:val="clear" w:color="auto" w:fill="auto"/>
            <w:tcMar>
              <w:top w:w="55" w:type="dxa"/>
              <w:bottom w:w="55" w:type="dxa"/>
            </w:tcMar>
            <w:vAlign w:val="center"/>
          </w:tcPr>
          <w:p w14:paraId="0665E775" w14:textId="77777777" w:rsidR="00C208B0" w:rsidRPr="00EB5D5F" w:rsidRDefault="00C208B0" w:rsidP="008317A8">
            <w:pPr>
              <w:spacing w:line="240" w:lineRule="auto"/>
              <w:jc w:val="center"/>
              <w:rPr>
                <w:rFonts w:ascii="Times New Roman" w:eastAsia="Times New Roman" w:hAnsi="Times New Roman" w:cs="Times New Roman"/>
                <w:sz w:val="20"/>
                <w:szCs w:val="20"/>
                <w:lang w:val="de-DE"/>
              </w:rPr>
            </w:pPr>
          </w:p>
        </w:tc>
        <w:tc>
          <w:tcPr>
            <w:tcW w:w="409" w:type="pct"/>
            <w:shd w:val="clear" w:color="auto" w:fill="auto"/>
            <w:tcMar>
              <w:top w:w="55" w:type="dxa"/>
              <w:bottom w:w="55" w:type="dxa"/>
            </w:tcMar>
            <w:vAlign w:val="center"/>
          </w:tcPr>
          <w:p w14:paraId="0E6D2CE7" w14:textId="77777777" w:rsidR="00C208B0" w:rsidRPr="00EB5D5F" w:rsidRDefault="00C208B0" w:rsidP="008317A8">
            <w:pPr>
              <w:pStyle w:val="TableContents"/>
              <w:spacing w:line="240" w:lineRule="auto"/>
              <w:jc w:val="center"/>
              <w:rPr>
                <w:sz w:val="20"/>
                <w:szCs w:val="20"/>
              </w:rPr>
            </w:pPr>
          </w:p>
        </w:tc>
        <w:tc>
          <w:tcPr>
            <w:tcW w:w="348" w:type="pct"/>
            <w:shd w:val="clear" w:color="auto" w:fill="auto"/>
            <w:vAlign w:val="center"/>
          </w:tcPr>
          <w:p w14:paraId="434F2450" w14:textId="77777777" w:rsidR="00C208B0" w:rsidRPr="00EB5D5F" w:rsidRDefault="00C208B0" w:rsidP="008317A8">
            <w:pPr>
              <w:spacing w:line="240" w:lineRule="auto"/>
              <w:jc w:val="center"/>
              <w:rPr>
                <w:sz w:val="20"/>
                <w:szCs w:val="20"/>
              </w:rPr>
            </w:pPr>
            <w:r w:rsidRPr="00EB5D5F">
              <w:rPr>
                <w:sz w:val="20"/>
                <w:szCs w:val="20"/>
              </w:rPr>
              <w:t>128</w:t>
            </w:r>
          </w:p>
        </w:tc>
        <w:tc>
          <w:tcPr>
            <w:tcW w:w="632" w:type="pct"/>
            <w:shd w:val="clear" w:color="auto" w:fill="auto"/>
            <w:vAlign w:val="center"/>
          </w:tcPr>
          <w:p w14:paraId="4E30D685" w14:textId="52EA43A0" w:rsidR="00C208B0" w:rsidRPr="00EB5D5F" w:rsidRDefault="00C208B0" w:rsidP="008317A8">
            <w:pPr>
              <w:pStyle w:val="TableContents"/>
              <w:spacing w:line="240" w:lineRule="auto"/>
              <w:jc w:val="center"/>
              <w:rPr>
                <w:sz w:val="20"/>
                <w:szCs w:val="20"/>
              </w:rPr>
            </w:pPr>
            <w:r w:rsidRPr="00EB5D5F">
              <w:rPr>
                <w:sz w:val="20"/>
                <w:szCs w:val="20"/>
              </w:rPr>
              <w:t>0 -36 +48</w:t>
            </w:r>
          </w:p>
        </w:tc>
        <w:tc>
          <w:tcPr>
            <w:tcW w:w="413" w:type="pct"/>
            <w:shd w:val="clear" w:color="auto" w:fill="auto"/>
            <w:vAlign w:val="center"/>
          </w:tcPr>
          <w:p w14:paraId="42A294C4" w14:textId="06A09008" w:rsidR="00C208B0" w:rsidRPr="00EB5D5F" w:rsidRDefault="00C208B0" w:rsidP="008317A8">
            <w:pPr>
              <w:spacing w:line="240" w:lineRule="auto"/>
              <w:jc w:val="center"/>
              <w:rPr>
                <w:sz w:val="20"/>
                <w:szCs w:val="20"/>
              </w:rPr>
            </w:pPr>
            <w:r w:rsidRPr="00EB5D5F">
              <w:rPr>
                <w:sz w:val="20"/>
                <w:szCs w:val="20"/>
              </w:rPr>
              <w:t>.004</w:t>
            </w:r>
          </w:p>
        </w:tc>
        <w:tc>
          <w:tcPr>
            <w:tcW w:w="1028" w:type="pct"/>
            <w:shd w:val="clear" w:color="auto" w:fill="auto"/>
            <w:vAlign w:val="center"/>
          </w:tcPr>
          <w:p w14:paraId="723204FB" w14:textId="01EF03A2" w:rsidR="00C208B0" w:rsidRPr="00EB5D5F" w:rsidRDefault="00C208B0" w:rsidP="008317A8">
            <w:pPr>
              <w:pStyle w:val="TableContents"/>
              <w:spacing w:line="240" w:lineRule="auto"/>
              <w:jc w:val="center"/>
              <w:rPr>
                <w:sz w:val="20"/>
                <w:szCs w:val="20"/>
              </w:rPr>
            </w:pPr>
            <w:r w:rsidRPr="00EB5D5F">
              <w:rPr>
                <w:sz w:val="20"/>
                <w:szCs w:val="20"/>
              </w:rPr>
              <w:t>.035 [.012, .069]</w:t>
            </w:r>
          </w:p>
        </w:tc>
      </w:tr>
      <w:tr w:rsidR="00C208B0" w:rsidRPr="00EB5D5F" w14:paraId="7D207700" w14:textId="77777777" w:rsidTr="00C208B0">
        <w:trPr>
          <w:trHeight w:val="300"/>
        </w:trPr>
        <w:tc>
          <w:tcPr>
            <w:tcW w:w="540" w:type="pct"/>
            <w:shd w:val="clear" w:color="auto" w:fill="auto"/>
            <w:tcMar>
              <w:top w:w="55" w:type="dxa"/>
              <w:bottom w:w="55" w:type="dxa"/>
            </w:tcMar>
            <w:vAlign w:val="center"/>
          </w:tcPr>
          <w:p w14:paraId="124231ED" w14:textId="77777777" w:rsidR="00C208B0" w:rsidRPr="00EB5D5F" w:rsidRDefault="00C208B0" w:rsidP="008317A8">
            <w:pPr>
              <w:spacing w:line="240" w:lineRule="auto"/>
              <w:jc w:val="center"/>
              <w:rPr>
                <w:sz w:val="20"/>
                <w:szCs w:val="20"/>
                <w:lang w:val="en-US"/>
              </w:rPr>
            </w:pPr>
          </w:p>
        </w:tc>
        <w:tc>
          <w:tcPr>
            <w:tcW w:w="1630" w:type="pct"/>
            <w:shd w:val="clear" w:color="auto" w:fill="auto"/>
            <w:tcMar>
              <w:top w:w="55" w:type="dxa"/>
              <w:bottom w:w="55" w:type="dxa"/>
            </w:tcMar>
            <w:vAlign w:val="center"/>
          </w:tcPr>
          <w:p w14:paraId="1081FA50" w14:textId="77777777" w:rsidR="00C208B0" w:rsidRPr="00EB5D5F" w:rsidRDefault="00C208B0" w:rsidP="008317A8">
            <w:pPr>
              <w:spacing w:line="240" w:lineRule="auto"/>
              <w:jc w:val="center"/>
              <w:rPr>
                <w:rFonts w:ascii="Times New Roman" w:eastAsia="Times New Roman" w:hAnsi="Times New Roman" w:cs="Times New Roman"/>
                <w:sz w:val="20"/>
                <w:szCs w:val="20"/>
                <w:lang w:val="de-DE"/>
              </w:rPr>
            </w:pPr>
          </w:p>
        </w:tc>
        <w:tc>
          <w:tcPr>
            <w:tcW w:w="409" w:type="pct"/>
            <w:shd w:val="clear" w:color="auto" w:fill="auto"/>
            <w:tcMar>
              <w:top w:w="55" w:type="dxa"/>
              <w:bottom w:w="55" w:type="dxa"/>
            </w:tcMar>
            <w:vAlign w:val="center"/>
          </w:tcPr>
          <w:p w14:paraId="656C7ECA" w14:textId="77777777" w:rsidR="00C208B0" w:rsidRPr="00EB5D5F" w:rsidRDefault="00C208B0" w:rsidP="008317A8">
            <w:pPr>
              <w:pStyle w:val="TableContents"/>
              <w:spacing w:line="240" w:lineRule="auto"/>
              <w:jc w:val="center"/>
              <w:rPr>
                <w:sz w:val="20"/>
                <w:szCs w:val="20"/>
              </w:rPr>
            </w:pPr>
          </w:p>
        </w:tc>
        <w:tc>
          <w:tcPr>
            <w:tcW w:w="348" w:type="pct"/>
            <w:shd w:val="clear" w:color="auto" w:fill="auto"/>
            <w:vAlign w:val="center"/>
          </w:tcPr>
          <w:p w14:paraId="219C3EB2" w14:textId="77777777" w:rsidR="00C208B0" w:rsidRPr="00EB5D5F" w:rsidRDefault="00C208B0" w:rsidP="008317A8">
            <w:pPr>
              <w:spacing w:line="240" w:lineRule="auto"/>
              <w:jc w:val="center"/>
              <w:rPr>
                <w:sz w:val="20"/>
                <w:szCs w:val="20"/>
              </w:rPr>
            </w:pPr>
            <w:r w:rsidRPr="00EB5D5F">
              <w:rPr>
                <w:sz w:val="20"/>
                <w:szCs w:val="20"/>
              </w:rPr>
              <w:t>83</w:t>
            </w:r>
          </w:p>
        </w:tc>
        <w:tc>
          <w:tcPr>
            <w:tcW w:w="632" w:type="pct"/>
            <w:shd w:val="clear" w:color="auto" w:fill="auto"/>
            <w:vAlign w:val="center"/>
          </w:tcPr>
          <w:p w14:paraId="021DEE29" w14:textId="77777777" w:rsidR="00C208B0" w:rsidRPr="00EB5D5F" w:rsidRDefault="00C208B0" w:rsidP="008317A8">
            <w:pPr>
              <w:pStyle w:val="TableContents"/>
              <w:spacing w:line="240" w:lineRule="auto"/>
              <w:jc w:val="center"/>
              <w:rPr>
                <w:sz w:val="20"/>
                <w:szCs w:val="20"/>
              </w:rPr>
            </w:pPr>
            <w:r w:rsidRPr="00EB5D5F">
              <w:rPr>
                <w:sz w:val="20"/>
                <w:szCs w:val="20"/>
              </w:rPr>
              <w:t>+24 -9 -21</w:t>
            </w:r>
          </w:p>
        </w:tc>
        <w:tc>
          <w:tcPr>
            <w:tcW w:w="413" w:type="pct"/>
            <w:shd w:val="clear" w:color="auto" w:fill="auto"/>
            <w:vAlign w:val="center"/>
          </w:tcPr>
          <w:p w14:paraId="514656E9" w14:textId="368C5794" w:rsidR="00C208B0" w:rsidRPr="00EB5D5F" w:rsidRDefault="00C208B0" w:rsidP="008317A8">
            <w:pPr>
              <w:spacing w:line="240" w:lineRule="auto"/>
              <w:jc w:val="center"/>
              <w:rPr>
                <w:sz w:val="20"/>
                <w:szCs w:val="20"/>
              </w:rPr>
            </w:pPr>
            <w:r w:rsidRPr="00EB5D5F">
              <w:rPr>
                <w:sz w:val="20"/>
                <w:szCs w:val="20"/>
              </w:rPr>
              <w:t>.017</w:t>
            </w:r>
          </w:p>
        </w:tc>
        <w:tc>
          <w:tcPr>
            <w:tcW w:w="1028" w:type="pct"/>
            <w:shd w:val="clear" w:color="auto" w:fill="auto"/>
            <w:vAlign w:val="center"/>
          </w:tcPr>
          <w:p w14:paraId="12811572" w14:textId="2124F979" w:rsidR="00C208B0" w:rsidRPr="00EB5D5F" w:rsidRDefault="00C208B0" w:rsidP="008317A8">
            <w:pPr>
              <w:pStyle w:val="TableContents"/>
              <w:spacing w:line="240" w:lineRule="auto"/>
              <w:jc w:val="center"/>
              <w:rPr>
                <w:sz w:val="20"/>
                <w:szCs w:val="20"/>
              </w:rPr>
            </w:pPr>
            <w:r w:rsidRPr="00EB5D5F">
              <w:rPr>
                <w:sz w:val="20"/>
                <w:szCs w:val="20"/>
              </w:rPr>
              <w:t>.039 [.015, .073]</w:t>
            </w:r>
          </w:p>
        </w:tc>
      </w:tr>
      <w:tr w:rsidR="00C208B0" w:rsidRPr="00EB5D5F" w14:paraId="0FEDDD21" w14:textId="77777777" w:rsidTr="00C208B0">
        <w:trPr>
          <w:trHeight w:val="300"/>
        </w:trPr>
        <w:tc>
          <w:tcPr>
            <w:tcW w:w="540" w:type="pct"/>
            <w:shd w:val="clear" w:color="auto" w:fill="auto"/>
            <w:tcMar>
              <w:top w:w="55" w:type="dxa"/>
              <w:bottom w:w="55" w:type="dxa"/>
            </w:tcMar>
            <w:vAlign w:val="center"/>
          </w:tcPr>
          <w:p w14:paraId="61822ADE" w14:textId="77777777" w:rsidR="00C208B0" w:rsidRPr="00EB5D5F" w:rsidRDefault="00C208B0" w:rsidP="008317A8">
            <w:pPr>
              <w:spacing w:line="240" w:lineRule="auto"/>
              <w:jc w:val="center"/>
              <w:rPr>
                <w:sz w:val="20"/>
                <w:szCs w:val="20"/>
                <w:lang w:val="en-US"/>
              </w:rPr>
            </w:pPr>
          </w:p>
        </w:tc>
        <w:tc>
          <w:tcPr>
            <w:tcW w:w="1630" w:type="pct"/>
            <w:shd w:val="clear" w:color="auto" w:fill="auto"/>
            <w:tcMar>
              <w:top w:w="55" w:type="dxa"/>
              <w:bottom w:w="55" w:type="dxa"/>
            </w:tcMar>
            <w:vAlign w:val="center"/>
          </w:tcPr>
          <w:p w14:paraId="59B367D4" w14:textId="77777777" w:rsidR="00C208B0" w:rsidRPr="00EB5D5F" w:rsidRDefault="00C208B0" w:rsidP="008317A8">
            <w:pPr>
              <w:spacing w:line="240" w:lineRule="auto"/>
              <w:jc w:val="center"/>
              <w:rPr>
                <w:rFonts w:ascii="Times New Roman" w:eastAsia="Times New Roman" w:hAnsi="Times New Roman" w:cs="Times New Roman"/>
                <w:sz w:val="20"/>
                <w:szCs w:val="20"/>
                <w:lang w:val="de-DE"/>
              </w:rPr>
            </w:pPr>
          </w:p>
        </w:tc>
        <w:tc>
          <w:tcPr>
            <w:tcW w:w="409" w:type="pct"/>
            <w:shd w:val="clear" w:color="auto" w:fill="auto"/>
            <w:tcMar>
              <w:top w:w="55" w:type="dxa"/>
              <w:bottom w:w="55" w:type="dxa"/>
            </w:tcMar>
            <w:vAlign w:val="center"/>
          </w:tcPr>
          <w:p w14:paraId="52A32068" w14:textId="77777777" w:rsidR="00C208B0" w:rsidRPr="00EB5D5F" w:rsidRDefault="00C208B0" w:rsidP="008317A8">
            <w:pPr>
              <w:pStyle w:val="TableContents"/>
              <w:spacing w:line="240" w:lineRule="auto"/>
              <w:jc w:val="center"/>
              <w:rPr>
                <w:sz w:val="20"/>
                <w:szCs w:val="20"/>
              </w:rPr>
            </w:pPr>
          </w:p>
        </w:tc>
        <w:tc>
          <w:tcPr>
            <w:tcW w:w="348" w:type="pct"/>
            <w:shd w:val="clear" w:color="auto" w:fill="auto"/>
            <w:vAlign w:val="center"/>
          </w:tcPr>
          <w:p w14:paraId="604D79E9" w14:textId="77777777" w:rsidR="00C208B0" w:rsidRPr="00EB5D5F" w:rsidRDefault="00C208B0" w:rsidP="008317A8">
            <w:pPr>
              <w:spacing w:line="240" w:lineRule="auto"/>
              <w:jc w:val="center"/>
              <w:rPr>
                <w:sz w:val="20"/>
                <w:szCs w:val="20"/>
              </w:rPr>
            </w:pPr>
            <w:r w:rsidRPr="00EB5D5F">
              <w:rPr>
                <w:sz w:val="20"/>
                <w:szCs w:val="20"/>
              </w:rPr>
              <w:t>63</w:t>
            </w:r>
          </w:p>
        </w:tc>
        <w:tc>
          <w:tcPr>
            <w:tcW w:w="632" w:type="pct"/>
            <w:shd w:val="clear" w:color="auto" w:fill="auto"/>
            <w:vAlign w:val="center"/>
          </w:tcPr>
          <w:p w14:paraId="174AD1EA" w14:textId="77777777" w:rsidR="00C208B0" w:rsidRPr="00EB5D5F" w:rsidRDefault="00C208B0" w:rsidP="008317A8">
            <w:pPr>
              <w:pStyle w:val="TableContents"/>
              <w:spacing w:line="240" w:lineRule="auto"/>
              <w:jc w:val="center"/>
              <w:rPr>
                <w:sz w:val="20"/>
                <w:szCs w:val="20"/>
              </w:rPr>
            </w:pPr>
            <w:r w:rsidRPr="00EB5D5F">
              <w:rPr>
                <w:sz w:val="20"/>
                <w:szCs w:val="20"/>
              </w:rPr>
              <w:t>-27 -15 -36</w:t>
            </w:r>
          </w:p>
        </w:tc>
        <w:tc>
          <w:tcPr>
            <w:tcW w:w="413" w:type="pct"/>
            <w:shd w:val="clear" w:color="auto" w:fill="auto"/>
            <w:vAlign w:val="center"/>
          </w:tcPr>
          <w:p w14:paraId="2C63B18F" w14:textId="2503FA4E" w:rsidR="00C208B0" w:rsidRPr="00EB5D5F" w:rsidRDefault="00C208B0" w:rsidP="008317A8">
            <w:pPr>
              <w:spacing w:line="240" w:lineRule="auto"/>
              <w:jc w:val="center"/>
              <w:rPr>
                <w:sz w:val="20"/>
                <w:szCs w:val="20"/>
              </w:rPr>
            </w:pPr>
            <w:r w:rsidRPr="00EB5D5F">
              <w:rPr>
                <w:sz w:val="20"/>
                <w:szCs w:val="20"/>
              </w:rPr>
              <w:t>.034</w:t>
            </w:r>
          </w:p>
        </w:tc>
        <w:tc>
          <w:tcPr>
            <w:tcW w:w="1028" w:type="pct"/>
            <w:shd w:val="clear" w:color="auto" w:fill="auto"/>
            <w:vAlign w:val="center"/>
          </w:tcPr>
          <w:p w14:paraId="079F9398" w14:textId="1E6E8F05" w:rsidR="00C208B0" w:rsidRPr="00EB5D5F" w:rsidRDefault="00C208B0" w:rsidP="008317A8">
            <w:pPr>
              <w:pStyle w:val="TableContents"/>
              <w:spacing w:line="240" w:lineRule="auto"/>
              <w:jc w:val="center"/>
              <w:rPr>
                <w:sz w:val="20"/>
                <w:szCs w:val="20"/>
              </w:rPr>
            </w:pPr>
            <w:r w:rsidRPr="00EB5D5F">
              <w:rPr>
                <w:sz w:val="20"/>
                <w:szCs w:val="20"/>
              </w:rPr>
              <w:t>.041 [.016, .075]</w:t>
            </w:r>
          </w:p>
        </w:tc>
      </w:tr>
      <w:tr w:rsidR="00C208B0" w:rsidRPr="00EB5D5F" w14:paraId="007E7C07" w14:textId="77777777" w:rsidTr="00C208B0">
        <w:trPr>
          <w:trHeight w:val="300"/>
        </w:trPr>
        <w:tc>
          <w:tcPr>
            <w:tcW w:w="540" w:type="pct"/>
            <w:shd w:val="clear" w:color="auto" w:fill="auto"/>
            <w:tcMar>
              <w:top w:w="55" w:type="dxa"/>
              <w:bottom w:w="55" w:type="dxa"/>
            </w:tcMar>
            <w:vAlign w:val="center"/>
          </w:tcPr>
          <w:p w14:paraId="3348E33A" w14:textId="77777777" w:rsidR="00C208B0" w:rsidRPr="00EB5D5F" w:rsidRDefault="00C208B0" w:rsidP="008317A8">
            <w:pPr>
              <w:spacing w:line="240" w:lineRule="auto"/>
              <w:jc w:val="center"/>
              <w:rPr>
                <w:sz w:val="20"/>
                <w:szCs w:val="20"/>
              </w:rPr>
            </w:pPr>
            <w:r w:rsidRPr="00EB5D5F">
              <w:rPr>
                <w:sz w:val="20"/>
                <w:szCs w:val="20"/>
              </w:rPr>
              <w:t xml:space="preserve">MDD </w:t>
            </w:r>
          </w:p>
        </w:tc>
        <w:tc>
          <w:tcPr>
            <w:tcW w:w="1630" w:type="pct"/>
            <w:shd w:val="clear" w:color="auto" w:fill="auto"/>
            <w:tcMar>
              <w:top w:w="55" w:type="dxa"/>
              <w:bottom w:w="55" w:type="dxa"/>
            </w:tcMar>
            <w:vAlign w:val="center"/>
          </w:tcPr>
          <w:p w14:paraId="0E41F04E" w14:textId="77777777" w:rsidR="00C208B0" w:rsidRPr="00EB5D5F" w:rsidRDefault="00C208B0" w:rsidP="008317A8">
            <w:pPr>
              <w:spacing w:line="240" w:lineRule="auto"/>
              <w:jc w:val="center"/>
              <w:rPr>
                <w:sz w:val="20"/>
                <w:szCs w:val="20"/>
                <w:lang w:val="en-US"/>
              </w:rPr>
            </w:pPr>
            <w:r w:rsidRPr="00EB5D5F">
              <w:rPr>
                <w:sz w:val="20"/>
                <w:szCs w:val="20"/>
                <w:lang w:val="en-US"/>
              </w:rPr>
              <w:t>age, sex, site, medication, excluding subjects with less than 150 valid frames</w:t>
            </w:r>
          </w:p>
        </w:tc>
        <w:tc>
          <w:tcPr>
            <w:tcW w:w="409" w:type="pct"/>
            <w:shd w:val="clear" w:color="auto" w:fill="auto"/>
            <w:tcMar>
              <w:top w:w="55" w:type="dxa"/>
              <w:bottom w:w="55" w:type="dxa"/>
            </w:tcMar>
            <w:vAlign w:val="center"/>
          </w:tcPr>
          <w:p w14:paraId="12AC97B6" w14:textId="77777777" w:rsidR="00C208B0" w:rsidRPr="00EB5D5F" w:rsidRDefault="00C208B0" w:rsidP="008317A8">
            <w:pPr>
              <w:pStyle w:val="TableContents"/>
              <w:spacing w:line="240" w:lineRule="auto"/>
              <w:jc w:val="center"/>
              <w:rPr>
                <w:sz w:val="20"/>
                <w:szCs w:val="20"/>
              </w:rPr>
            </w:pPr>
            <w:r w:rsidRPr="00EB5D5F">
              <w:rPr>
                <w:sz w:val="20"/>
                <w:szCs w:val="20"/>
              </w:rPr>
              <w:t>617</w:t>
            </w:r>
          </w:p>
        </w:tc>
        <w:tc>
          <w:tcPr>
            <w:tcW w:w="348" w:type="pct"/>
            <w:shd w:val="clear" w:color="auto" w:fill="auto"/>
            <w:vAlign w:val="center"/>
          </w:tcPr>
          <w:p w14:paraId="26F2AD81" w14:textId="77777777" w:rsidR="00C208B0" w:rsidRPr="00EB5D5F" w:rsidRDefault="00C208B0" w:rsidP="008317A8">
            <w:pPr>
              <w:spacing w:line="240" w:lineRule="auto"/>
              <w:jc w:val="center"/>
              <w:rPr>
                <w:sz w:val="20"/>
                <w:szCs w:val="20"/>
              </w:rPr>
            </w:pPr>
            <w:r w:rsidRPr="00EB5D5F">
              <w:rPr>
                <w:sz w:val="20"/>
                <w:szCs w:val="20"/>
              </w:rPr>
              <w:t>107</w:t>
            </w:r>
          </w:p>
        </w:tc>
        <w:tc>
          <w:tcPr>
            <w:tcW w:w="632" w:type="pct"/>
            <w:shd w:val="clear" w:color="auto" w:fill="auto"/>
            <w:vAlign w:val="center"/>
          </w:tcPr>
          <w:p w14:paraId="46F6E935" w14:textId="77777777" w:rsidR="00C208B0" w:rsidRPr="00EB5D5F" w:rsidRDefault="00C208B0" w:rsidP="008317A8">
            <w:pPr>
              <w:pStyle w:val="TableContents"/>
              <w:spacing w:line="240" w:lineRule="auto"/>
              <w:jc w:val="center"/>
              <w:rPr>
                <w:sz w:val="20"/>
                <w:szCs w:val="20"/>
              </w:rPr>
            </w:pPr>
            <w:r w:rsidRPr="00EB5D5F">
              <w:rPr>
                <w:sz w:val="20"/>
                <w:szCs w:val="20"/>
              </w:rPr>
              <w:t>+21 +45 +48</w:t>
            </w:r>
          </w:p>
        </w:tc>
        <w:tc>
          <w:tcPr>
            <w:tcW w:w="413" w:type="pct"/>
            <w:shd w:val="clear" w:color="auto" w:fill="auto"/>
            <w:vAlign w:val="center"/>
          </w:tcPr>
          <w:p w14:paraId="095D81B4" w14:textId="53E41D97" w:rsidR="00C208B0" w:rsidRPr="00EB5D5F" w:rsidRDefault="00C208B0" w:rsidP="008317A8">
            <w:pPr>
              <w:spacing w:line="240" w:lineRule="auto"/>
              <w:jc w:val="center"/>
              <w:rPr>
                <w:sz w:val="20"/>
                <w:szCs w:val="20"/>
              </w:rPr>
            </w:pPr>
            <w:r w:rsidRPr="00EB5D5F">
              <w:rPr>
                <w:sz w:val="20"/>
                <w:szCs w:val="20"/>
              </w:rPr>
              <w:t>.012</w:t>
            </w:r>
          </w:p>
        </w:tc>
        <w:tc>
          <w:tcPr>
            <w:tcW w:w="1028" w:type="pct"/>
            <w:shd w:val="clear" w:color="auto" w:fill="auto"/>
            <w:vAlign w:val="center"/>
          </w:tcPr>
          <w:p w14:paraId="63459BFF" w14:textId="74EB52A0" w:rsidR="00C208B0" w:rsidRPr="00EB5D5F" w:rsidRDefault="00C208B0" w:rsidP="008317A8">
            <w:pPr>
              <w:pStyle w:val="TableContents"/>
              <w:spacing w:line="240" w:lineRule="auto"/>
              <w:jc w:val="center"/>
              <w:rPr>
                <w:sz w:val="20"/>
                <w:szCs w:val="20"/>
              </w:rPr>
            </w:pPr>
            <w:r w:rsidRPr="00EB5D5F">
              <w:rPr>
                <w:sz w:val="20"/>
                <w:szCs w:val="20"/>
              </w:rPr>
              <w:t>.036 [.012, .072]</w:t>
            </w:r>
          </w:p>
        </w:tc>
      </w:tr>
      <w:tr w:rsidR="00C208B0" w:rsidRPr="00EB5D5F" w14:paraId="23850D8B" w14:textId="77777777" w:rsidTr="00C208B0">
        <w:trPr>
          <w:trHeight w:val="300"/>
        </w:trPr>
        <w:tc>
          <w:tcPr>
            <w:tcW w:w="540" w:type="pct"/>
            <w:shd w:val="clear" w:color="auto" w:fill="auto"/>
            <w:tcMar>
              <w:top w:w="55" w:type="dxa"/>
              <w:bottom w:w="55" w:type="dxa"/>
            </w:tcMar>
            <w:vAlign w:val="center"/>
          </w:tcPr>
          <w:p w14:paraId="0F68CBB9" w14:textId="77777777" w:rsidR="00C208B0" w:rsidRPr="00EB5D5F" w:rsidRDefault="00C208B0" w:rsidP="008317A8">
            <w:pPr>
              <w:spacing w:line="240" w:lineRule="auto"/>
              <w:jc w:val="center"/>
              <w:rPr>
                <w:sz w:val="20"/>
                <w:szCs w:val="20"/>
                <w:lang w:val="en-US"/>
              </w:rPr>
            </w:pPr>
          </w:p>
        </w:tc>
        <w:tc>
          <w:tcPr>
            <w:tcW w:w="1630" w:type="pct"/>
            <w:shd w:val="clear" w:color="auto" w:fill="auto"/>
            <w:tcMar>
              <w:top w:w="55" w:type="dxa"/>
              <w:bottom w:w="55" w:type="dxa"/>
            </w:tcMar>
            <w:vAlign w:val="center"/>
          </w:tcPr>
          <w:p w14:paraId="425C2E02" w14:textId="77777777" w:rsidR="00C208B0" w:rsidRPr="00EB5D5F" w:rsidRDefault="00C208B0" w:rsidP="008317A8">
            <w:pPr>
              <w:spacing w:line="240" w:lineRule="auto"/>
              <w:jc w:val="center"/>
              <w:rPr>
                <w:rFonts w:ascii="Times New Roman" w:eastAsia="Times New Roman" w:hAnsi="Times New Roman" w:cs="Times New Roman"/>
                <w:sz w:val="20"/>
                <w:szCs w:val="20"/>
                <w:lang w:val="de-DE"/>
              </w:rPr>
            </w:pPr>
          </w:p>
        </w:tc>
        <w:tc>
          <w:tcPr>
            <w:tcW w:w="409" w:type="pct"/>
            <w:shd w:val="clear" w:color="auto" w:fill="auto"/>
            <w:tcMar>
              <w:top w:w="55" w:type="dxa"/>
              <w:bottom w:w="55" w:type="dxa"/>
            </w:tcMar>
            <w:vAlign w:val="center"/>
          </w:tcPr>
          <w:p w14:paraId="655DD1BD" w14:textId="77777777" w:rsidR="00C208B0" w:rsidRPr="00EB5D5F" w:rsidRDefault="00C208B0" w:rsidP="008317A8">
            <w:pPr>
              <w:pStyle w:val="TableContents"/>
              <w:spacing w:line="240" w:lineRule="auto"/>
              <w:jc w:val="center"/>
              <w:rPr>
                <w:sz w:val="20"/>
                <w:szCs w:val="20"/>
              </w:rPr>
            </w:pPr>
          </w:p>
        </w:tc>
        <w:tc>
          <w:tcPr>
            <w:tcW w:w="348" w:type="pct"/>
            <w:shd w:val="clear" w:color="auto" w:fill="auto"/>
            <w:vAlign w:val="center"/>
          </w:tcPr>
          <w:p w14:paraId="5ECF7274" w14:textId="77777777" w:rsidR="00C208B0" w:rsidRPr="00EB5D5F" w:rsidRDefault="00C208B0" w:rsidP="008317A8">
            <w:pPr>
              <w:spacing w:line="240" w:lineRule="auto"/>
              <w:jc w:val="center"/>
              <w:rPr>
                <w:sz w:val="20"/>
                <w:szCs w:val="20"/>
              </w:rPr>
            </w:pPr>
            <w:r w:rsidRPr="00EB5D5F">
              <w:rPr>
                <w:sz w:val="20"/>
                <w:szCs w:val="20"/>
              </w:rPr>
              <w:t>103</w:t>
            </w:r>
          </w:p>
        </w:tc>
        <w:tc>
          <w:tcPr>
            <w:tcW w:w="632" w:type="pct"/>
            <w:shd w:val="clear" w:color="auto" w:fill="auto"/>
            <w:vAlign w:val="center"/>
          </w:tcPr>
          <w:p w14:paraId="5766C214" w14:textId="3722BD64" w:rsidR="00C208B0" w:rsidRPr="00EB5D5F" w:rsidRDefault="00C208B0" w:rsidP="008317A8">
            <w:pPr>
              <w:pStyle w:val="TableContents"/>
              <w:spacing w:line="240" w:lineRule="auto"/>
              <w:jc w:val="center"/>
              <w:rPr>
                <w:sz w:val="20"/>
                <w:szCs w:val="20"/>
              </w:rPr>
            </w:pPr>
            <w:r w:rsidRPr="00EB5D5F">
              <w:rPr>
                <w:sz w:val="20"/>
                <w:szCs w:val="20"/>
              </w:rPr>
              <w:t>0 -36 +48</w:t>
            </w:r>
          </w:p>
        </w:tc>
        <w:tc>
          <w:tcPr>
            <w:tcW w:w="413" w:type="pct"/>
            <w:shd w:val="clear" w:color="auto" w:fill="auto"/>
            <w:vAlign w:val="center"/>
          </w:tcPr>
          <w:p w14:paraId="1C304F5C" w14:textId="230716AB" w:rsidR="00C208B0" w:rsidRPr="00EB5D5F" w:rsidRDefault="00C208B0" w:rsidP="008317A8">
            <w:pPr>
              <w:spacing w:line="240" w:lineRule="auto"/>
              <w:jc w:val="center"/>
              <w:rPr>
                <w:sz w:val="20"/>
                <w:szCs w:val="20"/>
              </w:rPr>
            </w:pPr>
            <w:r w:rsidRPr="00EB5D5F">
              <w:rPr>
                <w:sz w:val="20"/>
                <w:szCs w:val="20"/>
              </w:rPr>
              <w:t>.012</w:t>
            </w:r>
          </w:p>
        </w:tc>
        <w:tc>
          <w:tcPr>
            <w:tcW w:w="1028" w:type="pct"/>
            <w:shd w:val="clear" w:color="auto" w:fill="auto"/>
            <w:vAlign w:val="center"/>
          </w:tcPr>
          <w:p w14:paraId="04614AF3" w14:textId="273373E8" w:rsidR="00C208B0" w:rsidRPr="00EB5D5F" w:rsidRDefault="00C208B0" w:rsidP="008317A8">
            <w:pPr>
              <w:pStyle w:val="TableContents"/>
              <w:spacing w:line="240" w:lineRule="auto"/>
              <w:jc w:val="center"/>
              <w:rPr>
                <w:sz w:val="20"/>
                <w:szCs w:val="20"/>
              </w:rPr>
            </w:pPr>
            <w:r w:rsidRPr="00EB5D5F">
              <w:rPr>
                <w:sz w:val="20"/>
                <w:szCs w:val="20"/>
              </w:rPr>
              <w:t>.034 [.012, .063]</w:t>
            </w:r>
          </w:p>
        </w:tc>
      </w:tr>
      <w:tr w:rsidR="00C208B0" w:rsidRPr="00EB5D5F" w14:paraId="0AEFC565" w14:textId="77777777" w:rsidTr="00C208B0">
        <w:trPr>
          <w:trHeight w:val="300"/>
        </w:trPr>
        <w:tc>
          <w:tcPr>
            <w:tcW w:w="540" w:type="pct"/>
            <w:shd w:val="clear" w:color="auto" w:fill="auto"/>
            <w:tcMar>
              <w:top w:w="55" w:type="dxa"/>
              <w:bottom w:w="55" w:type="dxa"/>
            </w:tcMar>
            <w:vAlign w:val="center"/>
          </w:tcPr>
          <w:p w14:paraId="426548FD" w14:textId="77777777" w:rsidR="00C208B0" w:rsidRPr="00EB5D5F" w:rsidRDefault="00C208B0" w:rsidP="008317A8">
            <w:pPr>
              <w:spacing w:line="240" w:lineRule="auto"/>
              <w:jc w:val="center"/>
              <w:rPr>
                <w:sz w:val="20"/>
                <w:szCs w:val="20"/>
                <w:lang w:val="en-US"/>
              </w:rPr>
            </w:pPr>
          </w:p>
        </w:tc>
        <w:tc>
          <w:tcPr>
            <w:tcW w:w="1630" w:type="pct"/>
            <w:shd w:val="clear" w:color="auto" w:fill="auto"/>
            <w:tcMar>
              <w:top w:w="55" w:type="dxa"/>
              <w:bottom w:w="55" w:type="dxa"/>
            </w:tcMar>
            <w:vAlign w:val="center"/>
          </w:tcPr>
          <w:p w14:paraId="42ADF44B" w14:textId="77777777" w:rsidR="00C208B0" w:rsidRPr="00EB5D5F" w:rsidRDefault="00C208B0" w:rsidP="008317A8">
            <w:pPr>
              <w:spacing w:line="240" w:lineRule="auto"/>
              <w:jc w:val="center"/>
              <w:rPr>
                <w:rFonts w:ascii="Times New Roman" w:eastAsia="Times New Roman" w:hAnsi="Times New Roman" w:cs="Times New Roman"/>
                <w:sz w:val="20"/>
                <w:szCs w:val="20"/>
                <w:lang w:val="de-DE"/>
              </w:rPr>
            </w:pPr>
          </w:p>
        </w:tc>
        <w:tc>
          <w:tcPr>
            <w:tcW w:w="409" w:type="pct"/>
            <w:shd w:val="clear" w:color="auto" w:fill="auto"/>
            <w:tcMar>
              <w:top w:w="55" w:type="dxa"/>
              <w:bottom w:w="55" w:type="dxa"/>
            </w:tcMar>
            <w:vAlign w:val="center"/>
          </w:tcPr>
          <w:p w14:paraId="2681A7AE" w14:textId="77777777" w:rsidR="00C208B0" w:rsidRPr="00EB5D5F" w:rsidRDefault="00C208B0" w:rsidP="008317A8">
            <w:pPr>
              <w:pStyle w:val="TableContents"/>
              <w:spacing w:line="240" w:lineRule="auto"/>
              <w:jc w:val="center"/>
              <w:rPr>
                <w:sz w:val="20"/>
                <w:szCs w:val="20"/>
              </w:rPr>
            </w:pPr>
          </w:p>
        </w:tc>
        <w:tc>
          <w:tcPr>
            <w:tcW w:w="348" w:type="pct"/>
            <w:shd w:val="clear" w:color="auto" w:fill="auto"/>
            <w:vAlign w:val="center"/>
          </w:tcPr>
          <w:p w14:paraId="4AFC8D77" w14:textId="77777777" w:rsidR="00C208B0" w:rsidRPr="00EB5D5F" w:rsidRDefault="00C208B0" w:rsidP="008317A8">
            <w:pPr>
              <w:spacing w:line="240" w:lineRule="auto"/>
              <w:jc w:val="center"/>
              <w:rPr>
                <w:sz w:val="20"/>
                <w:szCs w:val="20"/>
              </w:rPr>
            </w:pPr>
            <w:r w:rsidRPr="00EB5D5F">
              <w:rPr>
                <w:sz w:val="20"/>
                <w:szCs w:val="20"/>
              </w:rPr>
              <w:t>76</w:t>
            </w:r>
          </w:p>
        </w:tc>
        <w:tc>
          <w:tcPr>
            <w:tcW w:w="632" w:type="pct"/>
            <w:shd w:val="clear" w:color="auto" w:fill="auto"/>
            <w:vAlign w:val="center"/>
          </w:tcPr>
          <w:p w14:paraId="55CBEE83" w14:textId="77777777" w:rsidR="00C208B0" w:rsidRPr="00EB5D5F" w:rsidRDefault="00C208B0" w:rsidP="008317A8">
            <w:pPr>
              <w:pStyle w:val="TableContents"/>
              <w:spacing w:line="240" w:lineRule="auto"/>
              <w:jc w:val="center"/>
              <w:rPr>
                <w:sz w:val="20"/>
                <w:szCs w:val="20"/>
              </w:rPr>
            </w:pPr>
            <w:r w:rsidRPr="00EB5D5F">
              <w:rPr>
                <w:sz w:val="20"/>
                <w:szCs w:val="20"/>
              </w:rPr>
              <w:t>+24 +12 +54</w:t>
            </w:r>
          </w:p>
        </w:tc>
        <w:tc>
          <w:tcPr>
            <w:tcW w:w="413" w:type="pct"/>
            <w:shd w:val="clear" w:color="auto" w:fill="auto"/>
            <w:vAlign w:val="center"/>
          </w:tcPr>
          <w:p w14:paraId="0B8A0118" w14:textId="2E28C490" w:rsidR="00C208B0" w:rsidRPr="00EB5D5F" w:rsidRDefault="00C208B0" w:rsidP="008317A8">
            <w:pPr>
              <w:spacing w:line="240" w:lineRule="auto"/>
              <w:jc w:val="center"/>
              <w:rPr>
                <w:sz w:val="20"/>
                <w:szCs w:val="20"/>
              </w:rPr>
            </w:pPr>
            <w:r w:rsidRPr="00EB5D5F">
              <w:rPr>
                <w:sz w:val="20"/>
                <w:szCs w:val="20"/>
              </w:rPr>
              <w:t>.027</w:t>
            </w:r>
          </w:p>
        </w:tc>
        <w:tc>
          <w:tcPr>
            <w:tcW w:w="1028" w:type="pct"/>
            <w:shd w:val="clear" w:color="auto" w:fill="auto"/>
            <w:vAlign w:val="center"/>
          </w:tcPr>
          <w:p w14:paraId="48589F9A" w14:textId="32A6E99B" w:rsidR="00C208B0" w:rsidRPr="00EB5D5F" w:rsidRDefault="00C208B0" w:rsidP="008317A8">
            <w:pPr>
              <w:pStyle w:val="TableContents"/>
              <w:spacing w:line="240" w:lineRule="auto"/>
              <w:jc w:val="center"/>
              <w:rPr>
                <w:sz w:val="20"/>
                <w:szCs w:val="20"/>
              </w:rPr>
            </w:pPr>
            <w:r w:rsidRPr="00EB5D5F">
              <w:rPr>
                <w:sz w:val="20"/>
                <w:szCs w:val="20"/>
              </w:rPr>
              <w:t>.033 [.012, .067]</w:t>
            </w:r>
          </w:p>
        </w:tc>
      </w:tr>
      <w:tr w:rsidR="00C208B0" w:rsidRPr="00EB5D5F" w14:paraId="4A730E64" w14:textId="77777777" w:rsidTr="008317A8">
        <w:trPr>
          <w:trHeight w:val="300"/>
        </w:trPr>
        <w:tc>
          <w:tcPr>
            <w:tcW w:w="540" w:type="pct"/>
            <w:tcBorders>
              <w:bottom w:val="single" w:sz="4" w:space="0" w:color="auto"/>
            </w:tcBorders>
            <w:shd w:val="clear" w:color="auto" w:fill="auto"/>
            <w:tcMar>
              <w:top w:w="55" w:type="dxa"/>
              <w:bottom w:w="55" w:type="dxa"/>
            </w:tcMar>
            <w:vAlign w:val="center"/>
          </w:tcPr>
          <w:p w14:paraId="2B745D21" w14:textId="77777777" w:rsidR="00C208B0" w:rsidRPr="00EB5D5F" w:rsidRDefault="00C208B0" w:rsidP="008317A8">
            <w:pPr>
              <w:spacing w:line="240" w:lineRule="auto"/>
              <w:jc w:val="center"/>
              <w:rPr>
                <w:sz w:val="20"/>
                <w:szCs w:val="20"/>
              </w:rPr>
            </w:pPr>
            <w:r w:rsidRPr="00EB5D5F">
              <w:rPr>
                <w:sz w:val="20"/>
                <w:szCs w:val="20"/>
              </w:rPr>
              <w:t xml:space="preserve">MDD </w:t>
            </w:r>
          </w:p>
        </w:tc>
        <w:tc>
          <w:tcPr>
            <w:tcW w:w="1630" w:type="pct"/>
            <w:tcBorders>
              <w:bottom w:val="single" w:sz="4" w:space="0" w:color="auto"/>
            </w:tcBorders>
            <w:shd w:val="clear" w:color="auto" w:fill="auto"/>
            <w:tcMar>
              <w:top w:w="55" w:type="dxa"/>
              <w:bottom w:w="55" w:type="dxa"/>
            </w:tcMar>
            <w:vAlign w:val="center"/>
          </w:tcPr>
          <w:p w14:paraId="2A257FA0" w14:textId="77777777" w:rsidR="00C208B0" w:rsidRPr="00EB5D5F" w:rsidRDefault="00C208B0" w:rsidP="008317A8">
            <w:pPr>
              <w:spacing w:line="240" w:lineRule="auto"/>
              <w:jc w:val="center"/>
              <w:rPr>
                <w:sz w:val="20"/>
                <w:szCs w:val="20"/>
                <w:lang w:val="en-US"/>
              </w:rPr>
            </w:pPr>
            <w:r w:rsidRPr="00EB5D5F">
              <w:rPr>
                <w:sz w:val="20"/>
                <w:szCs w:val="20"/>
                <w:lang w:val="en-US"/>
              </w:rPr>
              <w:t>age, sex, site, mean motion, medication, education, excluding subjects with less than 150 valid frames</w:t>
            </w:r>
          </w:p>
        </w:tc>
        <w:tc>
          <w:tcPr>
            <w:tcW w:w="409" w:type="pct"/>
            <w:tcBorders>
              <w:bottom w:val="single" w:sz="4" w:space="0" w:color="auto"/>
            </w:tcBorders>
            <w:shd w:val="clear" w:color="auto" w:fill="auto"/>
            <w:tcMar>
              <w:top w:w="55" w:type="dxa"/>
              <w:bottom w:w="55" w:type="dxa"/>
            </w:tcMar>
            <w:vAlign w:val="center"/>
          </w:tcPr>
          <w:p w14:paraId="7B9DDF49" w14:textId="77777777" w:rsidR="00C208B0" w:rsidRPr="00EB5D5F" w:rsidRDefault="00C208B0" w:rsidP="008317A8">
            <w:pPr>
              <w:pStyle w:val="TableContents"/>
              <w:spacing w:line="240" w:lineRule="auto"/>
              <w:jc w:val="center"/>
              <w:rPr>
                <w:sz w:val="20"/>
                <w:szCs w:val="20"/>
              </w:rPr>
            </w:pPr>
            <w:r w:rsidRPr="00EB5D5F">
              <w:rPr>
                <w:sz w:val="20"/>
                <w:szCs w:val="20"/>
              </w:rPr>
              <w:t>615</w:t>
            </w:r>
          </w:p>
        </w:tc>
        <w:tc>
          <w:tcPr>
            <w:tcW w:w="348" w:type="pct"/>
            <w:tcBorders>
              <w:bottom w:val="single" w:sz="4" w:space="0" w:color="auto"/>
            </w:tcBorders>
            <w:shd w:val="clear" w:color="auto" w:fill="auto"/>
            <w:vAlign w:val="center"/>
          </w:tcPr>
          <w:p w14:paraId="7A8E1A81" w14:textId="77777777" w:rsidR="00C208B0" w:rsidRPr="00EB5D5F" w:rsidRDefault="00C208B0" w:rsidP="008317A8">
            <w:pPr>
              <w:spacing w:line="240" w:lineRule="auto"/>
              <w:jc w:val="center"/>
              <w:rPr>
                <w:sz w:val="20"/>
                <w:szCs w:val="20"/>
              </w:rPr>
            </w:pPr>
            <w:r w:rsidRPr="00EB5D5F">
              <w:rPr>
                <w:sz w:val="20"/>
                <w:szCs w:val="20"/>
              </w:rPr>
              <w:t>142</w:t>
            </w:r>
          </w:p>
        </w:tc>
        <w:tc>
          <w:tcPr>
            <w:tcW w:w="632" w:type="pct"/>
            <w:tcBorders>
              <w:bottom w:val="single" w:sz="4" w:space="0" w:color="auto"/>
            </w:tcBorders>
            <w:shd w:val="clear" w:color="auto" w:fill="auto"/>
            <w:vAlign w:val="center"/>
          </w:tcPr>
          <w:p w14:paraId="389BC62B" w14:textId="77777777" w:rsidR="00C208B0" w:rsidRPr="00EB5D5F" w:rsidRDefault="00C208B0" w:rsidP="008317A8">
            <w:pPr>
              <w:pStyle w:val="TableContents"/>
              <w:spacing w:line="240" w:lineRule="auto"/>
              <w:jc w:val="center"/>
              <w:rPr>
                <w:sz w:val="20"/>
                <w:szCs w:val="20"/>
              </w:rPr>
            </w:pPr>
            <w:r w:rsidRPr="00EB5D5F">
              <w:rPr>
                <w:sz w:val="20"/>
                <w:szCs w:val="20"/>
              </w:rPr>
              <w:t>-3 -36 +48</w:t>
            </w:r>
          </w:p>
        </w:tc>
        <w:tc>
          <w:tcPr>
            <w:tcW w:w="413" w:type="pct"/>
            <w:tcBorders>
              <w:bottom w:val="single" w:sz="4" w:space="0" w:color="auto"/>
            </w:tcBorders>
            <w:shd w:val="clear" w:color="auto" w:fill="auto"/>
            <w:vAlign w:val="center"/>
          </w:tcPr>
          <w:p w14:paraId="4B0E2A79" w14:textId="39B91146" w:rsidR="00C208B0" w:rsidRPr="00EB5D5F" w:rsidRDefault="00C208B0" w:rsidP="008317A8">
            <w:pPr>
              <w:spacing w:line="240" w:lineRule="auto"/>
              <w:jc w:val="center"/>
              <w:rPr>
                <w:sz w:val="20"/>
                <w:szCs w:val="20"/>
              </w:rPr>
            </w:pPr>
            <w:r w:rsidRPr="00EB5D5F">
              <w:rPr>
                <w:sz w:val="20"/>
                <w:szCs w:val="20"/>
              </w:rPr>
              <w:t>.004</w:t>
            </w:r>
          </w:p>
        </w:tc>
        <w:tc>
          <w:tcPr>
            <w:tcW w:w="1028" w:type="pct"/>
            <w:tcBorders>
              <w:bottom w:val="single" w:sz="4" w:space="0" w:color="auto"/>
            </w:tcBorders>
            <w:shd w:val="clear" w:color="auto" w:fill="auto"/>
            <w:vAlign w:val="center"/>
          </w:tcPr>
          <w:p w14:paraId="79804F67" w14:textId="1E07EE3A" w:rsidR="00C208B0" w:rsidRPr="00EB5D5F" w:rsidRDefault="00C208B0" w:rsidP="008317A8">
            <w:pPr>
              <w:pStyle w:val="TableContents"/>
              <w:spacing w:line="240" w:lineRule="auto"/>
              <w:jc w:val="center"/>
              <w:rPr>
                <w:sz w:val="20"/>
                <w:szCs w:val="20"/>
              </w:rPr>
            </w:pPr>
            <w:r w:rsidRPr="00EB5D5F">
              <w:rPr>
                <w:sz w:val="20"/>
                <w:szCs w:val="20"/>
              </w:rPr>
              <w:t>.037 [.013, .069]</w:t>
            </w:r>
          </w:p>
        </w:tc>
      </w:tr>
    </w:tbl>
    <w:p w14:paraId="4108D6A9" w14:textId="7898574F" w:rsidR="008317A8" w:rsidRPr="00EB5D5F" w:rsidRDefault="00CC7FAD" w:rsidP="00CC7FAD">
      <w:pPr>
        <w:spacing w:after="240"/>
        <w:rPr>
          <w:sz w:val="24"/>
        </w:rPr>
      </w:pPr>
      <w:r w:rsidRPr="00EB5D5F">
        <w:rPr>
          <w:lang w:val="en-US"/>
        </w:rPr>
        <w:lastRenderedPageBreak/>
        <w:t>Table S8 continued.</w:t>
      </w:r>
    </w:p>
    <w:tbl>
      <w:tblPr>
        <w:tblW w:w="5000" w:type="pct"/>
        <w:tblCellMar>
          <w:left w:w="70" w:type="dxa"/>
          <w:right w:w="70" w:type="dxa"/>
        </w:tblCellMar>
        <w:tblLook w:val="04A0" w:firstRow="1" w:lastRow="0" w:firstColumn="1" w:lastColumn="0" w:noHBand="0" w:noVBand="1"/>
      </w:tblPr>
      <w:tblGrid>
        <w:gridCol w:w="1543"/>
        <w:gridCol w:w="4658"/>
        <w:gridCol w:w="1169"/>
        <w:gridCol w:w="994"/>
        <w:gridCol w:w="1806"/>
        <w:gridCol w:w="1180"/>
        <w:gridCol w:w="2937"/>
      </w:tblGrid>
      <w:tr w:rsidR="008317A8" w:rsidRPr="00EB5D5F" w14:paraId="385D3FC5" w14:textId="77777777" w:rsidTr="008317A8">
        <w:trPr>
          <w:trHeight w:val="300"/>
        </w:trPr>
        <w:tc>
          <w:tcPr>
            <w:tcW w:w="540" w:type="pct"/>
            <w:tcBorders>
              <w:top w:val="single" w:sz="4" w:space="0" w:color="auto"/>
              <w:bottom w:val="single" w:sz="4" w:space="0" w:color="auto"/>
            </w:tcBorders>
            <w:shd w:val="clear" w:color="auto" w:fill="auto"/>
            <w:tcMar>
              <w:top w:w="55" w:type="dxa"/>
              <w:bottom w:w="55" w:type="dxa"/>
            </w:tcMar>
            <w:vAlign w:val="center"/>
          </w:tcPr>
          <w:p w14:paraId="747C6933" w14:textId="21EF6806" w:rsidR="008317A8" w:rsidRPr="00EB5D5F" w:rsidRDefault="008317A8" w:rsidP="008317A8">
            <w:pPr>
              <w:spacing w:line="240" w:lineRule="auto"/>
              <w:jc w:val="center"/>
              <w:rPr>
                <w:sz w:val="20"/>
                <w:szCs w:val="20"/>
                <w:lang w:val="en-US"/>
              </w:rPr>
            </w:pPr>
            <w:r w:rsidRPr="00EB5D5F">
              <w:rPr>
                <w:rFonts w:eastAsia="Times New Roman"/>
                <w:color w:val="000000"/>
                <w:sz w:val="20"/>
                <w:szCs w:val="20"/>
                <w:lang w:val="de-DE"/>
              </w:rPr>
              <w:t>Sample</w:t>
            </w:r>
          </w:p>
        </w:tc>
        <w:tc>
          <w:tcPr>
            <w:tcW w:w="1630" w:type="pct"/>
            <w:tcBorders>
              <w:top w:val="single" w:sz="4" w:space="0" w:color="auto"/>
              <w:bottom w:val="single" w:sz="4" w:space="0" w:color="auto"/>
            </w:tcBorders>
            <w:shd w:val="clear" w:color="auto" w:fill="auto"/>
            <w:tcMar>
              <w:top w:w="55" w:type="dxa"/>
              <w:bottom w:w="55" w:type="dxa"/>
            </w:tcMar>
            <w:vAlign w:val="center"/>
          </w:tcPr>
          <w:p w14:paraId="63DCB319" w14:textId="7876852B" w:rsidR="008317A8" w:rsidRPr="00EB5D5F" w:rsidRDefault="008317A8" w:rsidP="008317A8">
            <w:pPr>
              <w:spacing w:line="240" w:lineRule="auto"/>
              <w:jc w:val="center"/>
              <w:rPr>
                <w:sz w:val="20"/>
                <w:szCs w:val="20"/>
                <w:lang w:val="en-US"/>
              </w:rPr>
            </w:pPr>
            <w:r w:rsidRPr="00EB5D5F">
              <w:rPr>
                <w:sz w:val="20"/>
                <w:szCs w:val="20"/>
              </w:rPr>
              <w:t xml:space="preserve">Controlling </w:t>
            </w:r>
            <w:proofErr w:type="spellStart"/>
            <w:r w:rsidRPr="00EB5D5F">
              <w:rPr>
                <w:sz w:val="20"/>
                <w:szCs w:val="20"/>
              </w:rPr>
              <w:t>for</w:t>
            </w:r>
            <w:proofErr w:type="spellEnd"/>
          </w:p>
        </w:tc>
        <w:tc>
          <w:tcPr>
            <w:tcW w:w="409" w:type="pct"/>
            <w:tcBorders>
              <w:top w:val="single" w:sz="4" w:space="0" w:color="auto"/>
              <w:bottom w:val="single" w:sz="4" w:space="0" w:color="auto"/>
            </w:tcBorders>
            <w:shd w:val="clear" w:color="auto" w:fill="auto"/>
            <w:tcMar>
              <w:top w:w="55" w:type="dxa"/>
              <w:bottom w:w="55" w:type="dxa"/>
            </w:tcMar>
            <w:vAlign w:val="center"/>
          </w:tcPr>
          <w:p w14:paraId="24CFC3BD" w14:textId="75DFBE66" w:rsidR="008317A8" w:rsidRPr="00EB5D5F" w:rsidRDefault="008317A8" w:rsidP="008317A8">
            <w:pPr>
              <w:pStyle w:val="TableContents"/>
              <w:spacing w:line="240" w:lineRule="auto"/>
              <w:jc w:val="center"/>
              <w:rPr>
                <w:sz w:val="20"/>
                <w:szCs w:val="20"/>
              </w:rPr>
            </w:pPr>
            <w:r w:rsidRPr="00EB5D5F">
              <w:rPr>
                <w:rFonts w:eastAsia="Times New Roman"/>
                <w:color w:val="000000"/>
                <w:sz w:val="20"/>
                <w:szCs w:val="20"/>
                <w:lang w:val="de-DE"/>
              </w:rPr>
              <w:t>N</w:t>
            </w:r>
          </w:p>
        </w:tc>
        <w:tc>
          <w:tcPr>
            <w:tcW w:w="348" w:type="pct"/>
            <w:tcBorders>
              <w:top w:val="single" w:sz="4" w:space="0" w:color="auto"/>
              <w:bottom w:val="single" w:sz="4" w:space="0" w:color="auto"/>
            </w:tcBorders>
            <w:shd w:val="clear" w:color="auto" w:fill="auto"/>
            <w:vAlign w:val="center"/>
          </w:tcPr>
          <w:p w14:paraId="5194F496" w14:textId="239851F5" w:rsidR="008317A8" w:rsidRPr="00EB5D5F" w:rsidRDefault="008317A8" w:rsidP="008317A8">
            <w:pPr>
              <w:spacing w:line="240" w:lineRule="auto"/>
              <w:jc w:val="center"/>
              <w:rPr>
                <w:sz w:val="20"/>
                <w:szCs w:val="20"/>
              </w:rPr>
            </w:pPr>
            <w:r w:rsidRPr="00EB5D5F">
              <w:rPr>
                <w:rFonts w:eastAsia="Times New Roman"/>
                <w:color w:val="000000"/>
                <w:sz w:val="20"/>
                <w:szCs w:val="20"/>
                <w:lang w:val="de-DE"/>
              </w:rPr>
              <w:t>k</w:t>
            </w:r>
          </w:p>
        </w:tc>
        <w:tc>
          <w:tcPr>
            <w:tcW w:w="632" w:type="pct"/>
            <w:tcBorders>
              <w:top w:val="single" w:sz="4" w:space="0" w:color="auto"/>
              <w:bottom w:val="single" w:sz="4" w:space="0" w:color="auto"/>
            </w:tcBorders>
            <w:shd w:val="clear" w:color="auto" w:fill="auto"/>
            <w:vAlign w:val="center"/>
          </w:tcPr>
          <w:p w14:paraId="5A7810E8" w14:textId="258CE412" w:rsidR="008317A8" w:rsidRPr="00EB5D5F" w:rsidRDefault="008317A8" w:rsidP="008317A8">
            <w:pPr>
              <w:pStyle w:val="TableContents"/>
              <w:spacing w:line="240" w:lineRule="auto"/>
              <w:jc w:val="center"/>
              <w:rPr>
                <w:sz w:val="20"/>
                <w:szCs w:val="20"/>
              </w:rPr>
            </w:pPr>
            <w:proofErr w:type="spellStart"/>
            <w:r w:rsidRPr="00EB5D5F">
              <w:rPr>
                <w:rFonts w:eastAsia="Times New Roman"/>
                <w:color w:val="000000"/>
                <w:sz w:val="20"/>
                <w:szCs w:val="20"/>
                <w:lang w:val="de-DE"/>
              </w:rPr>
              <w:t>peak-voxel</w:t>
            </w:r>
            <w:proofErr w:type="spellEnd"/>
            <w:r w:rsidRPr="00EB5D5F">
              <w:rPr>
                <w:rFonts w:eastAsia="Times New Roman"/>
                <w:color w:val="000000"/>
                <w:sz w:val="20"/>
                <w:szCs w:val="20"/>
                <w:lang w:val="de-DE"/>
              </w:rPr>
              <w:t xml:space="preserve"> </w:t>
            </w:r>
            <w:proofErr w:type="spellStart"/>
            <w:r w:rsidRPr="00EB5D5F">
              <w:rPr>
                <w:rFonts w:eastAsia="Times New Roman"/>
                <w:color w:val="000000"/>
                <w:sz w:val="20"/>
                <w:szCs w:val="20"/>
                <w:lang w:val="de-DE"/>
              </w:rPr>
              <w:t>coordinates</w:t>
            </w:r>
            <w:proofErr w:type="spellEnd"/>
          </w:p>
        </w:tc>
        <w:tc>
          <w:tcPr>
            <w:tcW w:w="413" w:type="pct"/>
            <w:tcBorders>
              <w:top w:val="single" w:sz="4" w:space="0" w:color="auto"/>
              <w:bottom w:val="single" w:sz="4" w:space="0" w:color="auto"/>
            </w:tcBorders>
            <w:shd w:val="clear" w:color="auto" w:fill="auto"/>
            <w:vAlign w:val="center"/>
          </w:tcPr>
          <w:p w14:paraId="4B2D7C22" w14:textId="291645A1" w:rsidR="008317A8" w:rsidRPr="00EB5D5F" w:rsidRDefault="008317A8" w:rsidP="008317A8">
            <w:pPr>
              <w:spacing w:line="240" w:lineRule="auto"/>
              <w:jc w:val="center"/>
              <w:rPr>
                <w:sz w:val="20"/>
                <w:szCs w:val="20"/>
              </w:rPr>
            </w:pPr>
            <w:r w:rsidRPr="00EB5D5F">
              <w:rPr>
                <w:rFonts w:eastAsia="Times New Roman"/>
                <w:color w:val="000000"/>
                <w:sz w:val="20"/>
                <w:szCs w:val="20"/>
                <w:lang w:val="de-DE"/>
              </w:rPr>
              <w:t>p-FDR</w:t>
            </w:r>
          </w:p>
        </w:tc>
        <w:tc>
          <w:tcPr>
            <w:tcW w:w="1028" w:type="pct"/>
            <w:tcBorders>
              <w:top w:val="single" w:sz="4" w:space="0" w:color="auto"/>
              <w:bottom w:val="single" w:sz="4" w:space="0" w:color="auto"/>
            </w:tcBorders>
            <w:shd w:val="clear" w:color="auto" w:fill="auto"/>
            <w:vAlign w:val="center"/>
          </w:tcPr>
          <w:p w14:paraId="2AFFF4C0" w14:textId="567A0914" w:rsidR="008317A8" w:rsidRPr="00EB5D5F" w:rsidRDefault="008317A8" w:rsidP="008317A8">
            <w:pPr>
              <w:pStyle w:val="TableContents"/>
              <w:spacing w:line="240" w:lineRule="auto"/>
              <w:jc w:val="center"/>
              <w:rPr>
                <w:sz w:val="20"/>
                <w:szCs w:val="20"/>
              </w:rPr>
            </w:pPr>
            <w:r w:rsidRPr="00EB5D5F">
              <w:rPr>
                <w:rFonts w:eastAsia="Times New Roman"/>
                <w:color w:val="000000"/>
                <w:sz w:val="20"/>
                <w:szCs w:val="20"/>
                <w:lang w:val="de-DE"/>
              </w:rPr>
              <w:t>partial η² [95%-CI]</w:t>
            </w:r>
          </w:p>
        </w:tc>
      </w:tr>
      <w:tr w:rsidR="00CC7FAD" w:rsidRPr="0036173E" w14:paraId="4EEB24A8" w14:textId="77777777" w:rsidTr="008317A8">
        <w:trPr>
          <w:trHeight w:val="300"/>
        </w:trPr>
        <w:tc>
          <w:tcPr>
            <w:tcW w:w="540" w:type="pct"/>
            <w:tcBorders>
              <w:top w:val="single" w:sz="4" w:space="0" w:color="auto"/>
            </w:tcBorders>
            <w:shd w:val="clear" w:color="auto" w:fill="auto"/>
            <w:tcMar>
              <w:top w:w="55" w:type="dxa"/>
              <w:bottom w:w="55" w:type="dxa"/>
            </w:tcMar>
            <w:vAlign w:val="center"/>
          </w:tcPr>
          <w:p w14:paraId="3AFBE26D" w14:textId="1BEB9BEE" w:rsidR="00CC7FAD" w:rsidRPr="0036173E" w:rsidRDefault="00CC7FAD" w:rsidP="00CC7FAD">
            <w:pPr>
              <w:spacing w:line="240" w:lineRule="auto"/>
              <w:jc w:val="center"/>
              <w:rPr>
                <w:sz w:val="20"/>
                <w:szCs w:val="20"/>
                <w:lang w:val="en-US"/>
              </w:rPr>
            </w:pPr>
            <w:r w:rsidRPr="0036173E">
              <w:rPr>
                <w:sz w:val="20"/>
                <w:szCs w:val="20"/>
              </w:rPr>
              <w:t xml:space="preserve">MDD </w:t>
            </w:r>
          </w:p>
        </w:tc>
        <w:tc>
          <w:tcPr>
            <w:tcW w:w="1630" w:type="pct"/>
            <w:tcBorders>
              <w:top w:val="single" w:sz="4" w:space="0" w:color="auto"/>
            </w:tcBorders>
            <w:shd w:val="clear" w:color="auto" w:fill="auto"/>
            <w:tcMar>
              <w:top w:w="55" w:type="dxa"/>
              <w:bottom w:w="55" w:type="dxa"/>
            </w:tcMar>
            <w:vAlign w:val="center"/>
          </w:tcPr>
          <w:p w14:paraId="6C2A501A" w14:textId="38C9C55D" w:rsidR="00CC7FAD" w:rsidRPr="0036173E" w:rsidRDefault="00CC7FAD" w:rsidP="00CC7FAD">
            <w:pPr>
              <w:spacing w:line="240" w:lineRule="auto"/>
              <w:jc w:val="center"/>
              <w:rPr>
                <w:sz w:val="20"/>
                <w:szCs w:val="20"/>
                <w:lang w:val="en-US"/>
              </w:rPr>
            </w:pPr>
            <w:r w:rsidRPr="0036173E">
              <w:rPr>
                <w:sz w:val="20"/>
                <w:szCs w:val="20"/>
                <w:lang w:val="en-US"/>
              </w:rPr>
              <w:t>age, sex, site, mean motion, medication, education, excluding subjects with less than 150 valid frames</w:t>
            </w:r>
          </w:p>
        </w:tc>
        <w:tc>
          <w:tcPr>
            <w:tcW w:w="409" w:type="pct"/>
            <w:tcBorders>
              <w:top w:val="single" w:sz="4" w:space="0" w:color="auto"/>
            </w:tcBorders>
            <w:shd w:val="clear" w:color="auto" w:fill="auto"/>
            <w:tcMar>
              <w:top w:w="55" w:type="dxa"/>
              <w:bottom w:w="55" w:type="dxa"/>
            </w:tcMar>
            <w:vAlign w:val="center"/>
          </w:tcPr>
          <w:p w14:paraId="2E4FF3DA" w14:textId="77777777" w:rsidR="00CC7FAD" w:rsidRPr="0036173E" w:rsidRDefault="00CC7FAD" w:rsidP="00CC7FAD">
            <w:pPr>
              <w:pStyle w:val="TableContents"/>
              <w:spacing w:line="240" w:lineRule="auto"/>
              <w:jc w:val="center"/>
              <w:rPr>
                <w:sz w:val="20"/>
                <w:szCs w:val="20"/>
                <w:lang w:val="en-US"/>
              </w:rPr>
            </w:pPr>
          </w:p>
        </w:tc>
        <w:tc>
          <w:tcPr>
            <w:tcW w:w="348" w:type="pct"/>
            <w:tcBorders>
              <w:top w:val="single" w:sz="4" w:space="0" w:color="auto"/>
            </w:tcBorders>
            <w:shd w:val="clear" w:color="auto" w:fill="auto"/>
            <w:vAlign w:val="center"/>
          </w:tcPr>
          <w:p w14:paraId="693AECB4" w14:textId="77777777" w:rsidR="00CC7FAD" w:rsidRPr="0036173E" w:rsidRDefault="00CC7FAD" w:rsidP="00CC7FAD">
            <w:pPr>
              <w:spacing w:line="240" w:lineRule="auto"/>
              <w:jc w:val="center"/>
              <w:rPr>
                <w:sz w:val="20"/>
                <w:szCs w:val="20"/>
              </w:rPr>
            </w:pPr>
            <w:r w:rsidRPr="0036173E">
              <w:rPr>
                <w:sz w:val="20"/>
                <w:szCs w:val="20"/>
              </w:rPr>
              <w:t>86</w:t>
            </w:r>
          </w:p>
        </w:tc>
        <w:tc>
          <w:tcPr>
            <w:tcW w:w="632" w:type="pct"/>
            <w:tcBorders>
              <w:top w:val="single" w:sz="4" w:space="0" w:color="auto"/>
            </w:tcBorders>
            <w:shd w:val="clear" w:color="auto" w:fill="auto"/>
            <w:vAlign w:val="center"/>
          </w:tcPr>
          <w:p w14:paraId="14979CDF" w14:textId="77777777" w:rsidR="00CC7FAD" w:rsidRPr="0036173E" w:rsidRDefault="00CC7FAD" w:rsidP="00CC7FAD">
            <w:pPr>
              <w:pStyle w:val="TableContents"/>
              <w:spacing w:line="240" w:lineRule="auto"/>
              <w:jc w:val="center"/>
              <w:rPr>
                <w:sz w:val="20"/>
                <w:szCs w:val="20"/>
              </w:rPr>
            </w:pPr>
            <w:r w:rsidRPr="0036173E">
              <w:rPr>
                <w:sz w:val="20"/>
                <w:szCs w:val="20"/>
              </w:rPr>
              <w:t>+21 +42 +48</w:t>
            </w:r>
          </w:p>
        </w:tc>
        <w:tc>
          <w:tcPr>
            <w:tcW w:w="413" w:type="pct"/>
            <w:tcBorders>
              <w:top w:val="single" w:sz="4" w:space="0" w:color="auto"/>
            </w:tcBorders>
            <w:shd w:val="clear" w:color="auto" w:fill="auto"/>
            <w:vAlign w:val="center"/>
          </w:tcPr>
          <w:p w14:paraId="1769C492" w14:textId="00AB061F" w:rsidR="00CC7FAD" w:rsidRPr="0036173E" w:rsidRDefault="00CC7FAD" w:rsidP="00CC7FAD">
            <w:pPr>
              <w:spacing w:line="240" w:lineRule="auto"/>
              <w:jc w:val="center"/>
              <w:rPr>
                <w:sz w:val="20"/>
                <w:szCs w:val="20"/>
              </w:rPr>
            </w:pPr>
            <w:r w:rsidRPr="0036173E">
              <w:rPr>
                <w:sz w:val="20"/>
                <w:szCs w:val="20"/>
              </w:rPr>
              <w:t>.018</w:t>
            </w:r>
          </w:p>
        </w:tc>
        <w:tc>
          <w:tcPr>
            <w:tcW w:w="1028" w:type="pct"/>
            <w:tcBorders>
              <w:top w:val="single" w:sz="4" w:space="0" w:color="auto"/>
            </w:tcBorders>
            <w:shd w:val="clear" w:color="auto" w:fill="auto"/>
            <w:vAlign w:val="center"/>
          </w:tcPr>
          <w:p w14:paraId="4FA6D94C" w14:textId="1D3B90E2" w:rsidR="00CC7FAD" w:rsidRPr="0036173E" w:rsidRDefault="00CC7FAD" w:rsidP="00CC7FAD">
            <w:pPr>
              <w:pStyle w:val="TableContents"/>
              <w:spacing w:line="240" w:lineRule="auto"/>
              <w:jc w:val="center"/>
              <w:rPr>
                <w:sz w:val="20"/>
                <w:szCs w:val="20"/>
              </w:rPr>
            </w:pPr>
            <w:r w:rsidRPr="0036173E">
              <w:rPr>
                <w:sz w:val="20"/>
                <w:szCs w:val="20"/>
              </w:rPr>
              <w:t>.035 [.013, .070]</w:t>
            </w:r>
          </w:p>
        </w:tc>
      </w:tr>
      <w:tr w:rsidR="00CC7FAD" w:rsidRPr="0036173E" w14:paraId="0FB1963A" w14:textId="77777777" w:rsidTr="00EC4A90">
        <w:trPr>
          <w:trHeight w:val="300"/>
        </w:trPr>
        <w:tc>
          <w:tcPr>
            <w:tcW w:w="540" w:type="pct"/>
            <w:shd w:val="clear" w:color="auto" w:fill="auto"/>
            <w:tcMar>
              <w:top w:w="55" w:type="dxa"/>
              <w:bottom w:w="55" w:type="dxa"/>
            </w:tcMar>
            <w:vAlign w:val="center"/>
          </w:tcPr>
          <w:p w14:paraId="2DEA1806" w14:textId="77777777" w:rsidR="00CC7FAD" w:rsidRPr="0036173E" w:rsidRDefault="00CC7FAD" w:rsidP="00CC7FAD">
            <w:pPr>
              <w:spacing w:line="240" w:lineRule="auto"/>
              <w:jc w:val="center"/>
              <w:rPr>
                <w:sz w:val="20"/>
                <w:szCs w:val="20"/>
                <w:lang w:val="en-US"/>
              </w:rPr>
            </w:pPr>
          </w:p>
        </w:tc>
        <w:tc>
          <w:tcPr>
            <w:tcW w:w="1630" w:type="pct"/>
            <w:shd w:val="clear" w:color="auto" w:fill="auto"/>
            <w:tcMar>
              <w:top w:w="55" w:type="dxa"/>
              <w:bottom w:w="55" w:type="dxa"/>
            </w:tcMar>
            <w:vAlign w:val="center"/>
          </w:tcPr>
          <w:p w14:paraId="08A8739A" w14:textId="77777777" w:rsidR="00CC7FAD" w:rsidRPr="0036173E" w:rsidRDefault="00CC7FAD" w:rsidP="00CC7FAD">
            <w:pPr>
              <w:spacing w:line="240" w:lineRule="auto"/>
              <w:jc w:val="center"/>
              <w:rPr>
                <w:sz w:val="20"/>
                <w:szCs w:val="20"/>
                <w:lang w:val="en-US"/>
              </w:rPr>
            </w:pPr>
          </w:p>
        </w:tc>
        <w:tc>
          <w:tcPr>
            <w:tcW w:w="409" w:type="pct"/>
            <w:shd w:val="clear" w:color="auto" w:fill="auto"/>
            <w:tcMar>
              <w:top w:w="55" w:type="dxa"/>
              <w:bottom w:w="55" w:type="dxa"/>
            </w:tcMar>
            <w:vAlign w:val="center"/>
          </w:tcPr>
          <w:p w14:paraId="4167911E" w14:textId="77777777" w:rsidR="00CC7FAD" w:rsidRPr="0036173E" w:rsidRDefault="00CC7FAD" w:rsidP="00CC7FAD">
            <w:pPr>
              <w:pStyle w:val="TableContents"/>
              <w:spacing w:line="240" w:lineRule="auto"/>
              <w:jc w:val="center"/>
              <w:rPr>
                <w:sz w:val="20"/>
                <w:szCs w:val="20"/>
                <w:lang w:val="en-US"/>
              </w:rPr>
            </w:pPr>
          </w:p>
        </w:tc>
        <w:tc>
          <w:tcPr>
            <w:tcW w:w="348" w:type="pct"/>
            <w:shd w:val="clear" w:color="auto" w:fill="auto"/>
            <w:vAlign w:val="center"/>
          </w:tcPr>
          <w:p w14:paraId="04C3FFBD" w14:textId="77777777" w:rsidR="00CC7FAD" w:rsidRPr="0036173E" w:rsidRDefault="00CC7FAD" w:rsidP="00CC7FAD">
            <w:pPr>
              <w:spacing w:line="240" w:lineRule="auto"/>
              <w:jc w:val="center"/>
              <w:rPr>
                <w:sz w:val="20"/>
                <w:szCs w:val="20"/>
              </w:rPr>
            </w:pPr>
            <w:r w:rsidRPr="0036173E">
              <w:rPr>
                <w:sz w:val="20"/>
                <w:szCs w:val="20"/>
              </w:rPr>
              <w:t>84</w:t>
            </w:r>
          </w:p>
        </w:tc>
        <w:tc>
          <w:tcPr>
            <w:tcW w:w="632" w:type="pct"/>
            <w:shd w:val="clear" w:color="auto" w:fill="auto"/>
            <w:vAlign w:val="center"/>
          </w:tcPr>
          <w:p w14:paraId="6E36AB02" w14:textId="77777777" w:rsidR="00CC7FAD" w:rsidRPr="0036173E" w:rsidRDefault="00CC7FAD" w:rsidP="00CC7FAD">
            <w:pPr>
              <w:pStyle w:val="TableContents"/>
              <w:spacing w:line="240" w:lineRule="auto"/>
              <w:jc w:val="center"/>
              <w:rPr>
                <w:sz w:val="20"/>
                <w:szCs w:val="20"/>
              </w:rPr>
            </w:pPr>
            <w:r w:rsidRPr="0036173E">
              <w:rPr>
                <w:sz w:val="20"/>
                <w:szCs w:val="20"/>
              </w:rPr>
              <w:t>+24 +21 +54</w:t>
            </w:r>
          </w:p>
        </w:tc>
        <w:tc>
          <w:tcPr>
            <w:tcW w:w="413" w:type="pct"/>
            <w:shd w:val="clear" w:color="auto" w:fill="auto"/>
            <w:vAlign w:val="center"/>
          </w:tcPr>
          <w:p w14:paraId="424B5227" w14:textId="08C8964E" w:rsidR="00CC7FAD" w:rsidRPr="0036173E" w:rsidRDefault="00CC7FAD" w:rsidP="00CC7FAD">
            <w:pPr>
              <w:spacing w:line="240" w:lineRule="auto"/>
              <w:jc w:val="center"/>
              <w:rPr>
                <w:sz w:val="20"/>
                <w:szCs w:val="20"/>
              </w:rPr>
            </w:pPr>
            <w:r w:rsidRPr="0036173E">
              <w:rPr>
                <w:sz w:val="20"/>
                <w:szCs w:val="20"/>
              </w:rPr>
              <w:t>.018</w:t>
            </w:r>
          </w:p>
        </w:tc>
        <w:tc>
          <w:tcPr>
            <w:tcW w:w="1028" w:type="pct"/>
            <w:shd w:val="clear" w:color="auto" w:fill="auto"/>
            <w:vAlign w:val="center"/>
          </w:tcPr>
          <w:p w14:paraId="5E9B87B2" w14:textId="3350CEEC" w:rsidR="00CC7FAD" w:rsidRPr="0036173E" w:rsidRDefault="00CC7FAD" w:rsidP="00CC7FAD">
            <w:pPr>
              <w:pStyle w:val="TableContents"/>
              <w:spacing w:line="240" w:lineRule="auto"/>
              <w:jc w:val="center"/>
              <w:rPr>
                <w:sz w:val="20"/>
                <w:szCs w:val="20"/>
              </w:rPr>
            </w:pPr>
            <w:r w:rsidRPr="0036173E">
              <w:rPr>
                <w:sz w:val="20"/>
                <w:szCs w:val="20"/>
              </w:rPr>
              <w:t>.033 [.011, .068]</w:t>
            </w:r>
          </w:p>
        </w:tc>
      </w:tr>
      <w:tr w:rsidR="00733661" w:rsidRPr="0036173E" w14:paraId="00960547" w14:textId="77777777" w:rsidTr="00EC4A90">
        <w:trPr>
          <w:trHeight w:val="300"/>
        </w:trPr>
        <w:tc>
          <w:tcPr>
            <w:tcW w:w="540" w:type="pct"/>
            <w:shd w:val="clear" w:color="auto" w:fill="auto"/>
            <w:tcMar>
              <w:top w:w="55" w:type="dxa"/>
              <w:bottom w:w="55" w:type="dxa"/>
            </w:tcMar>
            <w:vAlign w:val="center"/>
          </w:tcPr>
          <w:p w14:paraId="0747DAD6" w14:textId="4966561C" w:rsidR="00733661" w:rsidRPr="0036173E" w:rsidRDefault="00733661" w:rsidP="00CC7FAD">
            <w:pPr>
              <w:spacing w:line="240" w:lineRule="auto"/>
              <w:jc w:val="center"/>
              <w:rPr>
                <w:sz w:val="20"/>
                <w:szCs w:val="20"/>
                <w:lang w:val="en-US"/>
              </w:rPr>
            </w:pPr>
            <w:r w:rsidRPr="0036173E">
              <w:rPr>
                <w:sz w:val="20"/>
                <w:szCs w:val="20"/>
                <w:lang w:val="en-US"/>
              </w:rPr>
              <w:t>MDD</w:t>
            </w:r>
          </w:p>
        </w:tc>
        <w:tc>
          <w:tcPr>
            <w:tcW w:w="1630" w:type="pct"/>
            <w:shd w:val="clear" w:color="auto" w:fill="auto"/>
            <w:tcMar>
              <w:top w:w="55" w:type="dxa"/>
              <w:bottom w:w="55" w:type="dxa"/>
            </w:tcMar>
            <w:vAlign w:val="center"/>
          </w:tcPr>
          <w:p w14:paraId="6AA30321" w14:textId="3CC0AB9C" w:rsidR="00733661" w:rsidRPr="0036173E" w:rsidRDefault="00733661" w:rsidP="00CC7FAD">
            <w:pPr>
              <w:spacing w:line="240" w:lineRule="auto"/>
              <w:jc w:val="center"/>
              <w:rPr>
                <w:sz w:val="20"/>
                <w:szCs w:val="20"/>
                <w:lang w:val="en-US"/>
              </w:rPr>
            </w:pPr>
            <w:r w:rsidRPr="0036173E">
              <w:rPr>
                <w:sz w:val="20"/>
                <w:szCs w:val="20"/>
                <w:lang w:val="en-US"/>
              </w:rPr>
              <w:t>age, sex, site, conservative ART setting</w:t>
            </w:r>
          </w:p>
        </w:tc>
        <w:tc>
          <w:tcPr>
            <w:tcW w:w="409" w:type="pct"/>
            <w:shd w:val="clear" w:color="auto" w:fill="auto"/>
            <w:tcMar>
              <w:top w:w="55" w:type="dxa"/>
              <w:bottom w:w="55" w:type="dxa"/>
            </w:tcMar>
            <w:vAlign w:val="center"/>
          </w:tcPr>
          <w:p w14:paraId="0ABBFC75" w14:textId="2C33B612" w:rsidR="00733661" w:rsidRPr="0036173E" w:rsidRDefault="00DA4DAF" w:rsidP="00CC7FAD">
            <w:pPr>
              <w:pStyle w:val="TableContents"/>
              <w:spacing w:line="240" w:lineRule="auto"/>
              <w:jc w:val="center"/>
              <w:rPr>
                <w:sz w:val="20"/>
                <w:szCs w:val="20"/>
                <w:lang w:val="en-US"/>
              </w:rPr>
            </w:pPr>
            <w:r w:rsidRPr="0036173E">
              <w:rPr>
                <w:sz w:val="20"/>
                <w:szCs w:val="20"/>
                <w:lang w:val="en-US"/>
              </w:rPr>
              <w:t>569</w:t>
            </w:r>
          </w:p>
        </w:tc>
        <w:tc>
          <w:tcPr>
            <w:tcW w:w="348" w:type="pct"/>
            <w:shd w:val="clear" w:color="auto" w:fill="auto"/>
            <w:vAlign w:val="center"/>
          </w:tcPr>
          <w:p w14:paraId="68D0C475" w14:textId="10108AD4" w:rsidR="00733661" w:rsidRPr="0036173E" w:rsidRDefault="00DA4DAF" w:rsidP="00CC7FAD">
            <w:pPr>
              <w:spacing w:line="240" w:lineRule="auto"/>
              <w:jc w:val="center"/>
              <w:rPr>
                <w:sz w:val="20"/>
                <w:szCs w:val="20"/>
                <w:lang w:val="en-US"/>
              </w:rPr>
            </w:pPr>
            <w:r w:rsidRPr="0036173E">
              <w:rPr>
                <w:sz w:val="20"/>
                <w:szCs w:val="20"/>
                <w:lang w:val="en-US"/>
              </w:rPr>
              <w:t>176</w:t>
            </w:r>
          </w:p>
        </w:tc>
        <w:tc>
          <w:tcPr>
            <w:tcW w:w="632" w:type="pct"/>
            <w:shd w:val="clear" w:color="auto" w:fill="auto"/>
            <w:vAlign w:val="center"/>
          </w:tcPr>
          <w:p w14:paraId="2C0D9FEF" w14:textId="438C1E10" w:rsidR="00733661" w:rsidRPr="0036173E" w:rsidRDefault="00DA4DAF" w:rsidP="00CC7FAD">
            <w:pPr>
              <w:pStyle w:val="TableContents"/>
              <w:spacing w:line="240" w:lineRule="auto"/>
              <w:jc w:val="center"/>
              <w:rPr>
                <w:sz w:val="20"/>
                <w:szCs w:val="20"/>
                <w:lang w:val="de-DE"/>
              </w:rPr>
            </w:pPr>
            <w:r w:rsidRPr="0036173E">
              <w:rPr>
                <w:sz w:val="20"/>
                <w:szCs w:val="20"/>
                <w:lang w:val="de-DE"/>
              </w:rPr>
              <w:t>-27 -15 -39</w:t>
            </w:r>
          </w:p>
        </w:tc>
        <w:tc>
          <w:tcPr>
            <w:tcW w:w="413" w:type="pct"/>
            <w:shd w:val="clear" w:color="auto" w:fill="auto"/>
            <w:vAlign w:val="center"/>
          </w:tcPr>
          <w:p w14:paraId="21BD6F17" w14:textId="3D38454C" w:rsidR="00733661" w:rsidRPr="0036173E" w:rsidRDefault="00DA4DAF" w:rsidP="00CC7FAD">
            <w:pPr>
              <w:spacing w:line="240" w:lineRule="auto"/>
              <w:jc w:val="center"/>
              <w:rPr>
                <w:sz w:val="20"/>
                <w:szCs w:val="20"/>
                <w:lang w:val="en-US"/>
              </w:rPr>
            </w:pPr>
            <w:r w:rsidRPr="0036173E">
              <w:rPr>
                <w:sz w:val="20"/>
                <w:szCs w:val="20"/>
                <w:lang w:val="en-US"/>
              </w:rPr>
              <w:t>&lt;.001</w:t>
            </w:r>
          </w:p>
        </w:tc>
        <w:tc>
          <w:tcPr>
            <w:tcW w:w="1028" w:type="pct"/>
            <w:shd w:val="clear" w:color="auto" w:fill="auto"/>
            <w:vAlign w:val="center"/>
          </w:tcPr>
          <w:p w14:paraId="7B5B81F8" w14:textId="302D5F69" w:rsidR="00733661" w:rsidRPr="0036173E" w:rsidRDefault="001D3AC4" w:rsidP="00CC7FAD">
            <w:pPr>
              <w:pStyle w:val="TableContents"/>
              <w:spacing w:line="240" w:lineRule="auto"/>
              <w:jc w:val="center"/>
              <w:rPr>
                <w:sz w:val="20"/>
                <w:szCs w:val="20"/>
                <w:lang w:val="en-US"/>
              </w:rPr>
            </w:pPr>
            <w:r w:rsidRPr="0036173E">
              <w:rPr>
                <w:sz w:val="20"/>
                <w:szCs w:val="20"/>
                <w:lang w:val="en-US"/>
              </w:rPr>
              <w:t xml:space="preserve">.062 [.026, .115] </w:t>
            </w:r>
          </w:p>
        </w:tc>
      </w:tr>
      <w:tr w:rsidR="00DA4DAF" w:rsidRPr="0036173E" w14:paraId="525E79E6" w14:textId="77777777" w:rsidTr="00EC4A90">
        <w:trPr>
          <w:trHeight w:val="300"/>
        </w:trPr>
        <w:tc>
          <w:tcPr>
            <w:tcW w:w="540" w:type="pct"/>
            <w:shd w:val="clear" w:color="auto" w:fill="auto"/>
            <w:tcMar>
              <w:top w:w="55" w:type="dxa"/>
              <w:bottom w:w="55" w:type="dxa"/>
            </w:tcMar>
            <w:vAlign w:val="center"/>
          </w:tcPr>
          <w:p w14:paraId="684953A9" w14:textId="77777777" w:rsidR="00DA4DAF" w:rsidRPr="0036173E" w:rsidRDefault="00DA4DAF" w:rsidP="00CC7FAD">
            <w:pPr>
              <w:spacing w:line="240" w:lineRule="auto"/>
              <w:jc w:val="center"/>
              <w:rPr>
                <w:sz w:val="20"/>
                <w:szCs w:val="20"/>
                <w:lang w:val="en-US"/>
              </w:rPr>
            </w:pPr>
          </w:p>
        </w:tc>
        <w:tc>
          <w:tcPr>
            <w:tcW w:w="1630" w:type="pct"/>
            <w:shd w:val="clear" w:color="auto" w:fill="auto"/>
            <w:tcMar>
              <w:top w:w="55" w:type="dxa"/>
              <w:bottom w:w="55" w:type="dxa"/>
            </w:tcMar>
            <w:vAlign w:val="center"/>
          </w:tcPr>
          <w:p w14:paraId="601B69BD" w14:textId="77777777" w:rsidR="00DA4DAF" w:rsidRPr="0036173E" w:rsidRDefault="00DA4DAF" w:rsidP="00CC7FAD">
            <w:pPr>
              <w:spacing w:line="240" w:lineRule="auto"/>
              <w:jc w:val="center"/>
              <w:rPr>
                <w:sz w:val="20"/>
                <w:szCs w:val="20"/>
                <w:lang w:val="en-US"/>
              </w:rPr>
            </w:pPr>
          </w:p>
        </w:tc>
        <w:tc>
          <w:tcPr>
            <w:tcW w:w="409" w:type="pct"/>
            <w:shd w:val="clear" w:color="auto" w:fill="auto"/>
            <w:tcMar>
              <w:top w:w="55" w:type="dxa"/>
              <w:bottom w:w="55" w:type="dxa"/>
            </w:tcMar>
            <w:vAlign w:val="center"/>
          </w:tcPr>
          <w:p w14:paraId="16B44E5B" w14:textId="77777777" w:rsidR="00DA4DAF" w:rsidRPr="0036173E" w:rsidRDefault="00DA4DAF" w:rsidP="00CC7FAD">
            <w:pPr>
              <w:pStyle w:val="TableContents"/>
              <w:spacing w:line="240" w:lineRule="auto"/>
              <w:jc w:val="center"/>
              <w:rPr>
                <w:sz w:val="20"/>
                <w:szCs w:val="20"/>
                <w:lang w:val="en-US"/>
              </w:rPr>
            </w:pPr>
          </w:p>
        </w:tc>
        <w:tc>
          <w:tcPr>
            <w:tcW w:w="348" w:type="pct"/>
            <w:shd w:val="clear" w:color="auto" w:fill="auto"/>
            <w:vAlign w:val="center"/>
          </w:tcPr>
          <w:p w14:paraId="1E2EB29B" w14:textId="29144171" w:rsidR="00DA4DAF" w:rsidRPr="0036173E" w:rsidRDefault="00DA4DAF" w:rsidP="00CC7FAD">
            <w:pPr>
              <w:spacing w:line="240" w:lineRule="auto"/>
              <w:jc w:val="center"/>
              <w:rPr>
                <w:sz w:val="20"/>
                <w:szCs w:val="20"/>
                <w:lang w:val="en-US"/>
              </w:rPr>
            </w:pPr>
            <w:r w:rsidRPr="0036173E">
              <w:rPr>
                <w:sz w:val="20"/>
                <w:szCs w:val="20"/>
                <w:lang w:val="en-US"/>
              </w:rPr>
              <w:t>112</w:t>
            </w:r>
          </w:p>
        </w:tc>
        <w:tc>
          <w:tcPr>
            <w:tcW w:w="632" w:type="pct"/>
            <w:shd w:val="clear" w:color="auto" w:fill="auto"/>
            <w:vAlign w:val="center"/>
          </w:tcPr>
          <w:p w14:paraId="0086AAF8" w14:textId="02A9ADA2" w:rsidR="00DA4DAF" w:rsidRPr="0036173E" w:rsidRDefault="00DA4DAF" w:rsidP="00CC7FAD">
            <w:pPr>
              <w:pStyle w:val="TableContents"/>
              <w:spacing w:line="240" w:lineRule="auto"/>
              <w:jc w:val="center"/>
              <w:rPr>
                <w:sz w:val="20"/>
                <w:szCs w:val="20"/>
                <w:lang w:val="de-DE"/>
              </w:rPr>
            </w:pPr>
            <w:r w:rsidRPr="0036173E">
              <w:rPr>
                <w:sz w:val="20"/>
                <w:szCs w:val="20"/>
                <w:lang w:val="de-DE"/>
              </w:rPr>
              <w:t>+12 -39 +45</w:t>
            </w:r>
          </w:p>
        </w:tc>
        <w:tc>
          <w:tcPr>
            <w:tcW w:w="413" w:type="pct"/>
            <w:shd w:val="clear" w:color="auto" w:fill="auto"/>
            <w:vAlign w:val="center"/>
          </w:tcPr>
          <w:p w14:paraId="4959AA95" w14:textId="32C7399F" w:rsidR="00DA4DAF" w:rsidRPr="0036173E" w:rsidRDefault="00DA4DAF" w:rsidP="00CC7FAD">
            <w:pPr>
              <w:spacing w:line="240" w:lineRule="auto"/>
              <w:jc w:val="center"/>
              <w:rPr>
                <w:sz w:val="20"/>
                <w:szCs w:val="20"/>
                <w:lang w:val="en-US"/>
              </w:rPr>
            </w:pPr>
            <w:r w:rsidRPr="0036173E">
              <w:rPr>
                <w:sz w:val="20"/>
                <w:szCs w:val="20"/>
                <w:lang w:val="en-US"/>
              </w:rPr>
              <w:t>.005</w:t>
            </w:r>
          </w:p>
        </w:tc>
        <w:tc>
          <w:tcPr>
            <w:tcW w:w="1028" w:type="pct"/>
            <w:shd w:val="clear" w:color="auto" w:fill="auto"/>
            <w:vAlign w:val="center"/>
          </w:tcPr>
          <w:p w14:paraId="0FF202B4" w14:textId="1FCC55B6" w:rsidR="00DA4DAF" w:rsidRPr="0036173E" w:rsidRDefault="00D4543E" w:rsidP="00CC7FAD">
            <w:pPr>
              <w:pStyle w:val="TableContents"/>
              <w:spacing w:line="240" w:lineRule="auto"/>
              <w:jc w:val="center"/>
              <w:rPr>
                <w:sz w:val="20"/>
                <w:szCs w:val="20"/>
                <w:lang w:val="en-US"/>
              </w:rPr>
            </w:pPr>
            <w:r w:rsidRPr="0036173E">
              <w:rPr>
                <w:sz w:val="20"/>
                <w:szCs w:val="20"/>
                <w:lang w:val="en-US"/>
              </w:rPr>
              <w:t>.036 [.013, .076]</w:t>
            </w:r>
          </w:p>
        </w:tc>
      </w:tr>
      <w:tr w:rsidR="00DA4DAF" w:rsidRPr="0036173E" w14:paraId="67E4608A" w14:textId="77777777" w:rsidTr="00C208B0">
        <w:trPr>
          <w:trHeight w:val="300"/>
        </w:trPr>
        <w:tc>
          <w:tcPr>
            <w:tcW w:w="540" w:type="pct"/>
            <w:tcBorders>
              <w:bottom w:val="single" w:sz="4" w:space="0" w:color="auto"/>
            </w:tcBorders>
            <w:shd w:val="clear" w:color="auto" w:fill="auto"/>
            <w:tcMar>
              <w:top w:w="55" w:type="dxa"/>
              <w:bottom w:w="55" w:type="dxa"/>
            </w:tcMar>
            <w:vAlign w:val="center"/>
          </w:tcPr>
          <w:p w14:paraId="2DC2E03A" w14:textId="77777777" w:rsidR="00DA4DAF" w:rsidRPr="0036173E" w:rsidRDefault="00DA4DAF" w:rsidP="00CC7FAD">
            <w:pPr>
              <w:spacing w:line="240" w:lineRule="auto"/>
              <w:jc w:val="center"/>
              <w:rPr>
                <w:sz w:val="20"/>
                <w:szCs w:val="20"/>
                <w:lang w:val="en-US"/>
              </w:rPr>
            </w:pPr>
          </w:p>
        </w:tc>
        <w:tc>
          <w:tcPr>
            <w:tcW w:w="1630" w:type="pct"/>
            <w:tcBorders>
              <w:bottom w:val="single" w:sz="4" w:space="0" w:color="auto"/>
            </w:tcBorders>
            <w:shd w:val="clear" w:color="auto" w:fill="auto"/>
            <w:tcMar>
              <w:top w:w="55" w:type="dxa"/>
              <w:bottom w:w="55" w:type="dxa"/>
            </w:tcMar>
            <w:vAlign w:val="center"/>
          </w:tcPr>
          <w:p w14:paraId="2820CDB0" w14:textId="77777777" w:rsidR="00DA4DAF" w:rsidRPr="0036173E" w:rsidRDefault="00DA4DAF" w:rsidP="00CC7FAD">
            <w:pPr>
              <w:spacing w:line="240" w:lineRule="auto"/>
              <w:jc w:val="center"/>
              <w:rPr>
                <w:sz w:val="20"/>
                <w:szCs w:val="20"/>
                <w:lang w:val="en-US"/>
              </w:rPr>
            </w:pPr>
          </w:p>
        </w:tc>
        <w:tc>
          <w:tcPr>
            <w:tcW w:w="409" w:type="pct"/>
            <w:tcBorders>
              <w:bottom w:val="single" w:sz="4" w:space="0" w:color="auto"/>
            </w:tcBorders>
            <w:shd w:val="clear" w:color="auto" w:fill="auto"/>
            <w:tcMar>
              <w:top w:w="55" w:type="dxa"/>
              <w:bottom w:w="55" w:type="dxa"/>
            </w:tcMar>
            <w:vAlign w:val="center"/>
          </w:tcPr>
          <w:p w14:paraId="0D7FB0C2" w14:textId="77777777" w:rsidR="00DA4DAF" w:rsidRPr="0036173E" w:rsidRDefault="00DA4DAF" w:rsidP="00CC7FAD">
            <w:pPr>
              <w:pStyle w:val="TableContents"/>
              <w:spacing w:line="240" w:lineRule="auto"/>
              <w:jc w:val="center"/>
              <w:rPr>
                <w:sz w:val="20"/>
                <w:szCs w:val="20"/>
                <w:lang w:val="en-US"/>
              </w:rPr>
            </w:pPr>
          </w:p>
        </w:tc>
        <w:tc>
          <w:tcPr>
            <w:tcW w:w="348" w:type="pct"/>
            <w:tcBorders>
              <w:bottom w:val="single" w:sz="4" w:space="0" w:color="auto"/>
            </w:tcBorders>
            <w:shd w:val="clear" w:color="auto" w:fill="auto"/>
            <w:vAlign w:val="center"/>
          </w:tcPr>
          <w:p w14:paraId="76ACB174" w14:textId="6FC17724" w:rsidR="00DA4DAF" w:rsidRPr="0036173E" w:rsidRDefault="00DA4DAF" w:rsidP="00CC7FAD">
            <w:pPr>
              <w:spacing w:line="240" w:lineRule="auto"/>
              <w:jc w:val="center"/>
              <w:rPr>
                <w:sz w:val="20"/>
                <w:szCs w:val="20"/>
                <w:lang w:val="en-US"/>
              </w:rPr>
            </w:pPr>
            <w:r w:rsidRPr="0036173E">
              <w:rPr>
                <w:sz w:val="20"/>
                <w:szCs w:val="20"/>
                <w:lang w:val="en-US"/>
              </w:rPr>
              <w:t>88</w:t>
            </w:r>
          </w:p>
        </w:tc>
        <w:tc>
          <w:tcPr>
            <w:tcW w:w="632" w:type="pct"/>
            <w:tcBorders>
              <w:bottom w:val="single" w:sz="4" w:space="0" w:color="auto"/>
            </w:tcBorders>
            <w:shd w:val="clear" w:color="auto" w:fill="auto"/>
            <w:vAlign w:val="center"/>
          </w:tcPr>
          <w:p w14:paraId="5A20AB12" w14:textId="6A3E4C74" w:rsidR="00DA4DAF" w:rsidRPr="0036173E" w:rsidRDefault="00DA4DAF" w:rsidP="00CC7FAD">
            <w:pPr>
              <w:pStyle w:val="TableContents"/>
              <w:spacing w:line="240" w:lineRule="auto"/>
              <w:jc w:val="center"/>
              <w:rPr>
                <w:sz w:val="20"/>
                <w:szCs w:val="20"/>
                <w:lang w:val="de-DE"/>
              </w:rPr>
            </w:pPr>
            <w:r w:rsidRPr="0036173E">
              <w:rPr>
                <w:sz w:val="20"/>
                <w:szCs w:val="20"/>
                <w:lang w:val="de-DE"/>
              </w:rPr>
              <w:t>+24 -09 -21</w:t>
            </w:r>
          </w:p>
        </w:tc>
        <w:tc>
          <w:tcPr>
            <w:tcW w:w="413" w:type="pct"/>
            <w:tcBorders>
              <w:bottom w:val="single" w:sz="4" w:space="0" w:color="auto"/>
            </w:tcBorders>
            <w:shd w:val="clear" w:color="auto" w:fill="auto"/>
            <w:vAlign w:val="center"/>
          </w:tcPr>
          <w:p w14:paraId="324FBC2A" w14:textId="2D6D77C9" w:rsidR="00DA4DAF" w:rsidRPr="0036173E" w:rsidRDefault="00DA4DAF" w:rsidP="00CC7FAD">
            <w:pPr>
              <w:spacing w:line="240" w:lineRule="auto"/>
              <w:jc w:val="center"/>
              <w:rPr>
                <w:sz w:val="20"/>
                <w:szCs w:val="20"/>
                <w:lang w:val="en-US"/>
              </w:rPr>
            </w:pPr>
            <w:r w:rsidRPr="0036173E">
              <w:rPr>
                <w:sz w:val="20"/>
                <w:szCs w:val="20"/>
                <w:lang w:val="en-US"/>
              </w:rPr>
              <w:t>.011</w:t>
            </w:r>
          </w:p>
        </w:tc>
        <w:tc>
          <w:tcPr>
            <w:tcW w:w="1028" w:type="pct"/>
            <w:tcBorders>
              <w:bottom w:val="single" w:sz="4" w:space="0" w:color="auto"/>
            </w:tcBorders>
            <w:shd w:val="clear" w:color="auto" w:fill="auto"/>
            <w:vAlign w:val="center"/>
          </w:tcPr>
          <w:p w14:paraId="37F25CF1" w14:textId="045F675B" w:rsidR="00DA4DAF" w:rsidRPr="0036173E" w:rsidRDefault="00D4543E" w:rsidP="00CC7FAD">
            <w:pPr>
              <w:pStyle w:val="TableContents"/>
              <w:spacing w:line="240" w:lineRule="auto"/>
              <w:jc w:val="center"/>
              <w:rPr>
                <w:sz w:val="20"/>
                <w:szCs w:val="20"/>
                <w:lang w:val="en-US"/>
              </w:rPr>
            </w:pPr>
            <w:r w:rsidRPr="0036173E">
              <w:rPr>
                <w:sz w:val="20"/>
                <w:szCs w:val="20"/>
                <w:lang w:val="en-US"/>
              </w:rPr>
              <w:t>.0</w:t>
            </w:r>
            <w:r w:rsidR="00430466" w:rsidRPr="0036173E">
              <w:rPr>
                <w:sz w:val="20"/>
                <w:szCs w:val="20"/>
                <w:lang w:val="en-US"/>
              </w:rPr>
              <w:t>43 [.017, .081]</w:t>
            </w:r>
          </w:p>
        </w:tc>
      </w:tr>
    </w:tbl>
    <w:p w14:paraId="2ADCEB64" w14:textId="2C586460" w:rsidR="009836BA" w:rsidRPr="00EB5D5F" w:rsidRDefault="002F7167" w:rsidP="002F7167">
      <w:pPr>
        <w:spacing w:before="240"/>
        <w:rPr>
          <w:i/>
          <w:szCs w:val="20"/>
          <w:lang w:val="en-US"/>
        </w:rPr>
        <w:sectPr w:rsidR="009836BA" w:rsidRPr="00EB5D5F">
          <w:pgSz w:w="16838" w:h="11906" w:orient="landscape"/>
          <w:pgMar w:top="1417" w:right="1417" w:bottom="1417" w:left="1134" w:header="0" w:footer="0" w:gutter="0"/>
          <w:cols w:space="720"/>
          <w:formProt w:val="0"/>
          <w:docGrid w:linePitch="360" w:charSpace="8192"/>
        </w:sectPr>
      </w:pPr>
      <w:r w:rsidRPr="0036173E">
        <w:rPr>
          <w:i/>
          <w:szCs w:val="20"/>
          <w:lang w:val="en-US"/>
        </w:rPr>
        <w:t xml:space="preserve">Note. </w:t>
      </w:r>
      <w:r w:rsidRPr="0036173E">
        <w:rPr>
          <w:iCs/>
          <w:szCs w:val="20"/>
          <w:lang w:val="en-US"/>
        </w:rPr>
        <w:t>MDD = major depressive disorder</w:t>
      </w:r>
      <w:r w:rsidRPr="0036173E">
        <w:rPr>
          <w:szCs w:val="20"/>
          <w:lang w:val="en-US"/>
        </w:rPr>
        <w:t>, FDR = false discovery rate,</w:t>
      </w:r>
      <w:r w:rsidRPr="0036173E">
        <w:rPr>
          <w:i/>
          <w:szCs w:val="20"/>
          <w:lang w:val="en-US"/>
        </w:rPr>
        <w:t xml:space="preserve"> </w:t>
      </w:r>
      <w:r w:rsidRPr="0036173E">
        <w:rPr>
          <w:iCs/>
          <w:szCs w:val="20"/>
          <w:lang w:val="en-US"/>
        </w:rPr>
        <w:t>CI = confidence interval</w:t>
      </w:r>
      <w:r w:rsidR="00733661" w:rsidRPr="0036173E">
        <w:rPr>
          <w:iCs/>
          <w:szCs w:val="20"/>
          <w:lang w:val="en-US"/>
        </w:rPr>
        <w:t>, ART = artifact detection tools</w:t>
      </w:r>
      <w:r w:rsidRPr="0036173E">
        <w:rPr>
          <w:iCs/>
          <w:szCs w:val="20"/>
          <w:lang w:val="en-US"/>
        </w:rPr>
        <w:t>.</w:t>
      </w:r>
    </w:p>
    <w:p w14:paraId="107D950E" w14:textId="3FC7E36E" w:rsidR="006074D9" w:rsidRPr="00EB5D5F" w:rsidRDefault="006074D9">
      <w:pPr>
        <w:spacing w:line="240" w:lineRule="auto"/>
        <w:rPr>
          <w:lang w:val="en-US"/>
        </w:rPr>
      </w:pPr>
      <w:r w:rsidRPr="00EB5D5F">
        <w:rPr>
          <w:lang w:val="en-US"/>
        </w:rPr>
        <w:lastRenderedPageBreak/>
        <w:t>Table S9. Spearman correlations between CTQ subscales</w:t>
      </w:r>
    </w:p>
    <w:p w14:paraId="7496B3CE" w14:textId="77777777" w:rsidR="006074D9" w:rsidRPr="00EB5D5F" w:rsidRDefault="006074D9">
      <w:pPr>
        <w:spacing w:line="240" w:lineRule="auto"/>
        <w:rPr>
          <w:lang w:val="en-US"/>
        </w:rPr>
      </w:pPr>
    </w:p>
    <w:tbl>
      <w:tblPr>
        <w:tblW w:w="4844"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007"/>
        <w:gridCol w:w="1744"/>
        <w:gridCol w:w="1542"/>
        <w:gridCol w:w="1644"/>
        <w:gridCol w:w="1644"/>
        <w:gridCol w:w="1208"/>
      </w:tblGrid>
      <w:tr w:rsidR="00F93F00" w:rsidRPr="00EB5D5F" w14:paraId="39ED5719" w14:textId="77777777" w:rsidTr="00F93F00">
        <w:trPr>
          <w:trHeight w:val="300"/>
        </w:trPr>
        <w:tc>
          <w:tcPr>
            <w:tcW w:w="573" w:type="pct"/>
            <w:tcBorders>
              <w:top w:val="single" w:sz="4" w:space="0" w:color="auto"/>
              <w:bottom w:val="single" w:sz="4" w:space="0" w:color="auto"/>
            </w:tcBorders>
            <w:shd w:val="clear" w:color="000000" w:fill="FFFFFF"/>
            <w:noWrap/>
            <w:hideMark/>
          </w:tcPr>
          <w:p w14:paraId="43F2333A" w14:textId="77777777" w:rsidR="006074D9" w:rsidRPr="00EB5D5F" w:rsidRDefault="006074D9" w:rsidP="00F93F00">
            <w:pPr>
              <w:suppressAutoHyphens w:val="0"/>
              <w:spacing w:line="480" w:lineRule="auto"/>
              <w:rPr>
                <w:rFonts w:eastAsia="Times New Roman"/>
                <w:color w:val="000000" w:themeColor="text1"/>
                <w:sz w:val="18"/>
                <w:szCs w:val="24"/>
                <w:lang w:val="en-US"/>
              </w:rPr>
            </w:pPr>
            <w:r w:rsidRPr="00EB5D5F">
              <w:rPr>
                <w:rFonts w:eastAsia="Times New Roman"/>
                <w:color w:val="000000" w:themeColor="text1"/>
                <w:sz w:val="18"/>
                <w:szCs w:val="24"/>
                <w:lang w:val="en-US"/>
              </w:rPr>
              <w:t> </w:t>
            </w:r>
          </w:p>
        </w:tc>
        <w:tc>
          <w:tcPr>
            <w:tcW w:w="992" w:type="pct"/>
            <w:tcBorders>
              <w:top w:val="single" w:sz="4" w:space="0" w:color="auto"/>
              <w:bottom w:val="single" w:sz="4" w:space="0" w:color="auto"/>
            </w:tcBorders>
            <w:shd w:val="clear" w:color="000000" w:fill="FFFFFF"/>
            <w:noWrap/>
            <w:hideMark/>
          </w:tcPr>
          <w:p w14:paraId="3DA41821" w14:textId="77777777" w:rsidR="006074D9" w:rsidRPr="00EB5D5F" w:rsidRDefault="006074D9" w:rsidP="00F93F00">
            <w:pPr>
              <w:suppressAutoHyphens w:val="0"/>
              <w:spacing w:line="480" w:lineRule="auto"/>
              <w:jc w:val="center"/>
              <w:rPr>
                <w:rFonts w:eastAsia="Times New Roman"/>
                <w:color w:val="000000" w:themeColor="text1"/>
                <w:sz w:val="18"/>
                <w:szCs w:val="24"/>
                <w:lang w:val="de-DE"/>
              </w:rPr>
            </w:pPr>
            <w:r w:rsidRPr="00EB5D5F">
              <w:rPr>
                <w:rFonts w:eastAsia="Times New Roman"/>
                <w:color w:val="000000" w:themeColor="text1"/>
                <w:sz w:val="18"/>
                <w:szCs w:val="24"/>
                <w:lang w:val="de-DE"/>
              </w:rPr>
              <w:t>EA</w:t>
            </w:r>
          </w:p>
        </w:tc>
        <w:tc>
          <w:tcPr>
            <w:tcW w:w="877" w:type="pct"/>
            <w:tcBorders>
              <w:top w:val="single" w:sz="4" w:space="0" w:color="auto"/>
              <w:bottom w:val="single" w:sz="4" w:space="0" w:color="auto"/>
            </w:tcBorders>
            <w:shd w:val="clear" w:color="000000" w:fill="FFFFFF"/>
            <w:noWrap/>
            <w:hideMark/>
          </w:tcPr>
          <w:p w14:paraId="5B3E7E95" w14:textId="77777777" w:rsidR="006074D9" w:rsidRPr="00EB5D5F" w:rsidRDefault="006074D9" w:rsidP="00F93F00">
            <w:pPr>
              <w:suppressAutoHyphens w:val="0"/>
              <w:spacing w:line="480" w:lineRule="auto"/>
              <w:jc w:val="center"/>
              <w:rPr>
                <w:rFonts w:eastAsia="Times New Roman"/>
                <w:color w:val="000000" w:themeColor="text1"/>
                <w:sz w:val="18"/>
                <w:szCs w:val="24"/>
                <w:lang w:val="de-DE"/>
              </w:rPr>
            </w:pPr>
            <w:r w:rsidRPr="00EB5D5F">
              <w:rPr>
                <w:rFonts w:eastAsia="Times New Roman"/>
                <w:color w:val="000000" w:themeColor="text1"/>
                <w:sz w:val="18"/>
                <w:szCs w:val="24"/>
                <w:lang w:val="de-DE"/>
              </w:rPr>
              <w:t>PA</w:t>
            </w:r>
          </w:p>
        </w:tc>
        <w:tc>
          <w:tcPr>
            <w:tcW w:w="935" w:type="pct"/>
            <w:tcBorders>
              <w:top w:val="single" w:sz="4" w:space="0" w:color="auto"/>
              <w:bottom w:val="single" w:sz="4" w:space="0" w:color="auto"/>
            </w:tcBorders>
            <w:shd w:val="clear" w:color="000000" w:fill="FFFFFF"/>
            <w:noWrap/>
            <w:hideMark/>
          </w:tcPr>
          <w:p w14:paraId="078AF6BE" w14:textId="77777777" w:rsidR="006074D9" w:rsidRPr="00EB5D5F" w:rsidRDefault="006074D9" w:rsidP="00F93F00">
            <w:pPr>
              <w:suppressAutoHyphens w:val="0"/>
              <w:spacing w:line="480" w:lineRule="auto"/>
              <w:jc w:val="center"/>
              <w:rPr>
                <w:rFonts w:eastAsia="Times New Roman"/>
                <w:color w:val="000000" w:themeColor="text1"/>
                <w:sz w:val="18"/>
                <w:szCs w:val="24"/>
                <w:lang w:val="de-DE"/>
              </w:rPr>
            </w:pPr>
            <w:r w:rsidRPr="00EB5D5F">
              <w:rPr>
                <w:rFonts w:eastAsia="Times New Roman"/>
                <w:color w:val="000000" w:themeColor="text1"/>
                <w:sz w:val="18"/>
                <w:szCs w:val="24"/>
                <w:lang w:val="de-DE"/>
              </w:rPr>
              <w:t>SA</w:t>
            </w:r>
          </w:p>
        </w:tc>
        <w:tc>
          <w:tcPr>
            <w:tcW w:w="935" w:type="pct"/>
            <w:tcBorders>
              <w:top w:val="single" w:sz="4" w:space="0" w:color="auto"/>
              <w:bottom w:val="single" w:sz="4" w:space="0" w:color="auto"/>
            </w:tcBorders>
            <w:shd w:val="clear" w:color="000000" w:fill="FFFFFF"/>
            <w:noWrap/>
            <w:hideMark/>
          </w:tcPr>
          <w:p w14:paraId="79289DFA" w14:textId="77777777" w:rsidR="006074D9" w:rsidRPr="00EB5D5F" w:rsidRDefault="006074D9" w:rsidP="00F93F00">
            <w:pPr>
              <w:suppressAutoHyphens w:val="0"/>
              <w:spacing w:line="480" w:lineRule="auto"/>
              <w:jc w:val="center"/>
              <w:rPr>
                <w:rFonts w:eastAsia="Times New Roman"/>
                <w:color w:val="000000" w:themeColor="text1"/>
                <w:sz w:val="18"/>
                <w:szCs w:val="24"/>
                <w:lang w:val="de-DE"/>
              </w:rPr>
            </w:pPr>
            <w:r w:rsidRPr="00EB5D5F">
              <w:rPr>
                <w:rFonts w:eastAsia="Times New Roman"/>
                <w:color w:val="000000" w:themeColor="text1"/>
                <w:sz w:val="18"/>
                <w:szCs w:val="24"/>
                <w:lang w:val="de-DE"/>
              </w:rPr>
              <w:t>EN</w:t>
            </w:r>
          </w:p>
        </w:tc>
        <w:tc>
          <w:tcPr>
            <w:tcW w:w="687" w:type="pct"/>
            <w:tcBorders>
              <w:top w:val="single" w:sz="4" w:space="0" w:color="auto"/>
              <w:bottom w:val="single" w:sz="4" w:space="0" w:color="auto"/>
            </w:tcBorders>
            <w:shd w:val="clear" w:color="000000" w:fill="FFFFFF"/>
            <w:noWrap/>
            <w:hideMark/>
          </w:tcPr>
          <w:p w14:paraId="2641808D" w14:textId="77777777" w:rsidR="006074D9" w:rsidRPr="00EB5D5F" w:rsidRDefault="006074D9" w:rsidP="00F93F00">
            <w:pPr>
              <w:suppressAutoHyphens w:val="0"/>
              <w:spacing w:line="480" w:lineRule="auto"/>
              <w:jc w:val="center"/>
              <w:rPr>
                <w:rFonts w:eastAsia="Times New Roman"/>
                <w:color w:val="000000" w:themeColor="text1"/>
                <w:sz w:val="18"/>
                <w:szCs w:val="24"/>
                <w:lang w:val="de-DE"/>
              </w:rPr>
            </w:pPr>
            <w:r w:rsidRPr="00EB5D5F">
              <w:rPr>
                <w:rFonts w:eastAsia="Times New Roman"/>
                <w:color w:val="000000" w:themeColor="text1"/>
                <w:sz w:val="18"/>
                <w:szCs w:val="24"/>
                <w:lang w:val="de-DE"/>
              </w:rPr>
              <w:t>PN</w:t>
            </w:r>
          </w:p>
        </w:tc>
      </w:tr>
      <w:tr w:rsidR="00F93F00" w:rsidRPr="00EB5D5F" w14:paraId="7C74D6EE" w14:textId="77777777" w:rsidTr="00F93F00">
        <w:trPr>
          <w:trHeight w:val="300"/>
        </w:trPr>
        <w:tc>
          <w:tcPr>
            <w:tcW w:w="573" w:type="pct"/>
            <w:tcBorders>
              <w:top w:val="single" w:sz="4" w:space="0" w:color="auto"/>
            </w:tcBorders>
            <w:shd w:val="clear" w:color="000000" w:fill="FFFFFF"/>
            <w:noWrap/>
            <w:hideMark/>
          </w:tcPr>
          <w:p w14:paraId="6133248F" w14:textId="77777777" w:rsidR="006074D9" w:rsidRPr="00EB5D5F" w:rsidRDefault="006074D9" w:rsidP="00F93F00">
            <w:pPr>
              <w:suppressAutoHyphens w:val="0"/>
              <w:spacing w:line="480" w:lineRule="auto"/>
              <w:rPr>
                <w:rFonts w:eastAsia="Times New Roman"/>
                <w:color w:val="000000" w:themeColor="text1"/>
                <w:sz w:val="18"/>
                <w:szCs w:val="24"/>
                <w:lang w:val="de-DE"/>
              </w:rPr>
            </w:pPr>
            <w:r w:rsidRPr="00EB5D5F">
              <w:rPr>
                <w:rFonts w:eastAsia="Times New Roman"/>
                <w:color w:val="000000" w:themeColor="text1"/>
                <w:sz w:val="18"/>
                <w:szCs w:val="24"/>
                <w:lang w:val="de-DE"/>
              </w:rPr>
              <w:t>EA</w:t>
            </w:r>
          </w:p>
        </w:tc>
        <w:tc>
          <w:tcPr>
            <w:tcW w:w="992" w:type="pct"/>
            <w:tcBorders>
              <w:top w:val="single" w:sz="4" w:space="0" w:color="auto"/>
            </w:tcBorders>
            <w:shd w:val="clear" w:color="000000" w:fill="FFFFFF"/>
            <w:noWrap/>
            <w:hideMark/>
          </w:tcPr>
          <w:p w14:paraId="020E70EC" w14:textId="77777777" w:rsidR="006074D9" w:rsidRPr="00EB5D5F" w:rsidRDefault="006074D9" w:rsidP="00F93F00">
            <w:pPr>
              <w:suppressAutoHyphens w:val="0"/>
              <w:spacing w:line="480" w:lineRule="auto"/>
              <w:jc w:val="center"/>
              <w:rPr>
                <w:rFonts w:eastAsia="Times New Roman"/>
                <w:color w:val="000000" w:themeColor="text1"/>
                <w:sz w:val="18"/>
                <w:szCs w:val="24"/>
                <w:lang w:val="de-DE"/>
              </w:rPr>
            </w:pPr>
            <w:r w:rsidRPr="00EB5D5F">
              <w:rPr>
                <w:rFonts w:eastAsia="Times New Roman"/>
                <w:color w:val="000000" w:themeColor="text1"/>
                <w:sz w:val="18"/>
                <w:szCs w:val="24"/>
                <w:lang w:val="de-DE"/>
              </w:rPr>
              <w:t>1</w:t>
            </w:r>
          </w:p>
        </w:tc>
        <w:tc>
          <w:tcPr>
            <w:tcW w:w="877" w:type="pct"/>
            <w:tcBorders>
              <w:top w:val="single" w:sz="4" w:space="0" w:color="auto"/>
            </w:tcBorders>
            <w:shd w:val="clear" w:color="000000" w:fill="FFFFFF"/>
            <w:noWrap/>
            <w:hideMark/>
          </w:tcPr>
          <w:p w14:paraId="7F0EC195" w14:textId="766D824E" w:rsidR="006074D9" w:rsidRPr="00EB5D5F" w:rsidRDefault="006074D9" w:rsidP="00F93F00">
            <w:pPr>
              <w:suppressAutoHyphens w:val="0"/>
              <w:spacing w:line="480" w:lineRule="auto"/>
              <w:jc w:val="center"/>
              <w:rPr>
                <w:rFonts w:eastAsia="Times New Roman"/>
                <w:color w:val="000000" w:themeColor="text1"/>
                <w:sz w:val="18"/>
                <w:szCs w:val="24"/>
                <w:lang w:val="de-DE"/>
              </w:rPr>
            </w:pPr>
          </w:p>
        </w:tc>
        <w:tc>
          <w:tcPr>
            <w:tcW w:w="935" w:type="pct"/>
            <w:tcBorders>
              <w:top w:val="single" w:sz="4" w:space="0" w:color="auto"/>
            </w:tcBorders>
            <w:shd w:val="clear" w:color="000000" w:fill="FFFFFF"/>
            <w:noWrap/>
            <w:hideMark/>
          </w:tcPr>
          <w:p w14:paraId="742565A4" w14:textId="622CE60A" w:rsidR="006074D9" w:rsidRPr="00EB5D5F" w:rsidRDefault="006074D9" w:rsidP="00F93F00">
            <w:pPr>
              <w:suppressAutoHyphens w:val="0"/>
              <w:spacing w:line="480" w:lineRule="auto"/>
              <w:jc w:val="center"/>
              <w:rPr>
                <w:rFonts w:eastAsia="Times New Roman"/>
                <w:color w:val="000000" w:themeColor="text1"/>
                <w:sz w:val="18"/>
                <w:szCs w:val="24"/>
                <w:lang w:val="de-DE"/>
              </w:rPr>
            </w:pPr>
          </w:p>
        </w:tc>
        <w:tc>
          <w:tcPr>
            <w:tcW w:w="935" w:type="pct"/>
            <w:tcBorders>
              <w:top w:val="single" w:sz="4" w:space="0" w:color="auto"/>
            </w:tcBorders>
            <w:shd w:val="clear" w:color="000000" w:fill="FFFFFF"/>
            <w:noWrap/>
            <w:hideMark/>
          </w:tcPr>
          <w:p w14:paraId="59B946BA" w14:textId="6F8209A3" w:rsidR="006074D9" w:rsidRPr="00EB5D5F" w:rsidRDefault="006074D9" w:rsidP="00F93F00">
            <w:pPr>
              <w:suppressAutoHyphens w:val="0"/>
              <w:spacing w:line="480" w:lineRule="auto"/>
              <w:jc w:val="center"/>
              <w:rPr>
                <w:rFonts w:eastAsia="Times New Roman"/>
                <w:color w:val="000000" w:themeColor="text1"/>
                <w:sz w:val="18"/>
                <w:szCs w:val="24"/>
                <w:lang w:val="de-DE"/>
              </w:rPr>
            </w:pPr>
          </w:p>
        </w:tc>
        <w:tc>
          <w:tcPr>
            <w:tcW w:w="687" w:type="pct"/>
            <w:tcBorders>
              <w:top w:val="single" w:sz="4" w:space="0" w:color="auto"/>
            </w:tcBorders>
            <w:shd w:val="clear" w:color="000000" w:fill="FFFFFF"/>
            <w:noWrap/>
            <w:hideMark/>
          </w:tcPr>
          <w:p w14:paraId="33DB3B0B" w14:textId="6AB8A3A7" w:rsidR="006074D9" w:rsidRPr="00EB5D5F" w:rsidRDefault="006074D9" w:rsidP="00F93F00">
            <w:pPr>
              <w:suppressAutoHyphens w:val="0"/>
              <w:spacing w:line="480" w:lineRule="auto"/>
              <w:jc w:val="center"/>
              <w:rPr>
                <w:rFonts w:eastAsia="Times New Roman"/>
                <w:color w:val="000000" w:themeColor="text1"/>
                <w:sz w:val="18"/>
                <w:szCs w:val="24"/>
                <w:lang w:val="de-DE"/>
              </w:rPr>
            </w:pPr>
          </w:p>
        </w:tc>
      </w:tr>
      <w:tr w:rsidR="00F93F00" w:rsidRPr="00EB5D5F" w14:paraId="1619977A" w14:textId="77777777" w:rsidTr="00F93F00">
        <w:trPr>
          <w:trHeight w:val="300"/>
        </w:trPr>
        <w:tc>
          <w:tcPr>
            <w:tcW w:w="573" w:type="pct"/>
            <w:shd w:val="clear" w:color="000000" w:fill="FFFFFF"/>
            <w:noWrap/>
            <w:hideMark/>
          </w:tcPr>
          <w:p w14:paraId="296662AC" w14:textId="77777777" w:rsidR="006074D9" w:rsidRPr="00EB5D5F" w:rsidRDefault="006074D9" w:rsidP="00F93F00">
            <w:pPr>
              <w:suppressAutoHyphens w:val="0"/>
              <w:spacing w:line="480" w:lineRule="auto"/>
              <w:rPr>
                <w:rFonts w:eastAsia="Times New Roman"/>
                <w:color w:val="000000" w:themeColor="text1"/>
                <w:sz w:val="18"/>
                <w:szCs w:val="24"/>
                <w:lang w:val="de-DE"/>
              </w:rPr>
            </w:pPr>
            <w:r w:rsidRPr="00EB5D5F">
              <w:rPr>
                <w:rFonts w:eastAsia="Times New Roman"/>
                <w:color w:val="000000" w:themeColor="text1"/>
                <w:sz w:val="18"/>
                <w:szCs w:val="24"/>
                <w:lang w:val="de-DE"/>
              </w:rPr>
              <w:t>PA</w:t>
            </w:r>
          </w:p>
        </w:tc>
        <w:tc>
          <w:tcPr>
            <w:tcW w:w="992" w:type="pct"/>
            <w:shd w:val="clear" w:color="000000" w:fill="FFFFFF"/>
            <w:noWrap/>
            <w:hideMark/>
          </w:tcPr>
          <w:p w14:paraId="57E41DD9" w14:textId="77777777" w:rsidR="006074D9" w:rsidRPr="00EB5D5F" w:rsidRDefault="006074D9" w:rsidP="00F93F00">
            <w:pPr>
              <w:suppressAutoHyphens w:val="0"/>
              <w:spacing w:line="480" w:lineRule="auto"/>
              <w:jc w:val="center"/>
              <w:rPr>
                <w:rFonts w:eastAsia="Times New Roman"/>
                <w:color w:val="000000" w:themeColor="text1"/>
                <w:sz w:val="18"/>
                <w:szCs w:val="24"/>
                <w:lang w:val="de-DE"/>
              </w:rPr>
            </w:pPr>
            <w:r w:rsidRPr="00EB5D5F">
              <w:rPr>
                <w:rFonts w:eastAsia="Times New Roman"/>
                <w:color w:val="000000" w:themeColor="text1"/>
                <w:sz w:val="18"/>
                <w:szCs w:val="24"/>
                <w:lang w:val="de-DE"/>
              </w:rPr>
              <w:t>.509 [.466, .553]</w:t>
            </w:r>
          </w:p>
        </w:tc>
        <w:tc>
          <w:tcPr>
            <w:tcW w:w="877" w:type="pct"/>
            <w:shd w:val="clear" w:color="000000" w:fill="FFFFFF"/>
            <w:noWrap/>
            <w:hideMark/>
          </w:tcPr>
          <w:p w14:paraId="655A04F7" w14:textId="77777777" w:rsidR="006074D9" w:rsidRPr="00EB5D5F" w:rsidRDefault="006074D9" w:rsidP="00F93F00">
            <w:pPr>
              <w:suppressAutoHyphens w:val="0"/>
              <w:spacing w:line="480" w:lineRule="auto"/>
              <w:jc w:val="center"/>
              <w:rPr>
                <w:rFonts w:eastAsia="Times New Roman"/>
                <w:color w:val="000000" w:themeColor="text1"/>
                <w:sz w:val="18"/>
                <w:szCs w:val="24"/>
                <w:lang w:val="de-DE"/>
              </w:rPr>
            </w:pPr>
            <w:r w:rsidRPr="00EB5D5F">
              <w:rPr>
                <w:rFonts w:eastAsia="Times New Roman"/>
                <w:color w:val="000000" w:themeColor="text1"/>
                <w:sz w:val="18"/>
                <w:szCs w:val="24"/>
                <w:lang w:val="de-DE"/>
              </w:rPr>
              <w:t>1</w:t>
            </w:r>
          </w:p>
        </w:tc>
        <w:tc>
          <w:tcPr>
            <w:tcW w:w="935" w:type="pct"/>
            <w:shd w:val="clear" w:color="000000" w:fill="FFFFFF"/>
            <w:noWrap/>
            <w:hideMark/>
          </w:tcPr>
          <w:p w14:paraId="497D7097" w14:textId="486B3E2B" w:rsidR="006074D9" w:rsidRPr="00EB5D5F" w:rsidRDefault="006074D9" w:rsidP="00F93F00">
            <w:pPr>
              <w:suppressAutoHyphens w:val="0"/>
              <w:spacing w:line="480" w:lineRule="auto"/>
              <w:jc w:val="center"/>
              <w:rPr>
                <w:rFonts w:eastAsia="Times New Roman"/>
                <w:color w:val="000000" w:themeColor="text1"/>
                <w:sz w:val="18"/>
                <w:szCs w:val="24"/>
                <w:lang w:val="de-DE"/>
              </w:rPr>
            </w:pPr>
          </w:p>
        </w:tc>
        <w:tc>
          <w:tcPr>
            <w:tcW w:w="935" w:type="pct"/>
            <w:shd w:val="clear" w:color="000000" w:fill="FFFFFF"/>
            <w:noWrap/>
            <w:hideMark/>
          </w:tcPr>
          <w:p w14:paraId="6C552A2B" w14:textId="553CE52A" w:rsidR="006074D9" w:rsidRPr="00EB5D5F" w:rsidRDefault="006074D9" w:rsidP="00F93F00">
            <w:pPr>
              <w:suppressAutoHyphens w:val="0"/>
              <w:spacing w:line="480" w:lineRule="auto"/>
              <w:jc w:val="center"/>
              <w:rPr>
                <w:rFonts w:eastAsia="Times New Roman"/>
                <w:color w:val="000000" w:themeColor="text1"/>
                <w:sz w:val="18"/>
                <w:szCs w:val="24"/>
                <w:lang w:val="de-DE"/>
              </w:rPr>
            </w:pPr>
          </w:p>
        </w:tc>
        <w:tc>
          <w:tcPr>
            <w:tcW w:w="687" w:type="pct"/>
            <w:shd w:val="clear" w:color="000000" w:fill="FFFFFF"/>
            <w:noWrap/>
            <w:hideMark/>
          </w:tcPr>
          <w:p w14:paraId="1A3FA13E" w14:textId="1C306B87" w:rsidR="006074D9" w:rsidRPr="00EB5D5F" w:rsidRDefault="006074D9" w:rsidP="00F93F00">
            <w:pPr>
              <w:suppressAutoHyphens w:val="0"/>
              <w:spacing w:line="480" w:lineRule="auto"/>
              <w:jc w:val="center"/>
              <w:rPr>
                <w:rFonts w:eastAsia="Times New Roman"/>
                <w:color w:val="000000" w:themeColor="text1"/>
                <w:sz w:val="18"/>
                <w:szCs w:val="24"/>
                <w:lang w:val="de-DE"/>
              </w:rPr>
            </w:pPr>
          </w:p>
        </w:tc>
      </w:tr>
      <w:tr w:rsidR="00F93F00" w:rsidRPr="00EB5D5F" w14:paraId="6A7484A5" w14:textId="77777777" w:rsidTr="00F93F00">
        <w:trPr>
          <w:trHeight w:val="300"/>
        </w:trPr>
        <w:tc>
          <w:tcPr>
            <w:tcW w:w="573" w:type="pct"/>
            <w:shd w:val="clear" w:color="000000" w:fill="FFFFFF"/>
            <w:noWrap/>
            <w:hideMark/>
          </w:tcPr>
          <w:p w14:paraId="6ED4CF87" w14:textId="77777777" w:rsidR="006074D9" w:rsidRPr="00EB5D5F" w:rsidRDefault="006074D9" w:rsidP="00F93F00">
            <w:pPr>
              <w:suppressAutoHyphens w:val="0"/>
              <w:spacing w:line="480" w:lineRule="auto"/>
              <w:rPr>
                <w:rFonts w:eastAsia="Times New Roman"/>
                <w:color w:val="000000" w:themeColor="text1"/>
                <w:sz w:val="18"/>
                <w:szCs w:val="24"/>
                <w:lang w:val="de-DE"/>
              </w:rPr>
            </w:pPr>
            <w:r w:rsidRPr="00EB5D5F">
              <w:rPr>
                <w:rFonts w:eastAsia="Times New Roman"/>
                <w:color w:val="000000" w:themeColor="text1"/>
                <w:sz w:val="18"/>
                <w:szCs w:val="24"/>
                <w:lang w:val="de-DE"/>
              </w:rPr>
              <w:t>SA</w:t>
            </w:r>
          </w:p>
        </w:tc>
        <w:tc>
          <w:tcPr>
            <w:tcW w:w="992" w:type="pct"/>
            <w:shd w:val="clear" w:color="000000" w:fill="FFFFFF"/>
            <w:noWrap/>
            <w:hideMark/>
          </w:tcPr>
          <w:p w14:paraId="752A4E53" w14:textId="77777777" w:rsidR="006074D9" w:rsidRPr="00EB5D5F" w:rsidRDefault="006074D9" w:rsidP="00F93F00">
            <w:pPr>
              <w:suppressAutoHyphens w:val="0"/>
              <w:spacing w:line="480" w:lineRule="auto"/>
              <w:jc w:val="center"/>
              <w:rPr>
                <w:rFonts w:eastAsia="Times New Roman"/>
                <w:color w:val="000000" w:themeColor="text1"/>
                <w:sz w:val="18"/>
                <w:szCs w:val="24"/>
                <w:lang w:val="de-DE"/>
              </w:rPr>
            </w:pPr>
            <w:r w:rsidRPr="00EB5D5F">
              <w:rPr>
                <w:rFonts w:eastAsia="Times New Roman"/>
                <w:color w:val="000000" w:themeColor="text1"/>
                <w:sz w:val="18"/>
                <w:szCs w:val="24"/>
                <w:lang w:val="de-DE"/>
              </w:rPr>
              <w:t>.354 [.312, .396]</w:t>
            </w:r>
          </w:p>
        </w:tc>
        <w:tc>
          <w:tcPr>
            <w:tcW w:w="877" w:type="pct"/>
            <w:shd w:val="clear" w:color="000000" w:fill="FFFFFF"/>
            <w:noWrap/>
            <w:hideMark/>
          </w:tcPr>
          <w:p w14:paraId="730BAFB9" w14:textId="77777777" w:rsidR="006074D9" w:rsidRPr="00EB5D5F" w:rsidRDefault="006074D9" w:rsidP="00F93F00">
            <w:pPr>
              <w:suppressAutoHyphens w:val="0"/>
              <w:spacing w:line="480" w:lineRule="auto"/>
              <w:jc w:val="center"/>
              <w:rPr>
                <w:rFonts w:eastAsia="Times New Roman"/>
                <w:color w:val="000000" w:themeColor="text1"/>
                <w:sz w:val="18"/>
                <w:szCs w:val="24"/>
                <w:lang w:val="de-DE"/>
              </w:rPr>
            </w:pPr>
            <w:r w:rsidRPr="00EB5D5F">
              <w:rPr>
                <w:rFonts w:eastAsia="Times New Roman"/>
                <w:color w:val="000000" w:themeColor="text1"/>
                <w:sz w:val="18"/>
                <w:szCs w:val="24"/>
                <w:lang w:val="de-DE"/>
              </w:rPr>
              <w:t>.278 [.218, .335]</w:t>
            </w:r>
          </w:p>
        </w:tc>
        <w:tc>
          <w:tcPr>
            <w:tcW w:w="935" w:type="pct"/>
            <w:shd w:val="clear" w:color="000000" w:fill="FFFFFF"/>
            <w:noWrap/>
            <w:hideMark/>
          </w:tcPr>
          <w:p w14:paraId="226149DD" w14:textId="77777777" w:rsidR="006074D9" w:rsidRPr="00EB5D5F" w:rsidRDefault="006074D9" w:rsidP="00F93F00">
            <w:pPr>
              <w:suppressAutoHyphens w:val="0"/>
              <w:spacing w:line="480" w:lineRule="auto"/>
              <w:jc w:val="center"/>
              <w:rPr>
                <w:rFonts w:eastAsia="Times New Roman"/>
                <w:color w:val="000000" w:themeColor="text1"/>
                <w:sz w:val="18"/>
                <w:szCs w:val="24"/>
                <w:lang w:val="de-DE"/>
              </w:rPr>
            </w:pPr>
            <w:r w:rsidRPr="00EB5D5F">
              <w:rPr>
                <w:rFonts w:eastAsia="Times New Roman"/>
                <w:color w:val="000000" w:themeColor="text1"/>
                <w:sz w:val="18"/>
                <w:szCs w:val="24"/>
                <w:lang w:val="de-DE"/>
              </w:rPr>
              <w:t>1</w:t>
            </w:r>
          </w:p>
        </w:tc>
        <w:tc>
          <w:tcPr>
            <w:tcW w:w="935" w:type="pct"/>
            <w:shd w:val="clear" w:color="000000" w:fill="FFFFFF"/>
            <w:noWrap/>
            <w:hideMark/>
          </w:tcPr>
          <w:p w14:paraId="095B6E4B" w14:textId="0899E9C5" w:rsidR="006074D9" w:rsidRPr="00EB5D5F" w:rsidRDefault="006074D9" w:rsidP="00F93F00">
            <w:pPr>
              <w:suppressAutoHyphens w:val="0"/>
              <w:spacing w:line="480" w:lineRule="auto"/>
              <w:jc w:val="center"/>
              <w:rPr>
                <w:rFonts w:eastAsia="Times New Roman"/>
                <w:color w:val="000000" w:themeColor="text1"/>
                <w:sz w:val="18"/>
                <w:szCs w:val="24"/>
                <w:lang w:val="de-DE"/>
              </w:rPr>
            </w:pPr>
          </w:p>
        </w:tc>
        <w:tc>
          <w:tcPr>
            <w:tcW w:w="687" w:type="pct"/>
            <w:shd w:val="clear" w:color="000000" w:fill="FFFFFF"/>
            <w:noWrap/>
            <w:hideMark/>
          </w:tcPr>
          <w:p w14:paraId="13A2DFE8" w14:textId="13A9E83C" w:rsidR="006074D9" w:rsidRPr="00EB5D5F" w:rsidRDefault="006074D9" w:rsidP="00F93F00">
            <w:pPr>
              <w:suppressAutoHyphens w:val="0"/>
              <w:spacing w:line="480" w:lineRule="auto"/>
              <w:jc w:val="center"/>
              <w:rPr>
                <w:rFonts w:eastAsia="Times New Roman"/>
                <w:color w:val="000000" w:themeColor="text1"/>
                <w:sz w:val="18"/>
                <w:szCs w:val="24"/>
                <w:lang w:val="de-DE"/>
              </w:rPr>
            </w:pPr>
          </w:p>
        </w:tc>
      </w:tr>
      <w:tr w:rsidR="00F93F00" w:rsidRPr="00EB5D5F" w14:paraId="2E75473F" w14:textId="77777777" w:rsidTr="00F93F00">
        <w:trPr>
          <w:trHeight w:val="300"/>
        </w:trPr>
        <w:tc>
          <w:tcPr>
            <w:tcW w:w="573" w:type="pct"/>
            <w:shd w:val="clear" w:color="000000" w:fill="FFFFFF"/>
            <w:noWrap/>
            <w:hideMark/>
          </w:tcPr>
          <w:p w14:paraId="1311A515" w14:textId="77777777" w:rsidR="006074D9" w:rsidRPr="00EB5D5F" w:rsidRDefault="006074D9" w:rsidP="00F93F00">
            <w:pPr>
              <w:suppressAutoHyphens w:val="0"/>
              <w:spacing w:line="480" w:lineRule="auto"/>
              <w:rPr>
                <w:rFonts w:eastAsia="Times New Roman"/>
                <w:color w:val="000000" w:themeColor="text1"/>
                <w:sz w:val="18"/>
                <w:szCs w:val="24"/>
                <w:lang w:val="de-DE"/>
              </w:rPr>
            </w:pPr>
            <w:r w:rsidRPr="00EB5D5F">
              <w:rPr>
                <w:rFonts w:eastAsia="Times New Roman"/>
                <w:color w:val="000000" w:themeColor="text1"/>
                <w:sz w:val="18"/>
                <w:szCs w:val="24"/>
                <w:lang w:val="de-DE"/>
              </w:rPr>
              <w:t>EN</w:t>
            </w:r>
          </w:p>
        </w:tc>
        <w:tc>
          <w:tcPr>
            <w:tcW w:w="992" w:type="pct"/>
            <w:shd w:val="clear" w:color="000000" w:fill="FFFFFF"/>
            <w:noWrap/>
            <w:hideMark/>
          </w:tcPr>
          <w:p w14:paraId="26F6C2C3" w14:textId="77777777" w:rsidR="006074D9" w:rsidRPr="00EB5D5F" w:rsidRDefault="006074D9" w:rsidP="00F93F00">
            <w:pPr>
              <w:suppressAutoHyphens w:val="0"/>
              <w:spacing w:line="480" w:lineRule="auto"/>
              <w:jc w:val="center"/>
              <w:rPr>
                <w:rFonts w:eastAsia="Times New Roman"/>
                <w:color w:val="000000" w:themeColor="text1"/>
                <w:sz w:val="18"/>
                <w:szCs w:val="24"/>
                <w:lang w:val="de-DE"/>
              </w:rPr>
            </w:pPr>
            <w:r w:rsidRPr="00EB5D5F">
              <w:rPr>
                <w:rFonts w:eastAsia="Times New Roman"/>
                <w:color w:val="000000" w:themeColor="text1"/>
                <w:sz w:val="18"/>
                <w:szCs w:val="24"/>
                <w:lang w:val="de-DE"/>
              </w:rPr>
              <w:t>.722 [.690, .751]</w:t>
            </w:r>
          </w:p>
        </w:tc>
        <w:tc>
          <w:tcPr>
            <w:tcW w:w="877" w:type="pct"/>
            <w:shd w:val="clear" w:color="000000" w:fill="FFFFFF"/>
            <w:noWrap/>
            <w:hideMark/>
          </w:tcPr>
          <w:p w14:paraId="639A8C27" w14:textId="77777777" w:rsidR="006074D9" w:rsidRPr="00EB5D5F" w:rsidRDefault="006074D9" w:rsidP="00F93F00">
            <w:pPr>
              <w:suppressAutoHyphens w:val="0"/>
              <w:spacing w:line="480" w:lineRule="auto"/>
              <w:jc w:val="center"/>
              <w:rPr>
                <w:rFonts w:eastAsia="Times New Roman"/>
                <w:color w:val="000000" w:themeColor="text1"/>
                <w:sz w:val="18"/>
                <w:szCs w:val="24"/>
                <w:lang w:val="de-DE"/>
              </w:rPr>
            </w:pPr>
            <w:r w:rsidRPr="00EB5D5F">
              <w:rPr>
                <w:rFonts w:eastAsia="Times New Roman"/>
                <w:color w:val="000000" w:themeColor="text1"/>
                <w:sz w:val="18"/>
                <w:szCs w:val="24"/>
                <w:lang w:val="de-DE"/>
              </w:rPr>
              <w:t>.473 [.429, .518]</w:t>
            </w:r>
          </w:p>
        </w:tc>
        <w:tc>
          <w:tcPr>
            <w:tcW w:w="935" w:type="pct"/>
            <w:shd w:val="clear" w:color="000000" w:fill="FFFFFF"/>
            <w:noWrap/>
            <w:hideMark/>
          </w:tcPr>
          <w:p w14:paraId="3AFFA1CA" w14:textId="77777777" w:rsidR="006074D9" w:rsidRPr="00EB5D5F" w:rsidRDefault="006074D9" w:rsidP="00F93F00">
            <w:pPr>
              <w:suppressAutoHyphens w:val="0"/>
              <w:spacing w:line="480" w:lineRule="auto"/>
              <w:jc w:val="center"/>
              <w:rPr>
                <w:rFonts w:eastAsia="Times New Roman"/>
                <w:color w:val="000000" w:themeColor="text1"/>
                <w:sz w:val="18"/>
                <w:szCs w:val="24"/>
                <w:lang w:val="de-DE"/>
              </w:rPr>
            </w:pPr>
            <w:r w:rsidRPr="00EB5D5F">
              <w:rPr>
                <w:rFonts w:eastAsia="Times New Roman"/>
                <w:color w:val="000000" w:themeColor="text1"/>
                <w:sz w:val="18"/>
                <w:szCs w:val="24"/>
                <w:lang w:val="de-DE"/>
              </w:rPr>
              <w:t>.288 [.239, .333]</w:t>
            </w:r>
          </w:p>
        </w:tc>
        <w:tc>
          <w:tcPr>
            <w:tcW w:w="935" w:type="pct"/>
            <w:shd w:val="clear" w:color="000000" w:fill="FFFFFF"/>
            <w:noWrap/>
            <w:hideMark/>
          </w:tcPr>
          <w:p w14:paraId="7BEE9241" w14:textId="77777777" w:rsidR="006074D9" w:rsidRPr="00EB5D5F" w:rsidRDefault="006074D9" w:rsidP="00F93F00">
            <w:pPr>
              <w:suppressAutoHyphens w:val="0"/>
              <w:spacing w:line="480" w:lineRule="auto"/>
              <w:jc w:val="center"/>
              <w:rPr>
                <w:rFonts w:eastAsia="Times New Roman"/>
                <w:color w:val="000000" w:themeColor="text1"/>
                <w:sz w:val="18"/>
                <w:szCs w:val="24"/>
                <w:lang w:val="de-DE"/>
              </w:rPr>
            </w:pPr>
            <w:r w:rsidRPr="00EB5D5F">
              <w:rPr>
                <w:rFonts w:eastAsia="Times New Roman"/>
                <w:color w:val="000000" w:themeColor="text1"/>
                <w:sz w:val="18"/>
                <w:szCs w:val="24"/>
                <w:lang w:val="de-DE"/>
              </w:rPr>
              <w:t>1</w:t>
            </w:r>
          </w:p>
        </w:tc>
        <w:tc>
          <w:tcPr>
            <w:tcW w:w="687" w:type="pct"/>
            <w:shd w:val="clear" w:color="000000" w:fill="FFFFFF"/>
            <w:noWrap/>
            <w:hideMark/>
          </w:tcPr>
          <w:p w14:paraId="0A6DB995" w14:textId="783F0C14" w:rsidR="006074D9" w:rsidRPr="00EB5D5F" w:rsidRDefault="006074D9" w:rsidP="00F93F00">
            <w:pPr>
              <w:suppressAutoHyphens w:val="0"/>
              <w:spacing w:line="480" w:lineRule="auto"/>
              <w:jc w:val="center"/>
              <w:rPr>
                <w:rFonts w:eastAsia="Times New Roman"/>
                <w:color w:val="000000" w:themeColor="text1"/>
                <w:sz w:val="18"/>
                <w:szCs w:val="24"/>
                <w:lang w:val="de-DE"/>
              </w:rPr>
            </w:pPr>
          </w:p>
        </w:tc>
      </w:tr>
      <w:tr w:rsidR="00F93F00" w:rsidRPr="00EB5D5F" w14:paraId="1A73E634" w14:textId="77777777" w:rsidTr="00F93F00">
        <w:trPr>
          <w:trHeight w:val="300"/>
        </w:trPr>
        <w:tc>
          <w:tcPr>
            <w:tcW w:w="573" w:type="pct"/>
            <w:shd w:val="clear" w:color="000000" w:fill="FFFFFF"/>
            <w:noWrap/>
            <w:hideMark/>
          </w:tcPr>
          <w:p w14:paraId="643B059D" w14:textId="77777777" w:rsidR="006074D9" w:rsidRPr="00EB5D5F" w:rsidRDefault="006074D9" w:rsidP="00F93F00">
            <w:pPr>
              <w:suppressAutoHyphens w:val="0"/>
              <w:spacing w:line="480" w:lineRule="auto"/>
              <w:rPr>
                <w:rFonts w:eastAsia="Times New Roman"/>
                <w:color w:val="000000" w:themeColor="text1"/>
                <w:sz w:val="18"/>
                <w:szCs w:val="24"/>
                <w:lang w:val="de-DE"/>
              </w:rPr>
            </w:pPr>
            <w:r w:rsidRPr="00EB5D5F">
              <w:rPr>
                <w:rFonts w:eastAsia="Times New Roman"/>
                <w:color w:val="000000" w:themeColor="text1"/>
                <w:sz w:val="18"/>
                <w:szCs w:val="24"/>
                <w:lang w:val="de-DE"/>
              </w:rPr>
              <w:t>PN</w:t>
            </w:r>
          </w:p>
        </w:tc>
        <w:tc>
          <w:tcPr>
            <w:tcW w:w="992" w:type="pct"/>
            <w:shd w:val="clear" w:color="000000" w:fill="FFFFFF"/>
            <w:noWrap/>
            <w:hideMark/>
          </w:tcPr>
          <w:p w14:paraId="47534E0C" w14:textId="77777777" w:rsidR="006074D9" w:rsidRPr="00EB5D5F" w:rsidRDefault="006074D9" w:rsidP="00F93F00">
            <w:pPr>
              <w:suppressAutoHyphens w:val="0"/>
              <w:spacing w:line="480" w:lineRule="auto"/>
              <w:jc w:val="center"/>
              <w:rPr>
                <w:rFonts w:eastAsia="Times New Roman"/>
                <w:color w:val="000000" w:themeColor="text1"/>
                <w:sz w:val="18"/>
                <w:szCs w:val="24"/>
                <w:lang w:val="de-DE"/>
              </w:rPr>
            </w:pPr>
            <w:r w:rsidRPr="00EB5D5F">
              <w:rPr>
                <w:rFonts w:eastAsia="Times New Roman"/>
                <w:color w:val="000000" w:themeColor="text1"/>
                <w:sz w:val="18"/>
                <w:szCs w:val="24"/>
                <w:lang w:val="de-DE"/>
              </w:rPr>
              <w:t>.564 [.520, .606]</w:t>
            </w:r>
          </w:p>
        </w:tc>
        <w:tc>
          <w:tcPr>
            <w:tcW w:w="877" w:type="pct"/>
            <w:shd w:val="clear" w:color="000000" w:fill="FFFFFF"/>
            <w:noWrap/>
            <w:hideMark/>
          </w:tcPr>
          <w:p w14:paraId="61E5FF6B" w14:textId="77777777" w:rsidR="006074D9" w:rsidRPr="00EB5D5F" w:rsidRDefault="006074D9" w:rsidP="00F93F00">
            <w:pPr>
              <w:suppressAutoHyphens w:val="0"/>
              <w:spacing w:line="480" w:lineRule="auto"/>
              <w:jc w:val="center"/>
              <w:rPr>
                <w:rFonts w:eastAsia="Times New Roman"/>
                <w:color w:val="000000" w:themeColor="text1"/>
                <w:sz w:val="18"/>
                <w:szCs w:val="24"/>
                <w:lang w:val="de-DE"/>
              </w:rPr>
            </w:pPr>
            <w:r w:rsidRPr="00EB5D5F">
              <w:rPr>
                <w:rFonts w:eastAsia="Times New Roman"/>
                <w:color w:val="000000" w:themeColor="text1"/>
                <w:sz w:val="18"/>
                <w:szCs w:val="24"/>
                <w:lang w:val="de-DE"/>
              </w:rPr>
              <w:t>.398 [.352, .448]</w:t>
            </w:r>
          </w:p>
        </w:tc>
        <w:tc>
          <w:tcPr>
            <w:tcW w:w="935" w:type="pct"/>
            <w:shd w:val="clear" w:color="000000" w:fill="FFFFFF"/>
            <w:noWrap/>
            <w:hideMark/>
          </w:tcPr>
          <w:p w14:paraId="4F849CA3" w14:textId="77777777" w:rsidR="006074D9" w:rsidRPr="00EB5D5F" w:rsidRDefault="006074D9" w:rsidP="00F93F00">
            <w:pPr>
              <w:suppressAutoHyphens w:val="0"/>
              <w:spacing w:line="480" w:lineRule="auto"/>
              <w:jc w:val="center"/>
              <w:rPr>
                <w:rFonts w:eastAsia="Times New Roman"/>
                <w:color w:val="000000" w:themeColor="text1"/>
                <w:sz w:val="18"/>
                <w:szCs w:val="24"/>
                <w:lang w:val="de-DE"/>
              </w:rPr>
            </w:pPr>
            <w:r w:rsidRPr="00EB5D5F">
              <w:rPr>
                <w:rFonts w:eastAsia="Times New Roman"/>
                <w:color w:val="000000" w:themeColor="text1"/>
                <w:sz w:val="18"/>
                <w:szCs w:val="24"/>
                <w:lang w:val="de-DE"/>
              </w:rPr>
              <w:t>.285 [.230, .334]</w:t>
            </w:r>
          </w:p>
        </w:tc>
        <w:tc>
          <w:tcPr>
            <w:tcW w:w="935" w:type="pct"/>
            <w:shd w:val="clear" w:color="000000" w:fill="FFFFFF"/>
            <w:noWrap/>
            <w:hideMark/>
          </w:tcPr>
          <w:p w14:paraId="2D7A0137" w14:textId="77777777" w:rsidR="006074D9" w:rsidRPr="00EB5D5F" w:rsidRDefault="006074D9" w:rsidP="00F93F00">
            <w:pPr>
              <w:suppressAutoHyphens w:val="0"/>
              <w:spacing w:line="480" w:lineRule="auto"/>
              <w:jc w:val="center"/>
              <w:rPr>
                <w:rFonts w:eastAsia="Times New Roman"/>
                <w:color w:val="000000" w:themeColor="text1"/>
                <w:sz w:val="18"/>
                <w:szCs w:val="24"/>
                <w:lang w:val="de-DE"/>
              </w:rPr>
            </w:pPr>
            <w:r w:rsidRPr="00EB5D5F">
              <w:rPr>
                <w:rFonts w:eastAsia="Times New Roman"/>
                <w:color w:val="000000" w:themeColor="text1"/>
                <w:sz w:val="18"/>
                <w:szCs w:val="24"/>
                <w:lang w:val="de-DE"/>
              </w:rPr>
              <w:t>.674 [.639, .706]</w:t>
            </w:r>
          </w:p>
        </w:tc>
        <w:tc>
          <w:tcPr>
            <w:tcW w:w="687" w:type="pct"/>
            <w:shd w:val="clear" w:color="000000" w:fill="FFFFFF"/>
            <w:noWrap/>
            <w:hideMark/>
          </w:tcPr>
          <w:p w14:paraId="3C8D7951" w14:textId="77777777" w:rsidR="006074D9" w:rsidRPr="00EB5D5F" w:rsidRDefault="006074D9" w:rsidP="00F93F00">
            <w:pPr>
              <w:suppressAutoHyphens w:val="0"/>
              <w:spacing w:line="480" w:lineRule="auto"/>
              <w:jc w:val="center"/>
              <w:rPr>
                <w:rFonts w:eastAsia="Times New Roman"/>
                <w:color w:val="000000" w:themeColor="text1"/>
                <w:sz w:val="18"/>
                <w:szCs w:val="24"/>
                <w:lang w:val="de-DE"/>
              </w:rPr>
            </w:pPr>
            <w:r w:rsidRPr="00EB5D5F">
              <w:rPr>
                <w:rFonts w:eastAsia="Times New Roman"/>
                <w:color w:val="000000" w:themeColor="text1"/>
                <w:sz w:val="18"/>
                <w:szCs w:val="24"/>
                <w:lang w:val="de-DE"/>
              </w:rPr>
              <w:t>1</w:t>
            </w:r>
          </w:p>
        </w:tc>
      </w:tr>
    </w:tbl>
    <w:p w14:paraId="72D50DEE" w14:textId="6A4EF5CB" w:rsidR="006074D9" w:rsidRPr="00EB5D5F" w:rsidRDefault="006074D9">
      <w:pPr>
        <w:spacing w:line="240" w:lineRule="auto"/>
        <w:rPr>
          <w:sz w:val="20"/>
          <w:szCs w:val="20"/>
          <w:lang w:val="en-US"/>
        </w:rPr>
      </w:pPr>
      <w:r w:rsidRPr="00EB5D5F">
        <w:rPr>
          <w:i/>
          <w:sz w:val="20"/>
          <w:szCs w:val="20"/>
          <w:lang w:val="en-US"/>
        </w:rPr>
        <w:t>Note</w:t>
      </w:r>
      <w:r w:rsidRPr="00EB5D5F">
        <w:rPr>
          <w:sz w:val="20"/>
          <w:szCs w:val="20"/>
          <w:lang w:val="en-US"/>
        </w:rPr>
        <w:t>. Spearman rho is presented for associations between continuous CTQ subscales</w:t>
      </w:r>
      <w:r w:rsidR="00F93F00" w:rsidRPr="00EB5D5F">
        <w:rPr>
          <w:sz w:val="20"/>
          <w:szCs w:val="20"/>
          <w:lang w:val="en-US"/>
        </w:rPr>
        <w:t>. Bootstrapped (N=1000 samples) bias-corrected and accelerated (</w:t>
      </w:r>
      <w:proofErr w:type="spellStart"/>
      <w:r w:rsidR="00F93F00" w:rsidRPr="00EB5D5F">
        <w:rPr>
          <w:sz w:val="20"/>
          <w:szCs w:val="20"/>
          <w:lang w:val="en-US"/>
        </w:rPr>
        <w:t>BCa</w:t>
      </w:r>
      <w:proofErr w:type="spellEnd"/>
      <w:r w:rsidR="00F93F00" w:rsidRPr="00EB5D5F">
        <w:rPr>
          <w:sz w:val="20"/>
          <w:szCs w:val="20"/>
          <w:lang w:val="en-US"/>
        </w:rPr>
        <w:t xml:space="preserve">) 95% confidence intervals for rho are presented in brackets. </w:t>
      </w:r>
      <w:r w:rsidRPr="00EB5D5F">
        <w:rPr>
          <w:sz w:val="20"/>
          <w:szCs w:val="20"/>
          <w:lang w:val="en-US"/>
        </w:rPr>
        <w:t xml:space="preserve">EA, emotional abuse; PA, physical abuse; SA, sexual abuse; EN, emotional neglect; PN, physical neglect. </w:t>
      </w:r>
    </w:p>
    <w:p w14:paraId="15CFAA68" w14:textId="7F5B7644" w:rsidR="006074D9" w:rsidRPr="00EB5D5F" w:rsidRDefault="006074D9">
      <w:pPr>
        <w:spacing w:line="240" w:lineRule="auto"/>
        <w:rPr>
          <w:lang w:val="en-US"/>
        </w:rPr>
      </w:pPr>
      <w:r w:rsidRPr="00EB5D5F">
        <w:rPr>
          <w:lang w:val="en-US"/>
        </w:rPr>
        <w:br w:type="page"/>
      </w:r>
    </w:p>
    <w:p w14:paraId="783F1745" w14:textId="0F785132" w:rsidR="009836BA" w:rsidRPr="00EB5D5F" w:rsidRDefault="00D362C7">
      <w:pPr>
        <w:spacing w:after="160" w:line="252" w:lineRule="auto"/>
        <w:rPr>
          <w:lang w:val="en-US"/>
        </w:rPr>
      </w:pPr>
      <w:r w:rsidRPr="00EB5D5F">
        <w:rPr>
          <w:noProof/>
          <w:lang w:val="de-DE"/>
        </w:rPr>
        <w:lastRenderedPageBreak/>
        <w:drawing>
          <wp:inline distT="0" distB="0" distL="0" distR="0" wp14:anchorId="59D2832F" wp14:editId="7BFF8D85">
            <wp:extent cx="4237990" cy="2478405"/>
            <wp:effectExtent l="0" t="0" r="0" b="0"/>
            <wp:docPr id="1" name="Grafik 1" descr="Figure_all_R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Figure_all_ROIs"/>
                    <pic:cNvPicPr>
                      <a:picLocks noChangeAspect="1" noChangeArrowheads="1"/>
                    </pic:cNvPicPr>
                  </pic:nvPicPr>
                  <pic:blipFill>
                    <a:blip r:embed="rId14"/>
                    <a:stretch>
                      <a:fillRect/>
                    </a:stretch>
                  </pic:blipFill>
                  <pic:spPr bwMode="auto">
                    <a:xfrm>
                      <a:off x="0" y="0"/>
                      <a:ext cx="4237990" cy="2478405"/>
                    </a:xfrm>
                    <a:prstGeom prst="rect">
                      <a:avLst/>
                    </a:prstGeom>
                  </pic:spPr>
                </pic:pic>
              </a:graphicData>
            </a:graphic>
          </wp:inline>
        </w:drawing>
      </w:r>
    </w:p>
    <w:p w14:paraId="276C97E5" w14:textId="706A6A7D" w:rsidR="009836BA" w:rsidRPr="00EB5D5F" w:rsidRDefault="00D362C7">
      <w:pPr>
        <w:spacing w:after="160" w:line="259" w:lineRule="auto"/>
        <w:rPr>
          <w:lang w:val="en-US"/>
        </w:rPr>
      </w:pPr>
      <w:r w:rsidRPr="00EB5D5F">
        <w:rPr>
          <w:lang w:val="en-US"/>
        </w:rPr>
        <w:t xml:space="preserve">Figure S1. Regions of interest (ROIs) from the Automated Anatomical Labelling Atlas version 3 </w:t>
      </w:r>
      <w:r w:rsidRPr="00EB5D5F">
        <w:fldChar w:fldCharType="begin" w:fldLock="1"/>
      </w:r>
      <w:r w:rsidRPr="00EB5D5F">
        <w:rPr>
          <w:lang w:val="en-US"/>
        </w:rPr>
        <w:instrText>ADDIN CSL_CITATION {"citationItems":[{"id":"ITEM-1","itemData":{"DOI":"10.1016/j.neuroimage.2019.116189","ISSN":"10959572","PMID":"31521825","abstract":"Following a first version AAL of the automated anatomical labeling atlas (Tzourio-Mazoyer et al., 2002), a second version (AAL2) (Rolls et al., 2015) was developed that provided an alternative parcellation of the orbitofrontal cortex following the description provided by Chiavaras, Petrides, and colleagues. We now provide a third version, AAL3, which adds a number of brain areas not previously defined, but of interest in many neuroimaging investigations. The 26 new areas in the third version are subdivision of the anterior cingulate cortex into subgenual, pregenual and supracallosal parts; subdivision of the thalamus into 15 parts; the nucleus accumbens, substantia nigra, ventral tegmental area, red nucleus, locus coeruleus, and raphe nuclei. The new atlas is available as a toolbox for SPM, and can be used with MRIcron.","author":[{"dropping-particle":"","family":"Rolls","given":"Edmund T.","non-dropping-particle":"","parse-names":false,"suffix":""},{"dropping-particle":"","family":"Huang","given":"Chu Chung","non-dropping-particle":"","parse-names":false,"suffix":""},{"dropping-particle":"","family":"Lin","given":"Ching Po","non-dropping-particle":"","parse-names":false,"suffix":""},{"dropping-particle":"","family":"Feng","given":"Jianfeng","non-dropping-particle":"","parse-names":false,"suffix":""},{"dropping-particle":"","family":"Joliot","given":"Marc","non-dropping-particle":"","parse-names":false,"suffix":""}],"container-title":"NeuroImage","id":"ITEM-1","issue":"August 2019","issued":{"date-parts":[["2020"]]},"page":"116189","publisher":"Elsevier Ltd","title":"Automated anatomical labelling atlas 3","type":"article-journal","volume":"206"},"uris":["http://www.mendeley.com/documents/?uuid=4cddac4a-7195-4e13-9278-b0a2446c4f88"]}],"mendeley":{"formattedCitation":"(Rolls, Huang, Lin, Feng, &amp; Joliot, 2020)","plainTextFormattedCitation":"(Rolls, Huang, Lin, Feng, &amp; Joliot, 2020)","previouslyFormattedCitation":"(Rolls, Huang, Lin, Feng, &amp; Joliot, 2020)"},"properties":{"noteIndex":0},"schema":"https://github.com/citation-style-language/schema/raw/master/csl-citation.json"}</w:instrText>
      </w:r>
      <w:r w:rsidRPr="00EB5D5F">
        <w:rPr>
          <w:lang w:val="en-US"/>
        </w:rPr>
        <w:fldChar w:fldCharType="separate"/>
      </w:r>
      <w:r w:rsidRPr="00EB5D5F">
        <w:rPr>
          <w:noProof/>
          <w:lang w:val="en-US"/>
        </w:rPr>
        <w:t>(Rolls, Huang, Lin, Feng, &amp; Joliot, 2020)</w:t>
      </w:r>
      <w:r w:rsidRPr="00EB5D5F">
        <w:rPr>
          <w:lang w:val="en-US"/>
        </w:rPr>
        <w:fldChar w:fldCharType="end"/>
      </w:r>
      <w:r w:rsidRPr="00EB5D5F">
        <w:rPr>
          <w:lang w:val="en-US"/>
        </w:rPr>
        <w:t xml:space="preserve"> that were used as seed regions in the present study.</w:t>
      </w:r>
      <w:r w:rsidR="001E3A47" w:rsidRPr="00EB5D5F">
        <w:rPr>
          <w:lang w:val="en-US"/>
        </w:rPr>
        <w:t xml:space="preserve"> All depicted ROIs were defined separately for the left and right hemisphere, thus resulting in a total of 10 ROIs.</w:t>
      </w:r>
      <w:r w:rsidRPr="00EB5D5F">
        <w:rPr>
          <w:lang w:val="en-US"/>
        </w:rPr>
        <w:t xml:space="preserve"> Slice positions are presented as x-coordinates</w:t>
      </w:r>
      <w:r w:rsidR="00606A27" w:rsidRPr="00EB5D5F">
        <w:rPr>
          <w:lang w:val="en-US"/>
        </w:rPr>
        <w:t xml:space="preserve"> in MNI-space</w:t>
      </w:r>
      <w:r w:rsidRPr="00EB5D5F">
        <w:rPr>
          <w:lang w:val="en-US"/>
        </w:rPr>
        <w:t xml:space="preserve">. ROIs are depicted as follows: Cyan, hippocampus; red, amygdala; yellow, </w:t>
      </w:r>
      <w:proofErr w:type="spellStart"/>
      <w:r w:rsidRPr="00EB5D5F">
        <w:rPr>
          <w:lang w:val="en-US"/>
        </w:rPr>
        <w:t>supracallosal</w:t>
      </w:r>
      <w:proofErr w:type="spellEnd"/>
      <w:r w:rsidRPr="00EB5D5F">
        <w:rPr>
          <w:lang w:val="en-US"/>
        </w:rPr>
        <w:t xml:space="preserve"> anterior cingulate cortex (ACC); dark blue, pregenual ACC; green, </w:t>
      </w:r>
      <w:proofErr w:type="spellStart"/>
      <w:r w:rsidRPr="00EB5D5F">
        <w:rPr>
          <w:lang w:val="en-US"/>
        </w:rPr>
        <w:t>subgenu</w:t>
      </w:r>
      <w:r w:rsidR="00983792" w:rsidRPr="00EB5D5F">
        <w:rPr>
          <w:lang w:val="en-US"/>
        </w:rPr>
        <w:t>a</w:t>
      </w:r>
      <w:r w:rsidRPr="00EB5D5F">
        <w:rPr>
          <w:lang w:val="en-US"/>
        </w:rPr>
        <w:t>l</w:t>
      </w:r>
      <w:proofErr w:type="spellEnd"/>
      <w:r w:rsidRPr="00EB5D5F">
        <w:rPr>
          <w:lang w:val="en-US"/>
        </w:rPr>
        <w:t xml:space="preserve"> ACC. </w:t>
      </w:r>
      <w:r w:rsidRPr="00EB5D5F">
        <w:rPr>
          <w:lang w:val="en-US"/>
        </w:rPr>
        <w:br w:type="page"/>
      </w:r>
    </w:p>
    <w:p w14:paraId="0C0C0057" w14:textId="77777777" w:rsidR="009836BA" w:rsidRPr="00EB5D5F" w:rsidRDefault="00D362C7">
      <w:pPr>
        <w:rPr>
          <w:lang w:val="en-US"/>
        </w:rPr>
      </w:pPr>
      <w:r w:rsidRPr="00EB5D5F">
        <w:rPr>
          <w:noProof/>
          <w:lang w:val="de-DE"/>
        </w:rPr>
        <w:lastRenderedPageBreak/>
        <w:drawing>
          <wp:inline distT="0" distB="0" distL="0" distR="0" wp14:anchorId="15E5134A" wp14:editId="1021CDFC">
            <wp:extent cx="5760720" cy="3378835"/>
            <wp:effectExtent l="0" t="0" r="0" b="0"/>
            <wp:docPr id="2" name="Grafik 3" descr="W:\NAE\SPM\2ndLevel_JanikG\CTQ-rsFC_NilsJanik\Results\Figures_findings\CTQ_distributions\ctq_histogram_hc_m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3" descr="W:\NAE\SPM\2ndLevel_JanikG\CTQ-rsFC_NilsJanik\Results\Figures_findings\CTQ_distributions\ctq_histogram_hc_mdd.png"/>
                    <pic:cNvPicPr>
                      <a:picLocks noChangeAspect="1" noChangeArrowheads="1"/>
                    </pic:cNvPicPr>
                  </pic:nvPicPr>
                  <pic:blipFill>
                    <a:blip r:embed="rId15"/>
                    <a:stretch>
                      <a:fillRect/>
                    </a:stretch>
                  </pic:blipFill>
                  <pic:spPr bwMode="auto">
                    <a:xfrm>
                      <a:off x="0" y="0"/>
                      <a:ext cx="5760720" cy="3378835"/>
                    </a:xfrm>
                    <a:prstGeom prst="rect">
                      <a:avLst/>
                    </a:prstGeom>
                  </pic:spPr>
                </pic:pic>
              </a:graphicData>
            </a:graphic>
          </wp:inline>
        </w:drawing>
      </w:r>
    </w:p>
    <w:p w14:paraId="4375BC68" w14:textId="77777777" w:rsidR="009836BA" w:rsidRDefault="00D362C7">
      <w:pPr>
        <w:rPr>
          <w:lang w:val="en-US"/>
        </w:rPr>
      </w:pPr>
      <w:r w:rsidRPr="00EB5D5F">
        <w:rPr>
          <w:lang w:val="en-US"/>
        </w:rPr>
        <w:t>Figure S2. Histogram displaying the distribution of CTQ sum scores across MDD and HC subgroups. CTQ, childhood trauma questionnaire; MDD, major depressive disorder; HC, healthy controls.</w:t>
      </w:r>
      <w:r>
        <w:rPr>
          <w:lang w:val="en-US"/>
        </w:rPr>
        <w:t xml:space="preserve"> </w:t>
      </w:r>
    </w:p>
    <w:p w14:paraId="16C9C178" w14:textId="77777777" w:rsidR="009836BA" w:rsidRDefault="009836BA">
      <w:pPr>
        <w:rPr>
          <w:lang w:val="en-US"/>
        </w:rPr>
      </w:pPr>
    </w:p>
    <w:p w14:paraId="550FCA58" w14:textId="33192D28" w:rsidR="00BA1534" w:rsidRDefault="00BA1534">
      <w:pPr>
        <w:spacing w:line="240" w:lineRule="auto"/>
        <w:rPr>
          <w:lang w:val="en-US"/>
        </w:rPr>
      </w:pPr>
      <w:r>
        <w:rPr>
          <w:lang w:val="en-US"/>
        </w:rPr>
        <w:br w:type="page"/>
      </w:r>
    </w:p>
    <w:p w14:paraId="57543AFC" w14:textId="77777777" w:rsidR="00BA1534" w:rsidRDefault="00BA1534">
      <w:pPr>
        <w:rPr>
          <w:lang w:val="en-US"/>
        </w:rPr>
      </w:pPr>
    </w:p>
    <w:p w14:paraId="67E6139F" w14:textId="703C60A3" w:rsidR="009836BA" w:rsidRDefault="00BA1534">
      <w:pPr>
        <w:rPr>
          <w:lang w:val="en-US"/>
        </w:rPr>
      </w:pPr>
      <w:r w:rsidRPr="00BA1534">
        <w:rPr>
          <w:noProof/>
          <w:lang w:val="de-DE"/>
        </w:rPr>
        <w:drawing>
          <wp:anchor distT="0" distB="0" distL="114300" distR="114300" simplePos="0" relativeHeight="251658240" behindDoc="0" locked="0" layoutInCell="1" allowOverlap="1" wp14:anchorId="7B78A686" wp14:editId="6A000388">
            <wp:simplePos x="0" y="0"/>
            <wp:positionH relativeFrom="column">
              <wp:posOffset>-5080</wp:posOffset>
            </wp:positionH>
            <wp:positionV relativeFrom="paragraph">
              <wp:posOffset>185420</wp:posOffset>
            </wp:positionV>
            <wp:extent cx="4733925" cy="5576570"/>
            <wp:effectExtent l="0" t="0" r="9525" b="5080"/>
            <wp:wrapTopAndBottom/>
            <wp:docPr id="8" name="Grafik 8" descr="W:\NAE\SPM\2ndLevel_JanikG\CTQ-rsFC_NilsJanik\Results\Figures_findings\comorbidities\figure_comorbid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NAE\SPM\2ndLevel_JanikG\CTQ-rsFC_NilsJanik\Results\Figures_findings\comorbidities\figure_comorbidities.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33925" cy="5576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9256FF" w14:textId="526F6B98" w:rsidR="0024404F" w:rsidRDefault="00BA1534">
      <w:pPr>
        <w:rPr>
          <w:lang w:val="en-US"/>
        </w:rPr>
      </w:pPr>
      <w:r w:rsidRPr="0036173E">
        <w:rPr>
          <w:lang w:val="en-US"/>
        </w:rPr>
        <w:t>Figure S3.</w:t>
      </w:r>
      <w:r w:rsidR="0024404F" w:rsidRPr="0036173E">
        <w:rPr>
          <w:lang w:val="en-US"/>
        </w:rPr>
        <w:t xml:space="preserve"> Extracted cluster </w:t>
      </w:r>
      <w:proofErr w:type="spellStart"/>
      <w:r w:rsidR="0024404F" w:rsidRPr="0036173E">
        <w:rPr>
          <w:lang w:val="en-US"/>
        </w:rPr>
        <w:t>connectivities</w:t>
      </w:r>
      <w:proofErr w:type="spellEnd"/>
      <w:r w:rsidR="0024404F" w:rsidRPr="0036173E">
        <w:rPr>
          <w:lang w:val="en-US"/>
        </w:rPr>
        <w:t xml:space="preserve"> between the right amygdala seed ROI and the dorsolateral prefrontal cluster across comorbidity groups with</w:t>
      </w:r>
      <w:r w:rsidR="00257871" w:rsidRPr="0036173E">
        <w:rPr>
          <w:lang w:val="en-US"/>
        </w:rPr>
        <w:t>in</w:t>
      </w:r>
      <w:r w:rsidR="0024404F" w:rsidRPr="0036173E">
        <w:rPr>
          <w:lang w:val="en-US"/>
        </w:rPr>
        <w:t xml:space="preserve"> the major depressive disorder sample. A) Association between CTQ sum and cluster connectivity across comorbidity groups. B) </w:t>
      </w:r>
      <w:r w:rsidR="004D5901" w:rsidRPr="0036173E">
        <w:rPr>
          <w:lang w:val="en-US"/>
        </w:rPr>
        <w:t xml:space="preserve">Boxplot of </w:t>
      </w:r>
      <w:r w:rsidR="0024404F" w:rsidRPr="0036173E">
        <w:rPr>
          <w:lang w:val="en-US"/>
        </w:rPr>
        <w:t>cluster connectivity across comorbidity groups. The gray horizontal line represents a connectivity level of zero. MDD, major depressive disorder; CTQ, childhood trauma questionnaire.</w:t>
      </w:r>
    </w:p>
    <w:sectPr w:rsidR="0024404F">
      <w:pgSz w:w="11906" w:h="16838"/>
      <w:pgMar w:top="1417" w:right="1417" w:bottom="1134" w:left="1417"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7F21E" w14:textId="77777777" w:rsidR="00297130" w:rsidRDefault="00297130" w:rsidP="008317A8">
      <w:pPr>
        <w:spacing w:line="240" w:lineRule="auto"/>
      </w:pPr>
      <w:r>
        <w:separator/>
      </w:r>
    </w:p>
  </w:endnote>
  <w:endnote w:type="continuationSeparator" w:id="0">
    <w:p w14:paraId="21422162" w14:textId="77777777" w:rsidR="00297130" w:rsidRDefault="00297130" w:rsidP="008317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08A8" w14:textId="77777777" w:rsidR="00633309" w:rsidRDefault="006333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A447" w14:textId="77777777" w:rsidR="00633309" w:rsidRDefault="0063330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FA59" w14:textId="77777777" w:rsidR="00633309" w:rsidRDefault="006333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E72F6" w14:textId="77777777" w:rsidR="00297130" w:rsidRDefault="00297130" w:rsidP="008317A8">
      <w:pPr>
        <w:spacing w:line="240" w:lineRule="auto"/>
      </w:pPr>
      <w:r>
        <w:separator/>
      </w:r>
    </w:p>
  </w:footnote>
  <w:footnote w:type="continuationSeparator" w:id="0">
    <w:p w14:paraId="7685F7CB" w14:textId="77777777" w:rsidR="00297130" w:rsidRDefault="00297130" w:rsidP="008317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B862C" w14:textId="77777777" w:rsidR="00633309" w:rsidRDefault="006333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671632"/>
      <w:docPartObj>
        <w:docPartGallery w:val="Page Numbers (Top of Page)"/>
        <w:docPartUnique/>
      </w:docPartObj>
    </w:sdtPr>
    <w:sdtEndPr/>
    <w:sdtContent>
      <w:p w14:paraId="33791173" w14:textId="77777777" w:rsidR="00633309" w:rsidRDefault="00633309">
        <w:pPr>
          <w:pStyle w:val="Kopfzeile"/>
          <w:jc w:val="right"/>
        </w:pPr>
      </w:p>
      <w:p w14:paraId="7F5BC1A5" w14:textId="77777777" w:rsidR="00633309" w:rsidRDefault="00633309">
        <w:pPr>
          <w:pStyle w:val="Kopfzeile"/>
          <w:jc w:val="right"/>
        </w:pPr>
      </w:p>
      <w:p w14:paraId="37B3661E" w14:textId="4533D326" w:rsidR="00633309" w:rsidRDefault="00633309">
        <w:pPr>
          <w:pStyle w:val="Kopfzeile"/>
          <w:jc w:val="right"/>
        </w:pPr>
        <w:r>
          <w:fldChar w:fldCharType="begin"/>
        </w:r>
        <w:r>
          <w:instrText>PAGE   \* MERGEFORMAT</w:instrText>
        </w:r>
        <w:r>
          <w:fldChar w:fldCharType="separate"/>
        </w:r>
        <w:r w:rsidR="00257871" w:rsidRPr="00257871">
          <w:rPr>
            <w:noProof/>
            <w:lang w:val="de-DE"/>
          </w:rPr>
          <w:t>19</w:t>
        </w:r>
        <w:r>
          <w:fldChar w:fldCharType="end"/>
        </w:r>
      </w:p>
    </w:sdtContent>
  </w:sdt>
  <w:p w14:paraId="6824FE3D" w14:textId="6E3A5CF3" w:rsidR="00633309" w:rsidRPr="008317A8" w:rsidRDefault="00633309" w:rsidP="008317A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9E8E" w14:textId="77777777" w:rsidR="00633309" w:rsidRDefault="0063330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6BA"/>
    <w:rsid w:val="00033D8B"/>
    <w:rsid w:val="00040907"/>
    <w:rsid w:val="000660D1"/>
    <w:rsid w:val="00070838"/>
    <w:rsid w:val="000B3AE2"/>
    <w:rsid w:val="000B53B8"/>
    <w:rsid w:val="000D142A"/>
    <w:rsid w:val="00114DFE"/>
    <w:rsid w:val="00115DF9"/>
    <w:rsid w:val="001704AF"/>
    <w:rsid w:val="00184CCB"/>
    <w:rsid w:val="001B34AB"/>
    <w:rsid w:val="001D3AC4"/>
    <w:rsid w:val="001E374D"/>
    <w:rsid w:val="001E3A47"/>
    <w:rsid w:val="001F4BA6"/>
    <w:rsid w:val="0024404F"/>
    <w:rsid w:val="00257871"/>
    <w:rsid w:val="0027628D"/>
    <w:rsid w:val="00293597"/>
    <w:rsid w:val="00297130"/>
    <w:rsid w:val="002B717A"/>
    <w:rsid w:val="002C3F99"/>
    <w:rsid w:val="002E0999"/>
    <w:rsid w:val="002E1A4B"/>
    <w:rsid w:val="002F7167"/>
    <w:rsid w:val="00341758"/>
    <w:rsid w:val="0036173E"/>
    <w:rsid w:val="003A3876"/>
    <w:rsid w:val="003A3F9A"/>
    <w:rsid w:val="003D7B37"/>
    <w:rsid w:val="004077B5"/>
    <w:rsid w:val="00430466"/>
    <w:rsid w:val="0047450D"/>
    <w:rsid w:val="004D5901"/>
    <w:rsid w:val="005136CD"/>
    <w:rsid w:val="0054372E"/>
    <w:rsid w:val="00581793"/>
    <w:rsid w:val="00582586"/>
    <w:rsid w:val="005C654E"/>
    <w:rsid w:val="005F4B9B"/>
    <w:rsid w:val="00606A27"/>
    <w:rsid w:val="006074D9"/>
    <w:rsid w:val="0062733D"/>
    <w:rsid w:val="00633309"/>
    <w:rsid w:val="006A1E2A"/>
    <w:rsid w:val="006C5F3A"/>
    <w:rsid w:val="007100E9"/>
    <w:rsid w:val="00733661"/>
    <w:rsid w:val="0073511B"/>
    <w:rsid w:val="007553AF"/>
    <w:rsid w:val="007A6F6C"/>
    <w:rsid w:val="008317A8"/>
    <w:rsid w:val="00834554"/>
    <w:rsid w:val="00890E15"/>
    <w:rsid w:val="008D2D5A"/>
    <w:rsid w:val="008E512E"/>
    <w:rsid w:val="0091677C"/>
    <w:rsid w:val="00940B10"/>
    <w:rsid w:val="009411AA"/>
    <w:rsid w:val="009443A2"/>
    <w:rsid w:val="00976D97"/>
    <w:rsid w:val="009836BA"/>
    <w:rsid w:val="00983792"/>
    <w:rsid w:val="00986FA7"/>
    <w:rsid w:val="00A130ED"/>
    <w:rsid w:val="00A56817"/>
    <w:rsid w:val="00A74E0C"/>
    <w:rsid w:val="00A832D4"/>
    <w:rsid w:val="00B026E4"/>
    <w:rsid w:val="00BA1534"/>
    <w:rsid w:val="00BA4182"/>
    <w:rsid w:val="00BA52D4"/>
    <w:rsid w:val="00BB29CF"/>
    <w:rsid w:val="00BD6592"/>
    <w:rsid w:val="00C208B0"/>
    <w:rsid w:val="00C2397F"/>
    <w:rsid w:val="00C4066D"/>
    <w:rsid w:val="00C77CB6"/>
    <w:rsid w:val="00C91996"/>
    <w:rsid w:val="00CC7FAD"/>
    <w:rsid w:val="00D00A8B"/>
    <w:rsid w:val="00D362C7"/>
    <w:rsid w:val="00D4543E"/>
    <w:rsid w:val="00D516B8"/>
    <w:rsid w:val="00D544EC"/>
    <w:rsid w:val="00D5758D"/>
    <w:rsid w:val="00D63393"/>
    <w:rsid w:val="00D720F3"/>
    <w:rsid w:val="00DA4DAF"/>
    <w:rsid w:val="00DB390A"/>
    <w:rsid w:val="00E03CB4"/>
    <w:rsid w:val="00E201FD"/>
    <w:rsid w:val="00E24EE0"/>
    <w:rsid w:val="00E2693C"/>
    <w:rsid w:val="00EB068D"/>
    <w:rsid w:val="00EB5D5F"/>
    <w:rsid w:val="00EC4A90"/>
    <w:rsid w:val="00EE5E42"/>
    <w:rsid w:val="00F31AC8"/>
    <w:rsid w:val="00F75748"/>
    <w:rsid w:val="00F91BC6"/>
    <w:rsid w:val="00F93F00"/>
    <w:rsid w:val="00FC5FF3"/>
    <w:rsid w:val="00FC6D8A"/>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87983"/>
  <w15:docId w15:val="{9C47ABB0-F288-0A41-A231-E6E9E028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5AF4"/>
    <w:pPr>
      <w:spacing w:line="276" w:lineRule="auto"/>
    </w:pPr>
    <w:rPr>
      <w:rFonts w:ascii="Arial" w:eastAsia="Arial" w:hAnsi="Arial" w:cs="Arial"/>
      <w:sz w:val="22"/>
      <w:lang w:val="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qFormat/>
    <w:rsid w:val="009A5AF4"/>
    <w:rPr>
      <w:sz w:val="16"/>
      <w:szCs w:val="16"/>
    </w:rPr>
  </w:style>
  <w:style w:type="character" w:styleId="Hyperlink">
    <w:name w:val="Hyperlink"/>
    <w:basedOn w:val="Absatz-Standardschriftart"/>
    <w:uiPriority w:val="99"/>
    <w:unhideWhenUsed/>
    <w:rsid w:val="000C5DE7"/>
    <w:rPr>
      <w:color w:val="0563C1" w:themeColor="hyperlink"/>
      <w:u w:val="single"/>
    </w:rPr>
  </w:style>
  <w:style w:type="character" w:customStyle="1" w:styleId="SprechblasentextZchn">
    <w:name w:val="Sprechblasentext Zchn"/>
    <w:basedOn w:val="Absatz-Standardschriftart"/>
    <w:link w:val="Sprechblasentext"/>
    <w:uiPriority w:val="99"/>
    <w:semiHidden/>
    <w:qFormat/>
    <w:rsid w:val="00F604DF"/>
    <w:rPr>
      <w:rFonts w:ascii="Segoe UI" w:eastAsia="Arial" w:hAnsi="Segoe UI" w:cs="Segoe UI"/>
      <w:sz w:val="18"/>
      <w:szCs w:val="18"/>
      <w:lang w:val="de" w:eastAsia="de-DE"/>
    </w:rPr>
  </w:style>
  <w:style w:type="character" w:customStyle="1" w:styleId="KommentartextZchn">
    <w:name w:val="Kommentartext Zchn"/>
    <w:basedOn w:val="Absatz-Standardschriftart"/>
    <w:link w:val="Kommentartext"/>
    <w:uiPriority w:val="99"/>
    <w:semiHidden/>
    <w:qFormat/>
    <w:rsid w:val="00CA7E13"/>
    <w:rPr>
      <w:rFonts w:ascii="Arial" w:eastAsia="Arial" w:hAnsi="Arial" w:cs="Arial"/>
      <w:sz w:val="20"/>
      <w:szCs w:val="20"/>
      <w:lang w:val="de" w:eastAsia="de-DE"/>
    </w:rPr>
  </w:style>
  <w:style w:type="character" w:customStyle="1" w:styleId="KommentarthemaZchn">
    <w:name w:val="Kommentarthema Zchn"/>
    <w:basedOn w:val="KommentartextZchn"/>
    <w:link w:val="Kommentarthema"/>
    <w:uiPriority w:val="99"/>
    <w:semiHidden/>
    <w:qFormat/>
    <w:rsid w:val="00CA7E13"/>
    <w:rPr>
      <w:rFonts w:ascii="Arial" w:eastAsia="Arial" w:hAnsi="Arial" w:cs="Arial"/>
      <w:b/>
      <w:bCs/>
      <w:sz w:val="20"/>
      <w:szCs w:val="20"/>
      <w:lang w:val="de" w:eastAsia="de-DE"/>
    </w:rPr>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styleId="Sprechblasentext">
    <w:name w:val="Balloon Text"/>
    <w:basedOn w:val="Standard"/>
    <w:link w:val="SprechblasentextZchn"/>
    <w:uiPriority w:val="99"/>
    <w:semiHidden/>
    <w:unhideWhenUsed/>
    <w:qFormat/>
    <w:rsid w:val="00F604DF"/>
    <w:pPr>
      <w:spacing w:line="240" w:lineRule="auto"/>
    </w:pPr>
    <w:rPr>
      <w:rFonts w:ascii="Segoe UI" w:hAnsi="Segoe UI" w:cs="Segoe UI"/>
      <w:sz w:val="18"/>
      <w:szCs w:val="18"/>
    </w:rPr>
  </w:style>
  <w:style w:type="paragraph" w:styleId="Kommentartext">
    <w:name w:val="annotation text"/>
    <w:basedOn w:val="Standard"/>
    <w:link w:val="KommentartextZchn"/>
    <w:uiPriority w:val="99"/>
    <w:semiHidden/>
    <w:unhideWhenUsed/>
    <w:qFormat/>
    <w:rsid w:val="00CA7E13"/>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CA7E13"/>
    <w:rPr>
      <w:b/>
      <w:bCs/>
    </w:rPr>
  </w:style>
  <w:style w:type="paragraph" w:styleId="berarbeitung">
    <w:name w:val="Revision"/>
    <w:uiPriority w:val="99"/>
    <w:semiHidden/>
    <w:qFormat/>
    <w:rsid w:val="00A622C3"/>
    <w:rPr>
      <w:rFonts w:ascii="Arial" w:eastAsia="Arial" w:hAnsi="Arial" w:cs="Arial"/>
      <w:sz w:val="22"/>
      <w:lang w:val="de" w:eastAsia="de-DE"/>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table" w:styleId="Tabellenraster">
    <w:name w:val="Table Grid"/>
    <w:basedOn w:val="NormaleTabelle"/>
    <w:uiPriority w:val="39"/>
    <w:rsid w:val="00E90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317A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317A8"/>
    <w:rPr>
      <w:rFonts w:ascii="Arial" w:eastAsia="Arial" w:hAnsi="Arial" w:cs="Arial"/>
      <w:sz w:val="22"/>
      <w:lang w:val="de" w:eastAsia="de-DE"/>
    </w:rPr>
  </w:style>
  <w:style w:type="paragraph" w:styleId="Fuzeile">
    <w:name w:val="footer"/>
    <w:basedOn w:val="Standard"/>
    <w:link w:val="FuzeileZchn"/>
    <w:uiPriority w:val="99"/>
    <w:unhideWhenUsed/>
    <w:rsid w:val="008317A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317A8"/>
    <w:rPr>
      <w:rFonts w:ascii="Arial" w:eastAsia="Arial" w:hAnsi="Arial" w:cs="Arial"/>
      <w:sz w:val="22"/>
      <w:lang w:val="de" w:eastAsia="de-DE"/>
    </w:rPr>
  </w:style>
  <w:style w:type="paragraph" w:styleId="StandardWeb">
    <w:name w:val="Normal (Web)"/>
    <w:basedOn w:val="Standard"/>
    <w:uiPriority w:val="99"/>
    <w:semiHidden/>
    <w:unhideWhenUsed/>
    <w:rsid w:val="00BA1534"/>
    <w:pPr>
      <w:suppressAutoHyphens w:val="0"/>
      <w:spacing w:before="100" w:beforeAutospacing="1" w:after="100" w:afterAutospacing="1" w:line="240" w:lineRule="auto"/>
    </w:pPr>
    <w:rPr>
      <w:rFonts w:ascii="Times New Roman" w:eastAsiaTheme="minorEastAsia" w:hAnsi="Times New Roman" w:cs="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592929">
      <w:bodyDiv w:val="1"/>
      <w:marLeft w:val="0"/>
      <w:marRight w:val="0"/>
      <w:marTop w:val="0"/>
      <w:marBottom w:val="0"/>
      <w:divBdr>
        <w:top w:val="none" w:sz="0" w:space="0" w:color="auto"/>
        <w:left w:val="none" w:sz="0" w:space="0" w:color="auto"/>
        <w:bottom w:val="none" w:sz="0" w:space="0" w:color="auto"/>
        <w:right w:val="none" w:sz="0" w:space="0" w:color="auto"/>
      </w:divBdr>
    </w:div>
    <w:div w:id="888951687">
      <w:bodyDiv w:val="1"/>
      <w:marLeft w:val="0"/>
      <w:marRight w:val="0"/>
      <w:marTop w:val="0"/>
      <w:marBottom w:val="0"/>
      <w:divBdr>
        <w:top w:val="none" w:sz="0" w:space="0" w:color="auto"/>
        <w:left w:val="none" w:sz="0" w:space="0" w:color="auto"/>
        <w:bottom w:val="none" w:sz="0" w:space="0" w:color="auto"/>
        <w:right w:val="none" w:sz="0" w:space="0" w:color="auto"/>
      </w:divBdr>
    </w:div>
    <w:div w:id="989208206">
      <w:bodyDiv w:val="1"/>
      <w:marLeft w:val="0"/>
      <w:marRight w:val="0"/>
      <w:marTop w:val="0"/>
      <w:marBottom w:val="0"/>
      <w:divBdr>
        <w:top w:val="none" w:sz="0" w:space="0" w:color="auto"/>
        <w:left w:val="none" w:sz="0" w:space="0" w:color="auto"/>
        <w:bottom w:val="none" w:sz="0" w:space="0" w:color="auto"/>
        <w:right w:val="none" w:sz="0" w:space="0" w:color="auto"/>
      </w:divBdr>
    </w:div>
    <w:div w:id="1418331645">
      <w:bodyDiv w:val="1"/>
      <w:marLeft w:val="0"/>
      <w:marRight w:val="0"/>
      <w:marTop w:val="0"/>
      <w:marBottom w:val="0"/>
      <w:divBdr>
        <w:top w:val="none" w:sz="0" w:space="0" w:color="auto"/>
        <w:left w:val="none" w:sz="0" w:space="0" w:color="auto"/>
        <w:bottom w:val="none" w:sz="0" w:space="0" w:color="auto"/>
        <w:right w:val="none" w:sz="0" w:space="0" w:color="auto"/>
      </w:divBdr>
    </w:div>
    <w:div w:id="1933657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b.conn-toolbox.org/"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719BC-F939-4DF6-B522-D1621291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12592</Words>
  <Characters>79334</Characters>
  <Application>Microsoft Office Word</Application>
  <DocSecurity>0</DocSecurity>
  <Lines>661</Lines>
  <Paragraphs>183</Paragraphs>
  <ScaleCrop>false</ScaleCrop>
  <HeadingPairs>
    <vt:vector size="2" baseType="variant">
      <vt:variant>
        <vt:lpstr>Titel</vt:lpstr>
      </vt:variant>
      <vt:variant>
        <vt:i4>1</vt:i4>
      </vt:variant>
    </vt:vector>
  </HeadingPairs>
  <TitlesOfParts>
    <vt:vector size="1" baseType="lpstr">
      <vt:lpstr/>
    </vt:vector>
  </TitlesOfParts>
  <Company>ITZFUL</Company>
  <LinksUpToDate>false</LinksUpToDate>
  <CharactersWithSpaces>91743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Goltermann, Janik</dc:creator>
  <dc:description/>
  <cp:lastModifiedBy>Janik Goltermann</cp:lastModifiedBy>
  <cp:revision>3</cp:revision>
  <dcterms:created xsi:type="dcterms:W3CDTF">2022-05-11T02:25:00Z</dcterms:created>
  <dcterms:modified xsi:type="dcterms:W3CDTF">2022-05-11T02:26:00Z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ITZFUL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ndeley Citation Style_1">
    <vt:lpwstr>http://www.zotero.org/styles/apa-6th-edition</vt:lpwstr>
  </property>
  <property fmtid="{D5CDD505-2E9C-101B-9397-08002B2CF9AE}" pid="8" name="Mendeley Document_1">
    <vt:lpwstr>True</vt:lpwstr>
  </property>
  <property fmtid="{D5CDD505-2E9C-101B-9397-08002B2CF9AE}" pid="9" name="Mendeley Recent Style Id 0_1">
    <vt:lpwstr>http://www.zotero.org/styles/american-medical-association</vt:lpwstr>
  </property>
  <property fmtid="{D5CDD505-2E9C-101B-9397-08002B2CF9AE}" pid="10" name="Mendeley Recent Style Id 1_1">
    <vt:lpwstr>http://www.zotero.org/styles/apa-6th-edition</vt:lpwstr>
  </property>
  <property fmtid="{D5CDD505-2E9C-101B-9397-08002B2CF9AE}" pid="11" name="Mendeley Recent Style Id 2_1">
    <vt:lpwstr>http://www.zotero.org/styles/apa</vt:lpwstr>
  </property>
  <property fmtid="{D5CDD505-2E9C-101B-9397-08002B2CF9AE}" pid="12" name="Mendeley Recent Style Id 3_1">
    <vt:lpwstr>http://www.zotero.org/styles/biological-psychiatry</vt:lpwstr>
  </property>
  <property fmtid="{D5CDD505-2E9C-101B-9397-08002B2CF9AE}" pid="13" name="Mendeley Recent Style Id 4_1">
    <vt:lpwstr>http://www.zotero.org/styles/journal-of-affective-disorders</vt:lpwstr>
  </property>
  <property fmtid="{D5CDD505-2E9C-101B-9397-08002B2CF9AE}" pid="14" name="Mendeley Recent Style Id 5_1">
    <vt:lpwstr>http://csl.mendeley.com/styles/519506791/Molecular-nospace</vt:lpwstr>
  </property>
  <property fmtid="{D5CDD505-2E9C-101B-9397-08002B2CF9AE}" pid="15" name="Mendeley Recent Style Id 6_1">
    <vt:lpwstr>http://www.zotero.org/styles/scandinavian-journal-of-rheumatology</vt:lpwstr>
  </property>
  <property fmtid="{D5CDD505-2E9C-101B-9397-08002B2CF9AE}" pid="16" name="Mendeley Recent Style Id 7_1">
    <vt:lpwstr>http://csl.mendeley.com/styles/33732/the-american-journal-of-psychiatry-3</vt:lpwstr>
  </property>
  <property fmtid="{D5CDD505-2E9C-101B-9397-08002B2CF9AE}" pid="17" name="Mendeley Recent Style Id 8_1">
    <vt:lpwstr>http://www.zotero.org/styles/the-lancet-neurology</vt:lpwstr>
  </property>
  <property fmtid="{D5CDD505-2E9C-101B-9397-08002B2CF9AE}" pid="18" name="Mendeley Recent Style Id 9_1">
    <vt:lpwstr>http://www.zotero.org/styles/vancouver</vt:lpwstr>
  </property>
  <property fmtid="{D5CDD505-2E9C-101B-9397-08002B2CF9AE}" pid="19" name="Mendeley Recent Style Name 0_1">
    <vt:lpwstr>American Medical Association</vt:lpwstr>
  </property>
  <property fmtid="{D5CDD505-2E9C-101B-9397-08002B2CF9AE}" pid="20" name="Mendeley Recent Style Name 1_1">
    <vt:lpwstr>American Psychological Association 6th edition</vt:lpwstr>
  </property>
  <property fmtid="{D5CDD505-2E9C-101B-9397-08002B2CF9AE}" pid="21" name="Mendeley Recent Style Name 2_1">
    <vt:lpwstr>American Psychological Association 7th edition</vt:lpwstr>
  </property>
  <property fmtid="{D5CDD505-2E9C-101B-9397-08002B2CF9AE}" pid="22" name="Mendeley Recent Style Name 3_1">
    <vt:lpwstr>Biological Psychiatry</vt:lpwstr>
  </property>
  <property fmtid="{D5CDD505-2E9C-101B-9397-08002B2CF9AE}" pid="23" name="Mendeley Recent Style Name 4_1">
    <vt:lpwstr>Journal of Affective Disorders</vt:lpwstr>
  </property>
  <property fmtid="{D5CDD505-2E9C-101B-9397-08002B2CF9AE}" pid="24" name="Mendeley Recent Style Name 5_1">
    <vt:lpwstr>Nature Publishing Group - Vancouver - Janik Goltermann</vt:lpwstr>
  </property>
  <property fmtid="{D5CDD505-2E9C-101B-9397-08002B2CF9AE}" pid="25" name="Mendeley Recent Style Name 6_1">
    <vt:lpwstr>Scandinavian Journal of Rheumatology</vt:lpwstr>
  </property>
  <property fmtid="{D5CDD505-2E9C-101B-9397-08002B2CF9AE}" pid="26" name="Mendeley Recent Style Name 7_1">
    <vt:lpwstr>The American Journal of Psychiatry - Udo Dannlowski</vt:lpwstr>
  </property>
  <property fmtid="{D5CDD505-2E9C-101B-9397-08002B2CF9AE}" pid="27" name="Mendeley Recent Style Name 8_1">
    <vt:lpwstr>The Lancet Neurology</vt:lpwstr>
  </property>
  <property fmtid="{D5CDD505-2E9C-101B-9397-08002B2CF9AE}" pid="28" name="Mendeley Recent Style Name 9_1">
    <vt:lpwstr>Vancouver</vt:lpwstr>
  </property>
  <property fmtid="{D5CDD505-2E9C-101B-9397-08002B2CF9AE}" pid="29" name="Mendeley Unique User Id_1">
    <vt:lpwstr>23cadb71-f043-3d7f-9759-c47d50312598</vt:lpwstr>
  </property>
  <property fmtid="{D5CDD505-2E9C-101B-9397-08002B2CF9AE}" pid="30" name="ScaleCrop">
    <vt:bool>false</vt:bool>
  </property>
  <property fmtid="{D5CDD505-2E9C-101B-9397-08002B2CF9AE}" pid="31" name="ShareDoc">
    <vt:bool>false</vt:bool>
  </property>
</Properties>
</file>