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AB573" w14:textId="13CDE19D" w:rsidR="007F61AD" w:rsidRPr="007F61AD" w:rsidRDefault="004D115D" w:rsidP="007F61AD">
      <w:pPr>
        <w:spacing w:line="240" w:lineRule="auto"/>
        <w:jc w:val="center"/>
        <w:rPr>
          <w:rFonts w:ascii="Times New Roman" w:hAnsi="Times New Roman" w:cs="Times New Roman"/>
          <w:b/>
          <w:bCs/>
          <w:sz w:val="20"/>
          <w:szCs w:val="20"/>
          <w:u w:val="single"/>
          <w:lang w:val="en-US"/>
        </w:rPr>
      </w:pPr>
      <w:r w:rsidRPr="00D44D25">
        <w:rPr>
          <w:rFonts w:ascii="Times New Roman" w:hAnsi="Times New Roman" w:cs="Times New Roman"/>
          <w:b/>
          <w:bCs/>
          <w:sz w:val="20"/>
          <w:szCs w:val="20"/>
          <w:u w:val="single"/>
          <w:lang w:val="en-US"/>
        </w:rPr>
        <w:t>Supplementa</w:t>
      </w:r>
      <w:r w:rsidR="00850179">
        <w:rPr>
          <w:rFonts w:ascii="Times New Roman" w:hAnsi="Times New Roman" w:cs="Times New Roman"/>
          <w:b/>
          <w:bCs/>
          <w:sz w:val="20"/>
          <w:szCs w:val="20"/>
          <w:u w:val="single"/>
          <w:lang w:val="en-US"/>
        </w:rPr>
        <w:t>l</w:t>
      </w:r>
      <w:r w:rsidRPr="00D44D25">
        <w:rPr>
          <w:rFonts w:ascii="Times New Roman" w:hAnsi="Times New Roman" w:cs="Times New Roman"/>
          <w:b/>
          <w:bCs/>
          <w:sz w:val="20"/>
          <w:szCs w:val="20"/>
          <w:u w:val="single"/>
          <w:lang w:val="en-US"/>
        </w:rPr>
        <w:t xml:space="preserve"> </w:t>
      </w:r>
      <w:r w:rsidR="00850179">
        <w:rPr>
          <w:rFonts w:ascii="Times New Roman" w:hAnsi="Times New Roman" w:cs="Times New Roman"/>
          <w:b/>
          <w:bCs/>
          <w:sz w:val="20"/>
          <w:szCs w:val="20"/>
          <w:u w:val="single"/>
          <w:lang w:val="en-US"/>
        </w:rPr>
        <w:t>m</w:t>
      </w:r>
      <w:r w:rsidRPr="00D44D25">
        <w:rPr>
          <w:rFonts w:ascii="Times New Roman" w:hAnsi="Times New Roman" w:cs="Times New Roman"/>
          <w:b/>
          <w:bCs/>
          <w:sz w:val="20"/>
          <w:szCs w:val="20"/>
          <w:u w:val="single"/>
          <w:lang w:val="en-US"/>
        </w:rPr>
        <w:t>aterial</w:t>
      </w:r>
    </w:p>
    <w:p w14:paraId="32E0A9F5" w14:textId="77777777" w:rsidR="007F61AD" w:rsidRPr="00CC689C" w:rsidRDefault="007F61AD" w:rsidP="007F61AD">
      <w:pPr>
        <w:rPr>
          <w:rFonts w:ascii="Times New Roman" w:hAnsi="Times New Roman" w:cs="Times New Roman"/>
          <w:color w:val="000000" w:themeColor="text1"/>
          <w:sz w:val="20"/>
          <w:szCs w:val="20"/>
          <w:lang w:val="en-US"/>
        </w:rPr>
      </w:pPr>
      <w:r w:rsidRPr="00CC689C">
        <w:rPr>
          <w:rFonts w:ascii="Times New Roman" w:hAnsi="Times New Roman" w:cs="Times New Roman"/>
          <w:color w:val="000000" w:themeColor="text1"/>
          <w:sz w:val="20"/>
          <w:szCs w:val="20"/>
          <w:lang w:val="en-US"/>
        </w:rPr>
        <w:t xml:space="preserve">Supplementary Table </w:t>
      </w:r>
      <w:r w:rsidRPr="00DB7BFD">
        <w:rPr>
          <w:rFonts w:ascii="Times New Roman" w:hAnsi="Times New Roman" w:cs="Times New Roman"/>
          <w:color w:val="000000" w:themeColor="text1"/>
          <w:sz w:val="20"/>
          <w:szCs w:val="20"/>
          <w:lang w:val="en-US"/>
        </w:rPr>
        <w:t>1</w:t>
      </w:r>
      <w:r w:rsidRPr="00CC689C">
        <w:rPr>
          <w:rFonts w:ascii="Times New Roman" w:hAnsi="Times New Roman" w:cs="Times New Roman"/>
          <w:color w:val="000000" w:themeColor="text1"/>
          <w:sz w:val="20"/>
          <w:szCs w:val="20"/>
          <w:lang w:val="en-US"/>
        </w:rPr>
        <w:t>. Psychotropic medications included in the study</w:t>
      </w:r>
    </w:p>
    <w:p w14:paraId="0048A1DB" w14:textId="4B865393" w:rsidR="00D44D25" w:rsidRDefault="00850179" w:rsidP="00AE369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Supplementary </w:t>
      </w:r>
      <w:r w:rsidR="00D44D25" w:rsidRPr="00D44D25">
        <w:rPr>
          <w:rFonts w:ascii="Times New Roman" w:hAnsi="Times New Roman" w:cs="Times New Roman"/>
          <w:sz w:val="20"/>
          <w:szCs w:val="20"/>
          <w:lang w:val="en-US"/>
        </w:rPr>
        <w:t xml:space="preserve">Table </w:t>
      </w:r>
      <w:r w:rsidR="007F61AD">
        <w:rPr>
          <w:rFonts w:ascii="Times New Roman" w:hAnsi="Times New Roman" w:cs="Times New Roman"/>
          <w:sz w:val="20"/>
          <w:szCs w:val="20"/>
          <w:lang w:val="en-US"/>
        </w:rPr>
        <w:t>2</w:t>
      </w:r>
      <w:r w:rsidR="00D44D25" w:rsidRPr="00D44D25">
        <w:rPr>
          <w:rFonts w:ascii="Times New Roman" w:hAnsi="Times New Roman" w:cs="Times New Roman"/>
          <w:sz w:val="20"/>
          <w:szCs w:val="20"/>
          <w:lang w:val="en-US"/>
        </w:rPr>
        <w:t>. Selection criteria of traumatic</w:t>
      </w:r>
      <w:r w:rsidR="0071226A">
        <w:rPr>
          <w:rFonts w:ascii="Times New Roman" w:hAnsi="Times New Roman" w:cs="Times New Roman"/>
          <w:sz w:val="20"/>
          <w:szCs w:val="20"/>
          <w:lang w:val="en-US"/>
        </w:rPr>
        <w:t xml:space="preserve"> injuries</w:t>
      </w:r>
      <w:r w:rsidR="00D44D25" w:rsidRPr="00D44D25">
        <w:rPr>
          <w:rFonts w:ascii="Times New Roman" w:hAnsi="Times New Roman" w:cs="Times New Roman"/>
          <w:sz w:val="20"/>
          <w:szCs w:val="20"/>
          <w:lang w:val="en-US"/>
        </w:rPr>
        <w:t xml:space="preserve"> cases at the emergency room setting in public hospitals in Hong Kong</w:t>
      </w:r>
    </w:p>
    <w:p w14:paraId="40D999A5" w14:textId="33FB501B" w:rsidR="00D44D25" w:rsidRDefault="00850179">
      <w:pPr>
        <w:rPr>
          <w:rFonts w:ascii="Times New Roman" w:hAnsi="Times New Roman" w:cs="Times New Roman"/>
          <w:sz w:val="20"/>
          <w:szCs w:val="20"/>
          <w:lang w:val="en-US"/>
        </w:rPr>
      </w:pPr>
      <w:r>
        <w:rPr>
          <w:rFonts w:ascii="Times New Roman" w:hAnsi="Times New Roman" w:cs="Times New Roman"/>
          <w:sz w:val="20"/>
          <w:szCs w:val="20"/>
          <w:lang w:val="en-US"/>
        </w:rPr>
        <w:t xml:space="preserve">Supplementary </w:t>
      </w:r>
      <w:r w:rsidR="00D44D25" w:rsidRPr="00D44D25">
        <w:rPr>
          <w:rFonts w:ascii="Times New Roman" w:hAnsi="Times New Roman" w:cs="Times New Roman"/>
          <w:sz w:val="20"/>
          <w:szCs w:val="20"/>
          <w:lang w:val="en-US"/>
        </w:rPr>
        <w:t xml:space="preserve">Table </w:t>
      </w:r>
      <w:r w:rsidR="007F61AD">
        <w:rPr>
          <w:rFonts w:ascii="Times New Roman" w:hAnsi="Times New Roman" w:cs="Times New Roman"/>
          <w:sz w:val="20"/>
          <w:szCs w:val="20"/>
          <w:lang w:val="en-US"/>
        </w:rPr>
        <w:t>3</w:t>
      </w:r>
      <w:r w:rsidR="00D44D25" w:rsidRPr="00D44D25">
        <w:rPr>
          <w:rFonts w:ascii="Times New Roman" w:hAnsi="Times New Roman" w:cs="Times New Roman"/>
          <w:sz w:val="20"/>
          <w:szCs w:val="20"/>
          <w:lang w:val="en-US"/>
        </w:rPr>
        <w:t xml:space="preserve">. Description of sensitivity analyses </w:t>
      </w:r>
    </w:p>
    <w:p w14:paraId="0E0E2FC4" w14:textId="4B3CE610" w:rsidR="00427781" w:rsidRDefault="007F61AD">
      <w:pPr>
        <w:rPr>
          <w:rFonts w:ascii="Times New Roman" w:hAnsi="Times New Roman" w:cs="Times New Roman"/>
          <w:sz w:val="20"/>
          <w:szCs w:val="20"/>
          <w:lang w:val="en-US"/>
        </w:rPr>
      </w:pPr>
      <w:r w:rsidRPr="00DB7BFD">
        <w:rPr>
          <w:rFonts w:ascii="Times New Roman" w:hAnsi="Times New Roman" w:cs="Times New Roman"/>
          <w:sz w:val="20"/>
          <w:szCs w:val="20"/>
          <w:lang w:val="en-US"/>
        </w:rPr>
        <w:t>Supplementary Table 4. Results of subgroup analysis</w:t>
      </w:r>
    </w:p>
    <w:p w14:paraId="2DB5BCC5" w14:textId="7A52CDE0" w:rsidR="00D44D25" w:rsidRDefault="00850179">
      <w:pPr>
        <w:rPr>
          <w:rFonts w:ascii="Times New Roman" w:hAnsi="Times New Roman" w:cs="Times New Roman"/>
          <w:sz w:val="20"/>
          <w:szCs w:val="20"/>
          <w:lang w:val="en-US"/>
        </w:rPr>
      </w:pPr>
      <w:r>
        <w:rPr>
          <w:rFonts w:ascii="Times New Roman" w:hAnsi="Times New Roman" w:cs="Times New Roman"/>
          <w:sz w:val="20"/>
          <w:szCs w:val="20"/>
          <w:lang w:val="en-US"/>
        </w:rPr>
        <w:t xml:space="preserve">Supplementary </w:t>
      </w:r>
      <w:r w:rsidR="00D44D25" w:rsidRPr="00D44D25">
        <w:rPr>
          <w:rFonts w:ascii="Times New Roman" w:hAnsi="Times New Roman" w:cs="Times New Roman"/>
          <w:sz w:val="20"/>
          <w:szCs w:val="20"/>
          <w:lang w:val="en-US"/>
        </w:rPr>
        <w:t xml:space="preserve">Table </w:t>
      </w:r>
      <w:r w:rsidR="007F61AD">
        <w:rPr>
          <w:rFonts w:ascii="Times New Roman" w:hAnsi="Times New Roman" w:cs="Times New Roman"/>
          <w:sz w:val="20"/>
          <w:szCs w:val="20"/>
          <w:lang w:val="en-US"/>
        </w:rPr>
        <w:t>5</w:t>
      </w:r>
      <w:r w:rsidR="00D44D25" w:rsidRPr="00D44D25">
        <w:rPr>
          <w:rFonts w:ascii="Times New Roman" w:hAnsi="Times New Roman" w:cs="Times New Roman"/>
          <w:sz w:val="20"/>
          <w:szCs w:val="20"/>
          <w:lang w:val="en-US"/>
        </w:rPr>
        <w:t>. Results of sex stratified analysis</w:t>
      </w:r>
    </w:p>
    <w:p w14:paraId="7516FE5C" w14:textId="49028857" w:rsidR="00D44D25" w:rsidRDefault="00BC50C9" w:rsidP="00D44D25">
      <w:pPr>
        <w:rPr>
          <w:rFonts w:ascii="Times New Roman" w:hAnsi="Times New Roman" w:cs="Times New Roman"/>
          <w:bCs/>
          <w:color w:val="000000" w:themeColor="text1"/>
          <w:sz w:val="20"/>
          <w:szCs w:val="20"/>
          <w:lang w:val="en-US"/>
        </w:rPr>
      </w:pPr>
      <w:r>
        <w:rPr>
          <w:rFonts w:ascii="Times New Roman" w:hAnsi="Times New Roman" w:cs="Times New Roman"/>
          <w:sz w:val="20"/>
          <w:szCs w:val="20"/>
          <w:lang w:val="en-US"/>
        </w:rPr>
        <w:t>Supplementary Figure</w:t>
      </w:r>
      <w:r w:rsidRPr="00D44D25">
        <w:rPr>
          <w:rFonts w:ascii="Times New Roman" w:hAnsi="Times New Roman" w:cs="Times New Roman"/>
          <w:sz w:val="20"/>
          <w:szCs w:val="20"/>
          <w:lang w:val="en-US"/>
        </w:rPr>
        <w:t xml:space="preserve"> </w:t>
      </w:r>
      <w:r w:rsidR="004F75CA">
        <w:rPr>
          <w:rFonts w:ascii="Times New Roman" w:hAnsi="Times New Roman" w:cs="Times New Roman"/>
          <w:sz w:val="20"/>
          <w:szCs w:val="20"/>
          <w:lang w:val="en-US"/>
        </w:rPr>
        <w:t>1</w:t>
      </w:r>
      <w:r w:rsidR="00D44D25" w:rsidRPr="00D44D25">
        <w:rPr>
          <w:rFonts w:ascii="Times New Roman" w:hAnsi="Times New Roman" w:cs="Times New Roman"/>
          <w:bCs/>
          <w:sz w:val="20"/>
          <w:szCs w:val="20"/>
          <w:lang w:val="en-US"/>
        </w:rPr>
        <w:t xml:space="preserve">. </w:t>
      </w:r>
      <w:r w:rsidR="00D44D25" w:rsidRPr="00D44D25">
        <w:rPr>
          <w:rFonts w:ascii="Times New Roman" w:hAnsi="Times New Roman" w:cs="Times New Roman"/>
          <w:bCs/>
          <w:color w:val="000000" w:themeColor="text1"/>
          <w:sz w:val="20"/>
          <w:szCs w:val="20"/>
          <w:lang w:val="en-US"/>
        </w:rPr>
        <w:t xml:space="preserve">Distribution of patients who died within 30 days after the first </w:t>
      </w:r>
      <w:r w:rsidR="00DB6F1E">
        <w:rPr>
          <w:rFonts w:ascii="Times New Roman" w:hAnsi="Times New Roman" w:cs="Times New Roman"/>
          <w:bCs/>
          <w:color w:val="000000" w:themeColor="text1"/>
          <w:sz w:val="20"/>
          <w:szCs w:val="20"/>
          <w:lang w:val="en-US"/>
        </w:rPr>
        <w:t>emergency room admissions due to traumatic injuries</w:t>
      </w:r>
    </w:p>
    <w:p w14:paraId="1286636E" w14:textId="0135550A" w:rsidR="00D44D25" w:rsidRDefault="00BC50C9" w:rsidP="00D44D25">
      <w:pPr>
        <w:rPr>
          <w:rFonts w:ascii="Times New Roman" w:hAnsi="Times New Roman" w:cs="Times New Roman"/>
          <w:bCs/>
          <w:color w:val="000000" w:themeColor="text1"/>
          <w:sz w:val="20"/>
          <w:szCs w:val="20"/>
          <w:lang w:val="en-US"/>
        </w:rPr>
      </w:pPr>
      <w:r>
        <w:rPr>
          <w:rFonts w:ascii="Times New Roman" w:hAnsi="Times New Roman" w:cs="Times New Roman"/>
          <w:sz w:val="20"/>
          <w:szCs w:val="20"/>
          <w:lang w:val="en-US"/>
        </w:rPr>
        <w:t xml:space="preserve">Supplementary </w:t>
      </w:r>
      <w:r w:rsidRPr="00D44D25">
        <w:rPr>
          <w:rFonts w:ascii="Times New Roman" w:hAnsi="Times New Roman" w:cs="Times New Roman"/>
          <w:sz w:val="20"/>
          <w:szCs w:val="20"/>
          <w:lang w:val="en-US"/>
        </w:rPr>
        <w:t xml:space="preserve">Table </w:t>
      </w:r>
      <w:r w:rsidR="007F61AD">
        <w:rPr>
          <w:rFonts w:ascii="Times New Roman" w:hAnsi="Times New Roman" w:cs="Times New Roman"/>
          <w:sz w:val="20"/>
          <w:szCs w:val="20"/>
          <w:lang w:val="en-US"/>
        </w:rPr>
        <w:t>6</w:t>
      </w:r>
      <w:r w:rsidR="00D44D25" w:rsidRPr="00D44D25">
        <w:rPr>
          <w:rFonts w:ascii="Times New Roman" w:hAnsi="Times New Roman" w:cs="Times New Roman"/>
          <w:bCs/>
          <w:color w:val="000000" w:themeColor="text1"/>
          <w:sz w:val="20"/>
          <w:szCs w:val="20"/>
          <w:lang w:val="en-US"/>
        </w:rPr>
        <w:t>. Results from sensitivity analyses</w:t>
      </w:r>
    </w:p>
    <w:p w14:paraId="667F7002" w14:textId="12563280" w:rsidR="00D44D25" w:rsidRDefault="00BC50C9" w:rsidP="00D44D25">
      <w:pPr>
        <w:rPr>
          <w:rFonts w:ascii="Times New Roman" w:hAnsi="Times New Roman" w:cs="Times New Roman"/>
          <w:bCs/>
          <w:sz w:val="20"/>
          <w:szCs w:val="20"/>
          <w:lang w:val="en-US"/>
        </w:rPr>
      </w:pPr>
      <w:r>
        <w:rPr>
          <w:rFonts w:ascii="Times New Roman" w:hAnsi="Times New Roman" w:cs="Times New Roman"/>
          <w:sz w:val="20"/>
          <w:szCs w:val="20"/>
          <w:lang w:val="en-US"/>
        </w:rPr>
        <w:t>Supplementary Figure</w:t>
      </w:r>
      <w:r w:rsidRPr="00D44D25">
        <w:rPr>
          <w:rFonts w:ascii="Times New Roman" w:hAnsi="Times New Roman" w:cs="Times New Roman"/>
          <w:sz w:val="20"/>
          <w:szCs w:val="20"/>
          <w:lang w:val="en-US"/>
        </w:rPr>
        <w:t xml:space="preserve"> </w:t>
      </w:r>
      <w:r w:rsidR="004F75CA">
        <w:rPr>
          <w:rFonts w:ascii="Times New Roman" w:hAnsi="Times New Roman" w:cs="Times New Roman"/>
          <w:sz w:val="20"/>
          <w:szCs w:val="20"/>
          <w:lang w:val="en-US"/>
        </w:rPr>
        <w:t>2</w:t>
      </w:r>
      <w:r w:rsidR="00D44D25" w:rsidRPr="00D44D25">
        <w:rPr>
          <w:rFonts w:ascii="Times New Roman" w:hAnsi="Times New Roman" w:cs="Times New Roman"/>
          <w:bCs/>
          <w:sz w:val="20"/>
          <w:szCs w:val="20"/>
          <w:lang w:val="en-US"/>
        </w:rPr>
        <w:t xml:space="preserve">. Sensitivity analysis on exposure periods by adding 1 to 10 weeks after the end of an exposed period: Incidence rate ratio of </w:t>
      </w:r>
      <w:r w:rsidR="00DB6F1E">
        <w:rPr>
          <w:rFonts w:ascii="Times New Roman" w:hAnsi="Times New Roman" w:cs="Times New Roman"/>
          <w:bCs/>
          <w:sz w:val="20"/>
          <w:szCs w:val="20"/>
          <w:lang w:val="en-US"/>
        </w:rPr>
        <w:t xml:space="preserve">emergency room admissions due to traumatic injuries </w:t>
      </w:r>
      <w:r w:rsidR="00D44D25" w:rsidRPr="00D44D25">
        <w:rPr>
          <w:rFonts w:ascii="Times New Roman" w:hAnsi="Times New Roman" w:cs="Times New Roman"/>
          <w:bCs/>
          <w:sz w:val="20"/>
          <w:szCs w:val="20"/>
          <w:lang w:val="en-US"/>
        </w:rPr>
        <w:t>in the pre-exposure period</w:t>
      </w:r>
    </w:p>
    <w:p w14:paraId="507AE4E5" w14:textId="23D63A8D" w:rsidR="00D44D25" w:rsidRDefault="00BC50C9" w:rsidP="00D44D25">
      <w:pPr>
        <w:rPr>
          <w:rFonts w:ascii="Times New Roman" w:hAnsi="Times New Roman" w:cs="Times New Roman"/>
          <w:bCs/>
          <w:sz w:val="20"/>
          <w:szCs w:val="20"/>
          <w:lang w:val="en-US"/>
        </w:rPr>
      </w:pPr>
      <w:r>
        <w:rPr>
          <w:rFonts w:ascii="Times New Roman" w:hAnsi="Times New Roman" w:cs="Times New Roman"/>
          <w:sz w:val="20"/>
          <w:szCs w:val="20"/>
          <w:lang w:val="en-US"/>
        </w:rPr>
        <w:t>Supplementary Figure</w:t>
      </w:r>
      <w:r w:rsidRPr="00D44D25">
        <w:rPr>
          <w:rFonts w:ascii="Times New Roman" w:hAnsi="Times New Roman" w:cs="Times New Roman"/>
          <w:sz w:val="20"/>
          <w:szCs w:val="20"/>
          <w:lang w:val="en-US"/>
        </w:rPr>
        <w:t xml:space="preserve"> </w:t>
      </w:r>
      <w:r w:rsidR="004F75CA">
        <w:rPr>
          <w:rFonts w:ascii="Times New Roman" w:hAnsi="Times New Roman" w:cs="Times New Roman"/>
          <w:sz w:val="20"/>
          <w:szCs w:val="20"/>
          <w:lang w:val="en-US"/>
        </w:rPr>
        <w:t>3</w:t>
      </w:r>
      <w:r w:rsidR="00D44D25" w:rsidRPr="00D44D25">
        <w:rPr>
          <w:rFonts w:ascii="Times New Roman" w:hAnsi="Times New Roman" w:cs="Times New Roman"/>
          <w:bCs/>
          <w:sz w:val="20"/>
          <w:szCs w:val="20"/>
          <w:lang w:val="en-US"/>
        </w:rPr>
        <w:t xml:space="preserve">. Sensitivity analysis on exposure periods by adding 1 to 10 weeks after the end of an exposed period: Incidence rate ratio of </w:t>
      </w:r>
      <w:r w:rsidR="00DB6F1E">
        <w:rPr>
          <w:rFonts w:ascii="Times New Roman" w:hAnsi="Times New Roman" w:cs="Times New Roman"/>
          <w:bCs/>
          <w:sz w:val="20"/>
          <w:szCs w:val="20"/>
          <w:lang w:val="en-US"/>
        </w:rPr>
        <w:t xml:space="preserve">emergency room admissions due to traumatic injuries </w:t>
      </w:r>
      <w:r w:rsidR="00D44D25" w:rsidRPr="00D44D25">
        <w:rPr>
          <w:rFonts w:ascii="Times New Roman" w:hAnsi="Times New Roman" w:cs="Times New Roman"/>
          <w:bCs/>
          <w:sz w:val="20"/>
          <w:szCs w:val="20"/>
          <w:lang w:val="en-US"/>
        </w:rPr>
        <w:t>in the acute treatment</w:t>
      </w:r>
    </w:p>
    <w:p w14:paraId="0E7D73AF" w14:textId="64D7CF56" w:rsidR="00D44D25" w:rsidRDefault="00BC50C9" w:rsidP="00D44D25">
      <w:pPr>
        <w:rPr>
          <w:rFonts w:ascii="Times New Roman" w:hAnsi="Times New Roman" w:cs="Times New Roman"/>
          <w:bCs/>
          <w:sz w:val="20"/>
          <w:szCs w:val="20"/>
          <w:lang w:val="en-US"/>
        </w:rPr>
      </w:pPr>
      <w:r>
        <w:rPr>
          <w:rFonts w:ascii="Times New Roman" w:hAnsi="Times New Roman" w:cs="Times New Roman"/>
          <w:sz w:val="20"/>
          <w:szCs w:val="20"/>
          <w:lang w:val="en-US"/>
        </w:rPr>
        <w:t>Supplementary Figure</w:t>
      </w:r>
      <w:r w:rsidRPr="00D44D25">
        <w:rPr>
          <w:rFonts w:ascii="Times New Roman" w:hAnsi="Times New Roman" w:cs="Times New Roman"/>
          <w:sz w:val="20"/>
          <w:szCs w:val="20"/>
          <w:lang w:val="en-US"/>
        </w:rPr>
        <w:t xml:space="preserve"> </w:t>
      </w:r>
      <w:r w:rsidR="004F75CA">
        <w:rPr>
          <w:rFonts w:ascii="Times New Roman" w:hAnsi="Times New Roman" w:cs="Times New Roman"/>
          <w:sz w:val="20"/>
          <w:szCs w:val="20"/>
          <w:lang w:val="en-US"/>
        </w:rPr>
        <w:t>4</w:t>
      </w:r>
      <w:r w:rsidR="00D44D25" w:rsidRPr="00D44D25">
        <w:rPr>
          <w:rFonts w:ascii="Times New Roman" w:hAnsi="Times New Roman" w:cs="Times New Roman"/>
          <w:bCs/>
          <w:sz w:val="20"/>
          <w:szCs w:val="20"/>
          <w:lang w:val="en-US"/>
        </w:rPr>
        <w:t xml:space="preserve">. Sensitivity analysis on exposure periods by adding 1 to 10 weeks after the end of an exposed period: Incidence rate ratio of </w:t>
      </w:r>
      <w:r w:rsidR="00DB6F1E">
        <w:rPr>
          <w:rFonts w:ascii="Times New Roman" w:hAnsi="Times New Roman" w:cs="Times New Roman"/>
          <w:bCs/>
          <w:sz w:val="20"/>
          <w:szCs w:val="20"/>
          <w:lang w:val="en-US"/>
        </w:rPr>
        <w:t xml:space="preserve">emergency room admissions due to traumatic injuries </w:t>
      </w:r>
      <w:r w:rsidR="00D44D25" w:rsidRPr="00D44D25">
        <w:rPr>
          <w:rFonts w:ascii="Times New Roman" w:hAnsi="Times New Roman" w:cs="Times New Roman"/>
          <w:bCs/>
          <w:sz w:val="20"/>
          <w:szCs w:val="20"/>
          <w:lang w:val="en-US"/>
        </w:rPr>
        <w:t>in the maintenance treatment</w:t>
      </w:r>
    </w:p>
    <w:p w14:paraId="3AC8BB27" w14:textId="76F9F5DB" w:rsidR="00D44D25" w:rsidRDefault="00BC50C9" w:rsidP="00D44D25">
      <w:pPr>
        <w:rPr>
          <w:rFonts w:ascii="Times New Roman" w:hAnsi="Times New Roman" w:cs="Times New Roman"/>
          <w:bCs/>
          <w:sz w:val="20"/>
          <w:szCs w:val="20"/>
          <w:lang w:val="en-US"/>
        </w:rPr>
      </w:pPr>
      <w:r>
        <w:rPr>
          <w:rFonts w:ascii="Times New Roman" w:hAnsi="Times New Roman" w:cs="Times New Roman"/>
          <w:sz w:val="20"/>
          <w:szCs w:val="20"/>
          <w:lang w:val="en-US"/>
        </w:rPr>
        <w:t>Supplementary Figure</w:t>
      </w:r>
      <w:r w:rsidRPr="00D44D25">
        <w:rPr>
          <w:rFonts w:ascii="Times New Roman" w:hAnsi="Times New Roman" w:cs="Times New Roman"/>
          <w:sz w:val="20"/>
          <w:szCs w:val="20"/>
          <w:lang w:val="en-US"/>
        </w:rPr>
        <w:t xml:space="preserve"> </w:t>
      </w:r>
      <w:r w:rsidR="004F75CA">
        <w:rPr>
          <w:rFonts w:ascii="Times New Roman" w:hAnsi="Times New Roman" w:cs="Times New Roman"/>
          <w:sz w:val="20"/>
          <w:szCs w:val="20"/>
          <w:lang w:val="en-US"/>
        </w:rPr>
        <w:t>5</w:t>
      </w:r>
      <w:r w:rsidR="00D44D25" w:rsidRPr="00D44D25">
        <w:rPr>
          <w:rFonts w:ascii="Times New Roman" w:hAnsi="Times New Roman" w:cs="Times New Roman"/>
          <w:bCs/>
          <w:sz w:val="20"/>
          <w:szCs w:val="20"/>
          <w:lang w:val="en-US"/>
        </w:rPr>
        <w:t xml:space="preserve">. Sensitivity analysis on exposure periods by adding 1 to 10 weeks after the end of an exposed period: Incidence rate ratio of </w:t>
      </w:r>
      <w:r w:rsidR="00DB6F1E">
        <w:rPr>
          <w:rFonts w:ascii="Times New Roman" w:hAnsi="Times New Roman" w:cs="Times New Roman"/>
          <w:bCs/>
          <w:sz w:val="20"/>
          <w:szCs w:val="20"/>
          <w:lang w:val="en-US"/>
        </w:rPr>
        <w:t xml:space="preserve">emergency room admissions due to traumatic injuries </w:t>
      </w:r>
      <w:r w:rsidR="00D44D25" w:rsidRPr="00D44D25">
        <w:rPr>
          <w:rFonts w:ascii="Times New Roman" w:hAnsi="Times New Roman" w:cs="Times New Roman"/>
          <w:bCs/>
          <w:sz w:val="20"/>
          <w:szCs w:val="20"/>
          <w:lang w:val="en-US"/>
        </w:rPr>
        <w:t>in the post-exposure period</w:t>
      </w:r>
    </w:p>
    <w:p w14:paraId="5FB1714A" w14:textId="6E59BC94" w:rsidR="00565597" w:rsidRDefault="00BC50C9" w:rsidP="00D44D25">
      <w:pPr>
        <w:rPr>
          <w:rFonts w:ascii="Times New Roman" w:hAnsi="Times New Roman" w:cs="Times New Roman"/>
          <w:bCs/>
          <w:sz w:val="20"/>
          <w:szCs w:val="20"/>
          <w:lang w:val="en-US"/>
        </w:rPr>
      </w:pPr>
      <w:r>
        <w:rPr>
          <w:rFonts w:ascii="Times New Roman" w:hAnsi="Times New Roman" w:cs="Times New Roman"/>
          <w:sz w:val="20"/>
          <w:szCs w:val="20"/>
          <w:lang w:val="en-US"/>
        </w:rPr>
        <w:t xml:space="preserve">Supplementary </w:t>
      </w:r>
      <w:r w:rsidRPr="00D44D25">
        <w:rPr>
          <w:rFonts w:ascii="Times New Roman" w:hAnsi="Times New Roman" w:cs="Times New Roman"/>
          <w:sz w:val="20"/>
          <w:szCs w:val="20"/>
          <w:lang w:val="en-US"/>
        </w:rPr>
        <w:t xml:space="preserve">Table </w:t>
      </w:r>
      <w:r w:rsidR="007F61AD">
        <w:rPr>
          <w:rFonts w:ascii="Times New Roman" w:hAnsi="Times New Roman" w:cs="Times New Roman"/>
          <w:sz w:val="20"/>
          <w:szCs w:val="20"/>
          <w:lang w:val="en-US"/>
        </w:rPr>
        <w:t>7</w:t>
      </w:r>
      <w:r w:rsidR="00565597" w:rsidRPr="00565597">
        <w:rPr>
          <w:rFonts w:ascii="Times New Roman" w:hAnsi="Times New Roman" w:cs="Times New Roman"/>
          <w:bCs/>
          <w:sz w:val="20"/>
          <w:szCs w:val="20"/>
          <w:lang w:val="en-US"/>
        </w:rPr>
        <w:t>. Results from E-value analysis</w:t>
      </w:r>
    </w:p>
    <w:p w14:paraId="1E244ABB" w14:textId="77777777" w:rsidR="00D44D25" w:rsidRPr="00D44D25" w:rsidRDefault="00D44D25" w:rsidP="00D44D25">
      <w:pPr>
        <w:rPr>
          <w:rFonts w:ascii="Times New Roman" w:hAnsi="Times New Roman" w:cs="Times New Roman"/>
          <w:bCs/>
          <w:sz w:val="20"/>
          <w:szCs w:val="20"/>
          <w:lang w:val="en-US"/>
        </w:rPr>
      </w:pPr>
    </w:p>
    <w:p w14:paraId="39D303E0" w14:textId="77777777" w:rsidR="00D44D25" w:rsidRDefault="00D44D25" w:rsidP="00D44D25">
      <w:pPr>
        <w:rPr>
          <w:rFonts w:ascii="Times New Roman" w:hAnsi="Times New Roman" w:cs="Times New Roman"/>
          <w:bCs/>
          <w:sz w:val="20"/>
          <w:szCs w:val="20"/>
          <w:lang w:val="en-US"/>
        </w:rPr>
      </w:pPr>
    </w:p>
    <w:p w14:paraId="1B0D8185" w14:textId="0965DF8E" w:rsidR="007F61AD" w:rsidRDefault="007F61AD">
      <w:pPr>
        <w:rPr>
          <w:rFonts w:ascii="Times New Roman" w:hAnsi="Times New Roman" w:cs="Times New Roman"/>
          <w:bCs/>
          <w:sz w:val="20"/>
          <w:szCs w:val="20"/>
          <w:lang w:val="en-US"/>
        </w:rPr>
      </w:pPr>
      <w:r>
        <w:rPr>
          <w:rFonts w:ascii="Times New Roman" w:hAnsi="Times New Roman" w:cs="Times New Roman"/>
          <w:bCs/>
          <w:sz w:val="20"/>
          <w:szCs w:val="20"/>
          <w:lang w:val="en-US"/>
        </w:rPr>
        <w:br w:type="page"/>
      </w:r>
    </w:p>
    <w:p w14:paraId="79DDF6C2" w14:textId="77777777" w:rsidR="007F61AD" w:rsidRPr="0071226A" w:rsidRDefault="007F61AD" w:rsidP="007F61AD">
      <w:pPr>
        <w:rPr>
          <w:rFonts w:ascii="Times New Roman" w:hAnsi="Times New Roman" w:cs="Times New Roman"/>
          <w:b/>
          <w:color w:val="000000" w:themeColor="text1"/>
          <w:sz w:val="20"/>
          <w:lang w:val="en-US"/>
        </w:rPr>
      </w:pPr>
      <w:r w:rsidRPr="0071226A">
        <w:rPr>
          <w:rFonts w:ascii="Times New Roman" w:hAnsi="Times New Roman" w:cs="Times New Roman"/>
          <w:b/>
          <w:color w:val="000000" w:themeColor="text1"/>
          <w:sz w:val="20"/>
          <w:lang w:val="en-US"/>
        </w:rPr>
        <w:lastRenderedPageBreak/>
        <w:t>Supplementary Table 1. Psychotropic medications included in the study</w:t>
      </w:r>
    </w:p>
    <w:tbl>
      <w:tblPr>
        <w:tblStyle w:val="TableGrid"/>
        <w:tblW w:w="0" w:type="auto"/>
        <w:tblLook w:val="04A0" w:firstRow="1" w:lastRow="0" w:firstColumn="1" w:lastColumn="0" w:noHBand="0" w:noVBand="1"/>
      </w:tblPr>
      <w:tblGrid>
        <w:gridCol w:w="1694"/>
        <w:gridCol w:w="7322"/>
      </w:tblGrid>
      <w:tr w:rsidR="007F61AD" w:rsidRPr="00CC689C" w14:paraId="4AD7C8D2" w14:textId="77777777" w:rsidTr="00CF2857">
        <w:tc>
          <w:tcPr>
            <w:tcW w:w="1705" w:type="dxa"/>
          </w:tcPr>
          <w:p w14:paraId="535059C0"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Category </w:t>
            </w:r>
          </w:p>
        </w:tc>
        <w:tc>
          <w:tcPr>
            <w:tcW w:w="7645" w:type="dxa"/>
          </w:tcPr>
          <w:p w14:paraId="4C8FFC88"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Drug name</w:t>
            </w:r>
          </w:p>
        </w:tc>
      </w:tr>
      <w:tr w:rsidR="007F61AD" w:rsidRPr="00CC689C" w14:paraId="523CEC17" w14:textId="77777777" w:rsidTr="00CF2857">
        <w:tc>
          <w:tcPr>
            <w:tcW w:w="1705" w:type="dxa"/>
            <w:vMerge w:val="restart"/>
          </w:tcPr>
          <w:p w14:paraId="533FEAD8"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Lithium </w:t>
            </w:r>
          </w:p>
        </w:tc>
        <w:tc>
          <w:tcPr>
            <w:tcW w:w="7645" w:type="dxa"/>
          </w:tcPr>
          <w:p w14:paraId="5621300B"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Lithium carbonate </w:t>
            </w:r>
          </w:p>
        </w:tc>
      </w:tr>
      <w:tr w:rsidR="007F61AD" w:rsidRPr="00CC689C" w14:paraId="1D3770A5" w14:textId="77777777" w:rsidTr="00CF2857">
        <w:tc>
          <w:tcPr>
            <w:tcW w:w="1705" w:type="dxa"/>
            <w:vMerge/>
          </w:tcPr>
          <w:p w14:paraId="0639FCE2"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9A72B5C"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Lithium sulphate</w:t>
            </w:r>
          </w:p>
        </w:tc>
      </w:tr>
      <w:tr w:rsidR="007F61AD" w:rsidRPr="00CC689C" w14:paraId="2B51A05B" w14:textId="77777777" w:rsidTr="00CF2857">
        <w:tc>
          <w:tcPr>
            <w:tcW w:w="1705" w:type="dxa"/>
            <w:vMerge w:val="restart"/>
          </w:tcPr>
          <w:p w14:paraId="72E9261B"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Antipsychotics </w:t>
            </w:r>
          </w:p>
        </w:tc>
        <w:tc>
          <w:tcPr>
            <w:tcW w:w="7645" w:type="dxa"/>
          </w:tcPr>
          <w:p w14:paraId="7567D48A"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Amisulpride </w:t>
            </w:r>
          </w:p>
        </w:tc>
      </w:tr>
      <w:tr w:rsidR="007F61AD" w:rsidRPr="00CC689C" w14:paraId="5DB620A8" w14:textId="77777777" w:rsidTr="00CF2857">
        <w:tc>
          <w:tcPr>
            <w:tcW w:w="1705" w:type="dxa"/>
            <w:vMerge/>
          </w:tcPr>
          <w:p w14:paraId="75817E06"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3CCAA83"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Aripiprazole</w:t>
            </w:r>
          </w:p>
        </w:tc>
      </w:tr>
      <w:tr w:rsidR="007F61AD" w:rsidRPr="00CC689C" w14:paraId="61EC10E2" w14:textId="77777777" w:rsidTr="00CF2857">
        <w:tc>
          <w:tcPr>
            <w:tcW w:w="1705" w:type="dxa"/>
            <w:vMerge/>
          </w:tcPr>
          <w:p w14:paraId="2F0FA84C"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6B8283B"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Asenapine</w:t>
            </w:r>
          </w:p>
        </w:tc>
      </w:tr>
      <w:tr w:rsidR="007F61AD" w:rsidRPr="00CC689C" w14:paraId="578E2CAD" w14:textId="77777777" w:rsidTr="00CF2857">
        <w:tc>
          <w:tcPr>
            <w:tcW w:w="1705" w:type="dxa"/>
            <w:vMerge/>
          </w:tcPr>
          <w:p w14:paraId="3850A9CF"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98F3FC5"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Chlorpromazine </w:t>
            </w:r>
          </w:p>
        </w:tc>
      </w:tr>
      <w:tr w:rsidR="007F61AD" w:rsidRPr="00CC689C" w14:paraId="0F1AECD5" w14:textId="77777777" w:rsidTr="00CF2857">
        <w:tc>
          <w:tcPr>
            <w:tcW w:w="1705" w:type="dxa"/>
            <w:vMerge/>
          </w:tcPr>
          <w:p w14:paraId="0454C6F6"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4361843D"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Clopenthixol</w:t>
            </w:r>
          </w:p>
        </w:tc>
      </w:tr>
      <w:tr w:rsidR="007F61AD" w:rsidRPr="00CC689C" w14:paraId="4132579C" w14:textId="77777777" w:rsidTr="00CF2857">
        <w:tc>
          <w:tcPr>
            <w:tcW w:w="1705" w:type="dxa"/>
            <w:vMerge/>
          </w:tcPr>
          <w:p w14:paraId="16FC6499"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BAC046A"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Clozapine</w:t>
            </w:r>
          </w:p>
        </w:tc>
      </w:tr>
      <w:tr w:rsidR="007F61AD" w:rsidRPr="00CC689C" w14:paraId="05C3497C" w14:textId="77777777" w:rsidTr="00CF2857">
        <w:tc>
          <w:tcPr>
            <w:tcW w:w="1705" w:type="dxa"/>
            <w:vMerge/>
          </w:tcPr>
          <w:p w14:paraId="4357D450"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1B78D655"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Droperidol</w:t>
            </w:r>
          </w:p>
        </w:tc>
      </w:tr>
      <w:tr w:rsidR="007F61AD" w:rsidRPr="00CC689C" w14:paraId="121EA4C8" w14:textId="77777777" w:rsidTr="00CF2857">
        <w:tc>
          <w:tcPr>
            <w:tcW w:w="1705" w:type="dxa"/>
            <w:vMerge/>
          </w:tcPr>
          <w:p w14:paraId="2FE6BBEA"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41C3DDBE"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Fluphenazine</w:t>
            </w:r>
          </w:p>
        </w:tc>
      </w:tr>
      <w:tr w:rsidR="007F61AD" w:rsidRPr="00CC689C" w14:paraId="762B370B" w14:textId="77777777" w:rsidTr="00CF2857">
        <w:tc>
          <w:tcPr>
            <w:tcW w:w="1705" w:type="dxa"/>
            <w:vMerge/>
          </w:tcPr>
          <w:p w14:paraId="3CA44F91"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68D4F63" w14:textId="0D49A662" w:rsidR="007F61AD" w:rsidRPr="00CC689C" w:rsidRDefault="00427781"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Flupentixol</w:t>
            </w:r>
          </w:p>
        </w:tc>
      </w:tr>
      <w:tr w:rsidR="007F61AD" w:rsidRPr="00CC689C" w14:paraId="1BEFE307" w14:textId="77777777" w:rsidTr="00CF2857">
        <w:tc>
          <w:tcPr>
            <w:tcW w:w="1705" w:type="dxa"/>
            <w:vMerge/>
          </w:tcPr>
          <w:p w14:paraId="72EB9608"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52E7A69E"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Haloperidol</w:t>
            </w:r>
          </w:p>
        </w:tc>
      </w:tr>
      <w:tr w:rsidR="007F61AD" w:rsidRPr="00CC689C" w14:paraId="3C94B31A" w14:textId="77777777" w:rsidTr="00CF2857">
        <w:tc>
          <w:tcPr>
            <w:tcW w:w="1705" w:type="dxa"/>
            <w:vMerge/>
          </w:tcPr>
          <w:p w14:paraId="5CE53F09"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1B01EA6"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Lurasidone</w:t>
            </w:r>
          </w:p>
        </w:tc>
      </w:tr>
      <w:tr w:rsidR="007F61AD" w:rsidRPr="00CC689C" w14:paraId="1F1B87A0" w14:textId="77777777" w:rsidTr="00CF2857">
        <w:tc>
          <w:tcPr>
            <w:tcW w:w="1705" w:type="dxa"/>
            <w:vMerge/>
          </w:tcPr>
          <w:p w14:paraId="2FA7BC65"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50F34143" w14:textId="567F29E6" w:rsidR="007F61AD" w:rsidRPr="00CC689C" w:rsidRDefault="00427781"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Molindone</w:t>
            </w:r>
          </w:p>
        </w:tc>
      </w:tr>
      <w:tr w:rsidR="007F61AD" w:rsidRPr="00CC689C" w14:paraId="2B2FA303" w14:textId="77777777" w:rsidTr="00CF2857">
        <w:tc>
          <w:tcPr>
            <w:tcW w:w="1705" w:type="dxa"/>
            <w:vMerge/>
          </w:tcPr>
          <w:p w14:paraId="7E2EC842"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3C58296"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Olanzapine</w:t>
            </w:r>
          </w:p>
        </w:tc>
      </w:tr>
      <w:tr w:rsidR="007F61AD" w:rsidRPr="00CC689C" w14:paraId="2FA2E33A" w14:textId="77777777" w:rsidTr="00CF2857">
        <w:tc>
          <w:tcPr>
            <w:tcW w:w="1705" w:type="dxa"/>
            <w:vMerge/>
          </w:tcPr>
          <w:p w14:paraId="5D8D80DB"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18953870"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Paliperidone</w:t>
            </w:r>
          </w:p>
        </w:tc>
      </w:tr>
      <w:tr w:rsidR="007F61AD" w:rsidRPr="00CC689C" w14:paraId="67A5292D" w14:textId="77777777" w:rsidTr="00CF2857">
        <w:tc>
          <w:tcPr>
            <w:tcW w:w="1705" w:type="dxa"/>
            <w:vMerge/>
          </w:tcPr>
          <w:p w14:paraId="16F3E6F0"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25EF47E0"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Pericyazine</w:t>
            </w:r>
          </w:p>
        </w:tc>
      </w:tr>
      <w:tr w:rsidR="007F61AD" w:rsidRPr="00CC689C" w14:paraId="7438BF64" w14:textId="77777777" w:rsidTr="00CF2857">
        <w:tc>
          <w:tcPr>
            <w:tcW w:w="1705" w:type="dxa"/>
            <w:vMerge/>
          </w:tcPr>
          <w:p w14:paraId="46298428"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41BFC015"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Perphenazine</w:t>
            </w:r>
          </w:p>
        </w:tc>
      </w:tr>
      <w:tr w:rsidR="007F61AD" w:rsidRPr="00CC689C" w14:paraId="5D7D489C" w14:textId="77777777" w:rsidTr="00CF2857">
        <w:tc>
          <w:tcPr>
            <w:tcW w:w="1705" w:type="dxa"/>
            <w:vMerge/>
          </w:tcPr>
          <w:p w14:paraId="40135065"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40001047"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Pimozide</w:t>
            </w:r>
          </w:p>
        </w:tc>
      </w:tr>
      <w:tr w:rsidR="007F61AD" w:rsidRPr="00CC689C" w14:paraId="45D3522E" w14:textId="77777777" w:rsidTr="00CF2857">
        <w:tc>
          <w:tcPr>
            <w:tcW w:w="1705" w:type="dxa"/>
            <w:vMerge/>
          </w:tcPr>
          <w:p w14:paraId="2A577A31"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8F76464"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Quetiapine</w:t>
            </w:r>
          </w:p>
        </w:tc>
      </w:tr>
      <w:tr w:rsidR="007F61AD" w:rsidRPr="00CC689C" w14:paraId="41255C9C" w14:textId="77777777" w:rsidTr="00CF2857">
        <w:tc>
          <w:tcPr>
            <w:tcW w:w="1705" w:type="dxa"/>
            <w:vMerge/>
          </w:tcPr>
          <w:p w14:paraId="5704804F"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2BB291E"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Risperidone</w:t>
            </w:r>
          </w:p>
        </w:tc>
      </w:tr>
      <w:tr w:rsidR="007F61AD" w:rsidRPr="00CC689C" w14:paraId="41BB2BD5" w14:textId="77777777" w:rsidTr="00CF2857">
        <w:tc>
          <w:tcPr>
            <w:tcW w:w="1705" w:type="dxa"/>
            <w:vMerge/>
          </w:tcPr>
          <w:p w14:paraId="515E980D"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34FBFA39"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Sertindole</w:t>
            </w:r>
          </w:p>
        </w:tc>
      </w:tr>
      <w:tr w:rsidR="007F61AD" w:rsidRPr="00CC689C" w14:paraId="0F35DF58" w14:textId="77777777" w:rsidTr="00CF2857">
        <w:tc>
          <w:tcPr>
            <w:tcW w:w="1705" w:type="dxa"/>
            <w:vMerge/>
          </w:tcPr>
          <w:p w14:paraId="448D5D06"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E36966D"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Sulpiride</w:t>
            </w:r>
          </w:p>
        </w:tc>
      </w:tr>
      <w:tr w:rsidR="007F61AD" w:rsidRPr="00CC689C" w14:paraId="47D82FB8" w14:textId="77777777" w:rsidTr="00CF2857">
        <w:tc>
          <w:tcPr>
            <w:tcW w:w="1705" w:type="dxa"/>
            <w:vMerge/>
          </w:tcPr>
          <w:p w14:paraId="20C5DD4E"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1C7C4DD"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Thioridazine</w:t>
            </w:r>
          </w:p>
        </w:tc>
      </w:tr>
      <w:tr w:rsidR="007F61AD" w:rsidRPr="00CC689C" w14:paraId="1C8E21F6" w14:textId="77777777" w:rsidTr="00CF2857">
        <w:tc>
          <w:tcPr>
            <w:tcW w:w="1705" w:type="dxa"/>
            <w:vMerge/>
          </w:tcPr>
          <w:p w14:paraId="4BAB9317"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1036ACC1"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Trifluoperazine</w:t>
            </w:r>
          </w:p>
        </w:tc>
      </w:tr>
      <w:tr w:rsidR="007F61AD" w:rsidRPr="00CC689C" w14:paraId="544D5EC9" w14:textId="77777777" w:rsidTr="00CF2857">
        <w:tc>
          <w:tcPr>
            <w:tcW w:w="1705" w:type="dxa"/>
            <w:vMerge/>
          </w:tcPr>
          <w:p w14:paraId="13B9968A"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51D0DA23"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Ziprasidone</w:t>
            </w:r>
          </w:p>
        </w:tc>
      </w:tr>
      <w:tr w:rsidR="007F61AD" w:rsidRPr="00CC689C" w14:paraId="7375371E" w14:textId="77777777" w:rsidTr="00CF2857">
        <w:tc>
          <w:tcPr>
            <w:tcW w:w="1705" w:type="dxa"/>
            <w:vMerge/>
          </w:tcPr>
          <w:p w14:paraId="373A1857"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4AC49AD8"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Zuclopenthixol</w:t>
            </w:r>
          </w:p>
        </w:tc>
      </w:tr>
      <w:tr w:rsidR="007F61AD" w:rsidRPr="00CC689C" w14:paraId="679E39C2" w14:textId="77777777" w:rsidTr="00CF2857">
        <w:tc>
          <w:tcPr>
            <w:tcW w:w="1705" w:type="dxa"/>
            <w:vMerge w:val="restart"/>
          </w:tcPr>
          <w:p w14:paraId="72D07441"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Mood stabilizing antiepileptics </w:t>
            </w:r>
          </w:p>
        </w:tc>
        <w:tc>
          <w:tcPr>
            <w:tcW w:w="7645" w:type="dxa"/>
          </w:tcPr>
          <w:p w14:paraId="4208D348"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Carbamazepine </w:t>
            </w:r>
          </w:p>
        </w:tc>
      </w:tr>
      <w:tr w:rsidR="007F61AD" w:rsidRPr="00CC689C" w14:paraId="5478DBF2" w14:textId="77777777" w:rsidTr="00CF2857">
        <w:tc>
          <w:tcPr>
            <w:tcW w:w="1705" w:type="dxa"/>
            <w:vMerge/>
          </w:tcPr>
          <w:p w14:paraId="3C1AC80E"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A798F3C"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Lamotrigine </w:t>
            </w:r>
          </w:p>
        </w:tc>
      </w:tr>
      <w:tr w:rsidR="007F61AD" w:rsidRPr="00CC689C" w14:paraId="7D0DE79F" w14:textId="77777777" w:rsidTr="00CF2857">
        <w:tc>
          <w:tcPr>
            <w:tcW w:w="1705" w:type="dxa"/>
            <w:vMerge/>
          </w:tcPr>
          <w:p w14:paraId="3B9AA303"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366C8A99"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Valproate sodium</w:t>
            </w:r>
          </w:p>
        </w:tc>
      </w:tr>
      <w:tr w:rsidR="007F61AD" w:rsidRPr="00CC689C" w14:paraId="4AB16596" w14:textId="77777777" w:rsidTr="00CF2857">
        <w:tc>
          <w:tcPr>
            <w:tcW w:w="1705" w:type="dxa"/>
            <w:vMerge w:val="restart"/>
          </w:tcPr>
          <w:p w14:paraId="197BA903"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Antidepressants </w:t>
            </w:r>
          </w:p>
        </w:tc>
        <w:tc>
          <w:tcPr>
            <w:tcW w:w="7645" w:type="dxa"/>
          </w:tcPr>
          <w:p w14:paraId="380FA172"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Amineptine</w:t>
            </w:r>
          </w:p>
        </w:tc>
      </w:tr>
      <w:tr w:rsidR="007F61AD" w:rsidRPr="00CC689C" w14:paraId="08423ED4" w14:textId="77777777" w:rsidTr="00CF2857">
        <w:tc>
          <w:tcPr>
            <w:tcW w:w="1705" w:type="dxa"/>
            <w:vMerge/>
          </w:tcPr>
          <w:p w14:paraId="1292F6CC"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2B12B8A4"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Amitriptyline</w:t>
            </w:r>
          </w:p>
        </w:tc>
      </w:tr>
      <w:tr w:rsidR="007F61AD" w:rsidRPr="00CC689C" w14:paraId="5EA99CEB" w14:textId="77777777" w:rsidTr="00CF2857">
        <w:tc>
          <w:tcPr>
            <w:tcW w:w="1705" w:type="dxa"/>
            <w:vMerge/>
          </w:tcPr>
          <w:p w14:paraId="7070F6EC"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38BDA682"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Clomipramine</w:t>
            </w:r>
          </w:p>
        </w:tc>
      </w:tr>
      <w:tr w:rsidR="007F61AD" w:rsidRPr="00CC689C" w14:paraId="5B74024E" w14:textId="77777777" w:rsidTr="00CF2857">
        <w:tc>
          <w:tcPr>
            <w:tcW w:w="1705" w:type="dxa"/>
            <w:vMerge/>
          </w:tcPr>
          <w:p w14:paraId="2BF5DF74"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128A3731"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Dothiepin</w:t>
            </w:r>
          </w:p>
        </w:tc>
      </w:tr>
      <w:tr w:rsidR="007F61AD" w:rsidRPr="00CC689C" w14:paraId="1611383E" w14:textId="77777777" w:rsidTr="00CF2857">
        <w:tc>
          <w:tcPr>
            <w:tcW w:w="1705" w:type="dxa"/>
            <w:vMerge/>
          </w:tcPr>
          <w:p w14:paraId="0C894A53"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9F4F96B"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Doxepin</w:t>
            </w:r>
          </w:p>
        </w:tc>
      </w:tr>
      <w:tr w:rsidR="007F61AD" w:rsidRPr="00CC689C" w14:paraId="3AD88CFE" w14:textId="77777777" w:rsidTr="00CF2857">
        <w:tc>
          <w:tcPr>
            <w:tcW w:w="1705" w:type="dxa"/>
            <w:vMerge/>
          </w:tcPr>
          <w:p w14:paraId="2DA7691B"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A780EB3"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Imipramine</w:t>
            </w:r>
          </w:p>
        </w:tc>
      </w:tr>
      <w:tr w:rsidR="007F61AD" w:rsidRPr="00CC689C" w14:paraId="164B3826" w14:textId="77777777" w:rsidTr="00CF2857">
        <w:tc>
          <w:tcPr>
            <w:tcW w:w="1705" w:type="dxa"/>
            <w:vMerge/>
          </w:tcPr>
          <w:p w14:paraId="20A5CD4F"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13C20BCB"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Maprotiline</w:t>
            </w:r>
          </w:p>
        </w:tc>
      </w:tr>
      <w:tr w:rsidR="007F61AD" w:rsidRPr="00CC689C" w14:paraId="7F60C0DE" w14:textId="77777777" w:rsidTr="00CF2857">
        <w:tc>
          <w:tcPr>
            <w:tcW w:w="1705" w:type="dxa"/>
            <w:vMerge/>
          </w:tcPr>
          <w:p w14:paraId="5EB5D5A1"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0D17ACD"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Mianserin</w:t>
            </w:r>
          </w:p>
        </w:tc>
      </w:tr>
      <w:tr w:rsidR="007F61AD" w:rsidRPr="00CC689C" w14:paraId="5D1D8D35" w14:textId="77777777" w:rsidTr="00CF2857">
        <w:tc>
          <w:tcPr>
            <w:tcW w:w="1705" w:type="dxa"/>
            <w:vMerge/>
          </w:tcPr>
          <w:p w14:paraId="3DD3FFE8"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90D4505"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Motival</w:t>
            </w:r>
          </w:p>
        </w:tc>
      </w:tr>
      <w:tr w:rsidR="007F61AD" w:rsidRPr="00CC689C" w14:paraId="4D65B132" w14:textId="77777777" w:rsidTr="00CF2857">
        <w:tc>
          <w:tcPr>
            <w:tcW w:w="1705" w:type="dxa"/>
            <w:vMerge/>
          </w:tcPr>
          <w:p w14:paraId="51BF1387"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2A5D03C0"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Nortriptyline</w:t>
            </w:r>
          </w:p>
        </w:tc>
      </w:tr>
      <w:tr w:rsidR="007F61AD" w:rsidRPr="00CC689C" w14:paraId="74CE35F3" w14:textId="77777777" w:rsidTr="00CF2857">
        <w:tc>
          <w:tcPr>
            <w:tcW w:w="1705" w:type="dxa"/>
            <w:vMerge/>
          </w:tcPr>
          <w:p w14:paraId="514B99D7"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5C599C4E"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Protriptyline</w:t>
            </w:r>
          </w:p>
        </w:tc>
      </w:tr>
      <w:tr w:rsidR="007F61AD" w:rsidRPr="00CC689C" w14:paraId="71BC61BD" w14:textId="77777777" w:rsidTr="00CF2857">
        <w:tc>
          <w:tcPr>
            <w:tcW w:w="1705" w:type="dxa"/>
            <w:vMerge/>
          </w:tcPr>
          <w:p w14:paraId="25F88E69"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4B7C119C"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Trazodone</w:t>
            </w:r>
          </w:p>
        </w:tc>
      </w:tr>
      <w:tr w:rsidR="007F61AD" w:rsidRPr="00CC689C" w14:paraId="36C1596B" w14:textId="77777777" w:rsidTr="00CF2857">
        <w:tc>
          <w:tcPr>
            <w:tcW w:w="1705" w:type="dxa"/>
            <w:vMerge/>
          </w:tcPr>
          <w:p w14:paraId="62FE8838"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59BCB039"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Trimipramine</w:t>
            </w:r>
          </w:p>
        </w:tc>
      </w:tr>
      <w:tr w:rsidR="007F61AD" w:rsidRPr="00CC689C" w14:paraId="07C59F85" w14:textId="77777777" w:rsidTr="00CF2857">
        <w:tc>
          <w:tcPr>
            <w:tcW w:w="1705" w:type="dxa"/>
            <w:vMerge/>
          </w:tcPr>
          <w:p w14:paraId="32902820"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5F602DB0"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Moclobemide</w:t>
            </w:r>
          </w:p>
        </w:tc>
      </w:tr>
      <w:tr w:rsidR="007F61AD" w:rsidRPr="00CC689C" w14:paraId="5666D3F5" w14:textId="77777777" w:rsidTr="00CF2857">
        <w:tc>
          <w:tcPr>
            <w:tcW w:w="1705" w:type="dxa"/>
            <w:vMerge/>
          </w:tcPr>
          <w:p w14:paraId="438557FB"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D8D0788"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Phenelzine</w:t>
            </w:r>
          </w:p>
        </w:tc>
      </w:tr>
      <w:tr w:rsidR="007F61AD" w:rsidRPr="00CC689C" w14:paraId="63177BB7" w14:textId="77777777" w:rsidTr="00CF2857">
        <w:tc>
          <w:tcPr>
            <w:tcW w:w="1705" w:type="dxa"/>
            <w:vMerge/>
          </w:tcPr>
          <w:p w14:paraId="41DE390B"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53F2913"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Citalopram</w:t>
            </w:r>
          </w:p>
        </w:tc>
      </w:tr>
      <w:tr w:rsidR="007F61AD" w:rsidRPr="00CC689C" w14:paraId="5C4C767A" w14:textId="77777777" w:rsidTr="00CF2857">
        <w:tc>
          <w:tcPr>
            <w:tcW w:w="1705" w:type="dxa"/>
            <w:vMerge/>
          </w:tcPr>
          <w:p w14:paraId="16F21611"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04543F2"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Escitalopram</w:t>
            </w:r>
          </w:p>
        </w:tc>
      </w:tr>
      <w:tr w:rsidR="007F61AD" w:rsidRPr="00CC689C" w14:paraId="71D08008" w14:textId="77777777" w:rsidTr="00CF2857">
        <w:tc>
          <w:tcPr>
            <w:tcW w:w="1705" w:type="dxa"/>
            <w:vMerge/>
          </w:tcPr>
          <w:p w14:paraId="7C69FECF"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96138E6"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Fluoxetine</w:t>
            </w:r>
          </w:p>
        </w:tc>
      </w:tr>
      <w:tr w:rsidR="007F61AD" w:rsidRPr="00CC689C" w14:paraId="514F4263" w14:textId="77777777" w:rsidTr="00CF2857">
        <w:tc>
          <w:tcPr>
            <w:tcW w:w="1705" w:type="dxa"/>
            <w:vMerge/>
          </w:tcPr>
          <w:p w14:paraId="66CCA0C0"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533FCAAD"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Fluvoxamine</w:t>
            </w:r>
          </w:p>
        </w:tc>
      </w:tr>
      <w:tr w:rsidR="007F61AD" w:rsidRPr="00CC689C" w14:paraId="78D1FC95" w14:textId="77777777" w:rsidTr="00CF2857">
        <w:tc>
          <w:tcPr>
            <w:tcW w:w="1705" w:type="dxa"/>
            <w:vMerge/>
          </w:tcPr>
          <w:p w14:paraId="68B2AD40"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29AD4F8F"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Paroxetine</w:t>
            </w:r>
          </w:p>
        </w:tc>
      </w:tr>
      <w:tr w:rsidR="007F61AD" w:rsidRPr="00CC689C" w14:paraId="39E03627" w14:textId="77777777" w:rsidTr="00CF2857">
        <w:tc>
          <w:tcPr>
            <w:tcW w:w="1705" w:type="dxa"/>
            <w:vMerge/>
          </w:tcPr>
          <w:p w14:paraId="2AD3E5F4"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1E298501"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Sertraline</w:t>
            </w:r>
          </w:p>
        </w:tc>
      </w:tr>
      <w:tr w:rsidR="007F61AD" w:rsidRPr="00CC689C" w14:paraId="6E3E586A" w14:textId="77777777" w:rsidTr="00CF2857">
        <w:tc>
          <w:tcPr>
            <w:tcW w:w="1705" w:type="dxa"/>
            <w:vMerge/>
          </w:tcPr>
          <w:p w14:paraId="698A583F"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B68602B"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Agomelatine</w:t>
            </w:r>
          </w:p>
        </w:tc>
      </w:tr>
      <w:tr w:rsidR="007F61AD" w:rsidRPr="00CC689C" w14:paraId="12BF8854" w14:textId="77777777" w:rsidTr="00CF2857">
        <w:tc>
          <w:tcPr>
            <w:tcW w:w="1705" w:type="dxa"/>
            <w:vMerge/>
          </w:tcPr>
          <w:p w14:paraId="68D2D204"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ACFD8DD"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Bupropion</w:t>
            </w:r>
          </w:p>
        </w:tc>
      </w:tr>
      <w:tr w:rsidR="007F61AD" w:rsidRPr="00CC689C" w14:paraId="33B97180" w14:textId="77777777" w:rsidTr="00CF2857">
        <w:tc>
          <w:tcPr>
            <w:tcW w:w="1705" w:type="dxa"/>
            <w:vMerge/>
          </w:tcPr>
          <w:p w14:paraId="58DDC3AC"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4EA8906C"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Desvenlafaxine</w:t>
            </w:r>
          </w:p>
        </w:tc>
      </w:tr>
      <w:tr w:rsidR="007F61AD" w:rsidRPr="00CC689C" w14:paraId="2839F326" w14:textId="77777777" w:rsidTr="00CF2857">
        <w:tc>
          <w:tcPr>
            <w:tcW w:w="1705" w:type="dxa"/>
            <w:vMerge/>
          </w:tcPr>
          <w:p w14:paraId="6C441569"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AF65C27"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Milnacipran</w:t>
            </w:r>
          </w:p>
        </w:tc>
      </w:tr>
      <w:tr w:rsidR="007F61AD" w:rsidRPr="00CC689C" w14:paraId="7BE42DA7" w14:textId="77777777" w:rsidTr="00CF2857">
        <w:tc>
          <w:tcPr>
            <w:tcW w:w="1705" w:type="dxa"/>
            <w:vMerge/>
          </w:tcPr>
          <w:p w14:paraId="5231CE5F"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5BC6FCFC"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Mirtazapine</w:t>
            </w:r>
          </w:p>
        </w:tc>
      </w:tr>
      <w:tr w:rsidR="007F61AD" w:rsidRPr="00CC689C" w14:paraId="7E911E09" w14:textId="77777777" w:rsidTr="00CF2857">
        <w:tc>
          <w:tcPr>
            <w:tcW w:w="1705" w:type="dxa"/>
            <w:vMerge/>
          </w:tcPr>
          <w:p w14:paraId="7BB86543"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C11B672"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Nefazodone</w:t>
            </w:r>
          </w:p>
        </w:tc>
      </w:tr>
      <w:tr w:rsidR="007F61AD" w:rsidRPr="00CC689C" w14:paraId="6AFFBD0C" w14:textId="77777777" w:rsidTr="00CF2857">
        <w:tc>
          <w:tcPr>
            <w:tcW w:w="1705" w:type="dxa"/>
            <w:vMerge/>
          </w:tcPr>
          <w:p w14:paraId="203A2B65"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29F795C"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Oxitriptan</w:t>
            </w:r>
          </w:p>
        </w:tc>
      </w:tr>
      <w:tr w:rsidR="007F61AD" w:rsidRPr="00CC689C" w14:paraId="6F461431" w14:textId="77777777" w:rsidTr="00CF2857">
        <w:tc>
          <w:tcPr>
            <w:tcW w:w="1705" w:type="dxa"/>
            <w:vMerge/>
          </w:tcPr>
          <w:p w14:paraId="700474A9"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5FC689C"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Venlafaxine</w:t>
            </w:r>
          </w:p>
        </w:tc>
      </w:tr>
      <w:tr w:rsidR="007F61AD" w:rsidRPr="00CC689C" w14:paraId="631DD9D9" w14:textId="77777777" w:rsidTr="00CF2857">
        <w:tc>
          <w:tcPr>
            <w:tcW w:w="1705" w:type="dxa"/>
            <w:vMerge/>
          </w:tcPr>
          <w:p w14:paraId="6E818ED0"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B50BADE"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Vortioxetine</w:t>
            </w:r>
          </w:p>
        </w:tc>
      </w:tr>
      <w:tr w:rsidR="007F61AD" w:rsidRPr="00CC689C" w14:paraId="557DAFDC" w14:textId="77777777" w:rsidTr="00CF2857">
        <w:tc>
          <w:tcPr>
            <w:tcW w:w="1705" w:type="dxa"/>
            <w:vMerge/>
          </w:tcPr>
          <w:p w14:paraId="0B3B35C6"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98A9B88"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Duloxetine</w:t>
            </w:r>
          </w:p>
        </w:tc>
      </w:tr>
      <w:tr w:rsidR="007F61AD" w:rsidRPr="00CC689C" w14:paraId="617AD682" w14:textId="77777777" w:rsidTr="00CF2857">
        <w:tc>
          <w:tcPr>
            <w:tcW w:w="1705" w:type="dxa"/>
            <w:vMerge/>
          </w:tcPr>
          <w:p w14:paraId="51D063B6"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428E2053"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Tianeptine</w:t>
            </w:r>
          </w:p>
        </w:tc>
      </w:tr>
      <w:tr w:rsidR="007F61AD" w:rsidRPr="00CC689C" w14:paraId="2F3AC8D8" w14:textId="77777777" w:rsidTr="00CF2857">
        <w:tc>
          <w:tcPr>
            <w:tcW w:w="1705" w:type="dxa"/>
            <w:vMerge w:val="restart"/>
          </w:tcPr>
          <w:p w14:paraId="40842892"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Benzodiazepine derivatives </w:t>
            </w:r>
          </w:p>
        </w:tc>
        <w:tc>
          <w:tcPr>
            <w:tcW w:w="7645" w:type="dxa"/>
          </w:tcPr>
          <w:p w14:paraId="29153FBC"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Flunitrazepam</w:t>
            </w:r>
          </w:p>
        </w:tc>
      </w:tr>
      <w:tr w:rsidR="007F61AD" w:rsidRPr="00CC689C" w14:paraId="06D51A0C" w14:textId="77777777" w:rsidTr="00CF2857">
        <w:tc>
          <w:tcPr>
            <w:tcW w:w="1705" w:type="dxa"/>
            <w:vMerge/>
          </w:tcPr>
          <w:p w14:paraId="7D37CD1F"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0C5297A" w14:textId="111E6320" w:rsidR="007F61AD" w:rsidRPr="00CC689C" w:rsidRDefault="00427781"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Flurazepam</w:t>
            </w:r>
          </w:p>
        </w:tc>
      </w:tr>
      <w:tr w:rsidR="007F61AD" w:rsidRPr="00CC689C" w14:paraId="77D85A7F" w14:textId="77777777" w:rsidTr="00CF2857">
        <w:tc>
          <w:tcPr>
            <w:tcW w:w="1705" w:type="dxa"/>
            <w:vMerge/>
          </w:tcPr>
          <w:p w14:paraId="3854E0FA"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2B47AD84" w14:textId="447B092A" w:rsidR="007F61AD" w:rsidRPr="00CC689C" w:rsidRDefault="00427781"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Lormetazepam</w:t>
            </w:r>
          </w:p>
        </w:tc>
      </w:tr>
      <w:tr w:rsidR="007F61AD" w:rsidRPr="00CC689C" w14:paraId="792F120A" w14:textId="77777777" w:rsidTr="00CF2857">
        <w:tc>
          <w:tcPr>
            <w:tcW w:w="1705" w:type="dxa"/>
            <w:vMerge/>
          </w:tcPr>
          <w:p w14:paraId="4214A728"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2D5D8E76"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Midazolam</w:t>
            </w:r>
          </w:p>
        </w:tc>
      </w:tr>
      <w:tr w:rsidR="007F61AD" w:rsidRPr="00CC689C" w14:paraId="21E72ABE" w14:textId="77777777" w:rsidTr="00CF2857">
        <w:tc>
          <w:tcPr>
            <w:tcW w:w="1705" w:type="dxa"/>
            <w:vMerge/>
          </w:tcPr>
          <w:p w14:paraId="1DD40D49"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B0E628A"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Nitrazepam</w:t>
            </w:r>
          </w:p>
        </w:tc>
      </w:tr>
      <w:tr w:rsidR="007F61AD" w:rsidRPr="00CC689C" w14:paraId="40571530" w14:textId="77777777" w:rsidTr="00CF2857">
        <w:tc>
          <w:tcPr>
            <w:tcW w:w="1705" w:type="dxa"/>
            <w:vMerge/>
          </w:tcPr>
          <w:p w14:paraId="3C5F7000"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34587396"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Temazepam</w:t>
            </w:r>
          </w:p>
        </w:tc>
      </w:tr>
      <w:tr w:rsidR="007F61AD" w:rsidRPr="00CC689C" w14:paraId="19D87BA3" w14:textId="77777777" w:rsidTr="00CF2857">
        <w:tc>
          <w:tcPr>
            <w:tcW w:w="1705" w:type="dxa"/>
            <w:vMerge/>
          </w:tcPr>
          <w:p w14:paraId="67D4A827"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443D893"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Triazolam</w:t>
            </w:r>
          </w:p>
        </w:tc>
      </w:tr>
      <w:tr w:rsidR="007F61AD" w:rsidRPr="00CC689C" w14:paraId="3D0D36E2" w14:textId="77777777" w:rsidTr="00CF2857">
        <w:tc>
          <w:tcPr>
            <w:tcW w:w="1705" w:type="dxa"/>
            <w:vMerge/>
          </w:tcPr>
          <w:p w14:paraId="210BD5D6"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5E17405E"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Alprazolam</w:t>
            </w:r>
          </w:p>
        </w:tc>
      </w:tr>
      <w:tr w:rsidR="007F61AD" w:rsidRPr="00CC689C" w14:paraId="6DE0A632" w14:textId="77777777" w:rsidTr="00CF2857">
        <w:tc>
          <w:tcPr>
            <w:tcW w:w="1705" w:type="dxa"/>
            <w:vMerge/>
          </w:tcPr>
          <w:p w14:paraId="3EFF42AF"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1AE1175"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Bromazepam</w:t>
            </w:r>
          </w:p>
        </w:tc>
      </w:tr>
      <w:tr w:rsidR="007F61AD" w:rsidRPr="00CC689C" w14:paraId="1F033609" w14:textId="77777777" w:rsidTr="00CF2857">
        <w:tc>
          <w:tcPr>
            <w:tcW w:w="1705" w:type="dxa"/>
            <w:vMerge/>
          </w:tcPr>
          <w:p w14:paraId="5E54AD32"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718539B1"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Chlordiazepoxide</w:t>
            </w:r>
          </w:p>
        </w:tc>
      </w:tr>
      <w:tr w:rsidR="007F61AD" w:rsidRPr="00CC689C" w14:paraId="7AD72219" w14:textId="77777777" w:rsidTr="00CF2857">
        <w:tc>
          <w:tcPr>
            <w:tcW w:w="1705" w:type="dxa"/>
            <w:vMerge/>
          </w:tcPr>
          <w:p w14:paraId="593CBF20"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A7D0FE3"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Diazepam</w:t>
            </w:r>
          </w:p>
        </w:tc>
      </w:tr>
      <w:tr w:rsidR="007F61AD" w:rsidRPr="00CC689C" w14:paraId="01636263" w14:textId="77777777" w:rsidTr="00CF2857">
        <w:tc>
          <w:tcPr>
            <w:tcW w:w="1705" w:type="dxa"/>
            <w:vMerge/>
          </w:tcPr>
          <w:p w14:paraId="2A44007C"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DD36200"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Lorazepam</w:t>
            </w:r>
          </w:p>
        </w:tc>
      </w:tr>
      <w:tr w:rsidR="007F61AD" w:rsidRPr="00CC689C" w14:paraId="1D5E8305" w14:textId="77777777" w:rsidTr="00CF2857">
        <w:tc>
          <w:tcPr>
            <w:tcW w:w="1705" w:type="dxa"/>
            <w:vMerge/>
          </w:tcPr>
          <w:p w14:paraId="5CC20EE9"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1BC2DB29"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Prazepam</w:t>
            </w:r>
          </w:p>
        </w:tc>
      </w:tr>
      <w:tr w:rsidR="007F61AD" w:rsidRPr="00CC689C" w14:paraId="12141348" w14:textId="77777777" w:rsidTr="00CF2857">
        <w:tc>
          <w:tcPr>
            <w:tcW w:w="1705" w:type="dxa"/>
            <w:vMerge/>
          </w:tcPr>
          <w:p w14:paraId="4DD52976"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05A47B1F" w14:textId="17AE4AAF" w:rsidR="007F61AD" w:rsidRPr="00CC689C" w:rsidRDefault="00427781"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Pinazepam</w:t>
            </w:r>
          </w:p>
        </w:tc>
      </w:tr>
      <w:tr w:rsidR="007F61AD" w:rsidRPr="00CC689C" w14:paraId="0F4C4985" w14:textId="77777777" w:rsidTr="00CF2857">
        <w:tc>
          <w:tcPr>
            <w:tcW w:w="1705" w:type="dxa"/>
            <w:vMerge/>
          </w:tcPr>
          <w:p w14:paraId="27345B6B"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1EA3DC6F"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Clobazam</w:t>
            </w:r>
          </w:p>
        </w:tc>
      </w:tr>
      <w:tr w:rsidR="007F61AD" w:rsidRPr="00CC689C" w14:paraId="61BDF17D" w14:textId="77777777" w:rsidTr="00CF2857">
        <w:tc>
          <w:tcPr>
            <w:tcW w:w="1705" w:type="dxa"/>
            <w:vMerge/>
          </w:tcPr>
          <w:p w14:paraId="7CAD39D2"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1C902A92"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Clonazepam </w:t>
            </w:r>
          </w:p>
        </w:tc>
      </w:tr>
      <w:tr w:rsidR="007F61AD" w:rsidRPr="00CC689C" w14:paraId="3096552D" w14:textId="77777777" w:rsidTr="00CF2857">
        <w:tc>
          <w:tcPr>
            <w:tcW w:w="1705" w:type="dxa"/>
            <w:vMerge/>
          </w:tcPr>
          <w:p w14:paraId="4EE62911"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EC25727"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 xml:space="preserve">Dipotassium </w:t>
            </w:r>
            <w:r w:rsidRPr="00CC689C">
              <w:rPr>
                <w:rFonts w:ascii="Times New Roman" w:hAnsi="Times New Roman" w:cs="Times New Roman"/>
                <w:color w:val="000000" w:themeColor="text1"/>
                <w:sz w:val="20"/>
                <w:szCs w:val="20"/>
                <w:shd w:val="clear" w:color="auto" w:fill="FFFFFF"/>
              </w:rPr>
              <w:t>clorazepate</w:t>
            </w:r>
          </w:p>
        </w:tc>
      </w:tr>
      <w:tr w:rsidR="007F61AD" w:rsidRPr="00CC689C" w14:paraId="2D6A72BE" w14:textId="77777777" w:rsidTr="00CF2857">
        <w:tc>
          <w:tcPr>
            <w:tcW w:w="1705" w:type="dxa"/>
            <w:vMerge/>
          </w:tcPr>
          <w:p w14:paraId="124E694E"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52A9386"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Loprazolam</w:t>
            </w:r>
          </w:p>
        </w:tc>
      </w:tr>
      <w:tr w:rsidR="007F61AD" w:rsidRPr="00CC689C" w14:paraId="0AF1FE48" w14:textId="77777777" w:rsidTr="00CF2857">
        <w:tc>
          <w:tcPr>
            <w:tcW w:w="1705" w:type="dxa"/>
            <w:vMerge/>
          </w:tcPr>
          <w:p w14:paraId="67C0AE8D"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65F534A8"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Estazolam</w:t>
            </w:r>
          </w:p>
        </w:tc>
      </w:tr>
      <w:tr w:rsidR="007F61AD" w:rsidRPr="00CC689C" w14:paraId="6C672E79" w14:textId="77777777" w:rsidTr="00CF2857">
        <w:tc>
          <w:tcPr>
            <w:tcW w:w="1705" w:type="dxa"/>
            <w:vMerge/>
          </w:tcPr>
          <w:p w14:paraId="00B4BD31"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30CABAA6"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shd w:val="clear" w:color="auto" w:fill="FFFFFF"/>
              </w:rPr>
              <w:t>Quazepam</w:t>
            </w:r>
          </w:p>
        </w:tc>
      </w:tr>
      <w:tr w:rsidR="007F61AD" w:rsidRPr="00CC689C" w14:paraId="2B5B7E2E" w14:textId="77777777" w:rsidTr="00CF2857">
        <w:tc>
          <w:tcPr>
            <w:tcW w:w="1705" w:type="dxa"/>
            <w:vMerge/>
          </w:tcPr>
          <w:p w14:paraId="4D6EB7D4" w14:textId="77777777" w:rsidR="007F61AD" w:rsidRPr="00CC689C" w:rsidRDefault="007F61AD" w:rsidP="00CF2857">
            <w:pPr>
              <w:rPr>
                <w:rFonts w:ascii="Times New Roman" w:hAnsi="Times New Roman" w:cs="Times New Roman"/>
                <w:color w:val="000000" w:themeColor="text1"/>
                <w:sz w:val="20"/>
                <w:szCs w:val="20"/>
              </w:rPr>
            </w:pPr>
          </w:p>
        </w:tc>
        <w:tc>
          <w:tcPr>
            <w:tcW w:w="7645" w:type="dxa"/>
          </w:tcPr>
          <w:p w14:paraId="2B8F1669" w14:textId="77777777" w:rsidR="007F61AD" w:rsidRPr="00CC689C" w:rsidRDefault="007F61AD" w:rsidP="00CF2857">
            <w:pPr>
              <w:rPr>
                <w:rFonts w:ascii="Times New Roman" w:hAnsi="Times New Roman" w:cs="Times New Roman"/>
                <w:color w:val="000000" w:themeColor="text1"/>
                <w:sz w:val="20"/>
                <w:szCs w:val="20"/>
              </w:rPr>
            </w:pPr>
            <w:r w:rsidRPr="00CC689C">
              <w:rPr>
                <w:rFonts w:ascii="Times New Roman" w:hAnsi="Times New Roman" w:cs="Times New Roman"/>
                <w:color w:val="000000" w:themeColor="text1"/>
                <w:sz w:val="20"/>
                <w:szCs w:val="20"/>
              </w:rPr>
              <w:t>Oxazepam</w:t>
            </w:r>
          </w:p>
        </w:tc>
      </w:tr>
    </w:tbl>
    <w:p w14:paraId="700481DA" w14:textId="77777777" w:rsidR="007F61AD" w:rsidRPr="00CC689C" w:rsidRDefault="007F61AD" w:rsidP="007F61AD">
      <w:pPr>
        <w:rPr>
          <w:rFonts w:ascii="Times New Roman" w:hAnsi="Times New Roman" w:cs="Times New Roman"/>
          <w:color w:val="000000" w:themeColor="text1"/>
          <w:sz w:val="20"/>
          <w:szCs w:val="20"/>
          <w:lang w:val="en-US"/>
        </w:rPr>
      </w:pPr>
    </w:p>
    <w:p w14:paraId="77F66B8C" w14:textId="77777777" w:rsidR="007F61AD" w:rsidRPr="00CC689C" w:rsidRDefault="007F61AD" w:rsidP="007F61AD">
      <w:pPr>
        <w:rPr>
          <w:rFonts w:ascii="Times New Roman" w:hAnsi="Times New Roman" w:cs="Times New Roman"/>
          <w:color w:val="000000" w:themeColor="text1"/>
          <w:sz w:val="20"/>
          <w:szCs w:val="20"/>
          <w:lang w:val="en-US"/>
        </w:rPr>
      </w:pPr>
    </w:p>
    <w:p w14:paraId="4388D4AB" w14:textId="77777777" w:rsidR="007F61AD" w:rsidRDefault="007F61AD" w:rsidP="007F61AD">
      <w:pPr>
        <w:rPr>
          <w:rFonts w:ascii="Times New Roman" w:hAnsi="Times New Roman" w:cs="Times New Roman"/>
          <w:b/>
          <w:bCs/>
          <w:sz w:val="20"/>
          <w:szCs w:val="20"/>
          <w:lang w:val="en-US"/>
        </w:rPr>
      </w:pPr>
    </w:p>
    <w:p w14:paraId="2EC36C31" w14:textId="0F5F7758" w:rsidR="00B72608" w:rsidRPr="00D44D25" w:rsidRDefault="007F61AD" w:rsidP="00B72608">
      <w:pPr>
        <w:rPr>
          <w:rFonts w:ascii="Times New Roman" w:hAnsi="Times New Roman" w:cs="Times New Roman"/>
          <w:b/>
          <w:bCs/>
          <w:sz w:val="20"/>
          <w:szCs w:val="20"/>
          <w:lang w:val="en-US"/>
        </w:rPr>
      </w:pPr>
      <w:r>
        <w:rPr>
          <w:rFonts w:ascii="Times New Roman" w:hAnsi="Times New Roman" w:cs="Times New Roman"/>
          <w:b/>
          <w:bCs/>
          <w:sz w:val="20"/>
          <w:szCs w:val="20"/>
          <w:lang w:val="en-US"/>
        </w:rPr>
        <w:br w:type="page"/>
      </w:r>
      <w:r w:rsidR="00BC50C9" w:rsidRPr="00BC50C9">
        <w:rPr>
          <w:rFonts w:ascii="Times New Roman" w:hAnsi="Times New Roman" w:cs="Times New Roman"/>
          <w:b/>
          <w:bCs/>
          <w:sz w:val="20"/>
          <w:szCs w:val="20"/>
          <w:lang w:val="en-US"/>
        </w:rPr>
        <w:lastRenderedPageBreak/>
        <w:t xml:space="preserve">Supplementary Table </w:t>
      </w:r>
      <w:r>
        <w:rPr>
          <w:rFonts w:ascii="Times New Roman" w:hAnsi="Times New Roman" w:cs="Times New Roman"/>
          <w:b/>
          <w:bCs/>
          <w:sz w:val="20"/>
          <w:szCs w:val="20"/>
          <w:lang w:val="en-US"/>
        </w:rPr>
        <w:t>2</w:t>
      </w:r>
      <w:r w:rsidR="00B72608" w:rsidRPr="00D44D25">
        <w:rPr>
          <w:rFonts w:ascii="Times New Roman" w:hAnsi="Times New Roman" w:cs="Times New Roman"/>
          <w:b/>
          <w:bCs/>
          <w:sz w:val="20"/>
          <w:szCs w:val="20"/>
          <w:lang w:val="en-US"/>
        </w:rPr>
        <w:t>. Selection criteria of traumatic</w:t>
      </w:r>
      <w:r w:rsidR="00635BDF">
        <w:rPr>
          <w:rFonts w:ascii="Times New Roman" w:hAnsi="Times New Roman" w:cs="Times New Roman"/>
          <w:b/>
          <w:bCs/>
          <w:sz w:val="20"/>
          <w:szCs w:val="20"/>
          <w:lang w:val="en-US"/>
        </w:rPr>
        <w:t xml:space="preserve"> injuries</w:t>
      </w:r>
      <w:r w:rsidR="00B72608" w:rsidRPr="00D44D25">
        <w:rPr>
          <w:rFonts w:ascii="Times New Roman" w:hAnsi="Times New Roman" w:cs="Times New Roman"/>
          <w:b/>
          <w:bCs/>
          <w:sz w:val="20"/>
          <w:szCs w:val="20"/>
          <w:lang w:val="en-US"/>
        </w:rPr>
        <w:t xml:space="preserve"> cases at the emergency room setting in public hospitals in Hong Kong </w:t>
      </w:r>
    </w:p>
    <w:p w14:paraId="7D447F24" w14:textId="1BCA5C6A" w:rsidR="000302C4" w:rsidRPr="00165EE3" w:rsidRDefault="00466773" w:rsidP="00B72608">
      <w:pPr>
        <w:rPr>
          <w:rFonts w:ascii="Times New Roman" w:hAnsi="Times New Roman" w:cs="Times New Roman"/>
          <w:bCs/>
          <w:sz w:val="20"/>
          <w:szCs w:val="20"/>
          <w:lang w:val="en-US"/>
        </w:rPr>
      </w:pPr>
      <w:r w:rsidRPr="00165EE3">
        <w:rPr>
          <w:rFonts w:ascii="Times New Roman" w:hAnsi="Times New Roman" w:cs="Times New Roman"/>
          <w:bCs/>
          <w:sz w:val="20"/>
          <w:szCs w:val="20"/>
          <w:lang w:val="en-US"/>
        </w:rPr>
        <w:t xml:space="preserve">In Hong Kong, it is a compulsory standard procedure that the </w:t>
      </w:r>
      <w:r w:rsidR="0095508F" w:rsidRPr="00165EE3">
        <w:rPr>
          <w:rFonts w:ascii="Times New Roman" w:hAnsi="Times New Roman" w:cs="Times New Roman"/>
          <w:bCs/>
          <w:sz w:val="20"/>
          <w:szCs w:val="20"/>
          <w:lang w:val="en-US"/>
        </w:rPr>
        <w:t>clinicians</w:t>
      </w:r>
      <w:r w:rsidR="001F1065" w:rsidRPr="00165EE3">
        <w:rPr>
          <w:rFonts w:ascii="Times New Roman" w:hAnsi="Times New Roman" w:cs="Times New Roman"/>
          <w:bCs/>
          <w:sz w:val="20"/>
          <w:szCs w:val="20"/>
          <w:lang w:val="en-US"/>
        </w:rPr>
        <w:t xml:space="preserve"> </w:t>
      </w:r>
      <w:r w:rsidRPr="00165EE3">
        <w:rPr>
          <w:rFonts w:ascii="Times New Roman" w:hAnsi="Times New Roman" w:cs="Times New Roman"/>
          <w:bCs/>
          <w:sz w:val="20"/>
          <w:szCs w:val="20"/>
          <w:lang w:val="en-US"/>
        </w:rPr>
        <w:t>and trauma nurses at the emergency room settings in the public hospitals to identify the traumatic</w:t>
      </w:r>
      <w:r w:rsidR="00635BDF">
        <w:rPr>
          <w:rFonts w:ascii="Times New Roman" w:hAnsi="Times New Roman" w:cs="Times New Roman"/>
          <w:bCs/>
          <w:sz w:val="20"/>
          <w:szCs w:val="20"/>
          <w:lang w:val="en-US"/>
        </w:rPr>
        <w:t xml:space="preserve"> injuries</w:t>
      </w:r>
      <w:r w:rsidRPr="00165EE3">
        <w:rPr>
          <w:rFonts w:ascii="Times New Roman" w:hAnsi="Times New Roman" w:cs="Times New Roman"/>
          <w:bCs/>
          <w:sz w:val="20"/>
          <w:szCs w:val="20"/>
          <w:lang w:val="en-US"/>
        </w:rPr>
        <w:t xml:space="preserve"> cases based on the National Trauma Data Standard Patient Inclusion Criteria by the American College of Surgeons </w:t>
      </w:r>
      <w:r w:rsidR="00631300" w:rsidRPr="00165EE3">
        <w:rPr>
          <w:rFonts w:ascii="Times New Roman" w:hAnsi="Times New Roman" w:cs="Times New Roman"/>
          <w:bCs/>
          <w:sz w:val="20"/>
          <w:szCs w:val="20"/>
          <w:lang w:val="en-US"/>
        </w:rPr>
        <w:t>Committee on Trauma</w:t>
      </w:r>
      <w:r w:rsidR="004612AE" w:rsidRPr="00165EE3">
        <w:rPr>
          <w:rFonts w:ascii="Times New Roman" w:hAnsi="Times New Roman" w:cs="Times New Roman"/>
          <w:bCs/>
          <w:sz w:val="20"/>
          <w:szCs w:val="20"/>
          <w:lang w:val="en-US"/>
        </w:rPr>
        <w:t xml:space="preserve"> </w:t>
      </w:r>
      <w:r w:rsidR="00165EE3">
        <w:rPr>
          <w:rFonts w:ascii="Times New Roman" w:hAnsi="Times New Roman" w:cs="Times New Roman"/>
          <w:bCs/>
          <w:sz w:val="20"/>
          <w:szCs w:val="20"/>
          <w:lang w:val="en-US"/>
        </w:rPr>
        <w:fldChar w:fldCharType="begin"/>
      </w:r>
      <w:r w:rsidR="00335A33">
        <w:rPr>
          <w:rFonts w:ascii="Times New Roman" w:hAnsi="Times New Roman" w:cs="Times New Roman"/>
          <w:bCs/>
          <w:sz w:val="20"/>
          <w:szCs w:val="20"/>
          <w:lang w:val="en-US"/>
        </w:rPr>
        <w:instrText xml:space="preserve"> ADDIN EN.CITE &lt;EndNote&gt;&lt;Cite&gt;&lt;Author&gt;American College of Surgeons Committee on Trauma&lt;/Author&gt;&lt;Year&gt;2019&lt;/Year&gt;&lt;RecNum&gt;26&lt;/RecNum&gt;&lt;DisplayText&gt;(American College of Surgeons Committee on Trauma, 2019)&lt;/DisplayText&gt;&lt;record&gt;&lt;rec-number&gt;26&lt;/rec-number&gt;&lt;foreign-keys&gt;&lt;key app="EN" db-id="evdf5raxcdffsmeaewx595tgt2x92xtaff5w" timestamp="1655113973"&gt;26&lt;/key&gt;&lt;/foreign-keys&gt;&lt;ref-type name="Web Page"&gt;12&lt;/ref-type&gt;&lt;contributors&gt;&lt;authors&gt;&lt;author&gt;American College of Surgeons Committee on Trauma,&lt;/author&gt;&lt;/authors&gt;&lt;/contributors&gt;&lt;titles&gt;&lt;title&gt;National Trauma Data Standard Data Dictionary 2019 Admissions&lt;/title&gt;&lt;/titles&gt;&lt;volume&gt;2022&lt;/volume&gt;&lt;number&gt;March 18&lt;/number&gt;&lt;dates&gt;&lt;year&gt;2019&lt;/year&gt;&lt;/dates&gt;&lt;urls&gt;&lt;related-urls&gt;&lt;url&gt;https://www.facs.org/~/media/files/quality%20programs/trauma/ntdb/ntds/data%20dictionaries/ntdb_data_dictionary_2019_revision.ashx&lt;/url&gt;&lt;/related-urls&gt;&lt;/urls&gt;&lt;custom1&gt;2021&lt;/custom1&gt;&lt;custom2&gt;03 March&lt;/custom2&gt;&lt;/record&gt;&lt;/Cite&gt;&lt;/EndNote&gt;</w:instrText>
      </w:r>
      <w:r w:rsidR="00165EE3">
        <w:rPr>
          <w:rFonts w:ascii="Times New Roman" w:hAnsi="Times New Roman" w:cs="Times New Roman"/>
          <w:bCs/>
          <w:sz w:val="20"/>
          <w:szCs w:val="20"/>
          <w:lang w:val="en-US"/>
        </w:rPr>
        <w:fldChar w:fldCharType="separate"/>
      </w:r>
      <w:r w:rsidR="00335A33">
        <w:rPr>
          <w:rFonts w:ascii="Times New Roman" w:hAnsi="Times New Roman" w:cs="Times New Roman"/>
          <w:bCs/>
          <w:noProof/>
          <w:sz w:val="20"/>
          <w:szCs w:val="20"/>
          <w:lang w:val="en-US"/>
        </w:rPr>
        <w:t>(American College of Surgeons Committee on Trauma, 2019)</w:t>
      </w:r>
      <w:r w:rsidR="00165EE3">
        <w:rPr>
          <w:rFonts w:ascii="Times New Roman" w:hAnsi="Times New Roman" w:cs="Times New Roman"/>
          <w:bCs/>
          <w:sz w:val="20"/>
          <w:szCs w:val="20"/>
          <w:lang w:val="en-US"/>
        </w:rPr>
        <w:fldChar w:fldCharType="end"/>
      </w:r>
      <w:r w:rsidR="00165EE3">
        <w:rPr>
          <w:rFonts w:ascii="Times New Roman" w:hAnsi="Times New Roman" w:cs="Times New Roman"/>
          <w:bCs/>
          <w:sz w:val="20"/>
          <w:szCs w:val="20"/>
          <w:lang w:val="en-US"/>
        </w:rPr>
        <w:t>.</w:t>
      </w:r>
    </w:p>
    <w:tbl>
      <w:tblPr>
        <w:tblStyle w:val="TableGrid"/>
        <w:tblW w:w="0" w:type="auto"/>
        <w:tblLook w:val="04A0" w:firstRow="1" w:lastRow="0" w:firstColumn="1" w:lastColumn="0" w:noHBand="0" w:noVBand="1"/>
      </w:tblPr>
      <w:tblGrid>
        <w:gridCol w:w="4508"/>
        <w:gridCol w:w="4508"/>
      </w:tblGrid>
      <w:tr w:rsidR="001D23E0" w:rsidRPr="00D44D25" w14:paraId="46D68F18" w14:textId="77777777" w:rsidTr="00CF2857">
        <w:tc>
          <w:tcPr>
            <w:tcW w:w="9016" w:type="dxa"/>
            <w:gridSpan w:val="2"/>
          </w:tcPr>
          <w:p w14:paraId="0692BFD9" w14:textId="69AAC93A" w:rsidR="001D23E0" w:rsidRPr="00D44D25" w:rsidRDefault="001D23E0" w:rsidP="00B72608">
            <w:pPr>
              <w:rPr>
                <w:rFonts w:ascii="Times New Roman" w:hAnsi="Times New Roman" w:cs="Times New Roman"/>
                <w:b/>
                <w:sz w:val="20"/>
                <w:szCs w:val="20"/>
              </w:rPr>
            </w:pPr>
            <w:r w:rsidRPr="00D44D25">
              <w:rPr>
                <w:rFonts w:ascii="Times New Roman" w:hAnsi="Times New Roman" w:cs="Times New Roman"/>
                <w:b/>
                <w:sz w:val="20"/>
                <w:szCs w:val="20"/>
              </w:rPr>
              <w:t xml:space="preserve">Inclusion criteria 1: at least one of the following injury diagnostic codes </w:t>
            </w:r>
          </w:p>
        </w:tc>
      </w:tr>
      <w:tr w:rsidR="00B72608" w:rsidRPr="00D44D25" w14:paraId="7E39EB17" w14:textId="77777777" w:rsidTr="00B72608">
        <w:tc>
          <w:tcPr>
            <w:tcW w:w="4508" w:type="dxa"/>
          </w:tcPr>
          <w:p w14:paraId="303C6C74" w14:textId="5D442665" w:rsidR="00B72608" w:rsidRPr="00D44D25" w:rsidRDefault="00466773" w:rsidP="00B72608">
            <w:pPr>
              <w:rPr>
                <w:rFonts w:ascii="Times New Roman" w:hAnsi="Times New Roman" w:cs="Times New Roman"/>
                <w:sz w:val="20"/>
                <w:szCs w:val="20"/>
              </w:rPr>
            </w:pPr>
            <w:r w:rsidRPr="00D44D25">
              <w:rPr>
                <w:rFonts w:ascii="Times New Roman" w:hAnsi="Times New Roman" w:cs="Times New Roman"/>
                <w:sz w:val="20"/>
                <w:szCs w:val="20"/>
              </w:rPr>
              <w:t>Description</w:t>
            </w:r>
          </w:p>
        </w:tc>
        <w:tc>
          <w:tcPr>
            <w:tcW w:w="4508" w:type="dxa"/>
          </w:tcPr>
          <w:p w14:paraId="191964BA" w14:textId="4A8FB12F" w:rsidR="00B72608" w:rsidRPr="00D44D25" w:rsidRDefault="00594E44" w:rsidP="00B72608">
            <w:pPr>
              <w:rPr>
                <w:rFonts w:ascii="Times New Roman" w:hAnsi="Times New Roman" w:cs="Times New Roman"/>
                <w:sz w:val="20"/>
                <w:szCs w:val="20"/>
              </w:rPr>
            </w:pPr>
            <w:r w:rsidRPr="00D44D25">
              <w:rPr>
                <w:rFonts w:ascii="Times New Roman" w:hAnsi="Times New Roman" w:cs="Times New Roman"/>
                <w:sz w:val="20"/>
                <w:szCs w:val="20"/>
              </w:rPr>
              <w:t>ICD-10-CM codes</w:t>
            </w:r>
          </w:p>
        </w:tc>
      </w:tr>
      <w:tr w:rsidR="00B72608" w:rsidRPr="00D44D25" w14:paraId="3ACD09C9" w14:textId="77777777" w:rsidTr="00B72608">
        <w:tc>
          <w:tcPr>
            <w:tcW w:w="4508" w:type="dxa"/>
          </w:tcPr>
          <w:p w14:paraId="60F565A9" w14:textId="10AF1AF6" w:rsidR="000302C4" w:rsidRPr="00D44D25" w:rsidRDefault="000302C4" w:rsidP="00B72608">
            <w:pPr>
              <w:rPr>
                <w:rFonts w:ascii="Times New Roman" w:hAnsi="Times New Roman" w:cs="Times New Roman"/>
                <w:sz w:val="20"/>
                <w:szCs w:val="20"/>
              </w:rPr>
            </w:pPr>
            <w:r w:rsidRPr="00D44D25">
              <w:rPr>
                <w:rFonts w:ascii="Times New Roman" w:hAnsi="Times New Roman" w:cs="Times New Roman"/>
                <w:sz w:val="20"/>
                <w:szCs w:val="20"/>
              </w:rPr>
              <w:t>Types of injuries:</w:t>
            </w:r>
          </w:p>
          <w:p w14:paraId="28AA0D42" w14:textId="1C04FE65" w:rsidR="000302C4" w:rsidRPr="00D44D25" w:rsidRDefault="000302C4" w:rsidP="000302C4">
            <w:pPr>
              <w:pStyle w:val="ListParagraph"/>
              <w:numPr>
                <w:ilvl w:val="0"/>
                <w:numId w:val="5"/>
              </w:numPr>
              <w:rPr>
                <w:rFonts w:ascii="Times New Roman" w:hAnsi="Times New Roman" w:cs="Times New Roman"/>
                <w:sz w:val="20"/>
                <w:szCs w:val="20"/>
              </w:rPr>
            </w:pPr>
            <w:r w:rsidRPr="00D44D25">
              <w:rPr>
                <w:rFonts w:ascii="Times New Roman" w:hAnsi="Times New Roman" w:cs="Times New Roman"/>
                <w:sz w:val="20"/>
                <w:szCs w:val="20"/>
              </w:rPr>
              <w:t>Open wound</w:t>
            </w:r>
          </w:p>
          <w:p w14:paraId="06A030B4" w14:textId="3C52FF73" w:rsidR="000302C4" w:rsidRPr="00D44D25" w:rsidRDefault="000302C4" w:rsidP="000302C4">
            <w:pPr>
              <w:pStyle w:val="ListParagraph"/>
              <w:numPr>
                <w:ilvl w:val="0"/>
                <w:numId w:val="5"/>
              </w:numPr>
              <w:rPr>
                <w:rFonts w:ascii="Times New Roman" w:hAnsi="Times New Roman" w:cs="Times New Roman"/>
                <w:sz w:val="20"/>
                <w:szCs w:val="20"/>
              </w:rPr>
            </w:pPr>
            <w:r w:rsidRPr="00D44D25">
              <w:rPr>
                <w:rFonts w:ascii="Times New Roman" w:hAnsi="Times New Roman" w:cs="Times New Roman"/>
                <w:sz w:val="20"/>
                <w:szCs w:val="20"/>
              </w:rPr>
              <w:t xml:space="preserve">Fracture </w:t>
            </w:r>
          </w:p>
          <w:p w14:paraId="571EA2F6" w14:textId="6F149363" w:rsidR="000302C4" w:rsidRPr="00D44D25" w:rsidRDefault="000302C4" w:rsidP="000302C4">
            <w:pPr>
              <w:pStyle w:val="ListParagraph"/>
              <w:numPr>
                <w:ilvl w:val="0"/>
                <w:numId w:val="5"/>
              </w:numPr>
              <w:rPr>
                <w:rFonts w:ascii="Times New Roman" w:hAnsi="Times New Roman" w:cs="Times New Roman"/>
                <w:sz w:val="20"/>
                <w:szCs w:val="20"/>
              </w:rPr>
            </w:pPr>
            <w:r w:rsidRPr="00D44D25">
              <w:rPr>
                <w:rFonts w:ascii="Times New Roman" w:hAnsi="Times New Roman" w:cs="Times New Roman"/>
                <w:sz w:val="20"/>
                <w:szCs w:val="20"/>
              </w:rPr>
              <w:t xml:space="preserve">Dislocation and sprain of joints and ligaments </w:t>
            </w:r>
          </w:p>
          <w:p w14:paraId="03672D96" w14:textId="0D4200A5" w:rsidR="000302C4" w:rsidRPr="00D44D25" w:rsidRDefault="000302C4" w:rsidP="000302C4">
            <w:pPr>
              <w:pStyle w:val="ListParagraph"/>
              <w:numPr>
                <w:ilvl w:val="0"/>
                <w:numId w:val="5"/>
              </w:numPr>
              <w:rPr>
                <w:rFonts w:ascii="Times New Roman" w:hAnsi="Times New Roman" w:cs="Times New Roman"/>
                <w:sz w:val="20"/>
                <w:szCs w:val="20"/>
              </w:rPr>
            </w:pPr>
            <w:r w:rsidRPr="00D44D25">
              <w:rPr>
                <w:rFonts w:ascii="Times New Roman" w:hAnsi="Times New Roman" w:cs="Times New Roman"/>
                <w:sz w:val="20"/>
                <w:szCs w:val="20"/>
              </w:rPr>
              <w:t xml:space="preserve">Injury of nerve </w:t>
            </w:r>
          </w:p>
          <w:p w14:paraId="381F7AE8" w14:textId="1E074F4F" w:rsidR="000302C4" w:rsidRPr="00D44D25" w:rsidRDefault="000302C4" w:rsidP="000302C4">
            <w:pPr>
              <w:pStyle w:val="ListParagraph"/>
              <w:numPr>
                <w:ilvl w:val="0"/>
                <w:numId w:val="5"/>
              </w:numPr>
              <w:rPr>
                <w:rFonts w:ascii="Times New Roman" w:hAnsi="Times New Roman" w:cs="Times New Roman"/>
                <w:sz w:val="20"/>
                <w:szCs w:val="20"/>
              </w:rPr>
            </w:pPr>
            <w:r w:rsidRPr="00D44D25">
              <w:rPr>
                <w:rFonts w:ascii="Times New Roman" w:hAnsi="Times New Roman" w:cs="Times New Roman"/>
                <w:sz w:val="20"/>
                <w:szCs w:val="20"/>
              </w:rPr>
              <w:t>Injury to blood vessels</w:t>
            </w:r>
          </w:p>
          <w:p w14:paraId="197A53F5" w14:textId="0AB99830" w:rsidR="000302C4" w:rsidRPr="00D44D25" w:rsidRDefault="000302C4" w:rsidP="000302C4">
            <w:pPr>
              <w:pStyle w:val="ListParagraph"/>
              <w:numPr>
                <w:ilvl w:val="0"/>
                <w:numId w:val="5"/>
              </w:numPr>
              <w:rPr>
                <w:rFonts w:ascii="Times New Roman" w:hAnsi="Times New Roman" w:cs="Times New Roman"/>
                <w:sz w:val="20"/>
                <w:szCs w:val="20"/>
              </w:rPr>
            </w:pPr>
            <w:r w:rsidRPr="00D44D25">
              <w:rPr>
                <w:rFonts w:ascii="Times New Roman" w:hAnsi="Times New Roman" w:cs="Times New Roman"/>
                <w:sz w:val="20"/>
                <w:szCs w:val="20"/>
              </w:rPr>
              <w:t>Injury to muscle, fascia and tendon, internal organs</w:t>
            </w:r>
          </w:p>
          <w:p w14:paraId="52782A3B" w14:textId="66F8817A" w:rsidR="000302C4" w:rsidRPr="00D44D25" w:rsidRDefault="000302C4" w:rsidP="000302C4">
            <w:pPr>
              <w:pStyle w:val="ListParagraph"/>
              <w:numPr>
                <w:ilvl w:val="0"/>
                <w:numId w:val="5"/>
              </w:numPr>
              <w:rPr>
                <w:rFonts w:ascii="Times New Roman" w:hAnsi="Times New Roman" w:cs="Times New Roman"/>
                <w:sz w:val="20"/>
                <w:szCs w:val="20"/>
              </w:rPr>
            </w:pPr>
            <w:r w:rsidRPr="00D44D25">
              <w:rPr>
                <w:rFonts w:ascii="Times New Roman" w:hAnsi="Times New Roman" w:cs="Times New Roman"/>
                <w:sz w:val="20"/>
                <w:szCs w:val="20"/>
              </w:rPr>
              <w:t xml:space="preserve">Crushing injury </w:t>
            </w:r>
          </w:p>
          <w:p w14:paraId="668C0839" w14:textId="77BB6B2E" w:rsidR="000302C4" w:rsidRPr="00D44D25" w:rsidRDefault="000302C4" w:rsidP="000302C4">
            <w:pPr>
              <w:pStyle w:val="ListParagraph"/>
              <w:numPr>
                <w:ilvl w:val="0"/>
                <w:numId w:val="5"/>
              </w:numPr>
              <w:rPr>
                <w:rFonts w:ascii="Times New Roman" w:hAnsi="Times New Roman" w:cs="Times New Roman"/>
                <w:sz w:val="20"/>
                <w:szCs w:val="20"/>
              </w:rPr>
            </w:pPr>
            <w:r w:rsidRPr="00D44D25">
              <w:rPr>
                <w:rFonts w:ascii="Times New Roman" w:hAnsi="Times New Roman" w:cs="Times New Roman"/>
                <w:sz w:val="20"/>
                <w:szCs w:val="20"/>
              </w:rPr>
              <w:t>Avulsion and traumatic amputation</w:t>
            </w:r>
          </w:p>
          <w:p w14:paraId="6C0BCC9A" w14:textId="3C5618DA" w:rsidR="000302C4" w:rsidRPr="00D44D25" w:rsidRDefault="000302C4" w:rsidP="000302C4">
            <w:pPr>
              <w:pStyle w:val="ListParagraph"/>
              <w:numPr>
                <w:ilvl w:val="0"/>
                <w:numId w:val="5"/>
              </w:numPr>
              <w:rPr>
                <w:rFonts w:ascii="Times New Roman" w:hAnsi="Times New Roman" w:cs="Times New Roman"/>
                <w:sz w:val="20"/>
                <w:szCs w:val="20"/>
              </w:rPr>
            </w:pPr>
            <w:r w:rsidRPr="00D44D25">
              <w:rPr>
                <w:rFonts w:ascii="Times New Roman" w:hAnsi="Times New Roman" w:cs="Times New Roman"/>
                <w:sz w:val="20"/>
                <w:szCs w:val="20"/>
              </w:rPr>
              <w:t xml:space="preserve">Other and unspecified injuries </w:t>
            </w:r>
          </w:p>
          <w:p w14:paraId="5AB0DA9D" w14:textId="559F726B" w:rsidR="00594E44" w:rsidRPr="00D44D25" w:rsidRDefault="00594E44" w:rsidP="00B72608">
            <w:pPr>
              <w:rPr>
                <w:rFonts w:ascii="Times New Roman" w:hAnsi="Times New Roman" w:cs="Times New Roman"/>
                <w:sz w:val="20"/>
                <w:szCs w:val="20"/>
              </w:rPr>
            </w:pPr>
            <w:r w:rsidRPr="00D44D25">
              <w:rPr>
                <w:rFonts w:ascii="Times New Roman" w:hAnsi="Times New Roman" w:cs="Times New Roman"/>
                <w:sz w:val="20"/>
                <w:szCs w:val="20"/>
              </w:rPr>
              <w:t xml:space="preserve">Injuries to different body parts, including: </w:t>
            </w:r>
          </w:p>
          <w:p w14:paraId="3E45598D" w14:textId="3FF6F4DA" w:rsidR="00594E44"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Head</w:t>
            </w:r>
          </w:p>
          <w:p w14:paraId="13FC8F60" w14:textId="74DB81A3" w:rsidR="00594E44"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 xml:space="preserve">Neck </w:t>
            </w:r>
          </w:p>
          <w:p w14:paraId="231ACE41" w14:textId="0E044705" w:rsidR="00594E44"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Thorax</w:t>
            </w:r>
          </w:p>
          <w:p w14:paraId="28B96D85" w14:textId="274FA8CF" w:rsidR="00594E44"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 xml:space="preserve">Abdomen, lower back, lumbar spine, pelvis and external genitals, </w:t>
            </w:r>
          </w:p>
          <w:p w14:paraId="7B08AD54" w14:textId="12199CF9" w:rsidR="00594E44"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 xml:space="preserve">Shoulders and upper arm, </w:t>
            </w:r>
          </w:p>
          <w:p w14:paraId="7D028E59" w14:textId="47242EAB" w:rsidR="00594E44"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Elbow and forearm,</w:t>
            </w:r>
          </w:p>
          <w:p w14:paraId="0E5AB8EE" w14:textId="2D43A952" w:rsidR="00B72608"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Wrist, hand and fingers</w:t>
            </w:r>
          </w:p>
          <w:p w14:paraId="1CB66629" w14:textId="36F5F2E0" w:rsidR="00594E44"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Hip and thigh</w:t>
            </w:r>
          </w:p>
          <w:p w14:paraId="35E683FD" w14:textId="116EE327" w:rsidR="00594E44"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Knee and lower leg</w:t>
            </w:r>
          </w:p>
          <w:p w14:paraId="0EFCC20D" w14:textId="070A418C" w:rsidR="00594E44" w:rsidRPr="00D44D25" w:rsidRDefault="00594E44" w:rsidP="00594E44">
            <w:pPr>
              <w:pStyle w:val="ListParagraph"/>
              <w:numPr>
                <w:ilvl w:val="0"/>
                <w:numId w:val="3"/>
              </w:numPr>
              <w:rPr>
                <w:rFonts w:ascii="Times New Roman" w:hAnsi="Times New Roman" w:cs="Times New Roman"/>
                <w:sz w:val="20"/>
                <w:szCs w:val="20"/>
              </w:rPr>
            </w:pPr>
            <w:r w:rsidRPr="00D44D25">
              <w:rPr>
                <w:rFonts w:ascii="Times New Roman" w:hAnsi="Times New Roman" w:cs="Times New Roman"/>
                <w:sz w:val="20"/>
                <w:szCs w:val="20"/>
              </w:rPr>
              <w:t xml:space="preserve">Ankle and foot </w:t>
            </w:r>
          </w:p>
        </w:tc>
        <w:tc>
          <w:tcPr>
            <w:tcW w:w="4508" w:type="dxa"/>
          </w:tcPr>
          <w:p w14:paraId="11AD2765" w14:textId="65942971" w:rsidR="00B72608" w:rsidRPr="00D44D25" w:rsidRDefault="00594E44" w:rsidP="00594E44">
            <w:pPr>
              <w:rPr>
                <w:rFonts w:ascii="Times New Roman" w:hAnsi="Times New Roman" w:cs="Times New Roman"/>
                <w:sz w:val="20"/>
                <w:szCs w:val="20"/>
              </w:rPr>
            </w:pPr>
            <w:r w:rsidRPr="00D44D25">
              <w:rPr>
                <w:rFonts w:ascii="Times New Roman" w:hAnsi="Times New Roman" w:cs="Times New Roman"/>
                <w:sz w:val="20"/>
                <w:szCs w:val="20"/>
              </w:rPr>
              <w:t>S00-S99 with 7</w:t>
            </w:r>
            <w:r w:rsidRPr="00D44D25">
              <w:rPr>
                <w:rFonts w:ascii="Times New Roman" w:hAnsi="Times New Roman" w:cs="Times New Roman"/>
                <w:sz w:val="20"/>
                <w:szCs w:val="20"/>
                <w:vertAlign w:val="superscript"/>
              </w:rPr>
              <w:t>th</w:t>
            </w:r>
            <w:r w:rsidRPr="00D44D25">
              <w:rPr>
                <w:rFonts w:ascii="Times New Roman" w:hAnsi="Times New Roman" w:cs="Times New Roman"/>
                <w:sz w:val="20"/>
                <w:szCs w:val="20"/>
              </w:rPr>
              <w:t xml:space="preserve"> character modifiers of A, B, or C only</w:t>
            </w:r>
          </w:p>
        </w:tc>
      </w:tr>
      <w:tr w:rsidR="00B72608" w:rsidRPr="00D44D25" w14:paraId="1AD0E0C3" w14:textId="77777777" w:rsidTr="00B72608">
        <w:tc>
          <w:tcPr>
            <w:tcW w:w="4508" w:type="dxa"/>
          </w:tcPr>
          <w:p w14:paraId="66FD316B" w14:textId="3FFFD4DE" w:rsidR="00B72608" w:rsidRPr="00D44D25" w:rsidRDefault="00594E44" w:rsidP="00B72608">
            <w:pPr>
              <w:rPr>
                <w:rFonts w:ascii="Times New Roman" w:hAnsi="Times New Roman" w:cs="Times New Roman"/>
                <w:sz w:val="20"/>
                <w:szCs w:val="20"/>
              </w:rPr>
            </w:pPr>
            <w:r w:rsidRPr="00D44D25">
              <w:rPr>
                <w:rFonts w:ascii="Times New Roman" w:hAnsi="Times New Roman" w:cs="Times New Roman"/>
                <w:sz w:val="20"/>
                <w:szCs w:val="20"/>
              </w:rPr>
              <w:t>Injuries involving multiple body regions</w:t>
            </w:r>
          </w:p>
        </w:tc>
        <w:tc>
          <w:tcPr>
            <w:tcW w:w="4508" w:type="dxa"/>
          </w:tcPr>
          <w:p w14:paraId="1A5DC810" w14:textId="3BB4598C" w:rsidR="00B72608" w:rsidRPr="00D44D25" w:rsidRDefault="00594E44" w:rsidP="00B72608">
            <w:pPr>
              <w:rPr>
                <w:rFonts w:ascii="Times New Roman" w:hAnsi="Times New Roman" w:cs="Times New Roman"/>
                <w:sz w:val="20"/>
                <w:szCs w:val="20"/>
              </w:rPr>
            </w:pPr>
            <w:r w:rsidRPr="00D44D25">
              <w:rPr>
                <w:rFonts w:ascii="Times New Roman" w:hAnsi="Times New Roman" w:cs="Times New Roman"/>
                <w:sz w:val="20"/>
                <w:szCs w:val="20"/>
              </w:rPr>
              <w:t>T07</w:t>
            </w:r>
          </w:p>
        </w:tc>
      </w:tr>
      <w:tr w:rsidR="00B72608" w:rsidRPr="00D44D25" w14:paraId="24746736" w14:textId="77777777" w:rsidTr="00B72608">
        <w:tc>
          <w:tcPr>
            <w:tcW w:w="4508" w:type="dxa"/>
          </w:tcPr>
          <w:p w14:paraId="5A4B4F3D" w14:textId="6EA69A2E" w:rsidR="00B72608" w:rsidRPr="00D44D25" w:rsidRDefault="00594E44" w:rsidP="00B72608">
            <w:pPr>
              <w:rPr>
                <w:rFonts w:ascii="Times New Roman" w:hAnsi="Times New Roman" w:cs="Times New Roman"/>
                <w:sz w:val="20"/>
                <w:szCs w:val="20"/>
              </w:rPr>
            </w:pPr>
            <w:r w:rsidRPr="00D44D25">
              <w:rPr>
                <w:rFonts w:ascii="Times New Roman" w:hAnsi="Times New Roman" w:cs="Times New Roman"/>
                <w:sz w:val="20"/>
                <w:szCs w:val="20"/>
              </w:rPr>
              <w:t>Injury of unspecified body region</w:t>
            </w:r>
          </w:p>
        </w:tc>
        <w:tc>
          <w:tcPr>
            <w:tcW w:w="4508" w:type="dxa"/>
          </w:tcPr>
          <w:p w14:paraId="162BAC0F" w14:textId="21D5634C" w:rsidR="00B72608" w:rsidRPr="00D44D25" w:rsidRDefault="00594E44" w:rsidP="00B72608">
            <w:pPr>
              <w:rPr>
                <w:rFonts w:ascii="Times New Roman" w:hAnsi="Times New Roman" w:cs="Times New Roman"/>
                <w:sz w:val="20"/>
                <w:szCs w:val="20"/>
              </w:rPr>
            </w:pPr>
            <w:r w:rsidRPr="00D44D25">
              <w:rPr>
                <w:rFonts w:ascii="Times New Roman" w:hAnsi="Times New Roman" w:cs="Times New Roman"/>
                <w:sz w:val="20"/>
                <w:szCs w:val="20"/>
              </w:rPr>
              <w:t>T14</w:t>
            </w:r>
          </w:p>
        </w:tc>
      </w:tr>
      <w:tr w:rsidR="00B72608" w:rsidRPr="00D44D25" w14:paraId="38BF4958" w14:textId="77777777" w:rsidTr="00B72608">
        <w:tc>
          <w:tcPr>
            <w:tcW w:w="4508" w:type="dxa"/>
          </w:tcPr>
          <w:p w14:paraId="20A83918" w14:textId="48CB682A" w:rsidR="00B72608" w:rsidRPr="00D44D25" w:rsidRDefault="001D23E0" w:rsidP="00B72608">
            <w:pPr>
              <w:rPr>
                <w:rFonts w:ascii="Times New Roman" w:hAnsi="Times New Roman" w:cs="Times New Roman"/>
                <w:sz w:val="20"/>
                <w:szCs w:val="20"/>
              </w:rPr>
            </w:pPr>
            <w:r w:rsidRPr="00D44D25">
              <w:rPr>
                <w:rFonts w:ascii="Times New Roman" w:hAnsi="Times New Roman" w:cs="Times New Roman"/>
                <w:sz w:val="20"/>
                <w:szCs w:val="20"/>
              </w:rPr>
              <w:t>Burns and corrosions of external body surface, eyes and internal organs, specified by site</w:t>
            </w:r>
          </w:p>
        </w:tc>
        <w:tc>
          <w:tcPr>
            <w:tcW w:w="4508" w:type="dxa"/>
          </w:tcPr>
          <w:p w14:paraId="70A30337" w14:textId="46A92143" w:rsidR="00B72608" w:rsidRPr="00D44D25" w:rsidRDefault="00594E44" w:rsidP="00594E44">
            <w:pPr>
              <w:rPr>
                <w:rFonts w:ascii="Times New Roman" w:hAnsi="Times New Roman" w:cs="Times New Roman"/>
                <w:sz w:val="20"/>
                <w:szCs w:val="20"/>
              </w:rPr>
            </w:pPr>
            <w:r w:rsidRPr="00D44D25">
              <w:rPr>
                <w:rFonts w:ascii="Times New Roman" w:hAnsi="Times New Roman" w:cs="Times New Roman"/>
                <w:sz w:val="20"/>
                <w:szCs w:val="20"/>
              </w:rPr>
              <w:t>T20-T28 with 7</w:t>
            </w:r>
            <w:r w:rsidRPr="00D44D25">
              <w:rPr>
                <w:rFonts w:ascii="Times New Roman" w:hAnsi="Times New Roman" w:cs="Times New Roman"/>
                <w:sz w:val="20"/>
                <w:szCs w:val="20"/>
                <w:vertAlign w:val="superscript"/>
              </w:rPr>
              <w:t>th</w:t>
            </w:r>
            <w:r w:rsidRPr="00D44D25">
              <w:rPr>
                <w:rFonts w:ascii="Times New Roman" w:hAnsi="Times New Roman" w:cs="Times New Roman"/>
                <w:sz w:val="20"/>
                <w:szCs w:val="20"/>
              </w:rPr>
              <w:t xml:space="preserve"> character modifier of A only (burns by specific body parts – initial encounter)</w:t>
            </w:r>
          </w:p>
        </w:tc>
      </w:tr>
      <w:tr w:rsidR="00B72608" w:rsidRPr="00D44D25" w14:paraId="3B60875F" w14:textId="77777777" w:rsidTr="00B72608">
        <w:tc>
          <w:tcPr>
            <w:tcW w:w="4508" w:type="dxa"/>
          </w:tcPr>
          <w:p w14:paraId="1D6D9242" w14:textId="793F8082" w:rsidR="00B72608" w:rsidRPr="00D44D25" w:rsidRDefault="001D23E0" w:rsidP="00B72608">
            <w:pPr>
              <w:rPr>
                <w:rFonts w:ascii="Times New Roman" w:hAnsi="Times New Roman" w:cs="Times New Roman"/>
                <w:sz w:val="20"/>
                <w:szCs w:val="20"/>
              </w:rPr>
            </w:pPr>
            <w:r w:rsidRPr="00D44D25">
              <w:rPr>
                <w:rFonts w:ascii="Times New Roman" w:hAnsi="Times New Roman" w:cs="Times New Roman"/>
                <w:sz w:val="20"/>
                <w:szCs w:val="20"/>
              </w:rPr>
              <w:t>Burns and corrosions of multiple and unspecified body regions</w:t>
            </w:r>
          </w:p>
        </w:tc>
        <w:tc>
          <w:tcPr>
            <w:tcW w:w="4508" w:type="dxa"/>
          </w:tcPr>
          <w:p w14:paraId="0F90A6ED" w14:textId="548185C4" w:rsidR="00B72608" w:rsidRPr="00D44D25" w:rsidRDefault="00594E44" w:rsidP="00B72608">
            <w:pPr>
              <w:rPr>
                <w:rFonts w:ascii="Times New Roman" w:hAnsi="Times New Roman" w:cs="Times New Roman"/>
                <w:sz w:val="20"/>
                <w:szCs w:val="20"/>
              </w:rPr>
            </w:pPr>
            <w:r w:rsidRPr="00D44D25">
              <w:rPr>
                <w:rFonts w:ascii="Times New Roman" w:hAnsi="Times New Roman" w:cs="Times New Roman"/>
                <w:sz w:val="20"/>
                <w:szCs w:val="20"/>
              </w:rPr>
              <w:t>T30-T32 (burn by TBSA percentages)</w:t>
            </w:r>
          </w:p>
        </w:tc>
      </w:tr>
      <w:tr w:rsidR="00B72608" w:rsidRPr="00D44D25" w14:paraId="32BB3457" w14:textId="77777777" w:rsidTr="00B72608">
        <w:tc>
          <w:tcPr>
            <w:tcW w:w="4508" w:type="dxa"/>
          </w:tcPr>
          <w:p w14:paraId="013626F9" w14:textId="3DA65AA3" w:rsidR="00B72608" w:rsidRPr="00D44D25" w:rsidRDefault="001D23E0" w:rsidP="00B72608">
            <w:pPr>
              <w:rPr>
                <w:rFonts w:ascii="Times New Roman" w:hAnsi="Times New Roman" w:cs="Times New Roman"/>
                <w:sz w:val="20"/>
                <w:szCs w:val="20"/>
              </w:rPr>
            </w:pPr>
            <w:r w:rsidRPr="00D44D25">
              <w:rPr>
                <w:rFonts w:ascii="Times New Roman" w:hAnsi="Times New Roman" w:cs="Times New Roman"/>
                <w:sz w:val="20"/>
                <w:szCs w:val="20"/>
              </w:rPr>
              <w:t>Traumatic compartment syndrome of different body parts</w:t>
            </w:r>
          </w:p>
        </w:tc>
        <w:tc>
          <w:tcPr>
            <w:tcW w:w="4508" w:type="dxa"/>
          </w:tcPr>
          <w:p w14:paraId="1F417E42" w14:textId="422CB0DD" w:rsidR="00594E44" w:rsidRPr="00D44D25" w:rsidRDefault="00594E44" w:rsidP="00594E44">
            <w:pPr>
              <w:rPr>
                <w:rFonts w:ascii="Times New Roman" w:hAnsi="Times New Roman" w:cs="Times New Roman"/>
                <w:sz w:val="20"/>
                <w:szCs w:val="20"/>
              </w:rPr>
            </w:pPr>
            <w:r w:rsidRPr="00D44D25">
              <w:rPr>
                <w:rFonts w:ascii="Times New Roman" w:hAnsi="Times New Roman" w:cs="Times New Roman"/>
                <w:sz w:val="20"/>
                <w:szCs w:val="20"/>
              </w:rPr>
              <w:t>T79.A1-T79.A9 with 7</w:t>
            </w:r>
            <w:r w:rsidRPr="00D44D25">
              <w:rPr>
                <w:rFonts w:ascii="Times New Roman" w:hAnsi="Times New Roman" w:cs="Times New Roman"/>
                <w:sz w:val="20"/>
                <w:szCs w:val="20"/>
                <w:vertAlign w:val="superscript"/>
              </w:rPr>
              <w:t>th</w:t>
            </w:r>
            <w:r w:rsidRPr="00D44D25">
              <w:rPr>
                <w:rFonts w:ascii="Times New Roman" w:hAnsi="Times New Roman" w:cs="Times New Roman"/>
                <w:sz w:val="20"/>
                <w:szCs w:val="20"/>
              </w:rPr>
              <w:t xml:space="preserve"> character modifier of A only (Traumatic Compartment Syndrome –</w:t>
            </w:r>
          </w:p>
          <w:p w14:paraId="1581E1AC" w14:textId="1ED17674" w:rsidR="00B72608" w:rsidRPr="00D44D25" w:rsidRDefault="00594E44" w:rsidP="00594E44">
            <w:pPr>
              <w:rPr>
                <w:rFonts w:ascii="Times New Roman" w:hAnsi="Times New Roman" w:cs="Times New Roman"/>
                <w:sz w:val="20"/>
                <w:szCs w:val="20"/>
              </w:rPr>
            </w:pPr>
            <w:r w:rsidRPr="00D44D25">
              <w:rPr>
                <w:rFonts w:ascii="Times New Roman" w:hAnsi="Times New Roman" w:cs="Times New Roman"/>
                <w:sz w:val="20"/>
                <w:szCs w:val="20"/>
              </w:rPr>
              <w:t>initial encounter)</w:t>
            </w:r>
          </w:p>
        </w:tc>
      </w:tr>
      <w:tr w:rsidR="001D23E0" w:rsidRPr="00D44D25" w14:paraId="00A19D3E" w14:textId="77777777" w:rsidTr="00CF2857">
        <w:tc>
          <w:tcPr>
            <w:tcW w:w="9016" w:type="dxa"/>
            <w:gridSpan w:val="2"/>
          </w:tcPr>
          <w:p w14:paraId="1597EE67" w14:textId="29674E65" w:rsidR="001D23E0" w:rsidRPr="00D44D25" w:rsidRDefault="001D23E0" w:rsidP="00594E44">
            <w:pPr>
              <w:rPr>
                <w:rFonts w:ascii="Times New Roman" w:hAnsi="Times New Roman" w:cs="Times New Roman"/>
                <w:b/>
                <w:sz w:val="20"/>
                <w:szCs w:val="20"/>
              </w:rPr>
            </w:pPr>
            <w:r w:rsidRPr="00D44D25">
              <w:rPr>
                <w:rFonts w:ascii="Times New Roman" w:hAnsi="Times New Roman" w:cs="Times New Roman"/>
                <w:b/>
                <w:sz w:val="20"/>
                <w:szCs w:val="20"/>
              </w:rPr>
              <w:t xml:space="preserve">Inclusion criteria 2: hospital admission or death </w:t>
            </w:r>
          </w:p>
        </w:tc>
      </w:tr>
      <w:tr w:rsidR="001D23E0" w:rsidRPr="00D44D25" w14:paraId="65ADCC03" w14:textId="77777777" w:rsidTr="00B72608">
        <w:tc>
          <w:tcPr>
            <w:tcW w:w="4508" w:type="dxa"/>
          </w:tcPr>
          <w:p w14:paraId="43F0D8FA" w14:textId="111B8FD5" w:rsidR="001D23E0" w:rsidRPr="00D44D25" w:rsidRDefault="001D23E0" w:rsidP="001D23E0">
            <w:pPr>
              <w:pStyle w:val="ListParagraph"/>
              <w:numPr>
                <w:ilvl w:val="0"/>
                <w:numId w:val="4"/>
              </w:numPr>
              <w:rPr>
                <w:rFonts w:ascii="Times New Roman" w:hAnsi="Times New Roman" w:cs="Times New Roman"/>
                <w:sz w:val="20"/>
                <w:szCs w:val="20"/>
              </w:rPr>
            </w:pPr>
            <w:r w:rsidRPr="00D44D25">
              <w:rPr>
                <w:rFonts w:ascii="Times New Roman" w:hAnsi="Times New Roman" w:cs="Times New Roman"/>
                <w:sz w:val="20"/>
                <w:szCs w:val="20"/>
              </w:rPr>
              <w:t>Hospital admission diagnosis defined by trauma registry inclusion criteria; or</w:t>
            </w:r>
          </w:p>
          <w:p w14:paraId="38E03DC2" w14:textId="48FD0CF7" w:rsidR="001D23E0" w:rsidRPr="00D44D25" w:rsidRDefault="001D23E0" w:rsidP="001D23E0">
            <w:pPr>
              <w:pStyle w:val="ListParagraph"/>
              <w:numPr>
                <w:ilvl w:val="0"/>
                <w:numId w:val="4"/>
              </w:numPr>
              <w:rPr>
                <w:rFonts w:ascii="Times New Roman" w:hAnsi="Times New Roman" w:cs="Times New Roman"/>
                <w:sz w:val="20"/>
                <w:szCs w:val="20"/>
              </w:rPr>
            </w:pPr>
            <w:r w:rsidRPr="00D44D25">
              <w:rPr>
                <w:rFonts w:ascii="Times New Roman" w:hAnsi="Times New Roman" w:cs="Times New Roman"/>
                <w:sz w:val="20"/>
                <w:szCs w:val="20"/>
              </w:rPr>
              <w:t>Patient transfer from one hospital to another hospital; or</w:t>
            </w:r>
          </w:p>
          <w:p w14:paraId="15773BB3" w14:textId="583EEFCD" w:rsidR="001D23E0" w:rsidRPr="00D44D25" w:rsidRDefault="001D23E0" w:rsidP="001D23E0">
            <w:pPr>
              <w:pStyle w:val="ListParagraph"/>
              <w:numPr>
                <w:ilvl w:val="0"/>
                <w:numId w:val="4"/>
              </w:numPr>
              <w:rPr>
                <w:rFonts w:ascii="Times New Roman" w:hAnsi="Times New Roman" w:cs="Times New Roman"/>
                <w:sz w:val="20"/>
                <w:szCs w:val="20"/>
              </w:rPr>
            </w:pPr>
            <w:r w:rsidRPr="00D44D25">
              <w:rPr>
                <w:rFonts w:ascii="Times New Roman" w:hAnsi="Times New Roman" w:cs="Times New Roman"/>
                <w:sz w:val="20"/>
                <w:szCs w:val="20"/>
              </w:rPr>
              <w:t xml:space="preserve">Death resulting from the traumatic injury </w:t>
            </w:r>
          </w:p>
          <w:p w14:paraId="45D3F714" w14:textId="547ECA95" w:rsidR="001D23E0" w:rsidRPr="00D44D25" w:rsidRDefault="001D23E0" w:rsidP="001D23E0">
            <w:pPr>
              <w:pStyle w:val="ListParagraph"/>
              <w:rPr>
                <w:rFonts w:ascii="Times New Roman" w:hAnsi="Times New Roman" w:cs="Times New Roman"/>
                <w:sz w:val="20"/>
                <w:szCs w:val="20"/>
              </w:rPr>
            </w:pPr>
          </w:p>
        </w:tc>
        <w:tc>
          <w:tcPr>
            <w:tcW w:w="4508" w:type="dxa"/>
          </w:tcPr>
          <w:p w14:paraId="6FBAA08A" w14:textId="5DA58A8E" w:rsidR="001D23E0" w:rsidRPr="00D44D25" w:rsidRDefault="001D23E0" w:rsidP="00594E44">
            <w:pPr>
              <w:rPr>
                <w:rFonts w:ascii="Times New Roman" w:hAnsi="Times New Roman" w:cs="Times New Roman"/>
                <w:sz w:val="20"/>
                <w:szCs w:val="20"/>
              </w:rPr>
            </w:pPr>
            <w:r w:rsidRPr="00D44D25">
              <w:rPr>
                <w:rFonts w:ascii="Times New Roman" w:hAnsi="Times New Roman" w:cs="Times New Roman"/>
                <w:sz w:val="20"/>
                <w:szCs w:val="20"/>
              </w:rPr>
              <w:t>--</w:t>
            </w:r>
          </w:p>
        </w:tc>
      </w:tr>
      <w:tr w:rsidR="001D23E0" w:rsidRPr="00D44D25" w14:paraId="6385459F" w14:textId="77777777" w:rsidTr="00CF2857">
        <w:tc>
          <w:tcPr>
            <w:tcW w:w="9016" w:type="dxa"/>
            <w:gridSpan w:val="2"/>
          </w:tcPr>
          <w:p w14:paraId="0B9162BB" w14:textId="5DD749D9" w:rsidR="001D23E0" w:rsidRPr="00D44D25" w:rsidRDefault="001D23E0" w:rsidP="000302C4">
            <w:pPr>
              <w:rPr>
                <w:rFonts w:ascii="Times New Roman" w:hAnsi="Times New Roman" w:cs="Times New Roman"/>
                <w:b/>
                <w:sz w:val="20"/>
                <w:szCs w:val="20"/>
              </w:rPr>
            </w:pPr>
            <w:r w:rsidRPr="00D44D25">
              <w:rPr>
                <w:rFonts w:ascii="Times New Roman" w:hAnsi="Times New Roman" w:cs="Times New Roman"/>
                <w:b/>
                <w:sz w:val="20"/>
                <w:szCs w:val="20"/>
              </w:rPr>
              <w:t xml:space="preserve">Exclusion criteria 1: Superficial injuries </w:t>
            </w:r>
          </w:p>
        </w:tc>
      </w:tr>
      <w:tr w:rsidR="001D23E0" w:rsidRPr="00D44D25" w14:paraId="3E80622F" w14:textId="77777777" w:rsidTr="00B72608">
        <w:tc>
          <w:tcPr>
            <w:tcW w:w="4508" w:type="dxa"/>
          </w:tcPr>
          <w:p w14:paraId="090C9CCE" w14:textId="4AD84DF4" w:rsidR="001D23E0" w:rsidRPr="00D44D25" w:rsidRDefault="000302C4" w:rsidP="001D23E0">
            <w:pPr>
              <w:rPr>
                <w:rFonts w:ascii="Times New Roman" w:hAnsi="Times New Roman" w:cs="Times New Roman"/>
                <w:sz w:val="20"/>
                <w:szCs w:val="20"/>
              </w:rPr>
            </w:pPr>
            <w:r w:rsidRPr="00D44D25">
              <w:rPr>
                <w:rFonts w:ascii="Times New Roman" w:hAnsi="Times New Roman" w:cs="Times New Roman"/>
                <w:sz w:val="20"/>
                <w:szCs w:val="20"/>
              </w:rPr>
              <w:t xml:space="preserve">Superficial injuries of different body parts </w:t>
            </w:r>
          </w:p>
        </w:tc>
        <w:tc>
          <w:tcPr>
            <w:tcW w:w="4508" w:type="dxa"/>
          </w:tcPr>
          <w:p w14:paraId="43E83685" w14:textId="30AE7E9E" w:rsidR="001D23E0" w:rsidRPr="00D44D25" w:rsidRDefault="000302C4" w:rsidP="00594E44">
            <w:pPr>
              <w:rPr>
                <w:rFonts w:ascii="Times New Roman" w:hAnsi="Times New Roman" w:cs="Times New Roman"/>
                <w:sz w:val="20"/>
                <w:szCs w:val="20"/>
              </w:rPr>
            </w:pPr>
            <w:r w:rsidRPr="00D44D25">
              <w:rPr>
                <w:rFonts w:ascii="Times New Roman" w:hAnsi="Times New Roman" w:cs="Times New Roman"/>
                <w:sz w:val="20"/>
                <w:szCs w:val="20"/>
              </w:rPr>
              <w:t>S00, S10, S20, S30,</w:t>
            </w:r>
            <w:r w:rsidR="004612AE">
              <w:rPr>
                <w:rFonts w:ascii="Times New Roman" w:hAnsi="Times New Roman" w:cs="Times New Roman"/>
                <w:sz w:val="20"/>
                <w:szCs w:val="20"/>
              </w:rPr>
              <w:t xml:space="preserve"> </w:t>
            </w:r>
            <w:r w:rsidRPr="00D44D25">
              <w:rPr>
                <w:rFonts w:ascii="Times New Roman" w:hAnsi="Times New Roman" w:cs="Times New Roman"/>
                <w:sz w:val="20"/>
                <w:szCs w:val="20"/>
              </w:rPr>
              <w:t>S40,</w:t>
            </w:r>
            <w:r w:rsidR="004612AE">
              <w:rPr>
                <w:rFonts w:ascii="Times New Roman" w:hAnsi="Times New Roman" w:cs="Times New Roman"/>
                <w:sz w:val="20"/>
                <w:szCs w:val="20"/>
              </w:rPr>
              <w:t xml:space="preserve"> </w:t>
            </w:r>
            <w:r w:rsidRPr="00D44D25">
              <w:rPr>
                <w:rFonts w:ascii="Times New Roman" w:hAnsi="Times New Roman" w:cs="Times New Roman"/>
                <w:sz w:val="20"/>
                <w:szCs w:val="20"/>
              </w:rPr>
              <w:t>S50,</w:t>
            </w:r>
            <w:r w:rsidR="004612AE">
              <w:rPr>
                <w:rFonts w:ascii="Times New Roman" w:hAnsi="Times New Roman" w:cs="Times New Roman"/>
                <w:sz w:val="20"/>
                <w:szCs w:val="20"/>
              </w:rPr>
              <w:t xml:space="preserve"> </w:t>
            </w:r>
            <w:r w:rsidRPr="00D44D25">
              <w:rPr>
                <w:rFonts w:ascii="Times New Roman" w:hAnsi="Times New Roman" w:cs="Times New Roman"/>
                <w:sz w:val="20"/>
                <w:szCs w:val="20"/>
              </w:rPr>
              <w:t>S60,</w:t>
            </w:r>
            <w:r w:rsidR="004612AE">
              <w:rPr>
                <w:rFonts w:ascii="Times New Roman" w:hAnsi="Times New Roman" w:cs="Times New Roman"/>
                <w:sz w:val="20"/>
                <w:szCs w:val="20"/>
              </w:rPr>
              <w:t xml:space="preserve"> </w:t>
            </w:r>
            <w:r w:rsidRPr="00D44D25">
              <w:rPr>
                <w:rFonts w:ascii="Times New Roman" w:hAnsi="Times New Roman" w:cs="Times New Roman"/>
                <w:sz w:val="20"/>
                <w:szCs w:val="20"/>
              </w:rPr>
              <w:t>S70,</w:t>
            </w:r>
            <w:r w:rsidR="004612AE">
              <w:rPr>
                <w:rFonts w:ascii="Times New Roman" w:hAnsi="Times New Roman" w:cs="Times New Roman"/>
                <w:sz w:val="20"/>
                <w:szCs w:val="20"/>
              </w:rPr>
              <w:t xml:space="preserve"> </w:t>
            </w:r>
            <w:r w:rsidRPr="00D44D25">
              <w:rPr>
                <w:rFonts w:ascii="Times New Roman" w:hAnsi="Times New Roman" w:cs="Times New Roman"/>
                <w:sz w:val="20"/>
                <w:szCs w:val="20"/>
              </w:rPr>
              <w:t>S80,</w:t>
            </w:r>
            <w:r w:rsidR="004612AE">
              <w:rPr>
                <w:rFonts w:ascii="Times New Roman" w:hAnsi="Times New Roman" w:cs="Times New Roman"/>
                <w:sz w:val="20"/>
                <w:szCs w:val="20"/>
              </w:rPr>
              <w:t xml:space="preserve"> </w:t>
            </w:r>
            <w:r w:rsidRPr="00D44D25">
              <w:rPr>
                <w:rFonts w:ascii="Times New Roman" w:hAnsi="Times New Roman" w:cs="Times New Roman"/>
                <w:sz w:val="20"/>
                <w:szCs w:val="20"/>
              </w:rPr>
              <w:t>S90</w:t>
            </w:r>
          </w:p>
        </w:tc>
      </w:tr>
    </w:tbl>
    <w:p w14:paraId="2212742D" w14:textId="2242FDB0" w:rsidR="00B72608" w:rsidRPr="00D44D25" w:rsidRDefault="00B72608" w:rsidP="00B72608">
      <w:pPr>
        <w:rPr>
          <w:rFonts w:ascii="Times New Roman" w:hAnsi="Times New Roman" w:cs="Times New Roman"/>
          <w:sz w:val="20"/>
          <w:szCs w:val="20"/>
          <w:lang w:val="en-US"/>
        </w:rPr>
      </w:pPr>
    </w:p>
    <w:p w14:paraId="7A12E852" w14:textId="3C73985A" w:rsidR="00165EE3" w:rsidRPr="00785C00" w:rsidRDefault="00165EE3" w:rsidP="00B72608">
      <w:pPr>
        <w:rPr>
          <w:rFonts w:ascii="Times New Roman" w:hAnsi="Times New Roman" w:cs="Times New Roman"/>
          <w:b/>
          <w:sz w:val="20"/>
          <w:szCs w:val="20"/>
          <w:lang w:val="en-US"/>
        </w:rPr>
      </w:pPr>
      <w:r w:rsidRPr="00785C00">
        <w:rPr>
          <w:rFonts w:ascii="Times New Roman" w:hAnsi="Times New Roman" w:cs="Times New Roman"/>
          <w:b/>
          <w:sz w:val="20"/>
          <w:szCs w:val="20"/>
          <w:lang w:val="en-US"/>
        </w:rPr>
        <w:t>Reference</w:t>
      </w:r>
    </w:p>
    <w:p w14:paraId="742696B1" w14:textId="77777777" w:rsidR="00E03C1D" w:rsidRPr="0071226A" w:rsidRDefault="00E03C1D" w:rsidP="00E03C1D">
      <w:pPr>
        <w:pStyle w:val="EndNoteBibliography"/>
        <w:spacing w:after="0"/>
        <w:ind w:left="720" w:hanging="720"/>
        <w:rPr>
          <w:rFonts w:ascii="Times New Roman" w:hAnsi="Times New Roman" w:cs="Times New Roman"/>
          <w:sz w:val="20"/>
        </w:rPr>
      </w:pPr>
      <w:r w:rsidRPr="0071226A">
        <w:rPr>
          <w:rFonts w:ascii="Times New Roman" w:hAnsi="Times New Roman" w:cs="Times New Roman"/>
          <w:sz w:val="20"/>
        </w:rPr>
        <w:t xml:space="preserve">American College of Surgeons Committee on Trauma. (2019). National Trauma Data Standard Data Dictionary 2019 Admissions. Retrieved from </w:t>
      </w:r>
      <w:hyperlink r:id="rId7" w:history="1">
        <w:r w:rsidRPr="0071226A">
          <w:rPr>
            <w:rStyle w:val="Hyperlink"/>
            <w:rFonts w:ascii="Times New Roman" w:hAnsi="Times New Roman" w:cs="Times New Roman"/>
            <w:sz w:val="20"/>
          </w:rPr>
          <w:t>https://www.facs.org/~/media/files/quality%20programs/trauma/ntdb/ntds/data%20dictionaries/ntdb_data_d</w:t>
        </w:r>
        <w:bookmarkStart w:id="0" w:name="_GoBack"/>
        <w:bookmarkEnd w:id="0"/>
        <w:r w:rsidRPr="0071226A">
          <w:rPr>
            <w:rStyle w:val="Hyperlink"/>
            <w:rFonts w:ascii="Times New Roman" w:hAnsi="Times New Roman" w:cs="Times New Roman"/>
            <w:sz w:val="20"/>
          </w:rPr>
          <w:t>ictionary_2019_revision.ashx</w:t>
        </w:r>
      </w:hyperlink>
    </w:p>
    <w:p w14:paraId="5CE2B14B" w14:textId="0711E8D4" w:rsidR="00875C8E" w:rsidRPr="004F75CA" w:rsidRDefault="00E021E3" w:rsidP="0095508F">
      <w:pPr>
        <w:rPr>
          <w:rFonts w:ascii="Times New Roman" w:hAnsi="Times New Roman" w:cs="Times New Roman"/>
          <w:b/>
          <w:bCs/>
          <w:sz w:val="20"/>
          <w:szCs w:val="20"/>
          <w:lang w:val="en-US"/>
        </w:rPr>
      </w:pPr>
      <w:r w:rsidRPr="00E021E3">
        <w:rPr>
          <w:rFonts w:ascii="Times New Roman" w:hAnsi="Times New Roman" w:cs="Times New Roman"/>
          <w:b/>
          <w:bCs/>
          <w:sz w:val="20"/>
          <w:szCs w:val="20"/>
          <w:lang w:val="en-US"/>
        </w:rPr>
        <w:lastRenderedPageBreak/>
        <w:t xml:space="preserve">Supplementary Table </w:t>
      </w:r>
      <w:r w:rsidR="007F61AD">
        <w:rPr>
          <w:rFonts w:ascii="Times New Roman" w:hAnsi="Times New Roman" w:cs="Times New Roman"/>
          <w:b/>
          <w:bCs/>
          <w:sz w:val="20"/>
          <w:szCs w:val="20"/>
          <w:lang w:val="en-US"/>
        </w:rPr>
        <w:t>3</w:t>
      </w:r>
      <w:r w:rsidR="00875C8E" w:rsidRPr="00D44D25">
        <w:rPr>
          <w:rFonts w:ascii="Times New Roman" w:hAnsi="Times New Roman" w:cs="Times New Roman"/>
          <w:b/>
          <w:bCs/>
          <w:sz w:val="20"/>
          <w:szCs w:val="20"/>
          <w:lang w:val="en-US"/>
        </w:rPr>
        <w:t xml:space="preserve">. </w:t>
      </w:r>
      <w:r w:rsidR="00F33612" w:rsidRPr="00D44D25">
        <w:rPr>
          <w:rFonts w:ascii="Times New Roman" w:hAnsi="Times New Roman" w:cs="Times New Roman"/>
          <w:b/>
          <w:bCs/>
          <w:sz w:val="20"/>
          <w:szCs w:val="20"/>
          <w:lang w:val="en-US"/>
        </w:rPr>
        <w:t>De</w:t>
      </w:r>
      <w:r w:rsidR="00E02EE4" w:rsidRPr="00D44D25">
        <w:rPr>
          <w:rFonts w:ascii="Times New Roman" w:hAnsi="Times New Roman" w:cs="Times New Roman"/>
          <w:b/>
          <w:bCs/>
          <w:sz w:val="20"/>
          <w:szCs w:val="20"/>
          <w:lang w:val="en-US"/>
        </w:rPr>
        <w:t>scription</w:t>
      </w:r>
      <w:r w:rsidR="00F33612" w:rsidRPr="00D44D25">
        <w:rPr>
          <w:rFonts w:ascii="Times New Roman" w:hAnsi="Times New Roman" w:cs="Times New Roman"/>
          <w:b/>
          <w:bCs/>
          <w:sz w:val="20"/>
          <w:szCs w:val="20"/>
          <w:lang w:val="en-US"/>
        </w:rPr>
        <w:t xml:space="preserve"> of </w:t>
      </w:r>
      <w:r w:rsidR="00F33612" w:rsidRPr="00D44D25">
        <w:rPr>
          <w:rFonts w:ascii="Times New Roman" w:hAnsi="Times New Roman" w:cs="Times New Roman"/>
          <w:b/>
          <w:sz w:val="20"/>
          <w:szCs w:val="20"/>
          <w:lang w:val="en-US"/>
        </w:rPr>
        <w:t>s</w:t>
      </w:r>
      <w:r w:rsidR="00875C8E" w:rsidRPr="00D44D25">
        <w:rPr>
          <w:rFonts w:ascii="Times New Roman" w:hAnsi="Times New Roman" w:cs="Times New Roman"/>
          <w:b/>
          <w:sz w:val="20"/>
          <w:szCs w:val="20"/>
          <w:lang w:val="en-US"/>
        </w:rPr>
        <w:t>ensitivity analyses</w:t>
      </w:r>
    </w:p>
    <w:p w14:paraId="2EBA5C1A" w14:textId="78AA15E9" w:rsidR="00875C8E" w:rsidRPr="00D44D25" w:rsidRDefault="00875C8E" w:rsidP="00875C8E">
      <w:pPr>
        <w:spacing w:line="240" w:lineRule="auto"/>
        <w:rPr>
          <w:rFonts w:ascii="Times New Roman" w:hAnsi="Times New Roman" w:cs="Times New Roman"/>
          <w:color w:val="000000" w:themeColor="text1"/>
          <w:sz w:val="20"/>
          <w:szCs w:val="20"/>
          <w:lang w:val="en-US"/>
        </w:rPr>
      </w:pPr>
      <w:r w:rsidRPr="00D44D25">
        <w:rPr>
          <w:rFonts w:ascii="Times New Roman" w:hAnsi="Times New Roman" w:cs="Times New Roman"/>
          <w:color w:val="000000" w:themeColor="text1"/>
          <w:sz w:val="20"/>
          <w:szCs w:val="20"/>
          <w:lang w:val="en-US"/>
        </w:rPr>
        <w:t>Several sensitivity analyses were planned to test the validity and robustness of the initial study results.</w:t>
      </w:r>
    </w:p>
    <w:tbl>
      <w:tblPr>
        <w:tblStyle w:val="TableGrid"/>
        <w:tblW w:w="0" w:type="auto"/>
        <w:tblLook w:val="04A0" w:firstRow="1" w:lastRow="0" w:firstColumn="1" w:lastColumn="0" w:noHBand="0" w:noVBand="1"/>
      </w:tblPr>
      <w:tblGrid>
        <w:gridCol w:w="535"/>
        <w:gridCol w:w="4140"/>
        <w:gridCol w:w="4341"/>
      </w:tblGrid>
      <w:tr w:rsidR="00F33612" w:rsidRPr="00D44D25" w14:paraId="3A280E96" w14:textId="77777777" w:rsidTr="00F33612">
        <w:tc>
          <w:tcPr>
            <w:tcW w:w="535" w:type="dxa"/>
          </w:tcPr>
          <w:p w14:paraId="7E148F73" w14:textId="594C894B" w:rsidR="00F33612" w:rsidRPr="00D44D25" w:rsidRDefault="00F33612"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No.</w:t>
            </w:r>
          </w:p>
        </w:tc>
        <w:tc>
          <w:tcPr>
            <w:tcW w:w="4140" w:type="dxa"/>
          </w:tcPr>
          <w:p w14:paraId="75D034AC" w14:textId="2A9F803E" w:rsidR="00F33612" w:rsidRPr="00D44D25" w:rsidRDefault="00F33612"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Sensitivity analysis </w:t>
            </w:r>
          </w:p>
        </w:tc>
        <w:tc>
          <w:tcPr>
            <w:tcW w:w="4341" w:type="dxa"/>
          </w:tcPr>
          <w:p w14:paraId="4F819B1A" w14:textId="6CF06D18" w:rsidR="00F33612" w:rsidRPr="00D44D25" w:rsidRDefault="00C85882"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Details</w:t>
            </w:r>
          </w:p>
        </w:tc>
      </w:tr>
      <w:tr w:rsidR="00F33612" w:rsidRPr="00D44D25" w14:paraId="18EAB4C6" w14:textId="77777777" w:rsidTr="00F33612">
        <w:tc>
          <w:tcPr>
            <w:tcW w:w="535" w:type="dxa"/>
          </w:tcPr>
          <w:p w14:paraId="2DC457AD" w14:textId="63728F5E" w:rsidR="00F33612" w:rsidRPr="00D44D25" w:rsidRDefault="00F33612"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w:t>
            </w:r>
          </w:p>
        </w:tc>
        <w:tc>
          <w:tcPr>
            <w:tcW w:w="4140" w:type="dxa"/>
          </w:tcPr>
          <w:p w14:paraId="606450C0" w14:textId="228F5FB1" w:rsidR="00F33612" w:rsidRPr="00D44D25" w:rsidRDefault="00F33612" w:rsidP="00F33612">
            <w:pPr>
              <w:rPr>
                <w:rFonts w:ascii="Times New Roman" w:hAnsi="Times New Roman" w:cs="Times New Roman"/>
                <w:color w:val="000000" w:themeColor="text1"/>
                <w:sz w:val="20"/>
                <w:szCs w:val="20"/>
              </w:rPr>
            </w:pPr>
            <w:r w:rsidRPr="00D44D25">
              <w:rPr>
                <w:rFonts w:ascii="Times New Roman" w:hAnsi="Times New Roman" w:cs="Times New Roman"/>
                <w:noProof/>
                <w:color w:val="000000" w:themeColor="text1"/>
                <w:sz w:val="20"/>
                <w:szCs w:val="20"/>
              </w:rPr>
              <w:t>Redefining the start of the observation period to 1</w:t>
            </w:r>
            <w:r w:rsidRPr="00D44D25">
              <w:rPr>
                <w:rFonts w:ascii="Times New Roman" w:hAnsi="Times New Roman" w:cs="Times New Roman"/>
                <w:noProof/>
                <w:color w:val="000000" w:themeColor="text1"/>
                <w:sz w:val="20"/>
                <w:szCs w:val="20"/>
                <w:vertAlign w:val="superscript"/>
              </w:rPr>
              <w:t>st</w:t>
            </w:r>
            <w:r w:rsidRPr="00D44D25">
              <w:rPr>
                <w:rFonts w:ascii="Times New Roman" w:hAnsi="Times New Roman" w:cs="Times New Roman"/>
                <w:noProof/>
                <w:color w:val="000000" w:themeColor="text1"/>
                <w:sz w:val="20"/>
                <w:szCs w:val="20"/>
              </w:rPr>
              <w:t xml:space="preserve"> January 2001, the 18</w:t>
            </w:r>
            <w:r w:rsidRPr="00D44D25">
              <w:rPr>
                <w:rFonts w:ascii="Times New Roman" w:hAnsi="Times New Roman" w:cs="Times New Roman"/>
                <w:noProof/>
                <w:color w:val="000000" w:themeColor="text1"/>
                <w:sz w:val="20"/>
                <w:szCs w:val="20"/>
                <w:vertAlign w:val="superscript"/>
              </w:rPr>
              <w:t>th</w:t>
            </w:r>
            <w:r w:rsidRPr="00D44D25">
              <w:rPr>
                <w:rFonts w:ascii="Times New Roman" w:hAnsi="Times New Roman" w:cs="Times New Roman"/>
                <w:noProof/>
                <w:color w:val="000000" w:themeColor="text1"/>
                <w:sz w:val="20"/>
                <w:szCs w:val="20"/>
              </w:rPr>
              <w:t xml:space="preserve"> birthday of the individual, the date of the patient entering the database, or the first observed date of bipolar disorder diagnosis, whichever was later</w:t>
            </w:r>
          </w:p>
        </w:tc>
        <w:tc>
          <w:tcPr>
            <w:tcW w:w="4341" w:type="dxa"/>
          </w:tcPr>
          <w:p w14:paraId="037ACBD7" w14:textId="0D2C1A02" w:rsidR="00F33612" w:rsidRPr="00D44D25" w:rsidRDefault="00F33612" w:rsidP="00F33612">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Individuals might receive less medical attention before the diagnosis of bipolar disorder and the prescribing pattern might be different.</w:t>
            </w:r>
          </w:p>
        </w:tc>
      </w:tr>
      <w:tr w:rsidR="00F33612" w:rsidRPr="00D44D25" w14:paraId="7D20CF65" w14:textId="77777777" w:rsidTr="00F33612">
        <w:tc>
          <w:tcPr>
            <w:tcW w:w="535" w:type="dxa"/>
          </w:tcPr>
          <w:p w14:paraId="7F25D635" w14:textId="16826D3D" w:rsidR="00F33612" w:rsidRPr="00D44D25" w:rsidRDefault="00F33612"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w:t>
            </w:r>
          </w:p>
        </w:tc>
        <w:tc>
          <w:tcPr>
            <w:tcW w:w="4140" w:type="dxa"/>
          </w:tcPr>
          <w:p w14:paraId="6997BDFD" w14:textId="1E31DC4E" w:rsidR="00F33612" w:rsidRPr="00D44D25" w:rsidRDefault="00F33612" w:rsidP="00F33612">
            <w:pPr>
              <w:rPr>
                <w:rFonts w:ascii="Times New Roman" w:hAnsi="Times New Roman" w:cs="Times New Roman"/>
                <w:color w:val="000000" w:themeColor="text1"/>
                <w:sz w:val="20"/>
                <w:szCs w:val="20"/>
              </w:rPr>
            </w:pPr>
            <w:r w:rsidRPr="00D44D25">
              <w:rPr>
                <w:rFonts w:ascii="Times New Roman" w:hAnsi="Times New Roman" w:cs="Times New Roman"/>
                <w:noProof/>
                <w:color w:val="000000" w:themeColor="text1"/>
                <w:sz w:val="20"/>
                <w:szCs w:val="20"/>
              </w:rPr>
              <w:t xml:space="preserve">Removing patients who died during the observation period </w:t>
            </w:r>
          </w:p>
        </w:tc>
        <w:tc>
          <w:tcPr>
            <w:tcW w:w="4341" w:type="dxa"/>
          </w:tcPr>
          <w:p w14:paraId="7D609428" w14:textId="70E75985" w:rsidR="00F33612" w:rsidRPr="00D44D25" w:rsidRDefault="004D115D" w:rsidP="004D115D">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Since trauma</w:t>
            </w:r>
            <w:r w:rsidR="00DB6F1E">
              <w:rPr>
                <w:rFonts w:ascii="Times New Roman" w:hAnsi="Times New Roman" w:cs="Times New Roman"/>
                <w:color w:val="000000" w:themeColor="text1"/>
                <w:sz w:val="20"/>
                <w:szCs w:val="20"/>
              </w:rPr>
              <w:t>tic injuries</w:t>
            </w:r>
            <w:r w:rsidRPr="00D44D25">
              <w:rPr>
                <w:rFonts w:ascii="Times New Roman" w:hAnsi="Times New Roman" w:cs="Times New Roman"/>
                <w:color w:val="000000" w:themeColor="text1"/>
                <w:sz w:val="20"/>
                <w:szCs w:val="20"/>
              </w:rPr>
              <w:t xml:space="preserve"> carr</w:t>
            </w:r>
            <w:r w:rsidR="00DB6F1E">
              <w:rPr>
                <w:rFonts w:ascii="Times New Roman" w:hAnsi="Times New Roman" w:cs="Times New Roman"/>
                <w:color w:val="000000" w:themeColor="text1"/>
                <w:sz w:val="20"/>
                <w:szCs w:val="20"/>
              </w:rPr>
              <w:t>y</w:t>
            </w:r>
            <w:r w:rsidRPr="00D44D25">
              <w:rPr>
                <w:rFonts w:ascii="Times New Roman" w:hAnsi="Times New Roman" w:cs="Times New Roman"/>
                <w:color w:val="000000" w:themeColor="text1"/>
                <w:sz w:val="20"/>
                <w:szCs w:val="20"/>
              </w:rPr>
              <w:t xml:space="preserve"> high risk of mortality, the observation period could be censored as a direct result of the trauma</w:t>
            </w:r>
            <w:r w:rsidR="00DB6F1E">
              <w:rPr>
                <w:rFonts w:ascii="Times New Roman" w:hAnsi="Times New Roman" w:cs="Times New Roman"/>
                <w:color w:val="000000" w:themeColor="text1"/>
                <w:sz w:val="20"/>
                <w:szCs w:val="20"/>
              </w:rPr>
              <w:t>tic injuries</w:t>
            </w:r>
            <w:r w:rsidRPr="00D44D25">
              <w:rPr>
                <w:rFonts w:ascii="Times New Roman" w:hAnsi="Times New Roman" w:cs="Times New Roman"/>
                <w:color w:val="000000" w:themeColor="text1"/>
                <w:sz w:val="20"/>
                <w:szCs w:val="20"/>
              </w:rPr>
              <w:t xml:space="preserve">, causing bias to the results in both directions (under- or over-estimating the benefits of pharmacological treatment). </w:t>
            </w:r>
            <w:r w:rsidRPr="00D44D25">
              <w:rPr>
                <w:rFonts w:ascii="Times New Roman" w:hAnsi="Times New Roman" w:cs="Times New Roman"/>
                <w:noProof/>
                <w:color w:val="000000" w:themeColor="text1"/>
                <w:sz w:val="20"/>
                <w:szCs w:val="20"/>
              </w:rPr>
              <w:t xml:space="preserve">A total of 702 patients with </w:t>
            </w:r>
            <w:r w:rsidR="00DB6F1E">
              <w:rPr>
                <w:rFonts w:ascii="Times New Roman" w:hAnsi="Times New Roman" w:cs="Times New Roman"/>
                <w:noProof/>
                <w:color w:val="000000" w:themeColor="text1"/>
                <w:sz w:val="20"/>
                <w:szCs w:val="20"/>
              </w:rPr>
              <w:t>ER admissions due to traumatic injuries</w:t>
            </w:r>
            <w:r w:rsidRPr="00D44D25">
              <w:rPr>
                <w:rFonts w:ascii="Times New Roman" w:hAnsi="Times New Roman" w:cs="Times New Roman"/>
                <w:noProof/>
                <w:color w:val="000000" w:themeColor="text1"/>
                <w:sz w:val="20"/>
                <w:szCs w:val="20"/>
              </w:rPr>
              <w:t xml:space="preserve"> died during the observation period but there were no clustering of death shortly after the events. This will assess the effect of death on the results.</w:t>
            </w:r>
          </w:p>
        </w:tc>
      </w:tr>
      <w:tr w:rsidR="00F33612" w:rsidRPr="00D44D25" w14:paraId="1A64654E" w14:textId="77777777" w:rsidTr="00F33612">
        <w:tc>
          <w:tcPr>
            <w:tcW w:w="535" w:type="dxa"/>
          </w:tcPr>
          <w:p w14:paraId="6EC1421C" w14:textId="1E73D1D6" w:rsidR="00F33612" w:rsidRPr="00D44D25" w:rsidRDefault="004D115D"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3</w:t>
            </w:r>
          </w:p>
        </w:tc>
        <w:tc>
          <w:tcPr>
            <w:tcW w:w="4140" w:type="dxa"/>
          </w:tcPr>
          <w:p w14:paraId="07122616" w14:textId="65109C63" w:rsidR="00F33612" w:rsidRPr="00D44D25" w:rsidRDefault="004D115D" w:rsidP="00E02EE4">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Removing patients with exposure to pharmacological treatment of </w:t>
            </w:r>
            <w:r w:rsidR="00E02EE4" w:rsidRPr="00D44D25">
              <w:rPr>
                <w:rFonts w:ascii="Times New Roman" w:hAnsi="Times New Roman" w:cs="Times New Roman"/>
                <w:color w:val="000000" w:themeColor="text1"/>
                <w:sz w:val="20"/>
                <w:szCs w:val="20"/>
              </w:rPr>
              <w:t>bipolar disorder</w:t>
            </w:r>
            <w:r w:rsidRPr="00D44D25">
              <w:rPr>
                <w:rFonts w:ascii="Times New Roman" w:hAnsi="Times New Roman" w:cs="Times New Roman"/>
                <w:color w:val="000000" w:themeColor="text1"/>
                <w:sz w:val="20"/>
                <w:szCs w:val="20"/>
              </w:rPr>
              <w:t xml:space="preserve"> before the start of the observation period </w:t>
            </w:r>
          </w:p>
        </w:tc>
        <w:tc>
          <w:tcPr>
            <w:tcW w:w="4341" w:type="dxa"/>
          </w:tcPr>
          <w:p w14:paraId="5E4BBB7C" w14:textId="45170C5D" w:rsidR="00F33612" w:rsidRPr="00D44D25" w:rsidRDefault="004D115D" w:rsidP="004D115D">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As the self-controlled case series compared the incidence within an individual, included individuals were not necessary to be incident users of the treatment. This will assess this potential effect.</w:t>
            </w:r>
          </w:p>
        </w:tc>
      </w:tr>
      <w:tr w:rsidR="00F33612" w:rsidRPr="00D44D25" w14:paraId="141E938E" w14:textId="77777777" w:rsidTr="00F33612">
        <w:tc>
          <w:tcPr>
            <w:tcW w:w="535" w:type="dxa"/>
          </w:tcPr>
          <w:p w14:paraId="188F3256" w14:textId="7E4998AA" w:rsidR="00F33612" w:rsidRPr="00D44D25" w:rsidRDefault="004D115D"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4</w:t>
            </w:r>
          </w:p>
        </w:tc>
        <w:tc>
          <w:tcPr>
            <w:tcW w:w="4140" w:type="dxa"/>
          </w:tcPr>
          <w:p w14:paraId="488ACE48" w14:textId="78903735" w:rsidR="00F33612" w:rsidRPr="00D44D25" w:rsidRDefault="004D115D" w:rsidP="004D115D">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Removing patients with schizophrenia diagnosis (ICD-9-CM: 295) between the database inception and the end of observation period </w:t>
            </w:r>
          </w:p>
        </w:tc>
        <w:tc>
          <w:tcPr>
            <w:tcW w:w="4341" w:type="dxa"/>
          </w:tcPr>
          <w:p w14:paraId="10186D1C" w14:textId="2793FE08" w:rsidR="00F33612" w:rsidRPr="00D44D25" w:rsidRDefault="004D115D" w:rsidP="004D115D">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Since there is some debate as to whether schizophrenia and bipolar disorder can be truly comorbid, removing patients who ever received schizophrenia diagnosis can ensure the patients who were truly diagnosed with bipolar disorder.</w:t>
            </w:r>
          </w:p>
        </w:tc>
      </w:tr>
      <w:tr w:rsidR="005D6D5F" w:rsidRPr="00D44D25" w14:paraId="720845DD" w14:textId="77777777" w:rsidTr="00F33612">
        <w:tc>
          <w:tcPr>
            <w:tcW w:w="535" w:type="dxa"/>
          </w:tcPr>
          <w:p w14:paraId="69AF6526" w14:textId="426D2BF7" w:rsidR="005D6D5F" w:rsidRPr="00D44D25" w:rsidRDefault="005D6D5F"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140" w:type="dxa"/>
          </w:tcPr>
          <w:p w14:paraId="08C845F0" w14:textId="25223A21" w:rsidR="005D6D5F" w:rsidRPr="00D44D25" w:rsidRDefault="00E21FDC" w:rsidP="004D115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Redefining the study cohort by 1) including patients who had at least 2 hospitalization record with a diagnosis of bipolar disorder and 2) excluding those who had </w:t>
            </w:r>
            <w:r w:rsidR="008228DB">
              <w:rPr>
                <w:rFonts w:ascii="Times New Roman" w:hAnsi="Times New Roman" w:cs="Times New Roman"/>
                <w:color w:val="000000" w:themeColor="text1"/>
                <w:sz w:val="20"/>
                <w:szCs w:val="20"/>
              </w:rPr>
              <w:t>more than</w:t>
            </w:r>
            <w:r>
              <w:rPr>
                <w:rFonts w:ascii="Times New Roman" w:hAnsi="Times New Roman" w:cs="Times New Roman"/>
                <w:color w:val="000000" w:themeColor="text1"/>
                <w:sz w:val="20"/>
                <w:szCs w:val="20"/>
              </w:rPr>
              <w:t xml:space="preserve"> 1 schizophrenia related hospitalization record</w:t>
            </w:r>
          </w:p>
        </w:tc>
        <w:tc>
          <w:tcPr>
            <w:tcW w:w="4341" w:type="dxa"/>
          </w:tcPr>
          <w:p w14:paraId="062FC795" w14:textId="0D2299FD" w:rsidR="005D6D5F" w:rsidRPr="00D44D25" w:rsidRDefault="00706154" w:rsidP="004D115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previous</w:t>
            </w:r>
            <w:r w:rsidR="000D370E">
              <w:rPr>
                <w:rFonts w:ascii="Times New Roman" w:hAnsi="Times New Roman" w:cs="Times New Roman"/>
                <w:color w:val="000000" w:themeColor="text1"/>
                <w:sz w:val="20"/>
                <w:szCs w:val="20"/>
              </w:rPr>
              <w:t xml:space="preserve"> validati</w:t>
            </w:r>
            <w:r w:rsidR="00D32C60">
              <w:rPr>
                <w:rFonts w:ascii="Times New Roman" w:hAnsi="Times New Roman" w:cs="Times New Roman"/>
                <w:color w:val="000000" w:themeColor="text1"/>
                <w:sz w:val="20"/>
                <w:szCs w:val="20"/>
              </w:rPr>
              <w:t>on study, which validated the diagnosis of bipolar disorder in Swedish national registry, suggested the use of search algorithm based on at least 2 inpatient episodes of bipolar disorder and exclude patients with more than 1 inpatient episode of schizophrenia could improve sensitivity and specificity</w:t>
            </w:r>
            <w:r w:rsidR="00335A33">
              <w:rPr>
                <w:rFonts w:ascii="Times New Roman" w:hAnsi="Times New Roman" w:cs="Times New Roman"/>
                <w:color w:val="000000" w:themeColor="text1"/>
                <w:sz w:val="20"/>
                <w:szCs w:val="20"/>
              </w:rPr>
              <w:t xml:space="preserve"> </w:t>
            </w:r>
            <w:r w:rsidR="00335A33">
              <w:rPr>
                <w:rFonts w:ascii="Times New Roman" w:hAnsi="Times New Roman" w:cs="Times New Roman"/>
                <w:color w:val="000000" w:themeColor="text1"/>
                <w:sz w:val="20"/>
                <w:szCs w:val="20"/>
              </w:rPr>
              <w:fldChar w:fldCharType="begin">
                <w:fldData xml:space="preserve">PEVuZE5vdGU+PENpdGU+PEF1dGhvcj5TZWxsZ3JlbjwvQXV0aG9yPjxZZWFyPjIwMTE8L1llYXI+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</w:fldData>
              </w:fldChar>
            </w:r>
            <w:r w:rsidR="00335A33">
              <w:rPr>
                <w:rFonts w:ascii="Times New Roman" w:hAnsi="Times New Roman" w:cs="Times New Roman"/>
                <w:color w:val="000000" w:themeColor="text1"/>
                <w:sz w:val="20"/>
                <w:szCs w:val="20"/>
              </w:rPr>
              <w:instrText xml:space="preserve"> ADDIN EN.CITE </w:instrText>
            </w:r>
            <w:r w:rsidR="00335A33">
              <w:rPr>
                <w:rFonts w:ascii="Times New Roman" w:hAnsi="Times New Roman" w:cs="Times New Roman"/>
                <w:color w:val="000000" w:themeColor="text1"/>
                <w:sz w:val="20"/>
                <w:szCs w:val="20"/>
              </w:rPr>
              <w:fldChar w:fldCharType="begin">
                <w:fldData xml:space="preserve">PEVuZE5vdGU+PENpdGU+PEF1dGhvcj5TZWxsZ3JlbjwvQXV0aG9yPjxZZWFyPjIwMTE8L1llYXI+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</w:fldData>
              </w:fldChar>
            </w:r>
            <w:r w:rsidR="00335A33">
              <w:rPr>
                <w:rFonts w:ascii="Times New Roman" w:hAnsi="Times New Roman" w:cs="Times New Roman"/>
                <w:color w:val="000000" w:themeColor="text1"/>
                <w:sz w:val="20"/>
                <w:szCs w:val="20"/>
              </w:rPr>
              <w:instrText xml:space="preserve"> ADDIN EN.CITE.DATA </w:instrText>
            </w:r>
            <w:r w:rsidR="00335A33">
              <w:rPr>
                <w:rFonts w:ascii="Times New Roman" w:hAnsi="Times New Roman" w:cs="Times New Roman"/>
                <w:color w:val="000000" w:themeColor="text1"/>
                <w:sz w:val="20"/>
                <w:szCs w:val="20"/>
              </w:rPr>
            </w:r>
            <w:r w:rsidR="00335A33">
              <w:rPr>
                <w:rFonts w:ascii="Times New Roman" w:hAnsi="Times New Roman" w:cs="Times New Roman"/>
                <w:color w:val="000000" w:themeColor="text1"/>
                <w:sz w:val="20"/>
                <w:szCs w:val="20"/>
              </w:rPr>
              <w:fldChar w:fldCharType="end"/>
            </w:r>
            <w:r w:rsidR="00335A33">
              <w:rPr>
                <w:rFonts w:ascii="Times New Roman" w:hAnsi="Times New Roman" w:cs="Times New Roman"/>
                <w:color w:val="000000" w:themeColor="text1"/>
                <w:sz w:val="20"/>
                <w:szCs w:val="20"/>
              </w:rPr>
              <w:fldChar w:fldCharType="separate"/>
            </w:r>
            <w:r w:rsidR="00335A33">
              <w:rPr>
                <w:rFonts w:ascii="Times New Roman" w:hAnsi="Times New Roman" w:cs="Times New Roman"/>
                <w:noProof/>
                <w:color w:val="000000" w:themeColor="text1"/>
                <w:sz w:val="20"/>
                <w:szCs w:val="20"/>
              </w:rPr>
              <w:t>(Sellgren, Landén, Lichtenstein, Hultman, &amp; Långström, 2011)</w:t>
            </w:r>
            <w:r w:rsidR="00335A33">
              <w:rPr>
                <w:rFonts w:ascii="Times New Roman" w:hAnsi="Times New Roman" w:cs="Times New Roman"/>
                <w:color w:val="000000" w:themeColor="text1"/>
                <w:sz w:val="20"/>
                <w:szCs w:val="20"/>
              </w:rPr>
              <w:fldChar w:fldCharType="end"/>
            </w:r>
            <w:r w:rsidR="00D32C60">
              <w:rPr>
                <w:rFonts w:ascii="Times New Roman" w:hAnsi="Times New Roman" w:cs="Times New Roman"/>
                <w:color w:val="000000" w:themeColor="text1"/>
                <w:sz w:val="20"/>
                <w:szCs w:val="20"/>
              </w:rPr>
              <w:t xml:space="preserve">. To ensure patients included in our cohort were diagnosed with bipolar disorder, we applied the same criteria to define the study cohort. </w:t>
            </w:r>
          </w:p>
        </w:tc>
      </w:tr>
      <w:tr w:rsidR="00F33612" w:rsidRPr="00D44D25" w14:paraId="4339362C" w14:textId="77777777" w:rsidTr="00F33612">
        <w:tc>
          <w:tcPr>
            <w:tcW w:w="535" w:type="dxa"/>
          </w:tcPr>
          <w:p w14:paraId="740F73E4" w14:textId="39F3AE28" w:rsidR="00F33612" w:rsidRPr="00D44D25" w:rsidRDefault="005D6D5F"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140" w:type="dxa"/>
          </w:tcPr>
          <w:p w14:paraId="0FDDF2B5" w14:textId="667A206F" w:rsidR="00F33612" w:rsidRPr="00D44D25" w:rsidRDefault="004D115D"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Removing patients with event happening on the first day of treatment</w:t>
            </w:r>
          </w:p>
        </w:tc>
        <w:tc>
          <w:tcPr>
            <w:tcW w:w="4341" w:type="dxa"/>
          </w:tcPr>
          <w:p w14:paraId="50B4CD6A" w14:textId="1AAB1ECB" w:rsidR="00F33612" w:rsidRPr="00D44D25" w:rsidRDefault="004D115D"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As the exact time of the event is not available in the database, it is difficult to determine if the event occurred before or after the treatment initiation.</w:t>
            </w:r>
          </w:p>
        </w:tc>
      </w:tr>
      <w:tr w:rsidR="00AC0865" w:rsidRPr="00D44D25" w14:paraId="56534543" w14:textId="77777777" w:rsidTr="00F33612">
        <w:tc>
          <w:tcPr>
            <w:tcW w:w="535" w:type="dxa"/>
          </w:tcPr>
          <w:p w14:paraId="79A6D0D2" w14:textId="78319425" w:rsidR="00AC0865" w:rsidRPr="00D44D25" w:rsidRDefault="005D6D5F"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4140" w:type="dxa"/>
          </w:tcPr>
          <w:p w14:paraId="0FA6008D" w14:textId="67355257" w:rsidR="00AC0865" w:rsidRPr="00D44D25" w:rsidRDefault="00AC0865"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Adjusting for age, </w:t>
            </w:r>
            <w:r w:rsidRPr="00262BBC">
              <w:rPr>
                <w:rFonts w:ascii="Times New Roman" w:hAnsi="Times New Roman" w:cs="Times New Roman"/>
                <w:color w:val="000000" w:themeColor="text1"/>
                <w:sz w:val="20"/>
                <w:szCs w:val="20"/>
              </w:rPr>
              <w:t>concurrent use of antidepressants, benzodiazepine derivatives. hypnotics and anxiolytics</w:t>
            </w:r>
            <w:r>
              <w:rPr>
                <w:rFonts w:ascii="Times New Roman" w:hAnsi="Times New Roman" w:cs="Times New Roman"/>
                <w:color w:val="000000" w:themeColor="text1"/>
                <w:sz w:val="20"/>
                <w:szCs w:val="20"/>
              </w:rPr>
              <w:t xml:space="preserve"> as time-varying confounders</w:t>
            </w:r>
          </w:p>
        </w:tc>
        <w:tc>
          <w:tcPr>
            <w:tcW w:w="4341" w:type="dxa"/>
          </w:tcPr>
          <w:p w14:paraId="6E6FE93A" w14:textId="1F8B65D2" w:rsidR="00AC0865" w:rsidRPr="00D44D25" w:rsidRDefault="007E3202"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 a previous study found an association between the risk of road accidents and use of anxiolytics</w:t>
            </w:r>
            <w:r w:rsidR="00335A33">
              <w:rPr>
                <w:rFonts w:ascii="Times New Roman" w:hAnsi="Times New Roman" w:cs="Times New Roman"/>
                <w:color w:val="000000" w:themeColor="text1"/>
                <w:sz w:val="20"/>
                <w:szCs w:val="20"/>
              </w:rPr>
              <w:t xml:space="preserve"> </w:t>
            </w:r>
            <w:r w:rsidR="00335A33">
              <w:rPr>
                <w:rFonts w:ascii="Times New Roman" w:hAnsi="Times New Roman" w:cs="Times New Roman"/>
                <w:color w:val="000000" w:themeColor="text1"/>
                <w:sz w:val="20"/>
                <w:szCs w:val="20"/>
              </w:rPr>
              <w:fldChar w:fldCharType="begin">
                <w:fldData xml:space="preserve">PEVuZE5vdGU+PENpdGU+PEF1dGhvcj5SYXZlcmE8L0F1dGhvcj48WWVhcj4yMDExPC9ZZWFyPjxS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</w:fldData>
              </w:fldChar>
            </w:r>
            <w:r w:rsidR="00335A33">
              <w:rPr>
                <w:rFonts w:ascii="Times New Roman" w:hAnsi="Times New Roman" w:cs="Times New Roman"/>
                <w:color w:val="000000" w:themeColor="text1"/>
                <w:sz w:val="20"/>
                <w:szCs w:val="20"/>
              </w:rPr>
              <w:instrText xml:space="preserve"> ADDIN EN.CITE </w:instrText>
            </w:r>
            <w:r w:rsidR="00335A33">
              <w:rPr>
                <w:rFonts w:ascii="Times New Roman" w:hAnsi="Times New Roman" w:cs="Times New Roman"/>
                <w:color w:val="000000" w:themeColor="text1"/>
                <w:sz w:val="20"/>
                <w:szCs w:val="20"/>
              </w:rPr>
              <w:fldChar w:fldCharType="begin">
                <w:fldData xml:space="preserve">PEVuZE5vdGU+PENpdGU+PEF1dGhvcj5SYXZlcmE8L0F1dGhvcj48WWVhcj4yMDExPC9ZZWFyPjxS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</w:fldData>
              </w:fldChar>
            </w:r>
            <w:r w:rsidR="00335A33">
              <w:rPr>
                <w:rFonts w:ascii="Times New Roman" w:hAnsi="Times New Roman" w:cs="Times New Roman"/>
                <w:color w:val="000000" w:themeColor="text1"/>
                <w:sz w:val="20"/>
                <w:szCs w:val="20"/>
              </w:rPr>
              <w:instrText xml:space="preserve"> ADDIN EN.CITE.DATA </w:instrText>
            </w:r>
            <w:r w:rsidR="00335A33">
              <w:rPr>
                <w:rFonts w:ascii="Times New Roman" w:hAnsi="Times New Roman" w:cs="Times New Roman"/>
                <w:color w:val="000000" w:themeColor="text1"/>
                <w:sz w:val="20"/>
                <w:szCs w:val="20"/>
              </w:rPr>
            </w:r>
            <w:r w:rsidR="00335A33">
              <w:rPr>
                <w:rFonts w:ascii="Times New Roman" w:hAnsi="Times New Roman" w:cs="Times New Roman"/>
                <w:color w:val="000000" w:themeColor="text1"/>
                <w:sz w:val="20"/>
                <w:szCs w:val="20"/>
              </w:rPr>
              <w:fldChar w:fldCharType="end"/>
            </w:r>
            <w:r w:rsidR="00335A33">
              <w:rPr>
                <w:rFonts w:ascii="Times New Roman" w:hAnsi="Times New Roman" w:cs="Times New Roman"/>
                <w:color w:val="000000" w:themeColor="text1"/>
                <w:sz w:val="20"/>
                <w:szCs w:val="20"/>
              </w:rPr>
              <w:fldChar w:fldCharType="separate"/>
            </w:r>
            <w:r w:rsidR="00335A33">
              <w:rPr>
                <w:rFonts w:ascii="Times New Roman" w:hAnsi="Times New Roman" w:cs="Times New Roman"/>
                <w:noProof/>
                <w:color w:val="000000" w:themeColor="text1"/>
                <w:sz w:val="20"/>
                <w:szCs w:val="20"/>
              </w:rPr>
              <w:t>(Ravera, van Rein, de Gier, &amp; de Jong-van den Berg, 2011)</w:t>
            </w:r>
            <w:r w:rsidR="00335A33">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it is possible that hypnotics and anxiolytics affect cognitive ability and hence causes trauma</w:t>
            </w:r>
            <w:r w:rsidR="00DB6F1E">
              <w:rPr>
                <w:rFonts w:ascii="Times New Roman" w:hAnsi="Times New Roman" w:cs="Times New Roman"/>
                <w:color w:val="000000" w:themeColor="text1"/>
                <w:sz w:val="20"/>
                <w:szCs w:val="20"/>
              </w:rPr>
              <w:t>tic injuries</w:t>
            </w:r>
            <w:r>
              <w:rPr>
                <w:rFonts w:ascii="Times New Roman" w:hAnsi="Times New Roman" w:cs="Times New Roman"/>
                <w:color w:val="000000" w:themeColor="text1"/>
                <w:sz w:val="20"/>
                <w:szCs w:val="20"/>
              </w:rPr>
              <w:t xml:space="preserve"> due to road accidents.</w:t>
            </w:r>
          </w:p>
        </w:tc>
      </w:tr>
      <w:tr w:rsidR="00AC0865" w:rsidRPr="00D44D25" w14:paraId="55FF0B27" w14:textId="77777777" w:rsidTr="00F33612">
        <w:tc>
          <w:tcPr>
            <w:tcW w:w="535" w:type="dxa"/>
          </w:tcPr>
          <w:p w14:paraId="790A4930" w14:textId="14CC94AD" w:rsidR="00AC0865" w:rsidRPr="00D44D25" w:rsidRDefault="005D6D5F"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4140" w:type="dxa"/>
          </w:tcPr>
          <w:p w14:paraId="1AA6B020" w14:textId="1E550D46" w:rsidR="00AC0865" w:rsidRPr="00D44D25" w:rsidRDefault="00AC0865"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Adjusting for age, concurrent use of antidepressants and benzodiazepine derivatives, doses of </w:t>
            </w:r>
            <w:r w:rsidR="00CB773F">
              <w:rPr>
                <w:rFonts w:ascii="Times New Roman" w:hAnsi="Times New Roman" w:cs="Times New Roman"/>
                <w:color w:val="000000" w:themeColor="text1"/>
                <w:sz w:val="20"/>
                <w:szCs w:val="20"/>
              </w:rPr>
              <w:t>treatment</w:t>
            </w:r>
            <w:r w:rsidRPr="005D48F7">
              <w:rPr>
                <w:rFonts w:ascii="Times New Roman" w:hAnsi="Times New Roman" w:cs="Times New Roman"/>
                <w:color w:val="000000" w:themeColor="text1"/>
                <w:sz w:val="20"/>
                <w:szCs w:val="20"/>
              </w:rPr>
              <w:t xml:space="preserve"> agents</w:t>
            </w:r>
            <w:r>
              <w:rPr>
                <w:rFonts w:ascii="Times New Roman" w:hAnsi="Times New Roman" w:cs="Times New Roman"/>
                <w:color w:val="000000" w:themeColor="text1"/>
                <w:sz w:val="20"/>
                <w:szCs w:val="20"/>
              </w:rPr>
              <w:t xml:space="preserve"> as time-varying confounders</w:t>
            </w:r>
          </w:p>
        </w:tc>
        <w:tc>
          <w:tcPr>
            <w:tcW w:w="4341" w:type="dxa"/>
          </w:tcPr>
          <w:p w14:paraId="3DC058BC" w14:textId="77777777" w:rsidR="00AC0865" w:rsidRDefault="00A4089E"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Since varying dose of mood stabilizing treatment infers the changing severity of illness of bipolar disorder and changing dose of mood stabilizing treatment might also affect the prescribing of treatment regimen, doses of </w:t>
            </w:r>
            <w:r w:rsidRPr="005D48F7">
              <w:rPr>
                <w:rFonts w:ascii="Times New Roman" w:hAnsi="Times New Roman" w:cs="Times New Roman"/>
                <w:color w:val="000000" w:themeColor="text1"/>
                <w:sz w:val="20"/>
                <w:szCs w:val="20"/>
              </w:rPr>
              <w:t>mood stabilizing agents</w:t>
            </w:r>
            <w:r>
              <w:rPr>
                <w:rFonts w:ascii="Times New Roman" w:hAnsi="Times New Roman" w:cs="Times New Roman"/>
                <w:color w:val="000000" w:themeColor="text1"/>
                <w:sz w:val="20"/>
                <w:szCs w:val="20"/>
              </w:rPr>
              <w:t xml:space="preserve"> can be a possible confounder.</w:t>
            </w:r>
          </w:p>
          <w:p w14:paraId="31901C48" w14:textId="77777777" w:rsidR="00C85882" w:rsidRDefault="00C85882" w:rsidP="00875C8E">
            <w:pPr>
              <w:rPr>
                <w:rFonts w:ascii="Times New Roman" w:hAnsi="Times New Roman" w:cs="Times New Roman"/>
                <w:color w:val="000000" w:themeColor="text1"/>
                <w:sz w:val="20"/>
                <w:szCs w:val="20"/>
              </w:rPr>
            </w:pPr>
          </w:p>
          <w:p w14:paraId="07BF6E81" w14:textId="701FAE1D" w:rsidR="00C85882" w:rsidRPr="00D44D25" w:rsidRDefault="002C1D24"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To examine the effect of dose, we </w:t>
            </w:r>
            <w:r w:rsidR="00356965">
              <w:rPr>
                <w:rFonts w:ascii="Times New Roman" w:hAnsi="Times New Roman" w:cs="Times New Roman"/>
                <w:color w:val="000000" w:themeColor="text1"/>
                <w:sz w:val="20"/>
                <w:szCs w:val="20"/>
              </w:rPr>
              <w:t xml:space="preserve">calculated the sum of total doses within the same exposure period </w:t>
            </w:r>
            <w:r w:rsidR="004D70CC">
              <w:rPr>
                <w:rFonts w:ascii="Times New Roman" w:hAnsi="Times New Roman" w:cs="Times New Roman"/>
                <w:color w:val="000000" w:themeColor="text1"/>
                <w:sz w:val="20"/>
                <w:szCs w:val="20"/>
              </w:rPr>
              <w:t xml:space="preserve">using the ratio of prescribed daily dose </w:t>
            </w:r>
            <w:r w:rsidR="00165EE3">
              <w:rPr>
                <w:rFonts w:ascii="Times New Roman" w:hAnsi="Times New Roman" w:cs="Times New Roman"/>
                <w:color w:val="000000" w:themeColor="text1"/>
                <w:sz w:val="20"/>
                <w:szCs w:val="20"/>
              </w:rPr>
              <w:t xml:space="preserve">to defined </w:t>
            </w:r>
            <w:r w:rsidR="00165EE3">
              <w:rPr>
                <w:rFonts w:ascii="Times New Roman" w:hAnsi="Times New Roman" w:cs="Times New Roman"/>
                <w:color w:val="000000" w:themeColor="text1"/>
                <w:sz w:val="20"/>
                <w:szCs w:val="20"/>
              </w:rPr>
              <w:lastRenderedPageBreak/>
              <w:t>daily dose and the duration of exposure period. Then we further separated the exposure periods (for both acute and maintenance treatment) into low and high doses (above or below the median).</w:t>
            </w:r>
          </w:p>
        </w:tc>
      </w:tr>
      <w:tr w:rsidR="00F33612" w:rsidRPr="00D44D25" w14:paraId="7F08EC6A" w14:textId="77777777" w:rsidTr="00F33612">
        <w:tc>
          <w:tcPr>
            <w:tcW w:w="535" w:type="dxa"/>
          </w:tcPr>
          <w:p w14:paraId="04E00796" w14:textId="0040D93F" w:rsidR="00F33612" w:rsidRPr="00D44D25" w:rsidRDefault="005D6D5F"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9</w:t>
            </w:r>
          </w:p>
        </w:tc>
        <w:tc>
          <w:tcPr>
            <w:tcW w:w="4140" w:type="dxa"/>
          </w:tcPr>
          <w:p w14:paraId="218FB18D" w14:textId="1A407B40" w:rsidR="00F33612" w:rsidRPr="00D44D25" w:rsidRDefault="004D115D" w:rsidP="004D115D">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Different drug non-adherence scenarios</w:t>
            </w:r>
          </w:p>
        </w:tc>
        <w:tc>
          <w:tcPr>
            <w:tcW w:w="4341" w:type="dxa"/>
          </w:tcPr>
          <w:p w14:paraId="209B4092" w14:textId="499406BB" w:rsidR="00F33612" w:rsidRPr="00D44D25" w:rsidRDefault="004D115D"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Each exposed period was further extended by adding 1 to 10 weeks after the end of an exposed period to assess this effect.</w:t>
            </w:r>
          </w:p>
        </w:tc>
      </w:tr>
      <w:tr w:rsidR="00F33612" w:rsidRPr="00D44D25" w14:paraId="473DB310" w14:textId="77777777" w:rsidTr="00F33612">
        <w:tc>
          <w:tcPr>
            <w:tcW w:w="535" w:type="dxa"/>
          </w:tcPr>
          <w:p w14:paraId="1462945F" w14:textId="202D9665" w:rsidR="00F33612" w:rsidRPr="00D44D25" w:rsidRDefault="005D6D5F" w:rsidP="00875C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4140" w:type="dxa"/>
          </w:tcPr>
          <w:p w14:paraId="24E2CFB7" w14:textId="766244F0" w:rsidR="00F33612" w:rsidRPr="00D44D25" w:rsidRDefault="004D115D"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Computing E-value, which is defined as the minimum strength of association that an unmeasured confounder would need to have with both treatment and outcome </w:t>
            </w:r>
            <w:r w:rsidR="00427781" w:rsidRPr="00D44D25">
              <w:rPr>
                <w:rFonts w:ascii="Times New Roman" w:hAnsi="Times New Roman" w:cs="Times New Roman"/>
                <w:color w:val="000000" w:themeColor="text1"/>
                <w:sz w:val="20"/>
                <w:szCs w:val="20"/>
              </w:rPr>
              <w:t>to</w:t>
            </w:r>
            <w:r w:rsidRPr="00D44D25">
              <w:rPr>
                <w:rFonts w:ascii="Times New Roman" w:hAnsi="Times New Roman" w:cs="Times New Roman"/>
                <w:color w:val="000000" w:themeColor="text1"/>
                <w:sz w:val="20"/>
                <w:szCs w:val="20"/>
              </w:rPr>
              <w:t xml:space="preserve"> nullify the observed association.</w:t>
            </w:r>
          </w:p>
        </w:tc>
        <w:tc>
          <w:tcPr>
            <w:tcW w:w="4341" w:type="dxa"/>
          </w:tcPr>
          <w:p w14:paraId="2C4752BC" w14:textId="5DBAC476" w:rsidR="00F33612" w:rsidRPr="00D44D25" w:rsidRDefault="004D115D" w:rsidP="00875C8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Since there might be some time-varying unmeasured confounding factors which might potentially cause bias to the results, an E-value can quantify the minimum strength of association that an unmeasured confounder could have to affect the observed results.</w:t>
            </w:r>
          </w:p>
        </w:tc>
      </w:tr>
    </w:tbl>
    <w:p w14:paraId="30177EBC" w14:textId="77777777" w:rsidR="00F33612" w:rsidRPr="00D44D25" w:rsidRDefault="00F33612" w:rsidP="00875C8E">
      <w:pPr>
        <w:spacing w:line="240" w:lineRule="auto"/>
        <w:rPr>
          <w:rFonts w:ascii="Times New Roman" w:hAnsi="Times New Roman" w:cs="Times New Roman"/>
          <w:color w:val="000000" w:themeColor="text1"/>
          <w:sz w:val="20"/>
          <w:szCs w:val="20"/>
          <w:lang w:val="en-US"/>
        </w:rPr>
      </w:pPr>
    </w:p>
    <w:p w14:paraId="5DD3198F" w14:textId="4267863B" w:rsidR="00D649E7" w:rsidRPr="00785C00" w:rsidRDefault="00495E4F" w:rsidP="00495E4F">
      <w:pPr>
        <w:spacing w:line="240" w:lineRule="auto"/>
        <w:rPr>
          <w:rFonts w:ascii="Times New Roman" w:hAnsi="Times New Roman" w:cs="Times New Roman"/>
          <w:b/>
          <w:color w:val="000000" w:themeColor="text1"/>
          <w:sz w:val="20"/>
          <w:szCs w:val="20"/>
          <w:lang w:val="en-US"/>
        </w:rPr>
      </w:pPr>
      <w:r w:rsidRPr="00785C00">
        <w:rPr>
          <w:rFonts w:ascii="Times New Roman" w:hAnsi="Times New Roman" w:cs="Times New Roman"/>
          <w:b/>
          <w:color w:val="000000" w:themeColor="text1"/>
          <w:sz w:val="20"/>
          <w:szCs w:val="20"/>
          <w:lang w:val="en-US"/>
        </w:rPr>
        <w:t>Reference</w:t>
      </w:r>
      <w:r w:rsidR="00165EE3" w:rsidRPr="00785C00">
        <w:rPr>
          <w:rFonts w:ascii="Times New Roman" w:hAnsi="Times New Roman" w:cs="Times New Roman"/>
          <w:b/>
          <w:color w:val="000000" w:themeColor="text1"/>
          <w:sz w:val="20"/>
          <w:szCs w:val="20"/>
          <w:lang w:val="en-US"/>
        </w:rPr>
        <w:t>s</w:t>
      </w:r>
    </w:p>
    <w:p w14:paraId="6603614F" w14:textId="15747A16" w:rsidR="00335A33" w:rsidRPr="00335A33" w:rsidRDefault="00C85882" w:rsidP="00335A33">
      <w:pPr>
        <w:pStyle w:val="EndNoteBibliography"/>
        <w:spacing w:after="0"/>
        <w:ind w:left="720" w:hanging="720"/>
      </w:pPr>
      <w:r w:rsidRPr="001D5F33">
        <w:rPr>
          <w:rFonts w:ascii="Times New Roman" w:hAnsi="Times New Roman" w:cs="Times New Roman"/>
          <w:sz w:val="20"/>
          <w:szCs w:val="20"/>
          <w:lang w:val="en-US"/>
        </w:rPr>
        <w:fldChar w:fldCharType="begin"/>
      </w:r>
      <w:r w:rsidRPr="001D5F33">
        <w:rPr>
          <w:rFonts w:ascii="Times New Roman" w:hAnsi="Times New Roman" w:cs="Times New Roman"/>
          <w:sz w:val="20"/>
          <w:szCs w:val="20"/>
          <w:lang w:val="en-US"/>
        </w:rPr>
        <w:instrText xml:space="preserve"> ADDIN EN.REFLIST </w:instrText>
      </w:r>
      <w:r w:rsidRPr="001D5F33">
        <w:rPr>
          <w:rFonts w:ascii="Times New Roman" w:hAnsi="Times New Roman" w:cs="Times New Roman"/>
          <w:sz w:val="20"/>
          <w:szCs w:val="20"/>
          <w:lang w:val="en-US"/>
        </w:rPr>
        <w:fldChar w:fldCharType="separate"/>
      </w:r>
    </w:p>
    <w:p w14:paraId="4DAE5B2E" w14:textId="77777777" w:rsidR="00335A33" w:rsidRPr="00335A33" w:rsidRDefault="00335A33" w:rsidP="00335A33">
      <w:pPr>
        <w:pStyle w:val="EndNoteBibliography"/>
        <w:spacing w:after="0"/>
        <w:ind w:left="720" w:hanging="720"/>
      </w:pPr>
      <w:r w:rsidRPr="00335A33">
        <w:t xml:space="preserve">Ravera, S., van Rein, N., de Gier, J. J., &amp; de Jong-van den Berg, L. T. (2011). Road traffic accidents and psychotropic medication use in The Netherlands: a case-control study. </w:t>
      </w:r>
      <w:r w:rsidRPr="00335A33">
        <w:rPr>
          <w:i/>
        </w:rPr>
        <w:t>British Journal of Clinical Pharmacology, 72</w:t>
      </w:r>
      <w:r w:rsidRPr="00335A33">
        <w:t>(3), 505-513. doi:10.1111/j.1365-2125.2011.03994.x</w:t>
      </w:r>
    </w:p>
    <w:p w14:paraId="3B60E337" w14:textId="77777777" w:rsidR="00335A33" w:rsidRPr="00335A33" w:rsidRDefault="00335A33" w:rsidP="00335A33">
      <w:pPr>
        <w:pStyle w:val="EndNoteBibliography"/>
        <w:ind w:left="720" w:hanging="720"/>
      </w:pPr>
      <w:r w:rsidRPr="00335A33">
        <w:t xml:space="preserve">Sellgren, C., Landén, M., Lichtenstein, P., Hultman, C. M., &amp; Långström, N. (2011). Validity of bipolar disorder hospital discharge diagnoses: file review and multiple register linkage in Sweden. </w:t>
      </w:r>
      <w:r w:rsidRPr="00335A33">
        <w:rPr>
          <w:i/>
        </w:rPr>
        <w:t>Acta Psychiatrica Scandinavica, 124</w:t>
      </w:r>
      <w:r w:rsidRPr="00335A33">
        <w:t>(6), 447-453. doi:10.1111/j.1600-0447.2011.01747.x</w:t>
      </w:r>
    </w:p>
    <w:p w14:paraId="3D4249A3" w14:textId="79FB5E63" w:rsidR="007F61AD" w:rsidRDefault="00C85882" w:rsidP="00C85882">
      <w:pPr>
        <w:rPr>
          <w:rFonts w:ascii="Times New Roman" w:hAnsi="Times New Roman" w:cs="Times New Roman"/>
          <w:b/>
          <w:bCs/>
          <w:sz w:val="20"/>
          <w:szCs w:val="20"/>
          <w:lang w:val="en-US"/>
        </w:rPr>
      </w:pPr>
      <w:r w:rsidRPr="001D5F33">
        <w:rPr>
          <w:rFonts w:ascii="Times New Roman" w:hAnsi="Times New Roman" w:cs="Times New Roman"/>
          <w:sz w:val="20"/>
          <w:szCs w:val="20"/>
          <w:lang w:val="en-US"/>
        </w:rPr>
        <w:fldChar w:fldCharType="end"/>
      </w:r>
    </w:p>
    <w:p w14:paraId="011C7ADD" w14:textId="77777777" w:rsidR="007F61AD" w:rsidRDefault="007F61AD">
      <w:pPr>
        <w:rPr>
          <w:rFonts w:ascii="Times New Roman" w:hAnsi="Times New Roman" w:cs="Times New Roman"/>
          <w:b/>
          <w:bCs/>
          <w:sz w:val="20"/>
          <w:szCs w:val="20"/>
          <w:lang w:val="en-US"/>
        </w:rPr>
      </w:pPr>
      <w:r>
        <w:rPr>
          <w:rFonts w:ascii="Times New Roman" w:hAnsi="Times New Roman" w:cs="Times New Roman"/>
          <w:b/>
          <w:bCs/>
          <w:sz w:val="20"/>
          <w:szCs w:val="20"/>
          <w:lang w:val="en-US"/>
        </w:rPr>
        <w:br w:type="page"/>
      </w:r>
    </w:p>
    <w:p w14:paraId="65E0F98A" w14:textId="77777777" w:rsidR="007F61AD" w:rsidRPr="00F722D4" w:rsidRDefault="007F61AD" w:rsidP="007F61AD">
      <w:pPr>
        <w:rPr>
          <w:rFonts w:ascii="Times New Roman" w:hAnsi="Times New Roman" w:cs="Times New Roman"/>
          <w:b/>
          <w:bCs/>
          <w:sz w:val="20"/>
          <w:szCs w:val="20"/>
          <w:lang w:val="en-US"/>
        </w:rPr>
      </w:pPr>
      <w:bookmarkStart w:id="1" w:name="_Hlk105013111"/>
      <w:r w:rsidRPr="00F722D4">
        <w:rPr>
          <w:rFonts w:ascii="Times New Roman" w:hAnsi="Times New Roman" w:cs="Times New Roman"/>
          <w:b/>
          <w:bCs/>
          <w:sz w:val="20"/>
          <w:szCs w:val="20"/>
          <w:lang w:val="en-US"/>
        </w:rPr>
        <w:lastRenderedPageBreak/>
        <w:t xml:space="preserve">Supplementary Table </w:t>
      </w:r>
      <w:r>
        <w:rPr>
          <w:rFonts w:ascii="Times New Roman" w:hAnsi="Times New Roman" w:cs="Times New Roman"/>
          <w:b/>
          <w:bCs/>
          <w:sz w:val="20"/>
          <w:szCs w:val="20"/>
          <w:lang w:val="en-US"/>
        </w:rPr>
        <w:t>4</w:t>
      </w:r>
      <w:r w:rsidRPr="00F722D4">
        <w:rPr>
          <w:rFonts w:ascii="Times New Roman" w:hAnsi="Times New Roman" w:cs="Times New Roman"/>
          <w:b/>
          <w:bCs/>
          <w:sz w:val="20"/>
          <w:szCs w:val="20"/>
          <w:lang w:val="en-US"/>
        </w:rPr>
        <w:t>. Results of subgroup analysis</w:t>
      </w:r>
    </w:p>
    <w:tbl>
      <w:tblPr>
        <w:tblStyle w:val="TableGrid"/>
        <w:tblW w:w="0" w:type="auto"/>
        <w:tblLook w:val="04A0" w:firstRow="1" w:lastRow="0" w:firstColumn="1" w:lastColumn="0" w:noHBand="0" w:noVBand="1"/>
      </w:tblPr>
      <w:tblGrid>
        <w:gridCol w:w="1622"/>
        <w:gridCol w:w="1455"/>
        <w:gridCol w:w="1335"/>
        <w:gridCol w:w="1650"/>
        <w:gridCol w:w="1909"/>
        <w:gridCol w:w="1045"/>
      </w:tblGrid>
      <w:tr w:rsidR="007F61AD" w:rsidRPr="00F722D4" w14:paraId="36663C0C" w14:textId="77777777" w:rsidTr="00CF2857">
        <w:trPr>
          <w:trHeight w:val="710"/>
        </w:trPr>
        <w:tc>
          <w:tcPr>
            <w:tcW w:w="1622" w:type="dxa"/>
          </w:tcPr>
          <w:bookmarkEnd w:id="1"/>
          <w:p w14:paraId="02D1FD93" w14:textId="77777777" w:rsidR="007F61AD" w:rsidRPr="00F722D4" w:rsidRDefault="007F61AD" w:rsidP="00CF2857">
            <w:pPr>
              <w:jc w:val="center"/>
              <w:rPr>
                <w:rFonts w:ascii="Times New Roman" w:hAnsi="Times New Roman" w:cs="Times New Roman"/>
                <w:b/>
                <w:color w:val="000000" w:themeColor="text1"/>
                <w:sz w:val="20"/>
                <w:szCs w:val="20"/>
              </w:rPr>
            </w:pPr>
            <w:r w:rsidRPr="00F722D4">
              <w:rPr>
                <w:rFonts w:ascii="Times New Roman" w:hAnsi="Times New Roman" w:cs="Times New Roman"/>
                <w:b/>
                <w:color w:val="000000" w:themeColor="text1"/>
                <w:sz w:val="20"/>
                <w:szCs w:val="20"/>
              </w:rPr>
              <w:t>Risk periods</w:t>
            </w:r>
          </w:p>
        </w:tc>
        <w:tc>
          <w:tcPr>
            <w:tcW w:w="1455" w:type="dxa"/>
          </w:tcPr>
          <w:p w14:paraId="4CF9AD18" w14:textId="77777777" w:rsidR="007F61AD" w:rsidRPr="00F722D4" w:rsidRDefault="007F61AD" w:rsidP="00CF2857">
            <w:pPr>
              <w:jc w:val="center"/>
              <w:rPr>
                <w:rFonts w:ascii="Times New Roman" w:hAnsi="Times New Roman" w:cs="Times New Roman"/>
                <w:b/>
                <w:color w:val="000000" w:themeColor="text1"/>
                <w:sz w:val="20"/>
                <w:szCs w:val="20"/>
              </w:rPr>
            </w:pPr>
            <w:r w:rsidRPr="00F722D4">
              <w:rPr>
                <w:rFonts w:ascii="Times New Roman" w:hAnsi="Times New Roman" w:cs="Times New Roman"/>
                <w:b/>
                <w:color w:val="000000" w:themeColor="text1"/>
                <w:sz w:val="20"/>
                <w:szCs w:val="20"/>
              </w:rPr>
              <w:t>No. of events</w:t>
            </w:r>
          </w:p>
        </w:tc>
        <w:tc>
          <w:tcPr>
            <w:tcW w:w="1335" w:type="dxa"/>
          </w:tcPr>
          <w:p w14:paraId="21725082" w14:textId="77777777" w:rsidR="007F61AD" w:rsidRPr="00F722D4" w:rsidRDefault="007F61AD" w:rsidP="00CF2857">
            <w:pPr>
              <w:jc w:val="center"/>
              <w:rPr>
                <w:rFonts w:ascii="Times New Roman" w:hAnsi="Times New Roman" w:cs="Times New Roman"/>
                <w:b/>
                <w:color w:val="000000" w:themeColor="text1"/>
                <w:sz w:val="20"/>
                <w:szCs w:val="20"/>
              </w:rPr>
            </w:pPr>
            <w:r w:rsidRPr="00F722D4">
              <w:rPr>
                <w:rFonts w:ascii="Times New Roman" w:hAnsi="Times New Roman" w:cs="Times New Roman"/>
                <w:b/>
                <w:color w:val="000000" w:themeColor="text1"/>
                <w:sz w:val="20"/>
                <w:szCs w:val="20"/>
              </w:rPr>
              <w:t>Patient years</w:t>
            </w:r>
          </w:p>
        </w:tc>
        <w:tc>
          <w:tcPr>
            <w:tcW w:w="1650" w:type="dxa"/>
          </w:tcPr>
          <w:p w14:paraId="39874D17" w14:textId="77777777" w:rsidR="007F61AD" w:rsidRPr="00F722D4" w:rsidRDefault="007F61AD" w:rsidP="00CF2857">
            <w:pPr>
              <w:jc w:val="center"/>
              <w:rPr>
                <w:rFonts w:ascii="Times New Roman" w:hAnsi="Times New Roman" w:cs="Times New Roman"/>
                <w:b/>
                <w:color w:val="000000" w:themeColor="text1"/>
                <w:sz w:val="20"/>
                <w:szCs w:val="20"/>
              </w:rPr>
            </w:pPr>
            <w:r w:rsidRPr="00F722D4">
              <w:rPr>
                <w:rFonts w:ascii="Times New Roman" w:hAnsi="Times New Roman" w:cs="Times New Roman"/>
                <w:b/>
                <w:color w:val="000000" w:themeColor="text1"/>
                <w:sz w:val="20"/>
                <w:szCs w:val="20"/>
              </w:rPr>
              <w:t>Crude incidence (per 100 patient-years)</w:t>
            </w:r>
          </w:p>
        </w:tc>
        <w:tc>
          <w:tcPr>
            <w:tcW w:w="1909" w:type="dxa"/>
          </w:tcPr>
          <w:p w14:paraId="16A5383C" w14:textId="77777777" w:rsidR="007F61AD" w:rsidRPr="00F722D4" w:rsidRDefault="007F61AD" w:rsidP="00CF2857">
            <w:pPr>
              <w:jc w:val="center"/>
              <w:rPr>
                <w:rFonts w:ascii="Times New Roman" w:hAnsi="Times New Roman" w:cs="Times New Roman"/>
                <w:b/>
                <w:color w:val="000000" w:themeColor="text1"/>
                <w:sz w:val="20"/>
                <w:szCs w:val="20"/>
              </w:rPr>
            </w:pPr>
            <w:r w:rsidRPr="00F722D4">
              <w:rPr>
                <w:rFonts w:ascii="Times New Roman" w:hAnsi="Times New Roman" w:cs="Times New Roman"/>
                <w:b/>
                <w:color w:val="000000" w:themeColor="text1"/>
                <w:sz w:val="20"/>
                <w:szCs w:val="20"/>
              </w:rPr>
              <w:t>Adjusted IRR</w:t>
            </w:r>
            <w:r w:rsidRPr="00F722D4">
              <w:rPr>
                <w:rFonts w:ascii="Times New Roman" w:hAnsi="Times New Roman" w:cs="Times New Roman"/>
                <w:b/>
                <w:color w:val="000000" w:themeColor="text1"/>
                <w:sz w:val="20"/>
                <w:szCs w:val="20"/>
                <w:vertAlign w:val="superscript"/>
              </w:rPr>
              <w:t>a</w:t>
            </w:r>
            <w:r w:rsidRPr="00F722D4">
              <w:rPr>
                <w:rFonts w:ascii="Times New Roman" w:hAnsi="Times New Roman" w:cs="Times New Roman"/>
                <w:b/>
                <w:color w:val="000000" w:themeColor="text1"/>
                <w:sz w:val="20"/>
                <w:szCs w:val="20"/>
              </w:rPr>
              <w:t xml:space="preserve"> (95% CI)</w:t>
            </w:r>
          </w:p>
        </w:tc>
        <w:tc>
          <w:tcPr>
            <w:tcW w:w="1045" w:type="dxa"/>
          </w:tcPr>
          <w:p w14:paraId="5B6B1735" w14:textId="77777777" w:rsidR="007F61AD" w:rsidRPr="00F722D4" w:rsidRDefault="007F61AD" w:rsidP="00CF2857">
            <w:pPr>
              <w:jc w:val="center"/>
              <w:rPr>
                <w:rFonts w:ascii="Times New Roman" w:hAnsi="Times New Roman" w:cs="Times New Roman"/>
                <w:b/>
                <w:color w:val="000000" w:themeColor="text1"/>
                <w:sz w:val="20"/>
                <w:szCs w:val="20"/>
              </w:rPr>
            </w:pPr>
            <w:r w:rsidRPr="00F722D4">
              <w:rPr>
                <w:rFonts w:ascii="Times New Roman" w:hAnsi="Times New Roman" w:cs="Times New Roman"/>
                <w:b/>
                <w:color w:val="000000" w:themeColor="text1"/>
                <w:sz w:val="20"/>
                <w:szCs w:val="20"/>
              </w:rPr>
              <w:t>P-value</w:t>
            </w:r>
          </w:p>
        </w:tc>
      </w:tr>
      <w:tr w:rsidR="007F61AD" w:rsidRPr="00F722D4" w14:paraId="10A75FAF" w14:textId="77777777" w:rsidTr="00CF2857">
        <w:tc>
          <w:tcPr>
            <w:tcW w:w="9016" w:type="dxa"/>
            <w:gridSpan w:val="6"/>
          </w:tcPr>
          <w:p w14:paraId="0B1A7280" w14:textId="77777777" w:rsidR="007F61AD" w:rsidRPr="00F722D4" w:rsidRDefault="007F61AD" w:rsidP="00CF2857">
            <w:pPr>
              <w:rPr>
                <w:rFonts w:ascii="Times New Roman" w:hAnsi="Times New Roman" w:cs="Times New Roman"/>
                <w:b/>
                <w:color w:val="000000" w:themeColor="text1"/>
                <w:sz w:val="20"/>
                <w:szCs w:val="20"/>
              </w:rPr>
            </w:pPr>
            <w:r w:rsidRPr="00F722D4">
              <w:rPr>
                <w:rFonts w:ascii="Times New Roman" w:hAnsi="Times New Roman" w:cs="Times New Roman"/>
                <w:b/>
                <w:color w:val="000000" w:themeColor="text1"/>
                <w:sz w:val="20"/>
                <w:szCs w:val="20"/>
              </w:rPr>
              <w:t xml:space="preserve">Lithium </w:t>
            </w:r>
          </w:p>
        </w:tc>
      </w:tr>
      <w:tr w:rsidR="007F61AD" w:rsidRPr="00F722D4" w14:paraId="54773A98" w14:textId="77777777" w:rsidTr="00CF2857">
        <w:tc>
          <w:tcPr>
            <w:tcW w:w="1622" w:type="dxa"/>
          </w:tcPr>
          <w:p w14:paraId="000E857C"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Baseline</w:t>
            </w:r>
            <w:r w:rsidRPr="00F722D4">
              <w:rPr>
                <w:rFonts w:ascii="Times New Roman" w:hAnsi="Times New Roman" w:cs="Times New Roman"/>
                <w:color w:val="000000" w:themeColor="text1"/>
                <w:sz w:val="20"/>
                <w:szCs w:val="20"/>
                <w:vertAlign w:val="superscript"/>
              </w:rPr>
              <w:t>b</w:t>
            </w:r>
          </w:p>
        </w:tc>
        <w:tc>
          <w:tcPr>
            <w:tcW w:w="1455" w:type="dxa"/>
          </w:tcPr>
          <w:p w14:paraId="48238F68"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4461</w:t>
            </w:r>
          </w:p>
        </w:tc>
        <w:tc>
          <w:tcPr>
            <w:tcW w:w="1335" w:type="dxa"/>
          </w:tcPr>
          <w:p w14:paraId="17416CD1"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71455.31</w:t>
            </w:r>
          </w:p>
        </w:tc>
        <w:tc>
          <w:tcPr>
            <w:tcW w:w="1650" w:type="dxa"/>
          </w:tcPr>
          <w:p w14:paraId="43F83B7B"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6.24</w:t>
            </w:r>
          </w:p>
        </w:tc>
        <w:tc>
          <w:tcPr>
            <w:tcW w:w="1909" w:type="dxa"/>
          </w:tcPr>
          <w:p w14:paraId="250EC84F"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1.00</w:t>
            </w:r>
          </w:p>
        </w:tc>
        <w:tc>
          <w:tcPr>
            <w:tcW w:w="1045" w:type="dxa"/>
          </w:tcPr>
          <w:p w14:paraId="43274462"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w:t>
            </w:r>
          </w:p>
        </w:tc>
      </w:tr>
      <w:tr w:rsidR="007F61AD" w:rsidRPr="00F722D4" w14:paraId="477B42F7" w14:textId="77777777" w:rsidTr="00CF2857">
        <w:tc>
          <w:tcPr>
            <w:tcW w:w="1622" w:type="dxa"/>
          </w:tcPr>
          <w:p w14:paraId="7D0FAEA2"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Pre-exposure period</w:t>
            </w:r>
          </w:p>
        </w:tc>
        <w:tc>
          <w:tcPr>
            <w:tcW w:w="1455" w:type="dxa"/>
          </w:tcPr>
          <w:p w14:paraId="5DAB7FC0"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31</w:t>
            </w:r>
          </w:p>
        </w:tc>
        <w:tc>
          <w:tcPr>
            <w:tcW w:w="1335" w:type="dxa"/>
          </w:tcPr>
          <w:p w14:paraId="1750CF2E"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127.24</w:t>
            </w:r>
          </w:p>
        </w:tc>
        <w:tc>
          <w:tcPr>
            <w:tcW w:w="1650" w:type="dxa"/>
          </w:tcPr>
          <w:p w14:paraId="1228D6CE"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24.36</w:t>
            </w:r>
          </w:p>
        </w:tc>
        <w:tc>
          <w:tcPr>
            <w:tcW w:w="1909" w:type="dxa"/>
          </w:tcPr>
          <w:p w14:paraId="43C54E10"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1.27 (0.87-1.87)</w:t>
            </w:r>
          </w:p>
        </w:tc>
        <w:tc>
          <w:tcPr>
            <w:tcW w:w="1045" w:type="dxa"/>
          </w:tcPr>
          <w:p w14:paraId="0350A29E"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0.2166</w:t>
            </w:r>
          </w:p>
        </w:tc>
      </w:tr>
      <w:tr w:rsidR="007F61AD" w:rsidRPr="00F722D4" w14:paraId="680325AF" w14:textId="77777777" w:rsidTr="00CF2857">
        <w:tc>
          <w:tcPr>
            <w:tcW w:w="1622" w:type="dxa"/>
          </w:tcPr>
          <w:p w14:paraId="5EC4E715"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Acute treatment </w:t>
            </w:r>
          </w:p>
        </w:tc>
        <w:tc>
          <w:tcPr>
            <w:tcW w:w="1455" w:type="dxa"/>
          </w:tcPr>
          <w:p w14:paraId="42E1E9F2"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41</w:t>
            </w:r>
          </w:p>
        </w:tc>
        <w:tc>
          <w:tcPr>
            <w:tcW w:w="1335" w:type="dxa"/>
          </w:tcPr>
          <w:p w14:paraId="6FD8B02B"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633.68</w:t>
            </w:r>
          </w:p>
        </w:tc>
        <w:tc>
          <w:tcPr>
            <w:tcW w:w="1650" w:type="dxa"/>
          </w:tcPr>
          <w:p w14:paraId="66EB57DB"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6.47</w:t>
            </w:r>
          </w:p>
        </w:tc>
        <w:tc>
          <w:tcPr>
            <w:tcW w:w="1909" w:type="dxa"/>
          </w:tcPr>
          <w:p w14:paraId="6D965EAC"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0.67 (0.48-0.94)</w:t>
            </w:r>
          </w:p>
        </w:tc>
        <w:tc>
          <w:tcPr>
            <w:tcW w:w="1045" w:type="dxa"/>
          </w:tcPr>
          <w:p w14:paraId="3CBADED3"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0.0208</w:t>
            </w:r>
          </w:p>
        </w:tc>
      </w:tr>
      <w:tr w:rsidR="007F61AD" w:rsidRPr="00F722D4" w14:paraId="6B7B685B" w14:textId="77777777" w:rsidTr="00CF2857">
        <w:tc>
          <w:tcPr>
            <w:tcW w:w="1622" w:type="dxa"/>
          </w:tcPr>
          <w:p w14:paraId="5BC98D07"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Maintenance treatment</w:t>
            </w:r>
          </w:p>
        </w:tc>
        <w:tc>
          <w:tcPr>
            <w:tcW w:w="1455" w:type="dxa"/>
          </w:tcPr>
          <w:p w14:paraId="5E34394E"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480</w:t>
            </w:r>
          </w:p>
        </w:tc>
        <w:tc>
          <w:tcPr>
            <w:tcW w:w="1335" w:type="dxa"/>
          </w:tcPr>
          <w:p w14:paraId="14875788"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9734.97</w:t>
            </w:r>
          </w:p>
        </w:tc>
        <w:tc>
          <w:tcPr>
            <w:tcW w:w="1650" w:type="dxa"/>
          </w:tcPr>
          <w:p w14:paraId="2735A8FE"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4.93</w:t>
            </w:r>
          </w:p>
        </w:tc>
        <w:tc>
          <w:tcPr>
            <w:tcW w:w="1909" w:type="dxa"/>
          </w:tcPr>
          <w:p w14:paraId="50A0CEAC"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0.81 (0.70-0.94)</w:t>
            </w:r>
          </w:p>
        </w:tc>
        <w:tc>
          <w:tcPr>
            <w:tcW w:w="1045" w:type="dxa"/>
          </w:tcPr>
          <w:p w14:paraId="44257161"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0.0046</w:t>
            </w:r>
          </w:p>
        </w:tc>
      </w:tr>
      <w:tr w:rsidR="007F61AD" w:rsidRPr="00F722D4" w14:paraId="026E5A59" w14:textId="77777777" w:rsidTr="00CF2857">
        <w:tc>
          <w:tcPr>
            <w:tcW w:w="1622" w:type="dxa"/>
          </w:tcPr>
          <w:p w14:paraId="785F6E41"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Post-exposure period </w:t>
            </w:r>
          </w:p>
        </w:tc>
        <w:tc>
          <w:tcPr>
            <w:tcW w:w="1455" w:type="dxa"/>
          </w:tcPr>
          <w:p w14:paraId="0015B5EB"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27</w:t>
            </w:r>
          </w:p>
        </w:tc>
        <w:tc>
          <w:tcPr>
            <w:tcW w:w="1335" w:type="dxa"/>
          </w:tcPr>
          <w:p w14:paraId="5BF0A70D"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303.39</w:t>
            </w:r>
          </w:p>
        </w:tc>
        <w:tc>
          <w:tcPr>
            <w:tcW w:w="1650" w:type="dxa"/>
          </w:tcPr>
          <w:p w14:paraId="3A457DC8"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8.90</w:t>
            </w:r>
          </w:p>
        </w:tc>
        <w:tc>
          <w:tcPr>
            <w:tcW w:w="1909" w:type="dxa"/>
          </w:tcPr>
          <w:p w14:paraId="16F743E4"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1.20 (0.80-1.78)</w:t>
            </w:r>
          </w:p>
        </w:tc>
        <w:tc>
          <w:tcPr>
            <w:tcW w:w="1045" w:type="dxa"/>
          </w:tcPr>
          <w:p w14:paraId="26F43A53"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0.3811</w:t>
            </w:r>
          </w:p>
        </w:tc>
      </w:tr>
      <w:tr w:rsidR="007F61AD" w:rsidRPr="00F722D4" w14:paraId="56DA33B6" w14:textId="77777777" w:rsidTr="00CF2857">
        <w:tc>
          <w:tcPr>
            <w:tcW w:w="9016" w:type="dxa"/>
            <w:gridSpan w:val="6"/>
          </w:tcPr>
          <w:p w14:paraId="5E8CB3CA" w14:textId="77777777" w:rsidR="007F61AD" w:rsidRPr="00F722D4" w:rsidRDefault="007F61AD" w:rsidP="00CF2857">
            <w:pPr>
              <w:rPr>
                <w:rFonts w:ascii="Times New Roman" w:hAnsi="Times New Roman" w:cs="Times New Roman"/>
                <w:b/>
                <w:color w:val="000000" w:themeColor="text1"/>
                <w:sz w:val="20"/>
                <w:szCs w:val="20"/>
              </w:rPr>
            </w:pPr>
            <w:r w:rsidRPr="00F722D4">
              <w:rPr>
                <w:rFonts w:ascii="Times New Roman" w:hAnsi="Times New Roman" w:cs="Times New Roman"/>
                <w:b/>
                <w:color w:val="000000" w:themeColor="text1"/>
                <w:sz w:val="20"/>
                <w:szCs w:val="20"/>
              </w:rPr>
              <w:t xml:space="preserve">Antipsychotics </w:t>
            </w:r>
          </w:p>
        </w:tc>
      </w:tr>
      <w:tr w:rsidR="007F61AD" w:rsidRPr="00F722D4" w14:paraId="6A08ECA8" w14:textId="77777777" w:rsidTr="00CF2857">
        <w:tc>
          <w:tcPr>
            <w:tcW w:w="1622" w:type="dxa"/>
          </w:tcPr>
          <w:p w14:paraId="0BFEAA1B"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Baseline</w:t>
            </w:r>
            <w:r w:rsidRPr="00F722D4">
              <w:rPr>
                <w:rFonts w:ascii="Times New Roman" w:hAnsi="Times New Roman" w:cs="Times New Roman"/>
                <w:color w:val="000000" w:themeColor="text1"/>
                <w:sz w:val="20"/>
                <w:szCs w:val="20"/>
                <w:vertAlign w:val="superscript"/>
              </w:rPr>
              <w:t>b</w:t>
            </w:r>
          </w:p>
        </w:tc>
        <w:tc>
          <w:tcPr>
            <w:tcW w:w="1455" w:type="dxa"/>
          </w:tcPr>
          <w:p w14:paraId="43D0913F"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2929</w:t>
            </w:r>
          </w:p>
        </w:tc>
        <w:tc>
          <w:tcPr>
            <w:tcW w:w="1335" w:type="dxa"/>
          </w:tcPr>
          <w:p w14:paraId="3360E3A5"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45466.13</w:t>
            </w:r>
          </w:p>
        </w:tc>
        <w:tc>
          <w:tcPr>
            <w:tcW w:w="1650" w:type="dxa"/>
          </w:tcPr>
          <w:p w14:paraId="270A0EE7"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6.37</w:t>
            </w:r>
          </w:p>
        </w:tc>
        <w:tc>
          <w:tcPr>
            <w:tcW w:w="1909" w:type="dxa"/>
          </w:tcPr>
          <w:p w14:paraId="47EA8537"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1.00</w:t>
            </w:r>
          </w:p>
        </w:tc>
        <w:tc>
          <w:tcPr>
            <w:tcW w:w="1045" w:type="dxa"/>
          </w:tcPr>
          <w:p w14:paraId="0B056BE5"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w:t>
            </w:r>
          </w:p>
        </w:tc>
      </w:tr>
      <w:tr w:rsidR="007F61AD" w:rsidRPr="00F722D4" w14:paraId="39668593" w14:textId="77777777" w:rsidTr="00CF2857">
        <w:tc>
          <w:tcPr>
            <w:tcW w:w="1622" w:type="dxa"/>
          </w:tcPr>
          <w:p w14:paraId="736BD945"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Pre-exposure period </w:t>
            </w:r>
          </w:p>
        </w:tc>
        <w:tc>
          <w:tcPr>
            <w:tcW w:w="1455" w:type="dxa"/>
          </w:tcPr>
          <w:p w14:paraId="0B7B3005"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130</w:t>
            </w:r>
          </w:p>
        </w:tc>
        <w:tc>
          <w:tcPr>
            <w:tcW w:w="1335" w:type="dxa"/>
          </w:tcPr>
          <w:p w14:paraId="0FEDDE5A"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354.54</w:t>
            </w:r>
          </w:p>
        </w:tc>
        <w:tc>
          <w:tcPr>
            <w:tcW w:w="1650" w:type="dxa"/>
          </w:tcPr>
          <w:p w14:paraId="3377CE74"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36.67</w:t>
            </w:r>
          </w:p>
        </w:tc>
        <w:tc>
          <w:tcPr>
            <w:tcW w:w="1909" w:type="dxa"/>
          </w:tcPr>
          <w:p w14:paraId="163814FB"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3.74 (3.04-4.58)</w:t>
            </w:r>
          </w:p>
        </w:tc>
        <w:tc>
          <w:tcPr>
            <w:tcW w:w="1045" w:type="dxa"/>
          </w:tcPr>
          <w:p w14:paraId="008996B0"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&lt;.0001</w:t>
            </w:r>
          </w:p>
        </w:tc>
      </w:tr>
      <w:tr w:rsidR="007F61AD" w:rsidRPr="00F722D4" w14:paraId="56AB13EF" w14:textId="77777777" w:rsidTr="00CF2857">
        <w:tc>
          <w:tcPr>
            <w:tcW w:w="1622" w:type="dxa"/>
          </w:tcPr>
          <w:p w14:paraId="2D1F359E"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Acute treatment</w:t>
            </w:r>
          </w:p>
        </w:tc>
        <w:tc>
          <w:tcPr>
            <w:tcW w:w="1455" w:type="dxa"/>
          </w:tcPr>
          <w:p w14:paraId="2158ABD8"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213</w:t>
            </w:r>
          </w:p>
        </w:tc>
        <w:tc>
          <w:tcPr>
            <w:tcW w:w="1335" w:type="dxa"/>
          </w:tcPr>
          <w:p w14:paraId="61C52ED8"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2264.49</w:t>
            </w:r>
          </w:p>
        </w:tc>
        <w:tc>
          <w:tcPr>
            <w:tcW w:w="1650" w:type="dxa"/>
          </w:tcPr>
          <w:p w14:paraId="64A30935"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9.41</w:t>
            </w:r>
          </w:p>
        </w:tc>
        <w:tc>
          <w:tcPr>
            <w:tcW w:w="1909" w:type="dxa"/>
          </w:tcPr>
          <w:p w14:paraId="5DA50FF1"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1.43 (1.20-1.70)</w:t>
            </w:r>
          </w:p>
        </w:tc>
        <w:tc>
          <w:tcPr>
            <w:tcW w:w="1045" w:type="dxa"/>
          </w:tcPr>
          <w:p w14:paraId="20617AA7"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&lt;.0001</w:t>
            </w:r>
          </w:p>
        </w:tc>
      </w:tr>
      <w:tr w:rsidR="007F61AD" w:rsidRPr="00F722D4" w14:paraId="43398EAF" w14:textId="77777777" w:rsidTr="00CF2857">
        <w:tc>
          <w:tcPr>
            <w:tcW w:w="1622" w:type="dxa"/>
          </w:tcPr>
          <w:p w14:paraId="7C28ABA9"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Maintenance treatment </w:t>
            </w:r>
          </w:p>
        </w:tc>
        <w:tc>
          <w:tcPr>
            <w:tcW w:w="1455" w:type="dxa"/>
          </w:tcPr>
          <w:p w14:paraId="3F4E6B8E"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1683</w:t>
            </w:r>
          </w:p>
        </w:tc>
        <w:tc>
          <w:tcPr>
            <w:tcW w:w="1335" w:type="dxa"/>
          </w:tcPr>
          <w:p w14:paraId="3E80F57C"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33006.27</w:t>
            </w:r>
          </w:p>
        </w:tc>
        <w:tc>
          <w:tcPr>
            <w:tcW w:w="1650" w:type="dxa"/>
          </w:tcPr>
          <w:p w14:paraId="74567A26"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5.10</w:t>
            </w:r>
          </w:p>
        </w:tc>
        <w:tc>
          <w:tcPr>
            <w:tcW w:w="1909" w:type="dxa"/>
          </w:tcPr>
          <w:p w14:paraId="3498F76C"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1.00 (0.90-1.10)</w:t>
            </w:r>
          </w:p>
        </w:tc>
        <w:tc>
          <w:tcPr>
            <w:tcW w:w="1045" w:type="dxa"/>
          </w:tcPr>
          <w:p w14:paraId="6B58A833"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0.9631</w:t>
            </w:r>
          </w:p>
        </w:tc>
      </w:tr>
      <w:tr w:rsidR="007F61AD" w:rsidRPr="00F722D4" w14:paraId="6061002B" w14:textId="77777777" w:rsidTr="00CF2857">
        <w:tc>
          <w:tcPr>
            <w:tcW w:w="1622" w:type="dxa"/>
          </w:tcPr>
          <w:p w14:paraId="1223A79E"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Post-exposure period </w:t>
            </w:r>
          </w:p>
        </w:tc>
        <w:tc>
          <w:tcPr>
            <w:tcW w:w="1455" w:type="dxa"/>
          </w:tcPr>
          <w:p w14:paraId="7CE21C48"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85</w:t>
            </w:r>
          </w:p>
        </w:tc>
        <w:tc>
          <w:tcPr>
            <w:tcW w:w="1335" w:type="dxa"/>
          </w:tcPr>
          <w:p w14:paraId="0963E5BA"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1163.15</w:t>
            </w:r>
          </w:p>
        </w:tc>
        <w:tc>
          <w:tcPr>
            <w:tcW w:w="1650" w:type="dxa"/>
          </w:tcPr>
          <w:p w14:paraId="5870D5E1"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7.31</w:t>
            </w:r>
          </w:p>
        </w:tc>
        <w:tc>
          <w:tcPr>
            <w:tcW w:w="1909" w:type="dxa"/>
          </w:tcPr>
          <w:p w14:paraId="7BC9F340"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1.16 (0.91-1.47)</w:t>
            </w:r>
          </w:p>
        </w:tc>
        <w:tc>
          <w:tcPr>
            <w:tcW w:w="1045" w:type="dxa"/>
          </w:tcPr>
          <w:p w14:paraId="0D85C847"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0.2359</w:t>
            </w:r>
          </w:p>
        </w:tc>
      </w:tr>
      <w:tr w:rsidR="007F61AD" w:rsidRPr="00F722D4" w14:paraId="173AE1BE" w14:textId="77777777" w:rsidTr="00CF2857">
        <w:tc>
          <w:tcPr>
            <w:tcW w:w="9016" w:type="dxa"/>
            <w:gridSpan w:val="6"/>
          </w:tcPr>
          <w:p w14:paraId="04504A31" w14:textId="77777777" w:rsidR="007F61AD" w:rsidRPr="00F722D4" w:rsidRDefault="007F61AD" w:rsidP="00CF2857">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Mood stabilizing a</w:t>
            </w:r>
            <w:r w:rsidRPr="00F722D4">
              <w:rPr>
                <w:rFonts w:ascii="Times New Roman" w:hAnsi="Times New Roman" w:cs="Times New Roman"/>
                <w:b/>
                <w:color w:val="000000" w:themeColor="text1"/>
                <w:sz w:val="20"/>
                <w:szCs w:val="20"/>
              </w:rPr>
              <w:t>ntiepileptics (i.e. valproate, carbamazepine and lamotrigine)</w:t>
            </w:r>
          </w:p>
        </w:tc>
      </w:tr>
      <w:tr w:rsidR="007F61AD" w:rsidRPr="00F722D4" w14:paraId="4C108712" w14:textId="77777777" w:rsidTr="00CF2857">
        <w:tc>
          <w:tcPr>
            <w:tcW w:w="1622" w:type="dxa"/>
          </w:tcPr>
          <w:p w14:paraId="48F2E261"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Baseline</w:t>
            </w:r>
            <w:r w:rsidRPr="00F722D4">
              <w:rPr>
                <w:rFonts w:ascii="Times New Roman" w:hAnsi="Times New Roman" w:cs="Times New Roman"/>
                <w:color w:val="000000" w:themeColor="text1"/>
                <w:sz w:val="20"/>
                <w:szCs w:val="20"/>
                <w:vertAlign w:val="superscript"/>
              </w:rPr>
              <w:t>b</w:t>
            </w:r>
            <w:r w:rsidRPr="00F722D4">
              <w:rPr>
                <w:rFonts w:ascii="Times New Roman" w:hAnsi="Times New Roman" w:cs="Times New Roman"/>
                <w:color w:val="000000" w:themeColor="text1"/>
                <w:sz w:val="20"/>
                <w:szCs w:val="20"/>
              </w:rPr>
              <w:t xml:space="preserve"> </w:t>
            </w:r>
          </w:p>
        </w:tc>
        <w:tc>
          <w:tcPr>
            <w:tcW w:w="1455" w:type="dxa"/>
          </w:tcPr>
          <w:p w14:paraId="28E39176"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3610</w:t>
            </w:r>
          </w:p>
        </w:tc>
        <w:tc>
          <w:tcPr>
            <w:tcW w:w="1335" w:type="dxa"/>
          </w:tcPr>
          <w:p w14:paraId="3D5016C3"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55258.02</w:t>
            </w:r>
          </w:p>
        </w:tc>
        <w:tc>
          <w:tcPr>
            <w:tcW w:w="1650" w:type="dxa"/>
          </w:tcPr>
          <w:p w14:paraId="448607D6"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6.53</w:t>
            </w:r>
          </w:p>
        </w:tc>
        <w:tc>
          <w:tcPr>
            <w:tcW w:w="1909" w:type="dxa"/>
          </w:tcPr>
          <w:p w14:paraId="64E78424"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1.00</w:t>
            </w:r>
          </w:p>
        </w:tc>
        <w:tc>
          <w:tcPr>
            <w:tcW w:w="1045" w:type="dxa"/>
          </w:tcPr>
          <w:p w14:paraId="20C54C65"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w:t>
            </w:r>
          </w:p>
        </w:tc>
      </w:tr>
      <w:tr w:rsidR="007F61AD" w:rsidRPr="00F722D4" w14:paraId="711D2559" w14:textId="77777777" w:rsidTr="00CF2857">
        <w:tc>
          <w:tcPr>
            <w:tcW w:w="1622" w:type="dxa"/>
          </w:tcPr>
          <w:p w14:paraId="311AA936"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Pre-exposure period </w:t>
            </w:r>
          </w:p>
        </w:tc>
        <w:tc>
          <w:tcPr>
            <w:tcW w:w="1455" w:type="dxa"/>
          </w:tcPr>
          <w:p w14:paraId="66DA5721"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71</w:t>
            </w:r>
          </w:p>
        </w:tc>
        <w:tc>
          <w:tcPr>
            <w:tcW w:w="1335" w:type="dxa"/>
          </w:tcPr>
          <w:p w14:paraId="614D7703"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286.95</w:t>
            </w:r>
          </w:p>
        </w:tc>
        <w:tc>
          <w:tcPr>
            <w:tcW w:w="1650" w:type="dxa"/>
          </w:tcPr>
          <w:p w14:paraId="73DB88C0"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24.74</w:t>
            </w:r>
          </w:p>
        </w:tc>
        <w:tc>
          <w:tcPr>
            <w:tcW w:w="1909" w:type="dxa"/>
          </w:tcPr>
          <w:p w14:paraId="481A25B6"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1.90 (1.46-2.47)</w:t>
            </w:r>
          </w:p>
        </w:tc>
        <w:tc>
          <w:tcPr>
            <w:tcW w:w="1045" w:type="dxa"/>
          </w:tcPr>
          <w:p w14:paraId="2E25899D"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&lt;.0001</w:t>
            </w:r>
          </w:p>
        </w:tc>
      </w:tr>
      <w:tr w:rsidR="007F61AD" w:rsidRPr="00F722D4" w14:paraId="19435B1E" w14:textId="77777777" w:rsidTr="00CF2857">
        <w:tc>
          <w:tcPr>
            <w:tcW w:w="1622" w:type="dxa"/>
          </w:tcPr>
          <w:p w14:paraId="062EB4F5"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Acute treatment</w:t>
            </w:r>
          </w:p>
        </w:tc>
        <w:tc>
          <w:tcPr>
            <w:tcW w:w="1455" w:type="dxa"/>
          </w:tcPr>
          <w:p w14:paraId="48E0C497"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140</w:t>
            </w:r>
          </w:p>
        </w:tc>
        <w:tc>
          <w:tcPr>
            <w:tcW w:w="1335" w:type="dxa"/>
          </w:tcPr>
          <w:p w14:paraId="71E2A76C"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1674.49</w:t>
            </w:r>
          </w:p>
        </w:tc>
        <w:tc>
          <w:tcPr>
            <w:tcW w:w="1650" w:type="dxa"/>
          </w:tcPr>
          <w:p w14:paraId="1F3DE0E2"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8.36</w:t>
            </w:r>
          </w:p>
        </w:tc>
        <w:tc>
          <w:tcPr>
            <w:tcW w:w="1909" w:type="dxa"/>
          </w:tcPr>
          <w:p w14:paraId="23E90150"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1.17 (0.95-1.43)</w:t>
            </w:r>
          </w:p>
        </w:tc>
        <w:tc>
          <w:tcPr>
            <w:tcW w:w="1045" w:type="dxa"/>
          </w:tcPr>
          <w:p w14:paraId="3CE43148"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0.1343</w:t>
            </w:r>
          </w:p>
        </w:tc>
      </w:tr>
      <w:tr w:rsidR="007F61AD" w:rsidRPr="00F722D4" w14:paraId="74F5E5C6" w14:textId="77777777" w:rsidTr="00CF2857">
        <w:tc>
          <w:tcPr>
            <w:tcW w:w="1622" w:type="dxa"/>
          </w:tcPr>
          <w:p w14:paraId="480B5E12"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Maintenance treatment  </w:t>
            </w:r>
          </w:p>
        </w:tc>
        <w:tc>
          <w:tcPr>
            <w:tcW w:w="1455" w:type="dxa"/>
          </w:tcPr>
          <w:p w14:paraId="7724C003"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1173</w:t>
            </w:r>
          </w:p>
        </w:tc>
        <w:tc>
          <w:tcPr>
            <w:tcW w:w="1335" w:type="dxa"/>
          </w:tcPr>
          <w:p w14:paraId="57E72D5F"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24269.04</w:t>
            </w:r>
          </w:p>
        </w:tc>
        <w:tc>
          <w:tcPr>
            <w:tcW w:w="1650" w:type="dxa"/>
          </w:tcPr>
          <w:p w14:paraId="5AC48022"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4.83</w:t>
            </w:r>
          </w:p>
        </w:tc>
        <w:tc>
          <w:tcPr>
            <w:tcW w:w="1909" w:type="dxa"/>
          </w:tcPr>
          <w:p w14:paraId="3F748466"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0.99 (0.90-1.10)</w:t>
            </w:r>
          </w:p>
        </w:tc>
        <w:tc>
          <w:tcPr>
            <w:tcW w:w="1045" w:type="dxa"/>
          </w:tcPr>
          <w:p w14:paraId="7408140B"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0.9218</w:t>
            </w:r>
          </w:p>
        </w:tc>
      </w:tr>
      <w:tr w:rsidR="007F61AD" w:rsidRPr="00F722D4" w14:paraId="15AB8909" w14:textId="77777777" w:rsidTr="00CF2857">
        <w:tc>
          <w:tcPr>
            <w:tcW w:w="1622" w:type="dxa"/>
          </w:tcPr>
          <w:p w14:paraId="187CDFD5"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Post-exposure period </w:t>
            </w:r>
          </w:p>
        </w:tc>
        <w:tc>
          <w:tcPr>
            <w:tcW w:w="1455" w:type="dxa"/>
          </w:tcPr>
          <w:p w14:paraId="09A3AE72"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46</w:t>
            </w:r>
          </w:p>
        </w:tc>
        <w:tc>
          <w:tcPr>
            <w:tcW w:w="1335" w:type="dxa"/>
          </w:tcPr>
          <w:p w14:paraId="67680A80"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766.08</w:t>
            </w:r>
          </w:p>
        </w:tc>
        <w:tc>
          <w:tcPr>
            <w:tcW w:w="1650" w:type="dxa"/>
          </w:tcPr>
          <w:p w14:paraId="1D67CE75"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6.00</w:t>
            </w:r>
          </w:p>
        </w:tc>
        <w:tc>
          <w:tcPr>
            <w:tcW w:w="1909" w:type="dxa"/>
          </w:tcPr>
          <w:p w14:paraId="32681EF2"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1.00 (0.73-1.38)</w:t>
            </w:r>
          </w:p>
        </w:tc>
        <w:tc>
          <w:tcPr>
            <w:tcW w:w="1045" w:type="dxa"/>
          </w:tcPr>
          <w:p w14:paraId="5F77E57B"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0.9835</w:t>
            </w:r>
          </w:p>
        </w:tc>
      </w:tr>
      <w:tr w:rsidR="007F61AD" w:rsidRPr="00F722D4" w14:paraId="66188473" w14:textId="77777777" w:rsidTr="00CF2857">
        <w:tc>
          <w:tcPr>
            <w:tcW w:w="9016" w:type="dxa"/>
            <w:gridSpan w:val="6"/>
          </w:tcPr>
          <w:p w14:paraId="70B4E094"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Other medications adjusted (as time-varying factor)</w:t>
            </w:r>
          </w:p>
        </w:tc>
      </w:tr>
      <w:tr w:rsidR="007F61AD" w:rsidRPr="00F722D4" w14:paraId="44FC91AA" w14:textId="77777777" w:rsidTr="00CF2857">
        <w:tc>
          <w:tcPr>
            <w:tcW w:w="1622" w:type="dxa"/>
          </w:tcPr>
          <w:p w14:paraId="559E2530"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Antidepressants during treatment </w:t>
            </w:r>
          </w:p>
        </w:tc>
        <w:tc>
          <w:tcPr>
            <w:tcW w:w="1455" w:type="dxa"/>
          </w:tcPr>
          <w:p w14:paraId="2F05947B"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934</w:t>
            </w:r>
          </w:p>
        </w:tc>
        <w:tc>
          <w:tcPr>
            <w:tcW w:w="1335" w:type="dxa"/>
          </w:tcPr>
          <w:p w14:paraId="041DF7B2"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16187.31</w:t>
            </w:r>
          </w:p>
        </w:tc>
        <w:tc>
          <w:tcPr>
            <w:tcW w:w="1650" w:type="dxa"/>
          </w:tcPr>
          <w:p w14:paraId="0CB4264F"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5.77</w:t>
            </w:r>
          </w:p>
        </w:tc>
        <w:tc>
          <w:tcPr>
            <w:tcW w:w="1909" w:type="dxa"/>
          </w:tcPr>
          <w:p w14:paraId="762E527A"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1.08 (0.98-1.20)</w:t>
            </w:r>
          </w:p>
        </w:tc>
        <w:tc>
          <w:tcPr>
            <w:tcW w:w="1045" w:type="dxa"/>
          </w:tcPr>
          <w:p w14:paraId="6A1F11D9"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0.1288</w:t>
            </w:r>
          </w:p>
        </w:tc>
      </w:tr>
      <w:tr w:rsidR="007F61AD" w:rsidRPr="00F722D4" w14:paraId="48A7C070" w14:textId="77777777" w:rsidTr="00CF2857">
        <w:tc>
          <w:tcPr>
            <w:tcW w:w="1622" w:type="dxa"/>
          </w:tcPr>
          <w:p w14:paraId="286D0CD0"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No antidepressants </w:t>
            </w:r>
          </w:p>
        </w:tc>
        <w:tc>
          <w:tcPr>
            <w:tcW w:w="1455" w:type="dxa"/>
          </w:tcPr>
          <w:p w14:paraId="7A914A2C"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4106</w:t>
            </w:r>
          </w:p>
        </w:tc>
        <w:tc>
          <w:tcPr>
            <w:tcW w:w="1335" w:type="dxa"/>
          </w:tcPr>
          <w:p w14:paraId="32D7662F"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66067.27</w:t>
            </w:r>
          </w:p>
        </w:tc>
        <w:tc>
          <w:tcPr>
            <w:tcW w:w="1650" w:type="dxa"/>
          </w:tcPr>
          <w:p w14:paraId="0C77D7A5"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6.21</w:t>
            </w:r>
          </w:p>
        </w:tc>
        <w:tc>
          <w:tcPr>
            <w:tcW w:w="1909" w:type="dxa"/>
          </w:tcPr>
          <w:p w14:paraId="6C987BC0"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1.00 </w:t>
            </w:r>
          </w:p>
        </w:tc>
        <w:tc>
          <w:tcPr>
            <w:tcW w:w="1045" w:type="dxa"/>
          </w:tcPr>
          <w:p w14:paraId="30D07866"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w:t>
            </w:r>
          </w:p>
        </w:tc>
      </w:tr>
      <w:tr w:rsidR="007F61AD" w:rsidRPr="00F722D4" w14:paraId="7CBAB728" w14:textId="77777777" w:rsidTr="00CF2857">
        <w:tc>
          <w:tcPr>
            <w:tcW w:w="1622" w:type="dxa"/>
          </w:tcPr>
          <w:p w14:paraId="668E6B4B"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Benzodiazepine derivatives during treatment </w:t>
            </w:r>
          </w:p>
        </w:tc>
        <w:tc>
          <w:tcPr>
            <w:tcW w:w="1455" w:type="dxa"/>
          </w:tcPr>
          <w:p w14:paraId="00B6F796"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878</w:t>
            </w:r>
          </w:p>
        </w:tc>
        <w:tc>
          <w:tcPr>
            <w:tcW w:w="1335" w:type="dxa"/>
          </w:tcPr>
          <w:p w14:paraId="0644F915"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14845.54</w:t>
            </w:r>
          </w:p>
        </w:tc>
        <w:tc>
          <w:tcPr>
            <w:tcW w:w="1650" w:type="dxa"/>
          </w:tcPr>
          <w:p w14:paraId="1F1447F7"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5.91</w:t>
            </w:r>
          </w:p>
        </w:tc>
        <w:tc>
          <w:tcPr>
            <w:tcW w:w="1909" w:type="dxa"/>
          </w:tcPr>
          <w:p w14:paraId="68198994"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1.27 (1.15-1.41)</w:t>
            </w:r>
          </w:p>
        </w:tc>
        <w:tc>
          <w:tcPr>
            <w:tcW w:w="1045" w:type="dxa"/>
          </w:tcPr>
          <w:p w14:paraId="36BFF22F"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&lt;.0001</w:t>
            </w:r>
          </w:p>
        </w:tc>
      </w:tr>
      <w:tr w:rsidR="007F61AD" w:rsidRPr="00F722D4" w14:paraId="001A7EF7" w14:textId="77777777" w:rsidTr="00CF2857">
        <w:tc>
          <w:tcPr>
            <w:tcW w:w="1622" w:type="dxa"/>
          </w:tcPr>
          <w:p w14:paraId="221181AE" w14:textId="77777777" w:rsidR="007F61AD" w:rsidRPr="00F722D4" w:rsidRDefault="007F61AD" w:rsidP="00CF2857">
            <w:pPr>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 xml:space="preserve">No benzodiazepine derivatives </w:t>
            </w:r>
          </w:p>
        </w:tc>
        <w:tc>
          <w:tcPr>
            <w:tcW w:w="1455" w:type="dxa"/>
          </w:tcPr>
          <w:p w14:paraId="14A8A557"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4162</w:t>
            </w:r>
          </w:p>
        </w:tc>
        <w:tc>
          <w:tcPr>
            <w:tcW w:w="1335" w:type="dxa"/>
          </w:tcPr>
          <w:p w14:paraId="24DBA5C4"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67409.04</w:t>
            </w:r>
          </w:p>
        </w:tc>
        <w:tc>
          <w:tcPr>
            <w:tcW w:w="1650" w:type="dxa"/>
          </w:tcPr>
          <w:p w14:paraId="19731BA9"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6.17</w:t>
            </w:r>
          </w:p>
        </w:tc>
        <w:tc>
          <w:tcPr>
            <w:tcW w:w="1909" w:type="dxa"/>
          </w:tcPr>
          <w:p w14:paraId="6FF8D27F"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1.00</w:t>
            </w:r>
          </w:p>
        </w:tc>
        <w:tc>
          <w:tcPr>
            <w:tcW w:w="1045" w:type="dxa"/>
          </w:tcPr>
          <w:p w14:paraId="37B04381" w14:textId="77777777" w:rsidR="007F61AD" w:rsidRPr="00F722D4" w:rsidRDefault="007F61AD" w:rsidP="00CF2857">
            <w:pPr>
              <w:jc w:val="right"/>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rPr>
              <w:t>--</w:t>
            </w:r>
          </w:p>
        </w:tc>
      </w:tr>
    </w:tbl>
    <w:p w14:paraId="138567B4" w14:textId="77777777" w:rsidR="007F61AD" w:rsidRPr="00F722D4" w:rsidRDefault="007F61AD" w:rsidP="007F61AD">
      <w:pPr>
        <w:spacing w:line="240" w:lineRule="auto"/>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vertAlign w:val="superscript"/>
        </w:rPr>
        <w:t>a</w:t>
      </w:r>
      <w:r w:rsidRPr="00F722D4">
        <w:rPr>
          <w:rFonts w:ascii="Times New Roman" w:hAnsi="Times New Roman" w:cs="Times New Roman"/>
          <w:color w:val="000000" w:themeColor="text1"/>
          <w:sz w:val="20"/>
          <w:szCs w:val="20"/>
        </w:rPr>
        <w:t>All estimates are adjusted for age in one-year age band and concurrent use of antidepressants</w:t>
      </w:r>
      <w:r>
        <w:rPr>
          <w:rFonts w:ascii="Times New Roman" w:hAnsi="Times New Roman" w:cs="Times New Roman"/>
          <w:color w:val="000000" w:themeColor="text1"/>
          <w:sz w:val="20"/>
          <w:szCs w:val="20"/>
        </w:rPr>
        <w:t xml:space="preserve">, </w:t>
      </w:r>
      <w:r w:rsidRPr="00F722D4">
        <w:rPr>
          <w:rFonts w:ascii="Times New Roman" w:hAnsi="Times New Roman" w:cs="Times New Roman"/>
          <w:color w:val="000000" w:themeColor="text1"/>
          <w:sz w:val="20"/>
          <w:szCs w:val="20"/>
        </w:rPr>
        <w:t>benzodiazepine derivatives</w:t>
      </w:r>
      <w:r>
        <w:rPr>
          <w:rFonts w:ascii="Times New Roman" w:hAnsi="Times New Roman" w:cs="Times New Roman"/>
          <w:color w:val="000000" w:themeColor="text1"/>
          <w:sz w:val="20"/>
          <w:szCs w:val="20"/>
        </w:rPr>
        <w:t xml:space="preserve">, </w:t>
      </w:r>
      <w:r w:rsidRPr="0097624C">
        <w:rPr>
          <w:rFonts w:ascii="Times New Roman" w:hAnsi="Times New Roman" w:cs="Times New Roman"/>
          <w:color w:val="000000" w:themeColor="text1"/>
          <w:sz w:val="20"/>
          <w:szCs w:val="20"/>
        </w:rPr>
        <w:t xml:space="preserve">and/or different classes of treatment agents (i.e. lithium, antipsychotics, </w:t>
      </w:r>
      <w:r>
        <w:rPr>
          <w:rFonts w:ascii="Times New Roman" w:hAnsi="Times New Roman" w:cs="Times New Roman"/>
          <w:color w:val="000000" w:themeColor="text1"/>
          <w:sz w:val="20"/>
          <w:szCs w:val="20"/>
        </w:rPr>
        <w:t xml:space="preserve">mood stabilizing </w:t>
      </w:r>
      <w:r w:rsidRPr="0097624C">
        <w:rPr>
          <w:rFonts w:ascii="Times New Roman" w:hAnsi="Times New Roman" w:cs="Times New Roman"/>
          <w:color w:val="000000" w:themeColor="text1"/>
          <w:sz w:val="20"/>
          <w:szCs w:val="20"/>
        </w:rPr>
        <w:t>antiepileptics).</w:t>
      </w:r>
      <w:r w:rsidRPr="00F722D4">
        <w:rPr>
          <w:rFonts w:ascii="Times New Roman" w:hAnsi="Times New Roman" w:cs="Times New Roman"/>
          <w:color w:val="000000" w:themeColor="text1"/>
          <w:sz w:val="20"/>
          <w:szCs w:val="20"/>
        </w:rPr>
        <w:t xml:space="preserve"> </w:t>
      </w:r>
    </w:p>
    <w:p w14:paraId="7FE8310A" w14:textId="77777777" w:rsidR="007F61AD" w:rsidRPr="00F722D4" w:rsidRDefault="007F61AD" w:rsidP="007F61AD">
      <w:pPr>
        <w:spacing w:line="240" w:lineRule="auto"/>
        <w:rPr>
          <w:rFonts w:ascii="Times New Roman" w:hAnsi="Times New Roman" w:cs="Times New Roman"/>
          <w:color w:val="000000" w:themeColor="text1"/>
          <w:sz w:val="20"/>
          <w:szCs w:val="20"/>
        </w:rPr>
      </w:pPr>
      <w:r w:rsidRPr="00F722D4">
        <w:rPr>
          <w:rFonts w:ascii="Times New Roman" w:hAnsi="Times New Roman" w:cs="Times New Roman"/>
          <w:color w:val="000000" w:themeColor="text1"/>
          <w:sz w:val="20"/>
          <w:szCs w:val="20"/>
          <w:vertAlign w:val="superscript"/>
        </w:rPr>
        <w:t>b</w:t>
      </w:r>
      <w:r w:rsidRPr="00F722D4">
        <w:rPr>
          <w:rFonts w:ascii="Times New Roman" w:hAnsi="Times New Roman" w:cs="Times New Roman"/>
          <w:color w:val="000000" w:themeColor="text1"/>
          <w:sz w:val="20"/>
          <w:szCs w:val="20"/>
        </w:rPr>
        <w:t>When stratifying by drug classes, baseline period refers to unexposed period to study drug class.</w:t>
      </w:r>
    </w:p>
    <w:p w14:paraId="09AE543D" w14:textId="77777777" w:rsidR="007F61AD" w:rsidRPr="00F722D4" w:rsidRDefault="007F61AD" w:rsidP="007F61AD">
      <w:pPr>
        <w:spacing w:line="240" w:lineRule="auto"/>
        <w:rPr>
          <w:rFonts w:ascii="Times New Roman" w:hAnsi="Times New Roman" w:cs="Times New Roman"/>
          <w:noProof/>
          <w:color w:val="000000" w:themeColor="text1"/>
          <w:sz w:val="20"/>
          <w:szCs w:val="20"/>
        </w:rPr>
      </w:pPr>
      <w:r w:rsidRPr="00F722D4">
        <w:rPr>
          <w:rFonts w:ascii="Times New Roman" w:hAnsi="Times New Roman" w:cs="Times New Roman"/>
          <w:noProof/>
          <w:color w:val="000000" w:themeColor="text1"/>
          <w:sz w:val="20"/>
          <w:szCs w:val="20"/>
        </w:rPr>
        <w:t>Abbreviations: CI=confidence interval; IRR=incidence rate ratio</w:t>
      </w:r>
    </w:p>
    <w:p w14:paraId="7FE25ABC" w14:textId="77777777" w:rsidR="007F61AD" w:rsidRPr="00F722D4" w:rsidRDefault="007F61AD" w:rsidP="007F61AD">
      <w:pPr>
        <w:rPr>
          <w:rFonts w:ascii="Times New Roman" w:hAnsi="Times New Roman" w:cs="Times New Roman"/>
          <w:color w:val="000000" w:themeColor="text1"/>
          <w:sz w:val="20"/>
          <w:szCs w:val="20"/>
          <w:lang w:val="en-US"/>
        </w:rPr>
      </w:pPr>
      <w:r>
        <w:rPr>
          <w:rFonts w:ascii="Times New Roman" w:hAnsi="Times New Roman" w:cs="Times New Roman"/>
          <w:sz w:val="20"/>
          <w:szCs w:val="20"/>
          <w:lang w:val="en-US"/>
        </w:rPr>
        <w:br w:type="page"/>
      </w:r>
    </w:p>
    <w:p w14:paraId="69B410E5" w14:textId="6DA6F7BC" w:rsidR="00875C8E" w:rsidRPr="00E021E3" w:rsidRDefault="00E021E3" w:rsidP="00FC5A17">
      <w:pPr>
        <w:rPr>
          <w:rFonts w:ascii="Times New Roman" w:hAnsi="Times New Roman" w:cs="Times New Roman"/>
          <w:b/>
          <w:bCs/>
          <w:noProof/>
          <w:color w:val="000000" w:themeColor="text1"/>
          <w:sz w:val="20"/>
          <w:szCs w:val="20"/>
          <w:lang w:val="en-US"/>
        </w:rPr>
      </w:pPr>
      <w:r w:rsidRPr="00E021E3">
        <w:rPr>
          <w:rFonts w:ascii="Times New Roman" w:hAnsi="Times New Roman" w:cs="Times New Roman"/>
          <w:b/>
          <w:bCs/>
          <w:sz w:val="20"/>
          <w:szCs w:val="20"/>
          <w:lang w:val="en-US"/>
        </w:rPr>
        <w:lastRenderedPageBreak/>
        <w:t xml:space="preserve">Supplementary Table </w:t>
      </w:r>
      <w:r w:rsidR="007F61AD">
        <w:rPr>
          <w:rFonts w:ascii="Times New Roman" w:hAnsi="Times New Roman" w:cs="Times New Roman"/>
          <w:b/>
          <w:bCs/>
          <w:sz w:val="20"/>
          <w:szCs w:val="20"/>
          <w:lang w:val="en-US"/>
        </w:rPr>
        <w:t>5</w:t>
      </w:r>
      <w:r w:rsidR="00875C8E" w:rsidRPr="00E021E3">
        <w:rPr>
          <w:rFonts w:ascii="Times New Roman" w:hAnsi="Times New Roman" w:cs="Times New Roman"/>
          <w:b/>
          <w:bCs/>
          <w:sz w:val="20"/>
          <w:szCs w:val="20"/>
          <w:lang w:val="en-US"/>
        </w:rPr>
        <w:t xml:space="preserve">. </w:t>
      </w:r>
      <w:r w:rsidR="00875C8E" w:rsidRPr="00E021E3">
        <w:rPr>
          <w:rFonts w:ascii="Times New Roman" w:hAnsi="Times New Roman" w:cs="Times New Roman"/>
          <w:b/>
          <w:bCs/>
          <w:color w:val="000000" w:themeColor="text1"/>
          <w:sz w:val="20"/>
          <w:szCs w:val="20"/>
          <w:lang w:val="en-US"/>
        </w:rPr>
        <w:t>Results of sex stratified analysis</w:t>
      </w:r>
    </w:p>
    <w:tbl>
      <w:tblPr>
        <w:tblStyle w:val="TableGrid"/>
        <w:tblW w:w="0" w:type="auto"/>
        <w:tblLook w:val="04A0" w:firstRow="1" w:lastRow="0" w:firstColumn="1" w:lastColumn="0" w:noHBand="0" w:noVBand="1"/>
      </w:tblPr>
      <w:tblGrid>
        <w:gridCol w:w="2785"/>
        <w:gridCol w:w="1848"/>
        <w:gridCol w:w="2472"/>
        <w:gridCol w:w="1911"/>
      </w:tblGrid>
      <w:tr w:rsidR="00875C8E" w:rsidRPr="00D44D25" w14:paraId="6E30D2C2" w14:textId="77777777" w:rsidTr="0071226A">
        <w:trPr>
          <w:trHeight w:val="323"/>
        </w:trPr>
        <w:tc>
          <w:tcPr>
            <w:tcW w:w="2785" w:type="dxa"/>
          </w:tcPr>
          <w:p w14:paraId="40303A14" w14:textId="77777777" w:rsidR="00875C8E" w:rsidRPr="00D44D25" w:rsidRDefault="00875C8E" w:rsidP="00CF2857">
            <w:pPr>
              <w:rPr>
                <w:rFonts w:ascii="Times New Roman" w:hAnsi="Times New Roman" w:cs="Times New Roman"/>
                <w:color w:val="000000" w:themeColor="text1"/>
                <w:sz w:val="20"/>
                <w:szCs w:val="20"/>
              </w:rPr>
            </w:pPr>
          </w:p>
        </w:tc>
        <w:tc>
          <w:tcPr>
            <w:tcW w:w="1848" w:type="dxa"/>
          </w:tcPr>
          <w:p w14:paraId="1530D647" w14:textId="77777777" w:rsidR="00875C8E" w:rsidRPr="00D44D25" w:rsidRDefault="00875C8E" w:rsidP="00CF2857">
            <w:pPr>
              <w:rPr>
                <w:rFonts w:ascii="Times New Roman" w:hAnsi="Times New Roman" w:cs="Times New Roman"/>
                <w:b/>
                <w:bCs/>
                <w:color w:val="000000" w:themeColor="text1"/>
                <w:sz w:val="20"/>
                <w:szCs w:val="20"/>
              </w:rPr>
            </w:pPr>
            <w:r w:rsidRPr="00D44D25">
              <w:rPr>
                <w:rFonts w:ascii="Times New Roman" w:hAnsi="Times New Roman" w:cs="Times New Roman"/>
                <w:b/>
                <w:bCs/>
                <w:color w:val="000000" w:themeColor="text1"/>
                <w:sz w:val="20"/>
                <w:szCs w:val="20"/>
              </w:rPr>
              <w:t xml:space="preserve">No. of events </w:t>
            </w:r>
          </w:p>
        </w:tc>
        <w:tc>
          <w:tcPr>
            <w:tcW w:w="2472" w:type="dxa"/>
          </w:tcPr>
          <w:p w14:paraId="0D992070" w14:textId="397AD90A" w:rsidR="00875C8E" w:rsidRPr="00D44D25" w:rsidRDefault="00875C8E" w:rsidP="00CF2857">
            <w:pPr>
              <w:rPr>
                <w:rFonts w:ascii="Times New Roman" w:hAnsi="Times New Roman" w:cs="Times New Roman"/>
                <w:b/>
                <w:bCs/>
                <w:color w:val="000000" w:themeColor="text1"/>
                <w:sz w:val="20"/>
                <w:szCs w:val="20"/>
              </w:rPr>
            </w:pPr>
            <w:r w:rsidRPr="00D44D25">
              <w:rPr>
                <w:rFonts w:ascii="Times New Roman" w:hAnsi="Times New Roman" w:cs="Times New Roman"/>
                <w:b/>
                <w:bCs/>
                <w:color w:val="000000" w:themeColor="text1"/>
                <w:sz w:val="20"/>
                <w:szCs w:val="20"/>
              </w:rPr>
              <w:t xml:space="preserve">Adjusted </w:t>
            </w:r>
            <w:proofErr w:type="spellStart"/>
            <w:r w:rsidRPr="00D44D25">
              <w:rPr>
                <w:rFonts w:ascii="Times New Roman" w:hAnsi="Times New Roman" w:cs="Times New Roman"/>
                <w:b/>
                <w:bCs/>
                <w:color w:val="000000" w:themeColor="text1"/>
                <w:sz w:val="20"/>
                <w:szCs w:val="20"/>
              </w:rPr>
              <w:t>IRR</w:t>
            </w:r>
            <w:r w:rsidR="00BF79DD" w:rsidRPr="00DA27EF">
              <w:rPr>
                <w:rFonts w:ascii="Times New Roman" w:hAnsi="Times New Roman" w:cs="Times New Roman"/>
                <w:b/>
                <w:bCs/>
                <w:color w:val="000000" w:themeColor="text1"/>
                <w:sz w:val="20"/>
                <w:szCs w:val="20"/>
                <w:vertAlign w:val="superscript"/>
              </w:rPr>
              <w:t>a</w:t>
            </w:r>
            <w:proofErr w:type="spellEnd"/>
            <w:r w:rsidR="00BF79DD" w:rsidRPr="00D44D25">
              <w:rPr>
                <w:rFonts w:ascii="Times New Roman" w:hAnsi="Times New Roman" w:cs="Times New Roman"/>
                <w:b/>
                <w:bCs/>
                <w:color w:val="000000" w:themeColor="text1"/>
                <w:sz w:val="20"/>
                <w:szCs w:val="20"/>
              </w:rPr>
              <w:t xml:space="preserve"> </w:t>
            </w:r>
            <w:r w:rsidRPr="00D44D25">
              <w:rPr>
                <w:rFonts w:ascii="Times New Roman" w:hAnsi="Times New Roman" w:cs="Times New Roman"/>
                <w:b/>
                <w:bCs/>
                <w:color w:val="000000" w:themeColor="text1"/>
                <w:sz w:val="20"/>
                <w:szCs w:val="20"/>
              </w:rPr>
              <w:t>(95% CI)</w:t>
            </w:r>
          </w:p>
        </w:tc>
        <w:tc>
          <w:tcPr>
            <w:tcW w:w="1911" w:type="dxa"/>
          </w:tcPr>
          <w:p w14:paraId="467E1678" w14:textId="77777777" w:rsidR="00875C8E" w:rsidRPr="00D44D25" w:rsidRDefault="00875C8E" w:rsidP="00CF2857">
            <w:pPr>
              <w:rPr>
                <w:rFonts w:ascii="Times New Roman" w:hAnsi="Times New Roman" w:cs="Times New Roman"/>
                <w:b/>
                <w:bCs/>
                <w:color w:val="000000" w:themeColor="text1"/>
                <w:sz w:val="20"/>
                <w:szCs w:val="20"/>
              </w:rPr>
            </w:pPr>
            <w:r w:rsidRPr="00D44D25">
              <w:rPr>
                <w:rFonts w:ascii="Times New Roman" w:hAnsi="Times New Roman" w:cs="Times New Roman"/>
                <w:b/>
                <w:bCs/>
                <w:color w:val="000000" w:themeColor="text1"/>
                <w:sz w:val="20"/>
                <w:szCs w:val="20"/>
              </w:rPr>
              <w:t>P-value</w:t>
            </w:r>
          </w:p>
        </w:tc>
      </w:tr>
      <w:tr w:rsidR="00875C8E" w:rsidRPr="00D44D25" w14:paraId="709AC915" w14:textId="77777777" w:rsidTr="00CF2857">
        <w:tc>
          <w:tcPr>
            <w:tcW w:w="9016" w:type="dxa"/>
            <w:gridSpan w:val="4"/>
          </w:tcPr>
          <w:p w14:paraId="62123C29" w14:textId="77777777"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Males (n=1919)</w:t>
            </w:r>
          </w:p>
        </w:tc>
      </w:tr>
      <w:tr w:rsidR="00875C8E" w:rsidRPr="00D44D25" w14:paraId="06D33EE0" w14:textId="77777777" w:rsidTr="00FC5A17">
        <w:tc>
          <w:tcPr>
            <w:tcW w:w="2785" w:type="dxa"/>
            <w:tcBorders>
              <w:top w:val="single" w:sz="4" w:space="0" w:color="auto"/>
            </w:tcBorders>
          </w:tcPr>
          <w:p w14:paraId="7D2122CF" w14:textId="60779298"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Baseline </w:t>
            </w:r>
          </w:p>
        </w:tc>
        <w:tc>
          <w:tcPr>
            <w:tcW w:w="1848" w:type="dxa"/>
          </w:tcPr>
          <w:p w14:paraId="7B416CE3"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963</w:t>
            </w:r>
          </w:p>
        </w:tc>
        <w:tc>
          <w:tcPr>
            <w:tcW w:w="2472" w:type="dxa"/>
          </w:tcPr>
          <w:p w14:paraId="17FB2CE4"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1.00</w:t>
            </w:r>
          </w:p>
        </w:tc>
        <w:tc>
          <w:tcPr>
            <w:tcW w:w="1911" w:type="dxa"/>
          </w:tcPr>
          <w:p w14:paraId="19F5D403"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w:t>
            </w:r>
          </w:p>
        </w:tc>
      </w:tr>
      <w:tr w:rsidR="00875C8E" w:rsidRPr="00D44D25" w14:paraId="25EE8CC3" w14:textId="77777777" w:rsidTr="00FC5A17">
        <w:tc>
          <w:tcPr>
            <w:tcW w:w="2785" w:type="dxa"/>
          </w:tcPr>
          <w:p w14:paraId="711FCB4C" w14:textId="663FBB3E"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Pre-exposure period </w:t>
            </w:r>
          </w:p>
        </w:tc>
        <w:tc>
          <w:tcPr>
            <w:tcW w:w="1848" w:type="dxa"/>
          </w:tcPr>
          <w:p w14:paraId="6BC71E17"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66</w:t>
            </w:r>
          </w:p>
        </w:tc>
        <w:tc>
          <w:tcPr>
            <w:tcW w:w="2472" w:type="dxa"/>
          </w:tcPr>
          <w:p w14:paraId="50DA3F62"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5.49 (4.24-7.11)</w:t>
            </w:r>
          </w:p>
        </w:tc>
        <w:tc>
          <w:tcPr>
            <w:tcW w:w="1911" w:type="dxa"/>
          </w:tcPr>
          <w:p w14:paraId="5FBE6326" w14:textId="1A60A4EF"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1D5F33">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A86832">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01</w:t>
            </w:r>
          </w:p>
        </w:tc>
      </w:tr>
      <w:tr w:rsidR="00875C8E" w:rsidRPr="00D44D25" w14:paraId="022F5C22" w14:textId="77777777" w:rsidTr="00FC5A17">
        <w:tc>
          <w:tcPr>
            <w:tcW w:w="2785" w:type="dxa"/>
          </w:tcPr>
          <w:p w14:paraId="4B9AD427" w14:textId="35FF1430"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Acute treatment </w:t>
            </w:r>
          </w:p>
        </w:tc>
        <w:tc>
          <w:tcPr>
            <w:tcW w:w="1848" w:type="dxa"/>
          </w:tcPr>
          <w:p w14:paraId="0DC9C8AB"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96</w:t>
            </w:r>
          </w:p>
        </w:tc>
        <w:tc>
          <w:tcPr>
            <w:tcW w:w="2472" w:type="dxa"/>
          </w:tcPr>
          <w:p w14:paraId="1123FC33"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1.56 (1.23-1.97)</w:t>
            </w:r>
          </w:p>
        </w:tc>
        <w:tc>
          <w:tcPr>
            <w:tcW w:w="1911" w:type="dxa"/>
          </w:tcPr>
          <w:p w14:paraId="2C8EED39" w14:textId="2A375D28"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1D5F33">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7C3EAE">
              <w:rPr>
                <w:rFonts w:ascii="Times New Roman" w:hAnsi="Times New Roman" w:cs="Times New Roman"/>
                <w:color w:val="000000" w:themeColor="text1"/>
                <w:sz w:val="20"/>
                <w:szCs w:val="20"/>
              </w:rPr>
              <w:t>0</w:t>
            </w:r>
            <w:r w:rsidR="00A86832">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1</w:t>
            </w:r>
          </w:p>
        </w:tc>
      </w:tr>
      <w:tr w:rsidR="00875C8E" w:rsidRPr="00D44D25" w14:paraId="40F66BC6" w14:textId="77777777" w:rsidTr="00FC5A17">
        <w:tc>
          <w:tcPr>
            <w:tcW w:w="2785" w:type="dxa"/>
          </w:tcPr>
          <w:p w14:paraId="6DEE2F35" w14:textId="15B6470A"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Maintenance treatment </w:t>
            </w:r>
          </w:p>
        </w:tc>
        <w:tc>
          <w:tcPr>
            <w:tcW w:w="1848" w:type="dxa"/>
          </w:tcPr>
          <w:p w14:paraId="6596008F"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764</w:t>
            </w:r>
          </w:p>
        </w:tc>
        <w:tc>
          <w:tcPr>
            <w:tcW w:w="2472" w:type="dxa"/>
          </w:tcPr>
          <w:p w14:paraId="46A06BE7"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0.95 (0.81-1.11)</w:t>
            </w:r>
          </w:p>
        </w:tc>
        <w:tc>
          <w:tcPr>
            <w:tcW w:w="1911" w:type="dxa"/>
          </w:tcPr>
          <w:p w14:paraId="135863B9"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0.52</w:t>
            </w:r>
          </w:p>
        </w:tc>
      </w:tr>
      <w:tr w:rsidR="00875C8E" w:rsidRPr="00D44D25" w14:paraId="2DC0FBEA" w14:textId="77777777" w:rsidTr="00FC5A17">
        <w:tc>
          <w:tcPr>
            <w:tcW w:w="2785" w:type="dxa"/>
          </w:tcPr>
          <w:p w14:paraId="48917447" w14:textId="0CCFF6B2"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Post-exposure period </w:t>
            </w:r>
          </w:p>
        </w:tc>
        <w:tc>
          <w:tcPr>
            <w:tcW w:w="1848" w:type="dxa"/>
          </w:tcPr>
          <w:p w14:paraId="0F26B079"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30</w:t>
            </w:r>
          </w:p>
        </w:tc>
        <w:tc>
          <w:tcPr>
            <w:tcW w:w="2472" w:type="dxa"/>
          </w:tcPr>
          <w:p w14:paraId="5A4CBBEA"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1.12 (0.77-1.64)</w:t>
            </w:r>
          </w:p>
        </w:tc>
        <w:tc>
          <w:tcPr>
            <w:tcW w:w="1911" w:type="dxa"/>
          </w:tcPr>
          <w:p w14:paraId="4CD1F56C"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0.54</w:t>
            </w:r>
          </w:p>
        </w:tc>
      </w:tr>
      <w:tr w:rsidR="00875C8E" w:rsidRPr="00D44D25" w14:paraId="34E2D747" w14:textId="77777777" w:rsidTr="00FC5A17">
        <w:tc>
          <w:tcPr>
            <w:tcW w:w="2785" w:type="dxa"/>
          </w:tcPr>
          <w:p w14:paraId="5F8D0504" w14:textId="77777777"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Females (n=3121)</w:t>
            </w:r>
          </w:p>
        </w:tc>
        <w:tc>
          <w:tcPr>
            <w:tcW w:w="1848" w:type="dxa"/>
          </w:tcPr>
          <w:p w14:paraId="40064F75" w14:textId="77777777" w:rsidR="00875C8E" w:rsidRPr="00D44D25" w:rsidRDefault="00875C8E" w:rsidP="00CF2857">
            <w:pPr>
              <w:jc w:val="right"/>
              <w:rPr>
                <w:rFonts w:ascii="Times New Roman" w:hAnsi="Times New Roman" w:cs="Times New Roman"/>
                <w:color w:val="000000" w:themeColor="text1"/>
                <w:sz w:val="20"/>
                <w:szCs w:val="20"/>
              </w:rPr>
            </w:pPr>
          </w:p>
        </w:tc>
        <w:tc>
          <w:tcPr>
            <w:tcW w:w="2472" w:type="dxa"/>
          </w:tcPr>
          <w:p w14:paraId="4D230FA6" w14:textId="77777777" w:rsidR="00875C8E" w:rsidRPr="00D44D25" w:rsidRDefault="00875C8E" w:rsidP="00CF2857">
            <w:pPr>
              <w:jc w:val="right"/>
              <w:rPr>
                <w:rFonts w:ascii="Times New Roman" w:hAnsi="Times New Roman" w:cs="Times New Roman"/>
                <w:color w:val="000000" w:themeColor="text1"/>
                <w:sz w:val="20"/>
                <w:szCs w:val="20"/>
              </w:rPr>
            </w:pPr>
          </w:p>
        </w:tc>
        <w:tc>
          <w:tcPr>
            <w:tcW w:w="1911" w:type="dxa"/>
          </w:tcPr>
          <w:p w14:paraId="551C2C78" w14:textId="77777777" w:rsidR="00875C8E" w:rsidRPr="00D44D25" w:rsidRDefault="00875C8E" w:rsidP="00CF2857">
            <w:pPr>
              <w:jc w:val="right"/>
              <w:rPr>
                <w:rFonts w:ascii="Times New Roman" w:hAnsi="Times New Roman" w:cs="Times New Roman"/>
                <w:color w:val="000000" w:themeColor="text1"/>
                <w:sz w:val="20"/>
                <w:szCs w:val="20"/>
              </w:rPr>
            </w:pPr>
          </w:p>
        </w:tc>
      </w:tr>
      <w:tr w:rsidR="00875C8E" w:rsidRPr="00D44D25" w14:paraId="6B06295B" w14:textId="77777777" w:rsidTr="00FC5A17">
        <w:tc>
          <w:tcPr>
            <w:tcW w:w="2785" w:type="dxa"/>
          </w:tcPr>
          <w:p w14:paraId="7D6996E8" w14:textId="4C05C50F"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Baseline </w:t>
            </w:r>
          </w:p>
        </w:tc>
        <w:tc>
          <w:tcPr>
            <w:tcW w:w="1848" w:type="dxa"/>
          </w:tcPr>
          <w:p w14:paraId="56CF337F"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1480</w:t>
            </w:r>
          </w:p>
        </w:tc>
        <w:tc>
          <w:tcPr>
            <w:tcW w:w="2472" w:type="dxa"/>
          </w:tcPr>
          <w:p w14:paraId="65F77AA8"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1.00</w:t>
            </w:r>
          </w:p>
        </w:tc>
        <w:tc>
          <w:tcPr>
            <w:tcW w:w="1911" w:type="dxa"/>
          </w:tcPr>
          <w:p w14:paraId="622971F8"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w:t>
            </w:r>
          </w:p>
        </w:tc>
      </w:tr>
      <w:tr w:rsidR="00875C8E" w:rsidRPr="00D44D25" w14:paraId="4A1459C4" w14:textId="77777777" w:rsidTr="00FC5A17">
        <w:tc>
          <w:tcPr>
            <w:tcW w:w="2785" w:type="dxa"/>
          </w:tcPr>
          <w:p w14:paraId="666D8855" w14:textId="1465B395"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Pre-exposure period </w:t>
            </w:r>
          </w:p>
        </w:tc>
        <w:tc>
          <w:tcPr>
            <w:tcW w:w="1848" w:type="dxa"/>
          </w:tcPr>
          <w:p w14:paraId="131423E3"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67</w:t>
            </w:r>
          </w:p>
        </w:tc>
        <w:tc>
          <w:tcPr>
            <w:tcW w:w="2472" w:type="dxa"/>
          </w:tcPr>
          <w:p w14:paraId="06B16A60"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3.72 (2.90-4.78)</w:t>
            </w:r>
          </w:p>
        </w:tc>
        <w:tc>
          <w:tcPr>
            <w:tcW w:w="1911" w:type="dxa"/>
          </w:tcPr>
          <w:p w14:paraId="5F4A8D1C"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0.001</w:t>
            </w:r>
          </w:p>
        </w:tc>
      </w:tr>
      <w:tr w:rsidR="00875C8E" w:rsidRPr="00D44D25" w14:paraId="567E71DD" w14:textId="77777777" w:rsidTr="00FC5A17">
        <w:tc>
          <w:tcPr>
            <w:tcW w:w="2785" w:type="dxa"/>
          </w:tcPr>
          <w:p w14:paraId="09C491F1" w14:textId="1CA71A85"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Acute treatment </w:t>
            </w:r>
          </w:p>
        </w:tc>
        <w:tc>
          <w:tcPr>
            <w:tcW w:w="1848" w:type="dxa"/>
          </w:tcPr>
          <w:p w14:paraId="551F86F1"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142</w:t>
            </w:r>
          </w:p>
        </w:tc>
        <w:tc>
          <w:tcPr>
            <w:tcW w:w="2472" w:type="dxa"/>
          </w:tcPr>
          <w:p w14:paraId="3588B4D3"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1.38 (1.14-1.67)</w:t>
            </w:r>
          </w:p>
        </w:tc>
        <w:tc>
          <w:tcPr>
            <w:tcW w:w="1911" w:type="dxa"/>
          </w:tcPr>
          <w:p w14:paraId="588DE45C"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0.001</w:t>
            </w:r>
          </w:p>
        </w:tc>
      </w:tr>
      <w:tr w:rsidR="00875C8E" w:rsidRPr="00D44D25" w14:paraId="05CCC0C6" w14:textId="77777777" w:rsidTr="00FC5A17">
        <w:tc>
          <w:tcPr>
            <w:tcW w:w="2785" w:type="dxa"/>
          </w:tcPr>
          <w:p w14:paraId="4BE32053" w14:textId="51B12D6B"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Maintenance treatment </w:t>
            </w:r>
          </w:p>
        </w:tc>
        <w:tc>
          <w:tcPr>
            <w:tcW w:w="1848" w:type="dxa"/>
          </w:tcPr>
          <w:p w14:paraId="635BDF5A"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1365</w:t>
            </w:r>
          </w:p>
        </w:tc>
        <w:tc>
          <w:tcPr>
            <w:tcW w:w="2472" w:type="dxa"/>
          </w:tcPr>
          <w:p w14:paraId="5694594F"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0.98 (0.87-1.11)</w:t>
            </w:r>
          </w:p>
        </w:tc>
        <w:tc>
          <w:tcPr>
            <w:tcW w:w="1911" w:type="dxa"/>
          </w:tcPr>
          <w:p w14:paraId="14330ED5"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0.79</w:t>
            </w:r>
          </w:p>
        </w:tc>
      </w:tr>
      <w:tr w:rsidR="00875C8E" w:rsidRPr="00D44D25" w14:paraId="100DC5E1" w14:textId="77777777" w:rsidTr="00FC5A17">
        <w:tc>
          <w:tcPr>
            <w:tcW w:w="2785" w:type="dxa"/>
          </w:tcPr>
          <w:p w14:paraId="1B0C12AC" w14:textId="15283831" w:rsidR="00875C8E" w:rsidRPr="00D44D25" w:rsidRDefault="00875C8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Post-exposure period </w:t>
            </w:r>
          </w:p>
        </w:tc>
        <w:tc>
          <w:tcPr>
            <w:tcW w:w="1848" w:type="dxa"/>
          </w:tcPr>
          <w:p w14:paraId="39350070"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67</w:t>
            </w:r>
          </w:p>
        </w:tc>
        <w:tc>
          <w:tcPr>
            <w:tcW w:w="2472" w:type="dxa"/>
          </w:tcPr>
          <w:p w14:paraId="415EAC1E"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1.48 (1.15-1.91)</w:t>
            </w:r>
          </w:p>
        </w:tc>
        <w:tc>
          <w:tcPr>
            <w:tcW w:w="1911" w:type="dxa"/>
          </w:tcPr>
          <w:p w14:paraId="67FDD629" w14:textId="77777777" w:rsidR="00875C8E" w:rsidRPr="00D44D25" w:rsidRDefault="00875C8E"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0.002</w:t>
            </w:r>
          </w:p>
        </w:tc>
      </w:tr>
    </w:tbl>
    <w:p w14:paraId="5067D057" w14:textId="268D8D94" w:rsidR="00CF2857" w:rsidRDefault="00CF2857">
      <w:pPr>
        <w:rPr>
          <w:rFonts w:ascii="Times New Roman" w:hAnsi="Times New Roman" w:cs="Times New Roman"/>
          <w:sz w:val="20"/>
          <w:szCs w:val="20"/>
          <w:lang w:val="en-US"/>
        </w:rPr>
      </w:pPr>
      <w:r w:rsidRPr="0071226A">
        <w:rPr>
          <w:rFonts w:ascii="Times New Roman" w:hAnsi="Times New Roman" w:cs="Times New Roman"/>
          <w:sz w:val="20"/>
          <w:szCs w:val="20"/>
          <w:vertAlign w:val="superscript"/>
          <w:lang w:val="en-US"/>
        </w:rPr>
        <w:t>a</w:t>
      </w:r>
      <w:r w:rsidRPr="00CF2857">
        <w:rPr>
          <w:rFonts w:ascii="Times New Roman" w:hAnsi="Times New Roman" w:cs="Times New Roman"/>
          <w:sz w:val="20"/>
          <w:szCs w:val="20"/>
          <w:lang w:val="en-US"/>
        </w:rPr>
        <w:t>All estimates are adjusted for age in one-year age band and concurrent use of antidepressants and/or benzodiazepine derivatives.</w:t>
      </w:r>
    </w:p>
    <w:p w14:paraId="1F7D2ED9" w14:textId="6D87D405" w:rsidR="00BF79DD" w:rsidRPr="0071226A" w:rsidRDefault="00BF79DD">
      <w:pPr>
        <w:rPr>
          <w:rFonts w:ascii="Times New Roman" w:hAnsi="Times New Roman" w:cs="Times New Roman"/>
          <w:sz w:val="20"/>
          <w:szCs w:val="20"/>
        </w:rPr>
      </w:pPr>
      <w:r w:rsidRPr="00BF79DD">
        <w:rPr>
          <w:rFonts w:ascii="Times New Roman" w:hAnsi="Times New Roman" w:cs="Times New Roman"/>
          <w:sz w:val="20"/>
          <w:szCs w:val="20"/>
        </w:rPr>
        <w:t>Abbreviations: CI=confidence interval; ER=emergency room; IRR=incidence rate ratio</w:t>
      </w:r>
    </w:p>
    <w:p w14:paraId="025D5BEA" w14:textId="314859D8" w:rsidR="00D649E7" w:rsidRPr="00D44D25" w:rsidRDefault="00D649E7">
      <w:pPr>
        <w:rPr>
          <w:rFonts w:ascii="Times New Roman" w:hAnsi="Times New Roman" w:cs="Times New Roman"/>
          <w:sz w:val="20"/>
          <w:szCs w:val="20"/>
          <w:lang w:val="en-US"/>
        </w:rPr>
      </w:pPr>
      <w:r w:rsidRPr="00D44D25">
        <w:rPr>
          <w:rFonts w:ascii="Times New Roman" w:hAnsi="Times New Roman" w:cs="Times New Roman"/>
          <w:sz w:val="20"/>
          <w:szCs w:val="20"/>
          <w:lang w:val="en-US"/>
        </w:rPr>
        <w:br w:type="page"/>
      </w:r>
    </w:p>
    <w:p w14:paraId="1E76D9EA" w14:textId="28F41DC0" w:rsidR="00D649E7" w:rsidRPr="00D44D25" w:rsidRDefault="00D649E7" w:rsidP="00D649E7">
      <w:pPr>
        <w:rPr>
          <w:rFonts w:ascii="Times New Roman" w:hAnsi="Times New Roman" w:cs="Times New Roman"/>
          <w:b/>
          <w:bCs/>
          <w:color w:val="000000" w:themeColor="text1"/>
          <w:sz w:val="20"/>
          <w:szCs w:val="20"/>
          <w:lang w:val="en-US"/>
        </w:rPr>
      </w:pPr>
      <w:r w:rsidRPr="00D44D25">
        <w:rPr>
          <w:rFonts w:ascii="Times New Roman" w:hAnsi="Times New Roman" w:cs="Times New Roman"/>
          <w:noProof/>
          <w:color w:val="000000" w:themeColor="text1"/>
          <w:sz w:val="20"/>
          <w:szCs w:val="20"/>
          <w:lang w:val="en-US"/>
        </w:rPr>
        <w:lastRenderedPageBreak/>
        <w:drawing>
          <wp:anchor distT="0" distB="0" distL="114300" distR="114300" simplePos="0" relativeHeight="251658240" behindDoc="0" locked="0" layoutInCell="1" allowOverlap="1" wp14:anchorId="3E2BD0C8" wp14:editId="70044A14">
            <wp:simplePos x="0" y="0"/>
            <wp:positionH relativeFrom="column">
              <wp:posOffset>-28575</wp:posOffset>
            </wp:positionH>
            <wp:positionV relativeFrom="paragraph">
              <wp:posOffset>68580</wp:posOffset>
            </wp:positionV>
            <wp:extent cx="5731510" cy="3237865"/>
            <wp:effectExtent l="0" t="0" r="2540" b="635"/>
            <wp:wrapTopAndBottom/>
            <wp:docPr id="15" name="Chart 15">
              <a:extLst xmlns:a="http://schemas.openxmlformats.org/drawingml/2006/main">
                <a:ext uri="{FF2B5EF4-FFF2-40B4-BE49-F238E27FC236}">
                  <a16:creationId xmlns:a16="http://schemas.microsoft.com/office/drawing/2014/main" id="{C1DF5F30-E8A4-4576-BE15-0E3C05957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E021E3">
        <w:rPr>
          <w:rFonts w:ascii="Times New Roman" w:hAnsi="Times New Roman" w:cs="Times New Roman"/>
          <w:b/>
          <w:bCs/>
          <w:sz w:val="20"/>
          <w:szCs w:val="20"/>
          <w:lang w:val="en-US"/>
        </w:rPr>
        <w:t xml:space="preserve">Supplementary Figure </w:t>
      </w:r>
      <w:r w:rsidR="004F75CA">
        <w:rPr>
          <w:rFonts w:ascii="Times New Roman" w:hAnsi="Times New Roman" w:cs="Times New Roman"/>
          <w:b/>
          <w:bCs/>
          <w:sz w:val="20"/>
          <w:szCs w:val="20"/>
          <w:lang w:val="en-US"/>
        </w:rPr>
        <w:t>1</w:t>
      </w:r>
      <w:r w:rsidRPr="00D44D25">
        <w:rPr>
          <w:rFonts w:ascii="Times New Roman" w:hAnsi="Times New Roman" w:cs="Times New Roman"/>
          <w:b/>
          <w:bCs/>
          <w:sz w:val="20"/>
          <w:szCs w:val="20"/>
          <w:lang w:val="en-US"/>
        </w:rPr>
        <w:t xml:space="preserve">. </w:t>
      </w:r>
      <w:r w:rsidRPr="00D44D25">
        <w:rPr>
          <w:rFonts w:ascii="Times New Roman" w:hAnsi="Times New Roman" w:cs="Times New Roman"/>
          <w:b/>
          <w:bCs/>
          <w:color w:val="000000" w:themeColor="text1"/>
          <w:sz w:val="20"/>
          <w:szCs w:val="20"/>
          <w:lang w:val="en-US"/>
        </w:rPr>
        <w:t xml:space="preserve">Distribution of patients who died within 30 days after the first </w:t>
      </w:r>
      <w:r w:rsidR="00DB6F1E">
        <w:rPr>
          <w:rFonts w:ascii="Times New Roman" w:hAnsi="Times New Roman" w:cs="Times New Roman"/>
          <w:b/>
          <w:bCs/>
          <w:color w:val="000000" w:themeColor="text1"/>
          <w:sz w:val="20"/>
          <w:szCs w:val="20"/>
          <w:lang w:val="en-US"/>
        </w:rPr>
        <w:t>emergency room admissions due to traumatic injuries</w:t>
      </w:r>
    </w:p>
    <w:p w14:paraId="08D09952" w14:textId="77777777" w:rsidR="00D649E7" w:rsidRPr="00D44D25" w:rsidRDefault="00D649E7">
      <w:pPr>
        <w:rPr>
          <w:rFonts w:ascii="Times New Roman" w:hAnsi="Times New Roman" w:cs="Times New Roman"/>
          <w:b/>
          <w:bCs/>
          <w:color w:val="000000" w:themeColor="text1"/>
          <w:sz w:val="20"/>
          <w:szCs w:val="20"/>
          <w:lang w:val="en-US"/>
        </w:rPr>
      </w:pPr>
      <w:r w:rsidRPr="00D44D25">
        <w:rPr>
          <w:rFonts w:ascii="Times New Roman" w:hAnsi="Times New Roman" w:cs="Times New Roman"/>
          <w:b/>
          <w:bCs/>
          <w:color w:val="000000" w:themeColor="text1"/>
          <w:sz w:val="20"/>
          <w:szCs w:val="20"/>
          <w:lang w:val="en-US"/>
        </w:rPr>
        <w:br w:type="page"/>
      </w:r>
    </w:p>
    <w:p w14:paraId="12A4E7D8" w14:textId="38261063" w:rsidR="0074479F" w:rsidRPr="00E021E3" w:rsidRDefault="00E021E3">
      <w:pPr>
        <w:rPr>
          <w:rFonts w:ascii="Times New Roman" w:hAnsi="Times New Roman" w:cs="Times New Roman"/>
          <w:b/>
          <w:bCs/>
          <w:color w:val="000000" w:themeColor="text1"/>
          <w:sz w:val="20"/>
          <w:szCs w:val="20"/>
          <w:lang w:val="en-US"/>
        </w:rPr>
      </w:pPr>
      <w:r w:rsidRPr="00E021E3">
        <w:rPr>
          <w:rFonts w:ascii="Times New Roman" w:hAnsi="Times New Roman" w:cs="Times New Roman"/>
          <w:b/>
          <w:bCs/>
          <w:sz w:val="20"/>
          <w:szCs w:val="20"/>
          <w:lang w:val="en-US"/>
        </w:rPr>
        <w:lastRenderedPageBreak/>
        <w:t xml:space="preserve">Supplementary Table </w:t>
      </w:r>
      <w:r w:rsidR="00873071">
        <w:rPr>
          <w:rFonts w:ascii="Times New Roman" w:hAnsi="Times New Roman" w:cs="Times New Roman"/>
          <w:b/>
          <w:bCs/>
          <w:sz w:val="20"/>
          <w:szCs w:val="20"/>
          <w:lang w:val="en-US"/>
        </w:rPr>
        <w:t>6</w:t>
      </w:r>
      <w:r w:rsidR="0074479F" w:rsidRPr="00E021E3">
        <w:rPr>
          <w:rFonts w:ascii="Times New Roman" w:hAnsi="Times New Roman" w:cs="Times New Roman"/>
          <w:b/>
          <w:bCs/>
          <w:sz w:val="20"/>
          <w:szCs w:val="20"/>
          <w:lang w:val="en-US"/>
        </w:rPr>
        <w:t>. Result</w:t>
      </w:r>
      <w:r w:rsidR="00590EFA" w:rsidRPr="00E021E3">
        <w:rPr>
          <w:rFonts w:ascii="Times New Roman" w:hAnsi="Times New Roman" w:cs="Times New Roman"/>
          <w:b/>
          <w:bCs/>
          <w:sz w:val="20"/>
          <w:szCs w:val="20"/>
          <w:lang w:val="en-US"/>
        </w:rPr>
        <w:t>s</w:t>
      </w:r>
      <w:r w:rsidR="0074479F" w:rsidRPr="00E021E3">
        <w:rPr>
          <w:rFonts w:ascii="Times New Roman" w:hAnsi="Times New Roman" w:cs="Times New Roman"/>
          <w:b/>
          <w:bCs/>
          <w:sz w:val="20"/>
          <w:szCs w:val="20"/>
          <w:lang w:val="en-US"/>
        </w:rPr>
        <w:t xml:space="preserve"> from sensitivity analyses </w:t>
      </w:r>
    </w:p>
    <w:tbl>
      <w:tblPr>
        <w:tblStyle w:val="TableGrid"/>
        <w:tblW w:w="0" w:type="auto"/>
        <w:tblLook w:val="04A0" w:firstRow="1" w:lastRow="0" w:firstColumn="1" w:lastColumn="0" w:noHBand="0" w:noVBand="1"/>
      </w:tblPr>
      <w:tblGrid>
        <w:gridCol w:w="2785"/>
        <w:gridCol w:w="1848"/>
        <w:gridCol w:w="2472"/>
        <w:gridCol w:w="1911"/>
      </w:tblGrid>
      <w:tr w:rsidR="0074479F" w:rsidRPr="00D44D25" w14:paraId="6F643DDF" w14:textId="77777777" w:rsidTr="0071226A">
        <w:trPr>
          <w:trHeight w:val="323"/>
        </w:trPr>
        <w:tc>
          <w:tcPr>
            <w:tcW w:w="2785" w:type="dxa"/>
          </w:tcPr>
          <w:p w14:paraId="116E7645" w14:textId="77777777" w:rsidR="0074479F" w:rsidRPr="00D44D25" w:rsidRDefault="0074479F" w:rsidP="00CF2857">
            <w:pPr>
              <w:rPr>
                <w:rFonts w:ascii="Times New Roman" w:hAnsi="Times New Roman" w:cs="Times New Roman"/>
                <w:color w:val="000000" w:themeColor="text1"/>
                <w:sz w:val="20"/>
                <w:szCs w:val="20"/>
              </w:rPr>
            </w:pPr>
          </w:p>
        </w:tc>
        <w:tc>
          <w:tcPr>
            <w:tcW w:w="1848" w:type="dxa"/>
          </w:tcPr>
          <w:p w14:paraId="55BBDC8D" w14:textId="77777777" w:rsidR="0074479F" w:rsidRPr="00D44D25" w:rsidRDefault="0074479F" w:rsidP="00CF2857">
            <w:pPr>
              <w:rPr>
                <w:rFonts w:ascii="Times New Roman" w:hAnsi="Times New Roman" w:cs="Times New Roman"/>
                <w:b/>
                <w:bCs/>
                <w:color w:val="000000" w:themeColor="text1"/>
                <w:sz w:val="20"/>
                <w:szCs w:val="20"/>
              </w:rPr>
            </w:pPr>
            <w:r w:rsidRPr="00D44D25">
              <w:rPr>
                <w:rFonts w:ascii="Times New Roman" w:hAnsi="Times New Roman" w:cs="Times New Roman"/>
                <w:b/>
                <w:bCs/>
                <w:color w:val="000000" w:themeColor="text1"/>
                <w:sz w:val="20"/>
                <w:szCs w:val="20"/>
              </w:rPr>
              <w:t xml:space="preserve">No. of events </w:t>
            </w:r>
          </w:p>
        </w:tc>
        <w:tc>
          <w:tcPr>
            <w:tcW w:w="2472" w:type="dxa"/>
          </w:tcPr>
          <w:p w14:paraId="230902DD" w14:textId="274F844D" w:rsidR="0074479F" w:rsidRPr="00D44D25" w:rsidRDefault="0074479F" w:rsidP="00CF2857">
            <w:pPr>
              <w:rPr>
                <w:rFonts w:ascii="Times New Roman" w:hAnsi="Times New Roman" w:cs="Times New Roman"/>
                <w:b/>
                <w:bCs/>
                <w:color w:val="000000" w:themeColor="text1"/>
                <w:sz w:val="20"/>
                <w:szCs w:val="20"/>
              </w:rPr>
            </w:pPr>
            <w:r w:rsidRPr="00D44D25">
              <w:rPr>
                <w:rFonts w:ascii="Times New Roman" w:hAnsi="Times New Roman" w:cs="Times New Roman"/>
                <w:b/>
                <w:bCs/>
                <w:color w:val="000000" w:themeColor="text1"/>
                <w:sz w:val="20"/>
                <w:szCs w:val="20"/>
              </w:rPr>
              <w:t xml:space="preserve">Adjusted </w:t>
            </w:r>
            <w:proofErr w:type="spellStart"/>
            <w:r w:rsidRPr="00D44D25">
              <w:rPr>
                <w:rFonts w:ascii="Times New Roman" w:hAnsi="Times New Roman" w:cs="Times New Roman"/>
                <w:b/>
                <w:bCs/>
                <w:color w:val="000000" w:themeColor="text1"/>
                <w:sz w:val="20"/>
                <w:szCs w:val="20"/>
              </w:rPr>
              <w:t>IRR</w:t>
            </w:r>
            <w:r w:rsidR="00BF79DD" w:rsidRPr="00E22443">
              <w:rPr>
                <w:rFonts w:ascii="Times New Roman" w:hAnsi="Times New Roman" w:cs="Times New Roman"/>
                <w:b/>
                <w:bCs/>
                <w:color w:val="000000" w:themeColor="text1"/>
                <w:sz w:val="20"/>
                <w:szCs w:val="20"/>
                <w:vertAlign w:val="superscript"/>
              </w:rPr>
              <w:t>a</w:t>
            </w:r>
            <w:proofErr w:type="spellEnd"/>
            <w:r w:rsidR="00BF79DD" w:rsidRPr="00D44D25">
              <w:rPr>
                <w:rFonts w:ascii="Times New Roman" w:hAnsi="Times New Roman" w:cs="Times New Roman"/>
                <w:b/>
                <w:bCs/>
                <w:color w:val="000000" w:themeColor="text1"/>
                <w:sz w:val="20"/>
                <w:szCs w:val="20"/>
              </w:rPr>
              <w:t xml:space="preserve"> </w:t>
            </w:r>
            <w:r w:rsidRPr="00D44D25">
              <w:rPr>
                <w:rFonts w:ascii="Times New Roman" w:hAnsi="Times New Roman" w:cs="Times New Roman"/>
                <w:b/>
                <w:bCs/>
                <w:color w:val="000000" w:themeColor="text1"/>
                <w:sz w:val="20"/>
                <w:szCs w:val="20"/>
              </w:rPr>
              <w:t>(95% CI)</w:t>
            </w:r>
          </w:p>
        </w:tc>
        <w:tc>
          <w:tcPr>
            <w:tcW w:w="1911" w:type="dxa"/>
          </w:tcPr>
          <w:p w14:paraId="2BBF9282" w14:textId="77777777" w:rsidR="0074479F" w:rsidRPr="00D44D25" w:rsidRDefault="0074479F" w:rsidP="00CF2857">
            <w:pPr>
              <w:rPr>
                <w:rFonts w:ascii="Times New Roman" w:hAnsi="Times New Roman" w:cs="Times New Roman"/>
                <w:b/>
                <w:bCs/>
                <w:color w:val="000000" w:themeColor="text1"/>
                <w:sz w:val="20"/>
                <w:szCs w:val="20"/>
              </w:rPr>
            </w:pPr>
            <w:r w:rsidRPr="00D44D25">
              <w:rPr>
                <w:rFonts w:ascii="Times New Roman" w:hAnsi="Times New Roman" w:cs="Times New Roman"/>
                <w:b/>
                <w:bCs/>
                <w:color w:val="000000" w:themeColor="text1"/>
                <w:sz w:val="20"/>
                <w:szCs w:val="20"/>
              </w:rPr>
              <w:t>P-value</w:t>
            </w:r>
          </w:p>
        </w:tc>
      </w:tr>
      <w:tr w:rsidR="009B4E4F" w:rsidRPr="00D44D25" w14:paraId="244CCE9E" w14:textId="77777777" w:rsidTr="00CF2857">
        <w:trPr>
          <w:trHeight w:val="323"/>
        </w:trPr>
        <w:tc>
          <w:tcPr>
            <w:tcW w:w="9016" w:type="dxa"/>
            <w:gridSpan w:val="4"/>
          </w:tcPr>
          <w:p w14:paraId="2BC449B7" w14:textId="3B6D9846" w:rsidR="009B4E4F" w:rsidRPr="00D44D25" w:rsidRDefault="009B4E4F" w:rsidP="00CF2857">
            <w:pPr>
              <w:rPr>
                <w:rFonts w:ascii="Times New Roman" w:hAnsi="Times New Roman" w:cs="Times New Roman"/>
                <w:noProof/>
                <w:color w:val="000000" w:themeColor="text1"/>
                <w:sz w:val="20"/>
                <w:szCs w:val="20"/>
              </w:rPr>
            </w:pPr>
            <w:r w:rsidRPr="00D44D25">
              <w:rPr>
                <w:rFonts w:ascii="Times New Roman" w:hAnsi="Times New Roman" w:cs="Times New Roman"/>
                <w:color w:val="000000" w:themeColor="text1"/>
                <w:sz w:val="20"/>
                <w:szCs w:val="20"/>
              </w:rPr>
              <w:t>Sensitivity analysis 1: Study start</w:t>
            </w:r>
            <w:r w:rsidR="00D649E7" w:rsidRPr="00D44D25">
              <w:rPr>
                <w:rFonts w:ascii="Times New Roman" w:hAnsi="Times New Roman" w:cs="Times New Roman"/>
                <w:color w:val="000000" w:themeColor="text1"/>
                <w:sz w:val="20"/>
                <w:szCs w:val="20"/>
              </w:rPr>
              <w:t>ed</w:t>
            </w:r>
            <w:r w:rsidRPr="00D44D25">
              <w:rPr>
                <w:rFonts w:ascii="Times New Roman" w:hAnsi="Times New Roman" w:cs="Times New Roman"/>
                <w:color w:val="000000" w:themeColor="text1"/>
                <w:sz w:val="20"/>
                <w:szCs w:val="20"/>
              </w:rPr>
              <w:t xml:space="preserve"> on </w:t>
            </w:r>
            <w:r w:rsidRPr="00D44D25">
              <w:rPr>
                <w:rFonts w:ascii="Times New Roman" w:hAnsi="Times New Roman" w:cs="Times New Roman"/>
                <w:noProof/>
                <w:color w:val="000000" w:themeColor="text1"/>
                <w:sz w:val="20"/>
                <w:szCs w:val="20"/>
              </w:rPr>
              <w:t>1</w:t>
            </w:r>
            <w:r w:rsidRPr="00D44D25">
              <w:rPr>
                <w:rFonts w:ascii="Times New Roman" w:hAnsi="Times New Roman" w:cs="Times New Roman"/>
                <w:noProof/>
                <w:color w:val="000000" w:themeColor="text1"/>
                <w:sz w:val="20"/>
                <w:szCs w:val="20"/>
                <w:vertAlign w:val="superscript"/>
              </w:rPr>
              <w:t>st</w:t>
            </w:r>
            <w:r w:rsidRPr="00D44D25">
              <w:rPr>
                <w:rFonts w:ascii="Times New Roman" w:hAnsi="Times New Roman" w:cs="Times New Roman"/>
                <w:noProof/>
                <w:color w:val="000000" w:themeColor="text1"/>
                <w:sz w:val="20"/>
                <w:szCs w:val="20"/>
              </w:rPr>
              <w:t xml:space="preserve"> January 2001, the 18</w:t>
            </w:r>
            <w:r w:rsidRPr="00D44D25">
              <w:rPr>
                <w:rFonts w:ascii="Times New Roman" w:hAnsi="Times New Roman" w:cs="Times New Roman"/>
                <w:noProof/>
                <w:color w:val="000000" w:themeColor="text1"/>
                <w:sz w:val="20"/>
                <w:szCs w:val="20"/>
                <w:vertAlign w:val="superscript"/>
              </w:rPr>
              <w:t>th</w:t>
            </w:r>
            <w:r w:rsidRPr="00D44D25">
              <w:rPr>
                <w:rFonts w:ascii="Times New Roman" w:hAnsi="Times New Roman" w:cs="Times New Roman"/>
                <w:noProof/>
                <w:color w:val="000000" w:themeColor="text1"/>
                <w:sz w:val="20"/>
                <w:szCs w:val="20"/>
              </w:rPr>
              <w:t xml:space="preserve"> birthday of the individual, the date of the patient entering the database, or the first observed date of bipolar disorder diagnosis, whichever was later. (n=2634)</w:t>
            </w:r>
          </w:p>
        </w:tc>
      </w:tr>
      <w:tr w:rsidR="0074479F" w:rsidRPr="00D44D25" w14:paraId="4A436648" w14:textId="77777777" w:rsidTr="00FC5A17">
        <w:tc>
          <w:tcPr>
            <w:tcW w:w="2785" w:type="dxa"/>
            <w:tcBorders>
              <w:top w:val="single" w:sz="4" w:space="0" w:color="auto"/>
            </w:tcBorders>
          </w:tcPr>
          <w:p w14:paraId="73A67A23" w14:textId="7053641B" w:rsidR="0074479F" w:rsidRPr="00D44D25" w:rsidRDefault="00FF17FE"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w:t>
            </w:r>
            <w:r w:rsidR="0074479F" w:rsidRPr="00D44D25">
              <w:rPr>
                <w:rFonts w:ascii="Times New Roman" w:hAnsi="Times New Roman" w:cs="Times New Roman"/>
                <w:color w:val="000000" w:themeColor="text1"/>
                <w:sz w:val="20"/>
                <w:szCs w:val="20"/>
              </w:rPr>
              <w:t xml:space="preserve">Baseline </w:t>
            </w:r>
          </w:p>
        </w:tc>
        <w:tc>
          <w:tcPr>
            <w:tcW w:w="1848" w:type="dxa"/>
          </w:tcPr>
          <w:p w14:paraId="54A880BB"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537</w:t>
            </w:r>
          </w:p>
        </w:tc>
        <w:tc>
          <w:tcPr>
            <w:tcW w:w="2472" w:type="dxa"/>
          </w:tcPr>
          <w:p w14:paraId="5F5F750D"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1.00</w:t>
            </w:r>
          </w:p>
        </w:tc>
        <w:tc>
          <w:tcPr>
            <w:tcW w:w="1911" w:type="dxa"/>
          </w:tcPr>
          <w:p w14:paraId="6C1A5BDF"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w:t>
            </w:r>
          </w:p>
        </w:tc>
      </w:tr>
      <w:tr w:rsidR="0074479F" w:rsidRPr="00D44D25" w14:paraId="0055D02F" w14:textId="77777777" w:rsidTr="00FC5A17">
        <w:tc>
          <w:tcPr>
            <w:tcW w:w="2785" w:type="dxa"/>
          </w:tcPr>
          <w:p w14:paraId="16B7C421" w14:textId="4A345705" w:rsidR="0074479F" w:rsidRPr="00D44D25" w:rsidRDefault="0074479F"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Pre-exposure period </w:t>
            </w:r>
          </w:p>
        </w:tc>
        <w:tc>
          <w:tcPr>
            <w:tcW w:w="1848" w:type="dxa"/>
          </w:tcPr>
          <w:p w14:paraId="22EBF604"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28</w:t>
            </w:r>
          </w:p>
        </w:tc>
        <w:tc>
          <w:tcPr>
            <w:tcW w:w="2472" w:type="dxa"/>
          </w:tcPr>
          <w:p w14:paraId="5149AAA1"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4.57 (3.08-6.77)</w:t>
            </w:r>
          </w:p>
        </w:tc>
        <w:tc>
          <w:tcPr>
            <w:tcW w:w="1911" w:type="dxa"/>
          </w:tcPr>
          <w:p w14:paraId="1223BEA7" w14:textId="7F49A6D2"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01</w:t>
            </w:r>
          </w:p>
        </w:tc>
      </w:tr>
      <w:tr w:rsidR="0074479F" w:rsidRPr="00D44D25" w14:paraId="4C91C622" w14:textId="77777777" w:rsidTr="00FC5A17">
        <w:tc>
          <w:tcPr>
            <w:tcW w:w="2785" w:type="dxa"/>
          </w:tcPr>
          <w:p w14:paraId="7720416F" w14:textId="54FB345B" w:rsidR="0074479F" w:rsidRPr="00D44D25" w:rsidRDefault="0074479F"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Acute treatment </w:t>
            </w:r>
          </w:p>
        </w:tc>
        <w:tc>
          <w:tcPr>
            <w:tcW w:w="1848" w:type="dxa"/>
          </w:tcPr>
          <w:p w14:paraId="2B7B3F88"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182</w:t>
            </w:r>
          </w:p>
        </w:tc>
        <w:tc>
          <w:tcPr>
            <w:tcW w:w="2472" w:type="dxa"/>
          </w:tcPr>
          <w:p w14:paraId="3240FE2D"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1.56 (1.28-1.91)</w:t>
            </w:r>
          </w:p>
        </w:tc>
        <w:tc>
          <w:tcPr>
            <w:tcW w:w="1911" w:type="dxa"/>
          </w:tcPr>
          <w:p w14:paraId="0263DFEA" w14:textId="4791C73E"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01</w:t>
            </w:r>
          </w:p>
        </w:tc>
      </w:tr>
      <w:tr w:rsidR="0074479F" w:rsidRPr="00D44D25" w14:paraId="3E6C2CBC" w14:textId="77777777" w:rsidTr="00FC5A17">
        <w:tc>
          <w:tcPr>
            <w:tcW w:w="2785" w:type="dxa"/>
          </w:tcPr>
          <w:p w14:paraId="0F6AF40D" w14:textId="797F4211" w:rsidR="0074479F" w:rsidRPr="00D44D25" w:rsidRDefault="0074479F"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Maintena</w:t>
            </w:r>
            <w:r w:rsidR="00FF17FE" w:rsidRPr="00D44D25">
              <w:rPr>
                <w:rFonts w:ascii="Times New Roman" w:hAnsi="Times New Roman" w:cs="Times New Roman"/>
                <w:color w:val="000000" w:themeColor="text1"/>
                <w:sz w:val="20"/>
                <w:szCs w:val="20"/>
              </w:rPr>
              <w:t>n</w:t>
            </w:r>
            <w:r w:rsidRPr="00D44D25">
              <w:rPr>
                <w:rFonts w:ascii="Times New Roman" w:hAnsi="Times New Roman" w:cs="Times New Roman"/>
                <w:color w:val="000000" w:themeColor="text1"/>
                <w:sz w:val="20"/>
                <w:szCs w:val="20"/>
              </w:rPr>
              <w:t xml:space="preserve">ce treatment </w:t>
            </w:r>
          </w:p>
        </w:tc>
        <w:tc>
          <w:tcPr>
            <w:tcW w:w="1848" w:type="dxa"/>
          </w:tcPr>
          <w:p w14:paraId="15215E35"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1817</w:t>
            </w:r>
          </w:p>
        </w:tc>
        <w:tc>
          <w:tcPr>
            <w:tcW w:w="2472" w:type="dxa"/>
          </w:tcPr>
          <w:p w14:paraId="3C27D5AB"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1.07 (0.92-1.25)</w:t>
            </w:r>
          </w:p>
        </w:tc>
        <w:tc>
          <w:tcPr>
            <w:tcW w:w="1911" w:type="dxa"/>
          </w:tcPr>
          <w:p w14:paraId="5F3CE6B9"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0.37</w:t>
            </w:r>
          </w:p>
        </w:tc>
      </w:tr>
      <w:tr w:rsidR="0074479F" w:rsidRPr="00D44D25" w14:paraId="30342285" w14:textId="77777777" w:rsidTr="00FC5A17">
        <w:tc>
          <w:tcPr>
            <w:tcW w:w="2785" w:type="dxa"/>
          </w:tcPr>
          <w:p w14:paraId="56FD06DB" w14:textId="5D2F4537" w:rsidR="0074479F" w:rsidRPr="00D44D25" w:rsidRDefault="0074479F" w:rsidP="00CF2857">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Post-exposure period </w:t>
            </w:r>
          </w:p>
        </w:tc>
        <w:tc>
          <w:tcPr>
            <w:tcW w:w="1848" w:type="dxa"/>
          </w:tcPr>
          <w:p w14:paraId="43FCE23D"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70</w:t>
            </w:r>
          </w:p>
        </w:tc>
        <w:tc>
          <w:tcPr>
            <w:tcW w:w="2472" w:type="dxa"/>
          </w:tcPr>
          <w:p w14:paraId="57802077"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1.51 (1.16-1.96)</w:t>
            </w:r>
          </w:p>
        </w:tc>
        <w:tc>
          <w:tcPr>
            <w:tcW w:w="1911" w:type="dxa"/>
          </w:tcPr>
          <w:p w14:paraId="696A5B0E" w14:textId="77777777" w:rsidR="0074479F" w:rsidRPr="00D44D25" w:rsidRDefault="0074479F" w:rsidP="00CF2857">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0.002</w:t>
            </w:r>
          </w:p>
        </w:tc>
      </w:tr>
      <w:tr w:rsidR="00FF17FE" w:rsidRPr="00D44D25" w14:paraId="7B567413" w14:textId="77777777" w:rsidTr="00FC5A17">
        <w:tc>
          <w:tcPr>
            <w:tcW w:w="2785" w:type="dxa"/>
          </w:tcPr>
          <w:p w14:paraId="0D06D848" w14:textId="77777777" w:rsidR="00FF17FE" w:rsidRPr="00D44D25" w:rsidRDefault="00FF17FE" w:rsidP="00CF2857">
            <w:pPr>
              <w:rPr>
                <w:rFonts w:ascii="Times New Roman" w:hAnsi="Times New Roman" w:cs="Times New Roman"/>
                <w:color w:val="000000" w:themeColor="text1"/>
                <w:sz w:val="20"/>
                <w:szCs w:val="20"/>
              </w:rPr>
            </w:pPr>
          </w:p>
        </w:tc>
        <w:tc>
          <w:tcPr>
            <w:tcW w:w="1848" w:type="dxa"/>
          </w:tcPr>
          <w:p w14:paraId="5AA3E871" w14:textId="77777777" w:rsidR="00FF17FE" w:rsidRPr="00D44D25" w:rsidRDefault="00FF17FE" w:rsidP="00CF2857">
            <w:pPr>
              <w:jc w:val="right"/>
              <w:rPr>
                <w:rFonts w:ascii="Times New Roman" w:hAnsi="Times New Roman" w:cs="Times New Roman"/>
                <w:color w:val="000000" w:themeColor="text1"/>
                <w:sz w:val="20"/>
                <w:szCs w:val="20"/>
              </w:rPr>
            </w:pPr>
          </w:p>
        </w:tc>
        <w:tc>
          <w:tcPr>
            <w:tcW w:w="2472" w:type="dxa"/>
          </w:tcPr>
          <w:p w14:paraId="5D193049" w14:textId="77777777" w:rsidR="00FF17FE" w:rsidRPr="00D44D25" w:rsidRDefault="00FF17FE" w:rsidP="00CF2857">
            <w:pPr>
              <w:jc w:val="right"/>
              <w:rPr>
                <w:rFonts w:ascii="Times New Roman" w:hAnsi="Times New Roman" w:cs="Times New Roman"/>
                <w:color w:val="000000" w:themeColor="text1"/>
                <w:sz w:val="20"/>
                <w:szCs w:val="20"/>
              </w:rPr>
            </w:pPr>
          </w:p>
        </w:tc>
        <w:tc>
          <w:tcPr>
            <w:tcW w:w="1911" w:type="dxa"/>
          </w:tcPr>
          <w:p w14:paraId="2A5E3650" w14:textId="77777777" w:rsidR="00FF17FE" w:rsidRPr="00D44D25" w:rsidRDefault="00FF17FE" w:rsidP="00CF2857">
            <w:pPr>
              <w:jc w:val="right"/>
              <w:rPr>
                <w:rFonts w:ascii="Times New Roman" w:hAnsi="Times New Roman" w:cs="Times New Roman"/>
                <w:color w:val="000000" w:themeColor="text1"/>
                <w:sz w:val="20"/>
                <w:szCs w:val="20"/>
              </w:rPr>
            </w:pPr>
          </w:p>
        </w:tc>
      </w:tr>
      <w:tr w:rsidR="00FF17FE" w:rsidRPr="00D44D25" w14:paraId="36EE9B62" w14:textId="77777777" w:rsidTr="00CF2857">
        <w:tc>
          <w:tcPr>
            <w:tcW w:w="9016" w:type="dxa"/>
            <w:gridSpan w:val="4"/>
          </w:tcPr>
          <w:p w14:paraId="68419499" w14:textId="6F7527BF"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Sensitivity analysis 2: Removing patients who died during the observation period</w:t>
            </w:r>
            <w:r w:rsidR="009B4E4F" w:rsidRPr="00D44D25">
              <w:rPr>
                <w:rFonts w:ascii="Times New Roman" w:hAnsi="Times New Roman" w:cs="Times New Roman"/>
                <w:color w:val="000000" w:themeColor="text1"/>
                <w:sz w:val="20"/>
                <w:szCs w:val="20"/>
              </w:rPr>
              <w:t xml:space="preserve"> (n=4338)</w:t>
            </w:r>
          </w:p>
        </w:tc>
      </w:tr>
      <w:tr w:rsidR="00FF17FE" w:rsidRPr="00D44D25" w14:paraId="32560801" w14:textId="77777777" w:rsidTr="00FC5A17">
        <w:tc>
          <w:tcPr>
            <w:tcW w:w="2785" w:type="dxa"/>
          </w:tcPr>
          <w:p w14:paraId="00DE3598" w14:textId="20206CF3"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Baseline </w:t>
            </w:r>
          </w:p>
        </w:tc>
        <w:tc>
          <w:tcPr>
            <w:tcW w:w="1848" w:type="dxa"/>
          </w:tcPr>
          <w:p w14:paraId="67BAC9A1" w14:textId="71CAA1F6"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2215</w:t>
            </w:r>
          </w:p>
        </w:tc>
        <w:tc>
          <w:tcPr>
            <w:tcW w:w="2472" w:type="dxa"/>
          </w:tcPr>
          <w:p w14:paraId="03D61549" w14:textId="05B46045"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1.00</w:t>
            </w:r>
          </w:p>
        </w:tc>
        <w:tc>
          <w:tcPr>
            <w:tcW w:w="1911" w:type="dxa"/>
          </w:tcPr>
          <w:p w14:paraId="46FB50C2" w14:textId="73DDDAF4"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w:t>
            </w:r>
          </w:p>
        </w:tc>
      </w:tr>
      <w:tr w:rsidR="00FF17FE" w:rsidRPr="00D44D25" w14:paraId="47163A64" w14:textId="77777777" w:rsidTr="00FC5A17">
        <w:tc>
          <w:tcPr>
            <w:tcW w:w="2785" w:type="dxa"/>
          </w:tcPr>
          <w:p w14:paraId="4AA0CD66" w14:textId="17006DE9"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Pre-exposure period </w:t>
            </w:r>
          </w:p>
        </w:tc>
        <w:tc>
          <w:tcPr>
            <w:tcW w:w="1848" w:type="dxa"/>
          </w:tcPr>
          <w:p w14:paraId="15F49441" w14:textId="40B949E7"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111</w:t>
            </w:r>
          </w:p>
        </w:tc>
        <w:tc>
          <w:tcPr>
            <w:tcW w:w="2472" w:type="dxa"/>
          </w:tcPr>
          <w:p w14:paraId="62E83F0D" w14:textId="1F54FDE2"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4.39 (3.61-5.34)</w:t>
            </w:r>
          </w:p>
        </w:tc>
        <w:tc>
          <w:tcPr>
            <w:tcW w:w="1911" w:type="dxa"/>
          </w:tcPr>
          <w:p w14:paraId="02C7D3D5" w14:textId="4C1D7510"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01</w:t>
            </w:r>
          </w:p>
        </w:tc>
      </w:tr>
      <w:tr w:rsidR="00FF17FE" w:rsidRPr="00D44D25" w14:paraId="4F14D183" w14:textId="77777777" w:rsidTr="00FC5A17">
        <w:tc>
          <w:tcPr>
            <w:tcW w:w="2785" w:type="dxa"/>
          </w:tcPr>
          <w:p w14:paraId="4D87A651" w14:textId="06855000"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Acute treatment </w:t>
            </w:r>
          </w:p>
        </w:tc>
        <w:tc>
          <w:tcPr>
            <w:tcW w:w="1848" w:type="dxa"/>
          </w:tcPr>
          <w:p w14:paraId="68045048" w14:textId="75AC6E6E"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198</w:t>
            </w:r>
          </w:p>
        </w:tc>
        <w:tc>
          <w:tcPr>
            <w:tcW w:w="2472" w:type="dxa"/>
          </w:tcPr>
          <w:p w14:paraId="0888D8B7" w14:textId="7315559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1.35 (1.14-1.58)</w:t>
            </w:r>
          </w:p>
        </w:tc>
        <w:tc>
          <w:tcPr>
            <w:tcW w:w="1911" w:type="dxa"/>
          </w:tcPr>
          <w:p w14:paraId="04EE8FF1" w14:textId="2120B843"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01</w:t>
            </w:r>
          </w:p>
        </w:tc>
      </w:tr>
      <w:tr w:rsidR="00FF17FE" w:rsidRPr="00D44D25" w14:paraId="51D3B9D2" w14:textId="77777777" w:rsidTr="00FC5A17">
        <w:tc>
          <w:tcPr>
            <w:tcW w:w="2785" w:type="dxa"/>
          </w:tcPr>
          <w:p w14:paraId="2D7A0889" w14:textId="435AC6FF"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Maintenance treatment </w:t>
            </w:r>
          </w:p>
        </w:tc>
        <w:tc>
          <w:tcPr>
            <w:tcW w:w="1848" w:type="dxa"/>
          </w:tcPr>
          <w:p w14:paraId="3DA648EF" w14:textId="2B8E2F5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1737</w:t>
            </w:r>
          </w:p>
        </w:tc>
        <w:tc>
          <w:tcPr>
            <w:tcW w:w="2472" w:type="dxa"/>
          </w:tcPr>
          <w:p w14:paraId="2F48D882" w14:textId="08BBC9BF"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0.88 (0.80-0.98)</w:t>
            </w:r>
          </w:p>
        </w:tc>
        <w:tc>
          <w:tcPr>
            <w:tcW w:w="1911" w:type="dxa"/>
          </w:tcPr>
          <w:p w14:paraId="18A6CB58" w14:textId="27375864"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0.02</w:t>
            </w:r>
          </w:p>
        </w:tc>
      </w:tr>
      <w:tr w:rsidR="00FF17FE" w:rsidRPr="00D44D25" w14:paraId="312F8AAB" w14:textId="77777777" w:rsidTr="00FC5A17">
        <w:tc>
          <w:tcPr>
            <w:tcW w:w="2785" w:type="dxa"/>
          </w:tcPr>
          <w:p w14:paraId="21B29B5B" w14:textId="0C910AEB"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Post-exposure period </w:t>
            </w:r>
          </w:p>
        </w:tc>
        <w:tc>
          <w:tcPr>
            <w:tcW w:w="1848" w:type="dxa"/>
          </w:tcPr>
          <w:p w14:paraId="5BFEB591" w14:textId="5EF697A0"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77</w:t>
            </w:r>
          </w:p>
        </w:tc>
        <w:tc>
          <w:tcPr>
            <w:tcW w:w="2472" w:type="dxa"/>
          </w:tcPr>
          <w:p w14:paraId="55886EC4" w14:textId="3523CC56"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1.22 (0.96-1.54)</w:t>
            </w:r>
          </w:p>
        </w:tc>
        <w:tc>
          <w:tcPr>
            <w:tcW w:w="1911" w:type="dxa"/>
          </w:tcPr>
          <w:p w14:paraId="6E0E2F0A" w14:textId="3962D8B5"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0.10</w:t>
            </w:r>
          </w:p>
        </w:tc>
      </w:tr>
      <w:tr w:rsidR="00FF17FE" w:rsidRPr="00D44D25" w14:paraId="76AA2325" w14:textId="77777777" w:rsidTr="00FC5A17">
        <w:tc>
          <w:tcPr>
            <w:tcW w:w="2785" w:type="dxa"/>
          </w:tcPr>
          <w:p w14:paraId="33673F0F" w14:textId="77777777" w:rsidR="00FF17FE" w:rsidRPr="00D44D25" w:rsidRDefault="00FF17FE" w:rsidP="00FF17FE">
            <w:pPr>
              <w:rPr>
                <w:rFonts w:ascii="Times New Roman" w:hAnsi="Times New Roman" w:cs="Times New Roman"/>
                <w:color w:val="000000" w:themeColor="text1"/>
                <w:sz w:val="20"/>
                <w:szCs w:val="20"/>
              </w:rPr>
            </w:pPr>
          </w:p>
        </w:tc>
        <w:tc>
          <w:tcPr>
            <w:tcW w:w="1848" w:type="dxa"/>
          </w:tcPr>
          <w:p w14:paraId="1AEAF433" w14:textId="77777777" w:rsidR="00FF17FE" w:rsidRPr="00D44D25" w:rsidRDefault="00FF17FE" w:rsidP="00FF17FE">
            <w:pPr>
              <w:jc w:val="right"/>
              <w:rPr>
                <w:rFonts w:ascii="Times New Roman" w:hAnsi="Times New Roman" w:cs="Times New Roman"/>
                <w:color w:val="000000" w:themeColor="text1"/>
                <w:sz w:val="20"/>
                <w:szCs w:val="20"/>
              </w:rPr>
            </w:pPr>
          </w:p>
        </w:tc>
        <w:tc>
          <w:tcPr>
            <w:tcW w:w="2472" w:type="dxa"/>
          </w:tcPr>
          <w:p w14:paraId="42A70286" w14:textId="77777777" w:rsidR="00FF17FE" w:rsidRPr="00D44D25" w:rsidRDefault="00FF17FE" w:rsidP="00FF17FE">
            <w:pPr>
              <w:jc w:val="right"/>
              <w:rPr>
                <w:rFonts w:ascii="Times New Roman" w:hAnsi="Times New Roman" w:cs="Times New Roman"/>
                <w:color w:val="000000" w:themeColor="text1"/>
                <w:sz w:val="20"/>
                <w:szCs w:val="20"/>
              </w:rPr>
            </w:pPr>
          </w:p>
        </w:tc>
        <w:tc>
          <w:tcPr>
            <w:tcW w:w="1911" w:type="dxa"/>
          </w:tcPr>
          <w:p w14:paraId="1C1898C9" w14:textId="77777777" w:rsidR="00FF17FE" w:rsidRPr="00D44D25" w:rsidRDefault="00FF17FE" w:rsidP="00FF17FE">
            <w:pPr>
              <w:jc w:val="right"/>
              <w:rPr>
                <w:rFonts w:ascii="Times New Roman" w:hAnsi="Times New Roman" w:cs="Times New Roman"/>
                <w:color w:val="000000" w:themeColor="text1"/>
                <w:sz w:val="20"/>
                <w:szCs w:val="20"/>
              </w:rPr>
            </w:pPr>
          </w:p>
        </w:tc>
      </w:tr>
      <w:tr w:rsidR="00FF17FE" w:rsidRPr="00D44D25" w14:paraId="049F44A8" w14:textId="77777777" w:rsidTr="00CF2857">
        <w:tc>
          <w:tcPr>
            <w:tcW w:w="9016" w:type="dxa"/>
            <w:gridSpan w:val="4"/>
          </w:tcPr>
          <w:p w14:paraId="34D904F0" w14:textId="048A244D"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Sensitivity analysis 3: Restricting the cohort to incident users of treatment of mood stabilizers and/or antipsychotics</w:t>
            </w:r>
            <w:r w:rsidR="009B4E4F" w:rsidRPr="00D44D25">
              <w:rPr>
                <w:rFonts w:ascii="Times New Roman" w:hAnsi="Times New Roman" w:cs="Times New Roman"/>
                <w:color w:val="000000" w:themeColor="text1"/>
                <w:sz w:val="20"/>
                <w:szCs w:val="20"/>
              </w:rPr>
              <w:t xml:space="preserve"> (n=4843)</w:t>
            </w:r>
          </w:p>
        </w:tc>
      </w:tr>
      <w:tr w:rsidR="00FF17FE" w:rsidRPr="00D44D25" w14:paraId="192132B8" w14:textId="77777777" w:rsidTr="00FC5A17">
        <w:tc>
          <w:tcPr>
            <w:tcW w:w="2785" w:type="dxa"/>
          </w:tcPr>
          <w:p w14:paraId="6342B1F3" w14:textId="4797073E"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Baseline </w:t>
            </w:r>
          </w:p>
        </w:tc>
        <w:tc>
          <w:tcPr>
            <w:tcW w:w="1848" w:type="dxa"/>
          </w:tcPr>
          <w:p w14:paraId="10B1B529" w14:textId="29E977A6"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2420</w:t>
            </w:r>
          </w:p>
        </w:tc>
        <w:tc>
          <w:tcPr>
            <w:tcW w:w="2472" w:type="dxa"/>
          </w:tcPr>
          <w:p w14:paraId="0C7F9F5E" w14:textId="7C9FE721"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1.00</w:t>
            </w:r>
          </w:p>
        </w:tc>
        <w:tc>
          <w:tcPr>
            <w:tcW w:w="1911" w:type="dxa"/>
          </w:tcPr>
          <w:p w14:paraId="171198D7" w14:textId="1D72D64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w:t>
            </w:r>
          </w:p>
        </w:tc>
      </w:tr>
      <w:tr w:rsidR="00FF17FE" w:rsidRPr="00D44D25" w14:paraId="07CE7F81" w14:textId="77777777" w:rsidTr="00FC5A17">
        <w:tc>
          <w:tcPr>
            <w:tcW w:w="2785" w:type="dxa"/>
          </w:tcPr>
          <w:p w14:paraId="1C22288D" w14:textId="07FDC03A"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Pre-exposure period </w:t>
            </w:r>
          </w:p>
        </w:tc>
        <w:tc>
          <w:tcPr>
            <w:tcW w:w="1848" w:type="dxa"/>
          </w:tcPr>
          <w:p w14:paraId="657A6D1B" w14:textId="1D953747"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130</w:t>
            </w:r>
          </w:p>
        </w:tc>
        <w:tc>
          <w:tcPr>
            <w:tcW w:w="2472" w:type="dxa"/>
          </w:tcPr>
          <w:p w14:paraId="24B89461" w14:textId="00766CCC"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4.47 (3.73-5.36)</w:t>
            </w:r>
          </w:p>
        </w:tc>
        <w:tc>
          <w:tcPr>
            <w:tcW w:w="1911" w:type="dxa"/>
          </w:tcPr>
          <w:p w14:paraId="58211279" w14:textId="1C1AC18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01</w:t>
            </w:r>
          </w:p>
        </w:tc>
      </w:tr>
      <w:tr w:rsidR="00FF17FE" w:rsidRPr="00D44D25" w14:paraId="5E0BB159" w14:textId="77777777" w:rsidTr="00FC5A17">
        <w:tc>
          <w:tcPr>
            <w:tcW w:w="2785" w:type="dxa"/>
          </w:tcPr>
          <w:p w14:paraId="3CE9AEB9" w14:textId="2CC4175C"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Acute treatment </w:t>
            </w:r>
          </w:p>
        </w:tc>
        <w:tc>
          <w:tcPr>
            <w:tcW w:w="1848" w:type="dxa"/>
          </w:tcPr>
          <w:p w14:paraId="6BE0CC31" w14:textId="6328B230"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233</w:t>
            </w:r>
          </w:p>
        </w:tc>
        <w:tc>
          <w:tcPr>
            <w:tcW w:w="2472" w:type="dxa"/>
          </w:tcPr>
          <w:p w14:paraId="2A065D9A" w14:textId="2B48D8DE"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1.48 (1.28</w:t>
            </w:r>
            <w:r w:rsidRPr="00D44D25" w:rsidDel="0090273C">
              <w:rPr>
                <w:rFonts w:ascii="Times New Roman" w:hAnsi="Times New Roman" w:cs="Times New Roman"/>
                <w:color w:val="000000" w:themeColor="text1"/>
                <w:sz w:val="20"/>
                <w:szCs w:val="20"/>
              </w:rPr>
              <w:t xml:space="preserve"> </w:t>
            </w:r>
            <w:r w:rsidRPr="00D44D25">
              <w:rPr>
                <w:rFonts w:ascii="Times New Roman" w:hAnsi="Times New Roman" w:cs="Times New Roman"/>
                <w:color w:val="000000" w:themeColor="text1"/>
                <w:sz w:val="20"/>
                <w:szCs w:val="20"/>
              </w:rPr>
              <w:t>-1.72)</w:t>
            </w:r>
          </w:p>
        </w:tc>
        <w:tc>
          <w:tcPr>
            <w:tcW w:w="1911" w:type="dxa"/>
          </w:tcPr>
          <w:p w14:paraId="5141A2B4" w14:textId="497FEFC0"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01</w:t>
            </w:r>
          </w:p>
        </w:tc>
      </w:tr>
      <w:tr w:rsidR="00FF17FE" w:rsidRPr="00D44D25" w14:paraId="145720A8" w14:textId="77777777" w:rsidTr="00FC5A17">
        <w:tc>
          <w:tcPr>
            <w:tcW w:w="2785" w:type="dxa"/>
          </w:tcPr>
          <w:p w14:paraId="628073FF" w14:textId="79C0F74A"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Maintenance treatment </w:t>
            </w:r>
          </w:p>
        </w:tc>
        <w:tc>
          <w:tcPr>
            <w:tcW w:w="1848" w:type="dxa"/>
          </w:tcPr>
          <w:p w14:paraId="74EEEF00" w14:textId="58560E4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1966</w:t>
            </w:r>
          </w:p>
        </w:tc>
        <w:tc>
          <w:tcPr>
            <w:tcW w:w="2472" w:type="dxa"/>
          </w:tcPr>
          <w:p w14:paraId="0D53CC63" w14:textId="786F7AEF"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0.96 (0.87-1.05)</w:t>
            </w:r>
          </w:p>
        </w:tc>
        <w:tc>
          <w:tcPr>
            <w:tcW w:w="1911" w:type="dxa"/>
          </w:tcPr>
          <w:p w14:paraId="62D4AF54" w14:textId="67CC104B"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0.36</w:t>
            </w:r>
          </w:p>
        </w:tc>
      </w:tr>
      <w:tr w:rsidR="00FF17FE" w:rsidRPr="00D44D25" w14:paraId="7AC39E32" w14:textId="77777777" w:rsidTr="00FC5A17">
        <w:tc>
          <w:tcPr>
            <w:tcW w:w="2785" w:type="dxa"/>
          </w:tcPr>
          <w:p w14:paraId="0F6B14AC" w14:textId="7ADBCE09"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Post-exposure period </w:t>
            </w:r>
          </w:p>
        </w:tc>
        <w:tc>
          <w:tcPr>
            <w:tcW w:w="1848" w:type="dxa"/>
          </w:tcPr>
          <w:p w14:paraId="1A04C89A" w14:textId="1F70AF94"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94</w:t>
            </w:r>
          </w:p>
        </w:tc>
        <w:tc>
          <w:tcPr>
            <w:tcW w:w="2472" w:type="dxa"/>
          </w:tcPr>
          <w:p w14:paraId="449085AD" w14:textId="410C79F0"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1.37 (1.10-1.69)</w:t>
            </w:r>
          </w:p>
        </w:tc>
        <w:tc>
          <w:tcPr>
            <w:tcW w:w="1911" w:type="dxa"/>
          </w:tcPr>
          <w:p w14:paraId="77650D7E" w14:textId="16AEB65F"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0.004</w:t>
            </w:r>
          </w:p>
        </w:tc>
      </w:tr>
      <w:tr w:rsidR="00FF17FE" w:rsidRPr="00D44D25" w14:paraId="5D856947" w14:textId="77777777" w:rsidTr="00FC5A17">
        <w:tc>
          <w:tcPr>
            <w:tcW w:w="2785" w:type="dxa"/>
          </w:tcPr>
          <w:p w14:paraId="33E94272" w14:textId="77777777" w:rsidR="00FF17FE" w:rsidRPr="00D44D25" w:rsidRDefault="00FF17FE" w:rsidP="00FF17FE">
            <w:pPr>
              <w:rPr>
                <w:rFonts w:ascii="Times New Roman" w:hAnsi="Times New Roman" w:cs="Times New Roman"/>
                <w:color w:val="000000" w:themeColor="text1"/>
                <w:sz w:val="20"/>
                <w:szCs w:val="20"/>
              </w:rPr>
            </w:pPr>
          </w:p>
        </w:tc>
        <w:tc>
          <w:tcPr>
            <w:tcW w:w="1848" w:type="dxa"/>
          </w:tcPr>
          <w:p w14:paraId="16A6CE6E" w14:textId="77777777" w:rsidR="00FF17FE" w:rsidRPr="00D44D25" w:rsidRDefault="00FF17FE" w:rsidP="00FF17FE">
            <w:pPr>
              <w:jc w:val="right"/>
              <w:rPr>
                <w:rFonts w:ascii="Times New Roman" w:hAnsi="Times New Roman" w:cs="Times New Roman"/>
                <w:color w:val="000000" w:themeColor="text1"/>
                <w:sz w:val="20"/>
                <w:szCs w:val="20"/>
              </w:rPr>
            </w:pPr>
          </w:p>
        </w:tc>
        <w:tc>
          <w:tcPr>
            <w:tcW w:w="2472" w:type="dxa"/>
          </w:tcPr>
          <w:p w14:paraId="184A2296" w14:textId="77777777" w:rsidR="00FF17FE" w:rsidRPr="00D44D25" w:rsidRDefault="00FF17FE" w:rsidP="00FF17FE">
            <w:pPr>
              <w:jc w:val="right"/>
              <w:rPr>
                <w:rFonts w:ascii="Times New Roman" w:hAnsi="Times New Roman" w:cs="Times New Roman"/>
                <w:color w:val="000000" w:themeColor="text1"/>
                <w:sz w:val="20"/>
                <w:szCs w:val="20"/>
              </w:rPr>
            </w:pPr>
          </w:p>
        </w:tc>
        <w:tc>
          <w:tcPr>
            <w:tcW w:w="1911" w:type="dxa"/>
          </w:tcPr>
          <w:p w14:paraId="6F1D990D" w14:textId="77777777" w:rsidR="00FF17FE" w:rsidRPr="00D44D25" w:rsidRDefault="00FF17FE" w:rsidP="00FF17FE">
            <w:pPr>
              <w:jc w:val="right"/>
              <w:rPr>
                <w:rFonts w:ascii="Times New Roman" w:hAnsi="Times New Roman" w:cs="Times New Roman"/>
                <w:color w:val="000000" w:themeColor="text1"/>
                <w:sz w:val="20"/>
                <w:szCs w:val="20"/>
              </w:rPr>
            </w:pPr>
          </w:p>
        </w:tc>
      </w:tr>
      <w:tr w:rsidR="00FF17FE" w:rsidRPr="00D44D25" w14:paraId="370B87A0" w14:textId="77777777" w:rsidTr="00CF2857">
        <w:tc>
          <w:tcPr>
            <w:tcW w:w="9016" w:type="dxa"/>
            <w:gridSpan w:val="4"/>
          </w:tcPr>
          <w:p w14:paraId="59FF6D28" w14:textId="34207139"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Sensitivity analysis 4: Removing patients with schizophrenia between the database inception and the end of observation period</w:t>
            </w:r>
            <w:r w:rsidR="009B4E4F" w:rsidRPr="00D44D25">
              <w:rPr>
                <w:rFonts w:ascii="Times New Roman" w:hAnsi="Times New Roman" w:cs="Times New Roman"/>
                <w:color w:val="000000" w:themeColor="text1"/>
                <w:sz w:val="20"/>
                <w:szCs w:val="20"/>
              </w:rPr>
              <w:t xml:space="preserve"> (n=4365)</w:t>
            </w:r>
          </w:p>
        </w:tc>
      </w:tr>
      <w:tr w:rsidR="00FF17FE" w:rsidRPr="00D44D25" w14:paraId="015A5143" w14:textId="77777777" w:rsidTr="00FC5A17">
        <w:tc>
          <w:tcPr>
            <w:tcW w:w="2785" w:type="dxa"/>
          </w:tcPr>
          <w:p w14:paraId="666B4D2A" w14:textId="5626431D"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Baseline </w:t>
            </w:r>
          </w:p>
        </w:tc>
        <w:tc>
          <w:tcPr>
            <w:tcW w:w="1848" w:type="dxa"/>
          </w:tcPr>
          <w:p w14:paraId="3D7C3866" w14:textId="73BFD93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2248</w:t>
            </w:r>
          </w:p>
        </w:tc>
        <w:tc>
          <w:tcPr>
            <w:tcW w:w="2472" w:type="dxa"/>
          </w:tcPr>
          <w:p w14:paraId="618C695C" w14:textId="21FDE788"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1.00</w:t>
            </w:r>
          </w:p>
        </w:tc>
        <w:tc>
          <w:tcPr>
            <w:tcW w:w="1911" w:type="dxa"/>
          </w:tcPr>
          <w:p w14:paraId="62B2D320" w14:textId="24A81550"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w:t>
            </w:r>
          </w:p>
        </w:tc>
      </w:tr>
      <w:tr w:rsidR="00FF17FE" w:rsidRPr="00D44D25" w14:paraId="595362A0" w14:textId="77777777" w:rsidTr="00FC5A17">
        <w:tc>
          <w:tcPr>
            <w:tcW w:w="2785" w:type="dxa"/>
          </w:tcPr>
          <w:p w14:paraId="5355339D" w14:textId="14E99FC8"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Pre-exposure period </w:t>
            </w:r>
          </w:p>
        </w:tc>
        <w:tc>
          <w:tcPr>
            <w:tcW w:w="1848" w:type="dxa"/>
          </w:tcPr>
          <w:p w14:paraId="06A9F97C" w14:textId="2BEE9C0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120</w:t>
            </w:r>
          </w:p>
        </w:tc>
        <w:tc>
          <w:tcPr>
            <w:tcW w:w="2472" w:type="dxa"/>
          </w:tcPr>
          <w:p w14:paraId="41D4CFA8" w14:textId="7BE56501"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4.65 (3.85-5.62)</w:t>
            </w:r>
          </w:p>
        </w:tc>
        <w:tc>
          <w:tcPr>
            <w:tcW w:w="1911" w:type="dxa"/>
          </w:tcPr>
          <w:p w14:paraId="1C2F300F" w14:textId="475FBDE0"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01</w:t>
            </w:r>
          </w:p>
        </w:tc>
      </w:tr>
      <w:tr w:rsidR="00FF17FE" w:rsidRPr="00D44D25" w14:paraId="749960F2" w14:textId="77777777" w:rsidTr="00FC5A17">
        <w:tc>
          <w:tcPr>
            <w:tcW w:w="2785" w:type="dxa"/>
          </w:tcPr>
          <w:p w14:paraId="02F7F4AF" w14:textId="61A372E0"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Acute treatment </w:t>
            </w:r>
          </w:p>
        </w:tc>
        <w:tc>
          <w:tcPr>
            <w:tcW w:w="1848" w:type="dxa"/>
          </w:tcPr>
          <w:p w14:paraId="7D7290F9" w14:textId="49BE315C"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208</w:t>
            </w:r>
          </w:p>
        </w:tc>
        <w:tc>
          <w:tcPr>
            <w:tcW w:w="2472" w:type="dxa"/>
          </w:tcPr>
          <w:p w14:paraId="2F309187" w14:textId="207882D8"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1.55 (1.32-1.82)</w:t>
            </w:r>
          </w:p>
        </w:tc>
        <w:tc>
          <w:tcPr>
            <w:tcW w:w="1911" w:type="dxa"/>
          </w:tcPr>
          <w:p w14:paraId="754BB631" w14:textId="3F041EB4"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01</w:t>
            </w:r>
          </w:p>
        </w:tc>
      </w:tr>
      <w:tr w:rsidR="00FF17FE" w:rsidRPr="00D44D25" w14:paraId="266E9218" w14:textId="77777777" w:rsidTr="00FC5A17">
        <w:tc>
          <w:tcPr>
            <w:tcW w:w="2785" w:type="dxa"/>
          </w:tcPr>
          <w:p w14:paraId="10137E2A" w14:textId="567AF68E"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Maintenance treatment </w:t>
            </w:r>
          </w:p>
        </w:tc>
        <w:tc>
          <w:tcPr>
            <w:tcW w:w="1848" w:type="dxa"/>
          </w:tcPr>
          <w:p w14:paraId="56DBD01F" w14:textId="6D627731"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1705</w:t>
            </w:r>
          </w:p>
        </w:tc>
        <w:tc>
          <w:tcPr>
            <w:tcW w:w="2472" w:type="dxa"/>
          </w:tcPr>
          <w:p w14:paraId="49CC1E50" w14:textId="75838DE8"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0.97 (0.87-1.07)</w:t>
            </w:r>
          </w:p>
        </w:tc>
        <w:tc>
          <w:tcPr>
            <w:tcW w:w="1911" w:type="dxa"/>
          </w:tcPr>
          <w:p w14:paraId="36B3AFDD" w14:textId="52E7E7E7"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0.53</w:t>
            </w:r>
          </w:p>
        </w:tc>
      </w:tr>
      <w:tr w:rsidR="00FF17FE" w:rsidRPr="00D44D25" w14:paraId="6E04DE8B" w14:textId="77777777" w:rsidTr="00FC5A17">
        <w:tc>
          <w:tcPr>
            <w:tcW w:w="2785" w:type="dxa"/>
          </w:tcPr>
          <w:p w14:paraId="0A5BB683" w14:textId="4651971A"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Post-exposure period </w:t>
            </w:r>
          </w:p>
        </w:tc>
        <w:tc>
          <w:tcPr>
            <w:tcW w:w="1848" w:type="dxa"/>
          </w:tcPr>
          <w:p w14:paraId="7B758917" w14:textId="306EDE98"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84</w:t>
            </w:r>
          </w:p>
        </w:tc>
        <w:tc>
          <w:tcPr>
            <w:tcW w:w="2472" w:type="dxa"/>
          </w:tcPr>
          <w:p w14:paraId="67193ED3" w14:textId="285E3E85"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1.42 (1.14-1.78)</w:t>
            </w:r>
          </w:p>
        </w:tc>
        <w:tc>
          <w:tcPr>
            <w:tcW w:w="1911" w:type="dxa"/>
          </w:tcPr>
          <w:p w14:paraId="4E8C0E13" w14:textId="42912AD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0.002</w:t>
            </w:r>
          </w:p>
        </w:tc>
      </w:tr>
      <w:tr w:rsidR="00FF17FE" w:rsidRPr="00D44D25" w14:paraId="483844B7" w14:textId="77777777" w:rsidTr="00FC5A17">
        <w:tc>
          <w:tcPr>
            <w:tcW w:w="2785" w:type="dxa"/>
          </w:tcPr>
          <w:p w14:paraId="39E3B2E1" w14:textId="77777777" w:rsidR="00FF17FE" w:rsidRPr="00D44D25" w:rsidRDefault="00FF17FE" w:rsidP="00FF17FE">
            <w:pPr>
              <w:rPr>
                <w:rFonts w:ascii="Times New Roman" w:hAnsi="Times New Roman" w:cs="Times New Roman"/>
                <w:color w:val="000000" w:themeColor="text1"/>
                <w:sz w:val="20"/>
                <w:szCs w:val="20"/>
              </w:rPr>
            </w:pPr>
          </w:p>
        </w:tc>
        <w:tc>
          <w:tcPr>
            <w:tcW w:w="1848" w:type="dxa"/>
          </w:tcPr>
          <w:p w14:paraId="6F52471D" w14:textId="77777777" w:rsidR="00FF17FE" w:rsidRPr="00D44D25" w:rsidRDefault="00FF17FE" w:rsidP="00FF17FE">
            <w:pPr>
              <w:jc w:val="right"/>
              <w:rPr>
                <w:rFonts w:ascii="Times New Roman" w:hAnsi="Times New Roman" w:cs="Times New Roman"/>
                <w:color w:val="000000" w:themeColor="text1"/>
                <w:sz w:val="20"/>
                <w:szCs w:val="20"/>
              </w:rPr>
            </w:pPr>
          </w:p>
        </w:tc>
        <w:tc>
          <w:tcPr>
            <w:tcW w:w="2472" w:type="dxa"/>
          </w:tcPr>
          <w:p w14:paraId="427F1A85" w14:textId="77777777" w:rsidR="00FF17FE" w:rsidRPr="00D44D25" w:rsidRDefault="00FF17FE" w:rsidP="00FF17FE">
            <w:pPr>
              <w:jc w:val="right"/>
              <w:rPr>
                <w:rFonts w:ascii="Times New Roman" w:hAnsi="Times New Roman" w:cs="Times New Roman"/>
                <w:color w:val="000000" w:themeColor="text1"/>
                <w:sz w:val="20"/>
                <w:szCs w:val="20"/>
              </w:rPr>
            </w:pPr>
          </w:p>
        </w:tc>
        <w:tc>
          <w:tcPr>
            <w:tcW w:w="1911" w:type="dxa"/>
          </w:tcPr>
          <w:p w14:paraId="21294B3E" w14:textId="77777777" w:rsidR="00FF17FE" w:rsidRPr="00D44D25" w:rsidRDefault="00FF17FE" w:rsidP="00FF17FE">
            <w:pPr>
              <w:jc w:val="right"/>
              <w:rPr>
                <w:rFonts w:ascii="Times New Roman" w:hAnsi="Times New Roman" w:cs="Times New Roman"/>
                <w:color w:val="000000" w:themeColor="text1"/>
                <w:sz w:val="20"/>
                <w:szCs w:val="20"/>
              </w:rPr>
            </w:pPr>
          </w:p>
        </w:tc>
      </w:tr>
      <w:tr w:rsidR="00E21FDC" w:rsidRPr="00D44D25" w14:paraId="40EE8702" w14:textId="77777777" w:rsidTr="00CF2857">
        <w:tc>
          <w:tcPr>
            <w:tcW w:w="9016" w:type="dxa"/>
            <w:gridSpan w:val="4"/>
          </w:tcPr>
          <w:p w14:paraId="3F948CE8" w14:textId="50D76CD2" w:rsidR="00E21FDC" w:rsidRPr="00D44D25" w:rsidRDefault="00E21FDC" w:rsidP="00E21FD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Sensitivity analysis 5: </w:t>
            </w:r>
            <w:r w:rsidR="00165EE3" w:rsidRPr="00165EE3">
              <w:rPr>
                <w:rFonts w:ascii="Times New Roman" w:hAnsi="Times New Roman" w:cs="Times New Roman"/>
                <w:color w:val="000000" w:themeColor="text1"/>
                <w:sz w:val="20"/>
                <w:szCs w:val="20"/>
              </w:rPr>
              <w:t>Redefining the study cohort by 1) including patients who had at least 2 hospitalization record with a diagnosis of bipolar disorder and 2) excluding those who had more than 1 schizophrenia related hospitalization record</w:t>
            </w:r>
            <w:r w:rsidR="00823878">
              <w:rPr>
                <w:rFonts w:ascii="Times New Roman" w:hAnsi="Times New Roman" w:cs="Times New Roman"/>
                <w:color w:val="000000" w:themeColor="text1"/>
                <w:sz w:val="20"/>
                <w:szCs w:val="20"/>
              </w:rPr>
              <w:t xml:space="preserve"> (n=2384)</w:t>
            </w:r>
          </w:p>
        </w:tc>
      </w:tr>
      <w:tr w:rsidR="005D6D5F" w:rsidRPr="00D44D25" w14:paraId="5054BF95" w14:textId="77777777" w:rsidTr="00FC5A17">
        <w:tc>
          <w:tcPr>
            <w:tcW w:w="2785" w:type="dxa"/>
          </w:tcPr>
          <w:p w14:paraId="2098BB9D" w14:textId="1F36F47D" w:rsidR="005D6D5F" w:rsidRPr="005D6D5F" w:rsidRDefault="005D6D5F" w:rsidP="005D6D5F">
            <w:pPr>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 xml:space="preserve">Baseline </w:t>
            </w:r>
          </w:p>
        </w:tc>
        <w:tc>
          <w:tcPr>
            <w:tcW w:w="1848" w:type="dxa"/>
          </w:tcPr>
          <w:p w14:paraId="1E623FD8" w14:textId="1A4E1057" w:rsidR="005D6D5F" w:rsidRPr="005D6D5F" w:rsidRDefault="005D6D5F" w:rsidP="005D6D5F">
            <w:pPr>
              <w:jc w:val="right"/>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891</w:t>
            </w:r>
          </w:p>
        </w:tc>
        <w:tc>
          <w:tcPr>
            <w:tcW w:w="2472" w:type="dxa"/>
          </w:tcPr>
          <w:p w14:paraId="3A37F1B9" w14:textId="77D04C57" w:rsidR="005D6D5F" w:rsidRPr="005D6D5F" w:rsidRDefault="00380600"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911" w:type="dxa"/>
          </w:tcPr>
          <w:p w14:paraId="0F411F26" w14:textId="6C11D6B3" w:rsidR="005D6D5F" w:rsidRPr="005D6D5F" w:rsidRDefault="00380600"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5D6D5F" w:rsidRPr="00D44D25" w14:paraId="047BE791" w14:textId="77777777" w:rsidTr="00FC5A17">
        <w:tc>
          <w:tcPr>
            <w:tcW w:w="2785" w:type="dxa"/>
          </w:tcPr>
          <w:p w14:paraId="5E469B9B" w14:textId="1D6B4B24" w:rsidR="005D6D5F" w:rsidRPr="005D6D5F" w:rsidRDefault="005D6D5F" w:rsidP="005D6D5F">
            <w:pPr>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Pre-exposure period</w:t>
            </w:r>
          </w:p>
        </w:tc>
        <w:tc>
          <w:tcPr>
            <w:tcW w:w="1848" w:type="dxa"/>
          </w:tcPr>
          <w:p w14:paraId="55CC7966" w14:textId="382E747B" w:rsidR="005D6D5F" w:rsidRPr="005D6D5F" w:rsidRDefault="005D6D5F" w:rsidP="005D6D5F">
            <w:pPr>
              <w:jc w:val="right"/>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64</w:t>
            </w:r>
          </w:p>
        </w:tc>
        <w:tc>
          <w:tcPr>
            <w:tcW w:w="2472" w:type="dxa"/>
          </w:tcPr>
          <w:p w14:paraId="205A3412" w14:textId="521A026E" w:rsidR="005D6D5F" w:rsidRPr="005D6D5F" w:rsidRDefault="00380600"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4.35 (3.35-5.65)</w:t>
            </w:r>
          </w:p>
        </w:tc>
        <w:tc>
          <w:tcPr>
            <w:tcW w:w="1911" w:type="dxa"/>
          </w:tcPr>
          <w:p w14:paraId="3F8C4D3D" w14:textId="04E45A10" w:rsidR="005D6D5F" w:rsidRPr="005D6D5F" w:rsidRDefault="00380600"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&lt;0.0</w:t>
            </w:r>
            <w:r w:rsidR="000C51E5">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01</w:t>
            </w:r>
          </w:p>
        </w:tc>
      </w:tr>
      <w:tr w:rsidR="005D6D5F" w:rsidRPr="00D44D25" w14:paraId="163AA86D" w14:textId="77777777" w:rsidTr="00FC5A17">
        <w:tc>
          <w:tcPr>
            <w:tcW w:w="2785" w:type="dxa"/>
          </w:tcPr>
          <w:p w14:paraId="18C5B38F" w14:textId="2D07CC14" w:rsidR="005D6D5F" w:rsidRPr="005D6D5F" w:rsidRDefault="005D6D5F" w:rsidP="005D6D5F">
            <w:pPr>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Acute treatment</w:t>
            </w:r>
          </w:p>
        </w:tc>
        <w:tc>
          <w:tcPr>
            <w:tcW w:w="1848" w:type="dxa"/>
          </w:tcPr>
          <w:p w14:paraId="73864412" w14:textId="1F2CD650" w:rsidR="005D6D5F" w:rsidRPr="005D6D5F" w:rsidRDefault="005D6D5F" w:rsidP="005D6D5F">
            <w:pPr>
              <w:jc w:val="right"/>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129</w:t>
            </w:r>
          </w:p>
        </w:tc>
        <w:tc>
          <w:tcPr>
            <w:tcW w:w="2472" w:type="dxa"/>
          </w:tcPr>
          <w:p w14:paraId="00EE5F8D" w14:textId="24909A12" w:rsidR="005D6D5F" w:rsidRPr="005D6D5F" w:rsidRDefault="00380600"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1.35 (1.10-1.66)</w:t>
            </w:r>
          </w:p>
        </w:tc>
        <w:tc>
          <w:tcPr>
            <w:tcW w:w="1911" w:type="dxa"/>
          </w:tcPr>
          <w:p w14:paraId="53D4652F" w14:textId="54464602" w:rsidR="005D6D5F" w:rsidRPr="005D6D5F" w:rsidRDefault="00380600"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0.0045</w:t>
            </w:r>
          </w:p>
        </w:tc>
      </w:tr>
      <w:tr w:rsidR="005D6D5F" w:rsidRPr="00D44D25" w14:paraId="1787DBFD" w14:textId="77777777" w:rsidTr="00FC5A17">
        <w:tc>
          <w:tcPr>
            <w:tcW w:w="2785" w:type="dxa"/>
          </w:tcPr>
          <w:p w14:paraId="635C0F33" w14:textId="0F4759CB" w:rsidR="005D6D5F" w:rsidRPr="005D6D5F" w:rsidRDefault="005D6D5F" w:rsidP="005D6D5F">
            <w:pPr>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Maintenance treatment</w:t>
            </w:r>
          </w:p>
        </w:tc>
        <w:tc>
          <w:tcPr>
            <w:tcW w:w="1848" w:type="dxa"/>
          </w:tcPr>
          <w:p w14:paraId="5DBFFACE" w14:textId="3F4C8215" w:rsidR="005D6D5F" w:rsidRPr="005D6D5F" w:rsidRDefault="005D6D5F" w:rsidP="005D6D5F">
            <w:pPr>
              <w:jc w:val="right"/>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1246</w:t>
            </w:r>
          </w:p>
        </w:tc>
        <w:tc>
          <w:tcPr>
            <w:tcW w:w="2472" w:type="dxa"/>
          </w:tcPr>
          <w:p w14:paraId="2905A487" w14:textId="3F0C8943" w:rsidR="005D6D5F" w:rsidRPr="005D6D5F" w:rsidRDefault="00380600"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0.96 (0.84-1.10)</w:t>
            </w:r>
          </w:p>
        </w:tc>
        <w:tc>
          <w:tcPr>
            <w:tcW w:w="1911" w:type="dxa"/>
          </w:tcPr>
          <w:p w14:paraId="588593E7" w14:textId="646FCBAE" w:rsidR="005D6D5F" w:rsidRPr="005D6D5F" w:rsidRDefault="000C51E5"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0.5687</w:t>
            </w:r>
          </w:p>
        </w:tc>
      </w:tr>
      <w:tr w:rsidR="005D6D5F" w:rsidRPr="00D44D25" w14:paraId="20CFFB12" w14:textId="77777777" w:rsidTr="00FC5A17">
        <w:tc>
          <w:tcPr>
            <w:tcW w:w="2785" w:type="dxa"/>
          </w:tcPr>
          <w:p w14:paraId="520F2EEF" w14:textId="2698FE60" w:rsidR="005D6D5F" w:rsidRPr="005D6D5F" w:rsidRDefault="005D6D5F" w:rsidP="005D6D5F">
            <w:pPr>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 xml:space="preserve">Post-exposure period </w:t>
            </w:r>
          </w:p>
        </w:tc>
        <w:tc>
          <w:tcPr>
            <w:tcW w:w="1848" w:type="dxa"/>
          </w:tcPr>
          <w:p w14:paraId="2B885F3E" w14:textId="56638350" w:rsidR="005D6D5F" w:rsidRPr="005D6D5F" w:rsidRDefault="005D6D5F" w:rsidP="005D6D5F">
            <w:pPr>
              <w:jc w:val="right"/>
              <w:rPr>
                <w:rFonts w:ascii="Times New Roman" w:hAnsi="Times New Roman" w:cs="Times New Roman"/>
                <w:color w:val="000000" w:themeColor="text1"/>
                <w:sz w:val="20"/>
                <w:szCs w:val="20"/>
              </w:rPr>
            </w:pPr>
            <w:r w:rsidRPr="005D6D5F">
              <w:rPr>
                <w:rFonts w:ascii="Times New Roman" w:hAnsi="Times New Roman" w:cs="Times New Roman"/>
                <w:color w:val="000000" w:themeColor="text1"/>
                <w:sz w:val="20"/>
                <w:szCs w:val="20"/>
              </w:rPr>
              <w:t>54</w:t>
            </w:r>
          </w:p>
        </w:tc>
        <w:tc>
          <w:tcPr>
            <w:tcW w:w="2472" w:type="dxa"/>
          </w:tcPr>
          <w:p w14:paraId="29BA8DE3" w14:textId="3E99F1C9" w:rsidR="005D6D5F" w:rsidRPr="005D6D5F" w:rsidRDefault="00380600"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1.39 (1.04-1.85)</w:t>
            </w:r>
          </w:p>
        </w:tc>
        <w:tc>
          <w:tcPr>
            <w:tcW w:w="1911" w:type="dxa"/>
          </w:tcPr>
          <w:p w14:paraId="74E2186D" w14:textId="10AE2C40" w:rsidR="005D6D5F" w:rsidRPr="005D6D5F" w:rsidRDefault="000C51E5" w:rsidP="005D6D5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0.0247</w:t>
            </w:r>
          </w:p>
        </w:tc>
      </w:tr>
      <w:tr w:rsidR="005D6D5F" w:rsidRPr="00D44D25" w14:paraId="249DFD27" w14:textId="77777777" w:rsidTr="00FC5A17">
        <w:tc>
          <w:tcPr>
            <w:tcW w:w="2785" w:type="dxa"/>
          </w:tcPr>
          <w:p w14:paraId="4934C88C" w14:textId="77777777" w:rsidR="005D6D5F" w:rsidRPr="00D44D25" w:rsidRDefault="005D6D5F" w:rsidP="00FF17FE">
            <w:pPr>
              <w:rPr>
                <w:rFonts w:ascii="Times New Roman" w:hAnsi="Times New Roman" w:cs="Times New Roman"/>
                <w:color w:val="000000" w:themeColor="text1"/>
                <w:sz w:val="20"/>
                <w:szCs w:val="20"/>
              </w:rPr>
            </w:pPr>
          </w:p>
        </w:tc>
        <w:tc>
          <w:tcPr>
            <w:tcW w:w="1848" w:type="dxa"/>
          </w:tcPr>
          <w:p w14:paraId="08FE8D90" w14:textId="77777777" w:rsidR="005D6D5F" w:rsidRPr="00D44D25" w:rsidRDefault="005D6D5F" w:rsidP="00FF17FE">
            <w:pPr>
              <w:jc w:val="right"/>
              <w:rPr>
                <w:rFonts w:ascii="Times New Roman" w:hAnsi="Times New Roman" w:cs="Times New Roman"/>
                <w:color w:val="000000" w:themeColor="text1"/>
                <w:sz w:val="20"/>
                <w:szCs w:val="20"/>
              </w:rPr>
            </w:pPr>
          </w:p>
        </w:tc>
        <w:tc>
          <w:tcPr>
            <w:tcW w:w="2472" w:type="dxa"/>
          </w:tcPr>
          <w:p w14:paraId="28898A9B" w14:textId="77777777" w:rsidR="005D6D5F" w:rsidRPr="00D44D25" w:rsidRDefault="005D6D5F" w:rsidP="00FF17FE">
            <w:pPr>
              <w:jc w:val="right"/>
              <w:rPr>
                <w:rFonts w:ascii="Times New Roman" w:hAnsi="Times New Roman" w:cs="Times New Roman"/>
                <w:color w:val="000000" w:themeColor="text1"/>
                <w:sz w:val="20"/>
                <w:szCs w:val="20"/>
              </w:rPr>
            </w:pPr>
          </w:p>
        </w:tc>
        <w:tc>
          <w:tcPr>
            <w:tcW w:w="1911" w:type="dxa"/>
          </w:tcPr>
          <w:p w14:paraId="3F97261D" w14:textId="77777777" w:rsidR="005D6D5F" w:rsidRPr="00D44D25" w:rsidRDefault="005D6D5F" w:rsidP="00FF17FE">
            <w:pPr>
              <w:jc w:val="right"/>
              <w:rPr>
                <w:rFonts w:ascii="Times New Roman" w:hAnsi="Times New Roman" w:cs="Times New Roman"/>
                <w:color w:val="000000" w:themeColor="text1"/>
                <w:sz w:val="20"/>
                <w:szCs w:val="20"/>
              </w:rPr>
            </w:pPr>
          </w:p>
        </w:tc>
      </w:tr>
      <w:tr w:rsidR="00FF17FE" w:rsidRPr="00D44D25" w14:paraId="69981504" w14:textId="77777777" w:rsidTr="00FF17FE">
        <w:trPr>
          <w:trHeight w:val="350"/>
        </w:trPr>
        <w:tc>
          <w:tcPr>
            <w:tcW w:w="9016" w:type="dxa"/>
            <w:gridSpan w:val="4"/>
          </w:tcPr>
          <w:p w14:paraId="7D6367F5" w14:textId="7028917E"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Sensitivity analysis </w:t>
            </w:r>
            <w:r w:rsidR="005D6D5F">
              <w:rPr>
                <w:rFonts w:ascii="Times New Roman" w:hAnsi="Times New Roman" w:cs="Times New Roman"/>
                <w:color w:val="000000" w:themeColor="text1"/>
                <w:sz w:val="20"/>
                <w:szCs w:val="20"/>
              </w:rPr>
              <w:t>6</w:t>
            </w:r>
            <w:r w:rsidRPr="00D44D25">
              <w:rPr>
                <w:rFonts w:ascii="Times New Roman" w:hAnsi="Times New Roman" w:cs="Times New Roman"/>
                <w:color w:val="000000" w:themeColor="text1"/>
                <w:sz w:val="20"/>
                <w:szCs w:val="20"/>
              </w:rPr>
              <w:t>: Removing patients in which the event happened on the first day of treatment</w:t>
            </w:r>
            <w:r w:rsidR="009B4E4F" w:rsidRPr="00D44D25">
              <w:rPr>
                <w:rFonts w:ascii="Times New Roman" w:hAnsi="Times New Roman" w:cs="Times New Roman"/>
                <w:color w:val="000000" w:themeColor="text1"/>
                <w:sz w:val="20"/>
                <w:szCs w:val="20"/>
              </w:rPr>
              <w:t xml:space="preserve"> (n=5017)</w:t>
            </w:r>
          </w:p>
        </w:tc>
      </w:tr>
      <w:tr w:rsidR="00FF17FE" w:rsidRPr="00D44D25" w14:paraId="6FFDD2AD" w14:textId="77777777" w:rsidTr="00FC5A17">
        <w:tc>
          <w:tcPr>
            <w:tcW w:w="2785" w:type="dxa"/>
          </w:tcPr>
          <w:p w14:paraId="4DAB63E8" w14:textId="703CD9FE" w:rsidR="00FF17FE" w:rsidRPr="00D44D25" w:rsidRDefault="00FF17FE" w:rsidP="00FF17FE">
            <w:pPr>
              <w:rPr>
                <w:rFonts w:ascii="Times New Roman" w:hAnsi="Times New Roman" w:cs="Times New Roman"/>
                <w:color w:val="000000" w:themeColor="text1"/>
                <w:sz w:val="20"/>
                <w:szCs w:val="20"/>
                <w:lang w:val="en-HK"/>
              </w:rPr>
            </w:pPr>
            <w:r w:rsidRPr="00D44D25">
              <w:rPr>
                <w:rFonts w:ascii="Times New Roman" w:hAnsi="Times New Roman" w:cs="Times New Roman"/>
                <w:color w:val="000000" w:themeColor="text1"/>
                <w:sz w:val="20"/>
                <w:szCs w:val="20"/>
              </w:rPr>
              <w:t xml:space="preserve">  Baseline </w:t>
            </w:r>
          </w:p>
        </w:tc>
        <w:tc>
          <w:tcPr>
            <w:tcW w:w="1848" w:type="dxa"/>
          </w:tcPr>
          <w:p w14:paraId="43249725" w14:textId="2AC7F922"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2443</w:t>
            </w:r>
          </w:p>
        </w:tc>
        <w:tc>
          <w:tcPr>
            <w:tcW w:w="2472" w:type="dxa"/>
          </w:tcPr>
          <w:p w14:paraId="6DC73470" w14:textId="54AD628B"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1.00</w:t>
            </w:r>
          </w:p>
        </w:tc>
        <w:tc>
          <w:tcPr>
            <w:tcW w:w="1911" w:type="dxa"/>
          </w:tcPr>
          <w:p w14:paraId="0E33B044" w14:textId="1AAA5C7E"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w:t>
            </w:r>
          </w:p>
        </w:tc>
      </w:tr>
      <w:tr w:rsidR="00FF17FE" w:rsidRPr="00D44D25" w14:paraId="58D8AFD5" w14:textId="77777777" w:rsidTr="00FC5A17">
        <w:tc>
          <w:tcPr>
            <w:tcW w:w="2785" w:type="dxa"/>
          </w:tcPr>
          <w:p w14:paraId="2550FBC3" w14:textId="6983D0A5"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Pre-exposure period </w:t>
            </w:r>
          </w:p>
        </w:tc>
        <w:tc>
          <w:tcPr>
            <w:tcW w:w="1848" w:type="dxa"/>
          </w:tcPr>
          <w:p w14:paraId="2ED71CAA" w14:textId="03161AF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133</w:t>
            </w:r>
          </w:p>
        </w:tc>
        <w:tc>
          <w:tcPr>
            <w:tcW w:w="2472" w:type="dxa"/>
          </w:tcPr>
          <w:p w14:paraId="0D7381C6" w14:textId="02161BD4"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4.42 (3.69-5.28)</w:t>
            </w:r>
          </w:p>
        </w:tc>
        <w:tc>
          <w:tcPr>
            <w:tcW w:w="1911" w:type="dxa"/>
          </w:tcPr>
          <w:p w14:paraId="23463E81" w14:textId="3E95603A"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001</w:t>
            </w:r>
          </w:p>
        </w:tc>
      </w:tr>
      <w:tr w:rsidR="00FF17FE" w:rsidRPr="00D44D25" w14:paraId="4E2B28B8" w14:textId="77777777" w:rsidTr="00FC5A17">
        <w:tc>
          <w:tcPr>
            <w:tcW w:w="2785" w:type="dxa"/>
          </w:tcPr>
          <w:p w14:paraId="67135298" w14:textId="00E82F06"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Acute treatment </w:t>
            </w:r>
          </w:p>
        </w:tc>
        <w:tc>
          <w:tcPr>
            <w:tcW w:w="1848" w:type="dxa"/>
          </w:tcPr>
          <w:p w14:paraId="6B548DD2" w14:textId="16282C7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215</w:t>
            </w:r>
          </w:p>
        </w:tc>
        <w:tc>
          <w:tcPr>
            <w:tcW w:w="2472" w:type="dxa"/>
          </w:tcPr>
          <w:p w14:paraId="25D1B41E" w14:textId="1E3F669E"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1.29 (1.32-1.82)</w:t>
            </w:r>
          </w:p>
        </w:tc>
        <w:tc>
          <w:tcPr>
            <w:tcW w:w="1911" w:type="dxa"/>
          </w:tcPr>
          <w:p w14:paraId="78F79C11" w14:textId="03996E96"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w:t>
            </w:r>
            <w:r w:rsidR="000C51E5">
              <w:rPr>
                <w:rFonts w:ascii="Times New Roman" w:hAnsi="Times New Roman" w:cs="Times New Roman"/>
                <w:color w:val="000000" w:themeColor="text1"/>
                <w:sz w:val="20"/>
                <w:szCs w:val="20"/>
              </w:rPr>
              <w:t>0</w:t>
            </w:r>
            <w:r w:rsidRPr="00D44D25">
              <w:rPr>
                <w:rFonts w:ascii="Times New Roman" w:hAnsi="Times New Roman" w:cs="Times New Roman"/>
                <w:color w:val="000000" w:themeColor="text1"/>
                <w:sz w:val="20"/>
                <w:szCs w:val="20"/>
              </w:rPr>
              <w:t>001</w:t>
            </w:r>
          </w:p>
        </w:tc>
      </w:tr>
      <w:tr w:rsidR="00FF17FE" w:rsidRPr="00D44D25" w14:paraId="3AE55047" w14:textId="77777777" w:rsidTr="00FC5A17">
        <w:tc>
          <w:tcPr>
            <w:tcW w:w="2785" w:type="dxa"/>
          </w:tcPr>
          <w:p w14:paraId="5D797219" w14:textId="6660ADED"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Maintenance treatment </w:t>
            </w:r>
          </w:p>
        </w:tc>
        <w:tc>
          <w:tcPr>
            <w:tcW w:w="1848" w:type="dxa"/>
          </w:tcPr>
          <w:p w14:paraId="171AFF41" w14:textId="7A06CE79"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2129</w:t>
            </w:r>
          </w:p>
        </w:tc>
        <w:tc>
          <w:tcPr>
            <w:tcW w:w="2472" w:type="dxa"/>
          </w:tcPr>
          <w:p w14:paraId="01BF0FBF" w14:textId="722BFE7D"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0.96 (0.87-1.05)</w:t>
            </w:r>
          </w:p>
        </w:tc>
        <w:tc>
          <w:tcPr>
            <w:tcW w:w="1911" w:type="dxa"/>
          </w:tcPr>
          <w:p w14:paraId="19CBCF88" w14:textId="1CCEF3AE"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0.37</w:t>
            </w:r>
          </w:p>
        </w:tc>
      </w:tr>
      <w:tr w:rsidR="00FF17FE" w:rsidRPr="00D44D25" w14:paraId="4FD3F769" w14:textId="77777777" w:rsidTr="00FC5A17">
        <w:tc>
          <w:tcPr>
            <w:tcW w:w="2785" w:type="dxa"/>
          </w:tcPr>
          <w:p w14:paraId="21A50509" w14:textId="25FD5882" w:rsidR="00FF17FE" w:rsidRPr="00D44D25" w:rsidRDefault="00FF17FE" w:rsidP="00FF17FE">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Post-exposure period </w:t>
            </w:r>
          </w:p>
        </w:tc>
        <w:tc>
          <w:tcPr>
            <w:tcW w:w="1848" w:type="dxa"/>
          </w:tcPr>
          <w:p w14:paraId="52BEFAF7" w14:textId="6E8AAA59"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97</w:t>
            </w:r>
          </w:p>
        </w:tc>
        <w:tc>
          <w:tcPr>
            <w:tcW w:w="2472" w:type="dxa"/>
          </w:tcPr>
          <w:p w14:paraId="03AEC7A0" w14:textId="58B60FD7"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1.33 (1.08-1.64)</w:t>
            </w:r>
          </w:p>
        </w:tc>
        <w:tc>
          <w:tcPr>
            <w:tcW w:w="1911" w:type="dxa"/>
          </w:tcPr>
          <w:p w14:paraId="632CFC32" w14:textId="5B8AA084" w:rsidR="00FF17FE" w:rsidRPr="00D44D25" w:rsidRDefault="00FF17FE" w:rsidP="00FF17FE">
            <w:pPr>
              <w:jc w:val="right"/>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0.007</w:t>
            </w:r>
          </w:p>
        </w:tc>
      </w:tr>
      <w:tr w:rsidR="00262BBC" w:rsidRPr="00D44D25" w14:paraId="6D8E77C7" w14:textId="77777777" w:rsidTr="00FC5A17">
        <w:tc>
          <w:tcPr>
            <w:tcW w:w="2785" w:type="dxa"/>
          </w:tcPr>
          <w:p w14:paraId="48C5AA1D" w14:textId="77777777" w:rsidR="00262BBC" w:rsidRPr="00D44D25" w:rsidRDefault="00262BBC" w:rsidP="00FF17FE">
            <w:pPr>
              <w:rPr>
                <w:rFonts w:ascii="Times New Roman" w:hAnsi="Times New Roman" w:cs="Times New Roman"/>
                <w:color w:val="000000" w:themeColor="text1"/>
                <w:sz w:val="20"/>
                <w:szCs w:val="20"/>
              </w:rPr>
            </w:pPr>
          </w:p>
        </w:tc>
        <w:tc>
          <w:tcPr>
            <w:tcW w:w="1848" w:type="dxa"/>
          </w:tcPr>
          <w:p w14:paraId="621BFC9D" w14:textId="77777777" w:rsidR="00262BBC" w:rsidRPr="00D44D25" w:rsidRDefault="00262BBC" w:rsidP="00FF17FE">
            <w:pPr>
              <w:jc w:val="right"/>
              <w:rPr>
                <w:rFonts w:ascii="Times New Roman" w:hAnsi="Times New Roman" w:cs="Times New Roman"/>
                <w:color w:val="000000" w:themeColor="text1"/>
                <w:sz w:val="20"/>
                <w:szCs w:val="20"/>
              </w:rPr>
            </w:pPr>
          </w:p>
        </w:tc>
        <w:tc>
          <w:tcPr>
            <w:tcW w:w="2472" w:type="dxa"/>
          </w:tcPr>
          <w:p w14:paraId="66B70A52" w14:textId="77777777" w:rsidR="00262BBC" w:rsidRPr="00D44D25" w:rsidRDefault="00262BBC" w:rsidP="00FF17FE">
            <w:pPr>
              <w:jc w:val="right"/>
              <w:rPr>
                <w:rFonts w:ascii="Times New Roman" w:hAnsi="Times New Roman" w:cs="Times New Roman"/>
                <w:color w:val="000000" w:themeColor="text1"/>
                <w:sz w:val="20"/>
                <w:szCs w:val="20"/>
              </w:rPr>
            </w:pPr>
          </w:p>
        </w:tc>
        <w:tc>
          <w:tcPr>
            <w:tcW w:w="1911" w:type="dxa"/>
          </w:tcPr>
          <w:p w14:paraId="1713CC39" w14:textId="77777777" w:rsidR="00262BBC" w:rsidRPr="00D44D25" w:rsidRDefault="00262BBC" w:rsidP="00FF17FE">
            <w:pPr>
              <w:jc w:val="right"/>
              <w:rPr>
                <w:rFonts w:ascii="Times New Roman" w:hAnsi="Times New Roman" w:cs="Times New Roman"/>
                <w:color w:val="000000" w:themeColor="text1"/>
                <w:sz w:val="20"/>
                <w:szCs w:val="20"/>
              </w:rPr>
            </w:pPr>
          </w:p>
        </w:tc>
      </w:tr>
      <w:tr w:rsidR="00AC0865" w:rsidRPr="00D44D25" w14:paraId="36B19CB3" w14:textId="77777777" w:rsidTr="00CF2857">
        <w:tc>
          <w:tcPr>
            <w:tcW w:w="9016" w:type="dxa"/>
            <w:gridSpan w:val="4"/>
          </w:tcPr>
          <w:p w14:paraId="3B9AA4D0" w14:textId="5F0ECCDD" w:rsidR="00AC0865" w:rsidRPr="00D44D25" w:rsidRDefault="00AC0865" w:rsidP="00AC0865">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Sensitivity analysis </w:t>
            </w:r>
            <w:r w:rsidR="005D6D5F">
              <w:rPr>
                <w:rFonts w:ascii="Times New Roman" w:hAnsi="Times New Roman" w:cs="Times New Roman"/>
                <w:color w:val="000000" w:themeColor="text1"/>
                <w:sz w:val="20"/>
                <w:szCs w:val="20"/>
              </w:rPr>
              <w:t>7</w:t>
            </w:r>
            <w:r w:rsidRPr="00D44D2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Adjusted for age, </w:t>
            </w:r>
            <w:r w:rsidRPr="00262BBC">
              <w:rPr>
                <w:rFonts w:ascii="Times New Roman" w:hAnsi="Times New Roman" w:cs="Times New Roman"/>
                <w:color w:val="000000" w:themeColor="text1"/>
                <w:sz w:val="20"/>
                <w:szCs w:val="20"/>
              </w:rPr>
              <w:t>concurrent use of antidepressants, benzodiazepine derivatives. hypnotics and anxiolytics</w:t>
            </w:r>
            <w:r>
              <w:rPr>
                <w:rFonts w:ascii="Times New Roman" w:hAnsi="Times New Roman" w:cs="Times New Roman"/>
                <w:color w:val="000000" w:themeColor="text1"/>
                <w:sz w:val="20"/>
                <w:szCs w:val="20"/>
              </w:rPr>
              <w:t xml:space="preserve"> as time-varying confounders (n=5040)</w:t>
            </w:r>
          </w:p>
        </w:tc>
      </w:tr>
      <w:tr w:rsidR="00AC0865" w:rsidRPr="00D44D25" w14:paraId="1A006042" w14:textId="77777777" w:rsidTr="00FC5A17">
        <w:tc>
          <w:tcPr>
            <w:tcW w:w="2785" w:type="dxa"/>
          </w:tcPr>
          <w:p w14:paraId="49041D51" w14:textId="7A0E8189" w:rsidR="00AC0865" w:rsidRPr="00D44D25" w:rsidRDefault="00AC0865" w:rsidP="00AC0865">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Baseline </w:t>
            </w:r>
          </w:p>
        </w:tc>
        <w:tc>
          <w:tcPr>
            <w:tcW w:w="1848" w:type="dxa"/>
          </w:tcPr>
          <w:p w14:paraId="3DE599F9" w14:textId="6BFC671D"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2443</w:t>
            </w:r>
          </w:p>
        </w:tc>
        <w:tc>
          <w:tcPr>
            <w:tcW w:w="2472" w:type="dxa"/>
          </w:tcPr>
          <w:p w14:paraId="2C50AE5D" w14:textId="7CD5D4B6"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1.00</w:t>
            </w:r>
          </w:p>
        </w:tc>
        <w:tc>
          <w:tcPr>
            <w:tcW w:w="1911" w:type="dxa"/>
          </w:tcPr>
          <w:p w14:paraId="2E3DF583" w14:textId="5FD75EDF"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w:t>
            </w:r>
          </w:p>
        </w:tc>
      </w:tr>
      <w:tr w:rsidR="00AC0865" w:rsidRPr="00D44D25" w14:paraId="75C1AA04" w14:textId="77777777" w:rsidTr="00FC5A17">
        <w:tc>
          <w:tcPr>
            <w:tcW w:w="2785" w:type="dxa"/>
          </w:tcPr>
          <w:p w14:paraId="1B798A43" w14:textId="4B197AD3" w:rsidR="00AC0865" w:rsidRPr="00D44D25" w:rsidRDefault="00AC0865" w:rsidP="00AC0865">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Pre-exposure period </w:t>
            </w:r>
          </w:p>
        </w:tc>
        <w:tc>
          <w:tcPr>
            <w:tcW w:w="1848" w:type="dxa"/>
          </w:tcPr>
          <w:p w14:paraId="20B9EE5B" w14:textId="7A3D23C1"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133</w:t>
            </w:r>
          </w:p>
        </w:tc>
        <w:tc>
          <w:tcPr>
            <w:tcW w:w="2472" w:type="dxa"/>
          </w:tcPr>
          <w:p w14:paraId="17F9CD83" w14:textId="7F77C9B0"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4.41 (3.69-5.28)</w:t>
            </w:r>
          </w:p>
        </w:tc>
        <w:tc>
          <w:tcPr>
            <w:tcW w:w="1911" w:type="dxa"/>
          </w:tcPr>
          <w:p w14:paraId="654DD3C2" w14:textId="303417FB"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&lt;</w:t>
            </w:r>
            <w:r w:rsidR="00380600" w:rsidRPr="007C3EAE">
              <w:rPr>
                <w:rFonts w:ascii="Times New Roman" w:hAnsi="Times New Roman" w:cs="Times New Roman"/>
                <w:sz w:val="20"/>
                <w:szCs w:val="20"/>
              </w:rPr>
              <w:t>0</w:t>
            </w:r>
            <w:r w:rsidRPr="007C3EAE">
              <w:rPr>
                <w:rFonts w:ascii="Times New Roman" w:hAnsi="Times New Roman" w:cs="Times New Roman"/>
                <w:sz w:val="20"/>
                <w:szCs w:val="20"/>
              </w:rPr>
              <w:t>.0</w:t>
            </w:r>
            <w:r w:rsidR="000C51E5" w:rsidRPr="007C3EAE">
              <w:rPr>
                <w:rFonts w:ascii="Times New Roman" w:hAnsi="Times New Roman" w:cs="Times New Roman"/>
                <w:sz w:val="20"/>
                <w:szCs w:val="20"/>
              </w:rPr>
              <w:t>0</w:t>
            </w:r>
            <w:r w:rsidRPr="007C3EAE">
              <w:rPr>
                <w:rFonts w:ascii="Times New Roman" w:hAnsi="Times New Roman" w:cs="Times New Roman"/>
                <w:sz w:val="20"/>
                <w:szCs w:val="20"/>
              </w:rPr>
              <w:t>01</w:t>
            </w:r>
          </w:p>
        </w:tc>
      </w:tr>
      <w:tr w:rsidR="00AC0865" w:rsidRPr="00D44D25" w14:paraId="16BAB781" w14:textId="77777777" w:rsidTr="00FC5A17">
        <w:tc>
          <w:tcPr>
            <w:tcW w:w="2785" w:type="dxa"/>
          </w:tcPr>
          <w:p w14:paraId="702453EB" w14:textId="20C98886" w:rsidR="00AC0865" w:rsidRPr="00D44D25" w:rsidRDefault="00AC0865" w:rsidP="00AC0865">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Acute treatment </w:t>
            </w:r>
          </w:p>
        </w:tc>
        <w:tc>
          <w:tcPr>
            <w:tcW w:w="1848" w:type="dxa"/>
          </w:tcPr>
          <w:p w14:paraId="3CB46132" w14:textId="6A646111"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238</w:t>
            </w:r>
          </w:p>
        </w:tc>
        <w:tc>
          <w:tcPr>
            <w:tcW w:w="2472" w:type="dxa"/>
          </w:tcPr>
          <w:p w14:paraId="6F019AB2" w14:textId="4D9BB608"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1.41 (1.21-1.63)</w:t>
            </w:r>
          </w:p>
        </w:tc>
        <w:tc>
          <w:tcPr>
            <w:tcW w:w="1911" w:type="dxa"/>
          </w:tcPr>
          <w:p w14:paraId="2B988F35" w14:textId="5988C775"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&lt;</w:t>
            </w:r>
            <w:r w:rsidR="00380600" w:rsidRPr="007C3EAE">
              <w:rPr>
                <w:rFonts w:ascii="Times New Roman" w:hAnsi="Times New Roman" w:cs="Times New Roman"/>
                <w:sz w:val="20"/>
                <w:szCs w:val="20"/>
              </w:rPr>
              <w:t>0</w:t>
            </w:r>
            <w:r w:rsidRPr="007C3EAE">
              <w:rPr>
                <w:rFonts w:ascii="Times New Roman" w:hAnsi="Times New Roman" w:cs="Times New Roman"/>
                <w:sz w:val="20"/>
                <w:szCs w:val="20"/>
              </w:rPr>
              <w:t>.0</w:t>
            </w:r>
            <w:r w:rsidR="000C51E5" w:rsidRPr="007C3EAE">
              <w:rPr>
                <w:rFonts w:ascii="Times New Roman" w:hAnsi="Times New Roman" w:cs="Times New Roman"/>
                <w:sz w:val="20"/>
                <w:szCs w:val="20"/>
              </w:rPr>
              <w:t>0</w:t>
            </w:r>
            <w:r w:rsidRPr="007C3EAE">
              <w:rPr>
                <w:rFonts w:ascii="Times New Roman" w:hAnsi="Times New Roman" w:cs="Times New Roman"/>
                <w:sz w:val="20"/>
                <w:szCs w:val="20"/>
              </w:rPr>
              <w:t>01</w:t>
            </w:r>
          </w:p>
        </w:tc>
      </w:tr>
      <w:tr w:rsidR="00AC0865" w:rsidRPr="00D44D25" w14:paraId="75009174" w14:textId="77777777" w:rsidTr="00FC5A17">
        <w:tc>
          <w:tcPr>
            <w:tcW w:w="2785" w:type="dxa"/>
          </w:tcPr>
          <w:p w14:paraId="141E7BC6" w14:textId="31CCD39C" w:rsidR="00AC0865" w:rsidRPr="00D44D25" w:rsidRDefault="00AC0865" w:rsidP="00AC0865">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  Maintenance treatment </w:t>
            </w:r>
          </w:p>
        </w:tc>
        <w:tc>
          <w:tcPr>
            <w:tcW w:w="1848" w:type="dxa"/>
          </w:tcPr>
          <w:p w14:paraId="707F1F56" w14:textId="3FEE1752"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2129</w:t>
            </w:r>
          </w:p>
        </w:tc>
        <w:tc>
          <w:tcPr>
            <w:tcW w:w="2472" w:type="dxa"/>
          </w:tcPr>
          <w:p w14:paraId="57E22039" w14:textId="353B4115"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0.95 (0.86-1.05)</w:t>
            </w:r>
          </w:p>
        </w:tc>
        <w:tc>
          <w:tcPr>
            <w:tcW w:w="1911" w:type="dxa"/>
          </w:tcPr>
          <w:p w14:paraId="18FB1FD3" w14:textId="09034C97"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0.2904</w:t>
            </w:r>
          </w:p>
        </w:tc>
      </w:tr>
      <w:tr w:rsidR="00AC0865" w:rsidRPr="00D44D25" w14:paraId="31D313A2" w14:textId="77777777" w:rsidTr="00FC5A17">
        <w:tc>
          <w:tcPr>
            <w:tcW w:w="2785" w:type="dxa"/>
          </w:tcPr>
          <w:p w14:paraId="0191C259" w14:textId="73012399" w:rsidR="00AC0865" w:rsidRPr="00D44D25" w:rsidRDefault="00AC0865" w:rsidP="00AC0865">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lastRenderedPageBreak/>
              <w:t xml:space="preserve">  Post-exposure period </w:t>
            </w:r>
          </w:p>
        </w:tc>
        <w:tc>
          <w:tcPr>
            <w:tcW w:w="1848" w:type="dxa"/>
          </w:tcPr>
          <w:p w14:paraId="4FD97845" w14:textId="4D1F3DCB"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97</w:t>
            </w:r>
          </w:p>
        </w:tc>
        <w:tc>
          <w:tcPr>
            <w:tcW w:w="2472" w:type="dxa"/>
          </w:tcPr>
          <w:p w14:paraId="64E7C1C9" w14:textId="599ED584"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1.34 (1.09-1.66)</w:t>
            </w:r>
          </w:p>
        </w:tc>
        <w:tc>
          <w:tcPr>
            <w:tcW w:w="1911" w:type="dxa"/>
          </w:tcPr>
          <w:p w14:paraId="2A0235B4" w14:textId="6DA38CD5" w:rsidR="00AC0865" w:rsidRPr="007C3EAE" w:rsidRDefault="00AC0865" w:rsidP="00AC0865">
            <w:pPr>
              <w:jc w:val="right"/>
              <w:rPr>
                <w:rFonts w:ascii="Times New Roman" w:hAnsi="Times New Roman" w:cs="Times New Roman"/>
                <w:color w:val="000000" w:themeColor="text1"/>
                <w:sz w:val="20"/>
                <w:szCs w:val="20"/>
              </w:rPr>
            </w:pPr>
            <w:r w:rsidRPr="007C3EAE">
              <w:rPr>
                <w:rFonts w:ascii="Times New Roman" w:hAnsi="Times New Roman" w:cs="Times New Roman"/>
                <w:sz w:val="20"/>
                <w:szCs w:val="20"/>
              </w:rPr>
              <w:t>0.0061</w:t>
            </w:r>
          </w:p>
        </w:tc>
      </w:tr>
      <w:tr w:rsidR="00262BBC" w:rsidRPr="00D44D25" w14:paraId="7888EC5F" w14:textId="77777777" w:rsidTr="00FC5A17">
        <w:tc>
          <w:tcPr>
            <w:tcW w:w="2785" w:type="dxa"/>
          </w:tcPr>
          <w:p w14:paraId="09A4EE25" w14:textId="77777777" w:rsidR="00262BBC" w:rsidRPr="00D44D25" w:rsidRDefault="00262BBC" w:rsidP="00262BBC">
            <w:pPr>
              <w:rPr>
                <w:rFonts w:ascii="Times New Roman" w:hAnsi="Times New Roman" w:cs="Times New Roman"/>
                <w:color w:val="000000" w:themeColor="text1"/>
                <w:sz w:val="20"/>
                <w:szCs w:val="20"/>
              </w:rPr>
            </w:pPr>
          </w:p>
        </w:tc>
        <w:tc>
          <w:tcPr>
            <w:tcW w:w="1848" w:type="dxa"/>
          </w:tcPr>
          <w:p w14:paraId="1750AF13" w14:textId="77777777" w:rsidR="00262BBC" w:rsidRPr="00D44D25" w:rsidRDefault="00262BBC" w:rsidP="00262BBC">
            <w:pPr>
              <w:jc w:val="right"/>
              <w:rPr>
                <w:rFonts w:ascii="Times New Roman" w:hAnsi="Times New Roman" w:cs="Times New Roman"/>
                <w:color w:val="000000" w:themeColor="text1"/>
                <w:sz w:val="20"/>
                <w:szCs w:val="20"/>
              </w:rPr>
            </w:pPr>
          </w:p>
        </w:tc>
        <w:tc>
          <w:tcPr>
            <w:tcW w:w="2472" w:type="dxa"/>
          </w:tcPr>
          <w:p w14:paraId="0D593722" w14:textId="77777777" w:rsidR="00262BBC" w:rsidRPr="00D44D25" w:rsidRDefault="00262BBC" w:rsidP="00262BBC">
            <w:pPr>
              <w:jc w:val="right"/>
              <w:rPr>
                <w:rFonts w:ascii="Times New Roman" w:hAnsi="Times New Roman" w:cs="Times New Roman"/>
                <w:color w:val="000000" w:themeColor="text1"/>
                <w:sz w:val="20"/>
                <w:szCs w:val="20"/>
              </w:rPr>
            </w:pPr>
          </w:p>
        </w:tc>
        <w:tc>
          <w:tcPr>
            <w:tcW w:w="1911" w:type="dxa"/>
          </w:tcPr>
          <w:p w14:paraId="32A4D4EA" w14:textId="77777777" w:rsidR="00262BBC" w:rsidRPr="00D44D25" w:rsidRDefault="00262BBC" w:rsidP="00262BBC">
            <w:pPr>
              <w:jc w:val="right"/>
              <w:rPr>
                <w:rFonts w:ascii="Times New Roman" w:hAnsi="Times New Roman" w:cs="Times New Roman"/>
                <w:color w:val="000000" w:themeColor="text1"/>
                <w:sz w:val="20"/>
                <w:szCs w:val="20"/>
              </w:rPr>
            </w:pPr>
          </w:p>
        </w:tc>
      </w:tr>
      <w:tr w:rsidR="00262BBC" w:rsidRPr="00D44D25" w14:paraId="4BA57269" w14:textId="77777777" w:rsidTr="00CF2857">
        <w:tc>
          <w:tcPr>
            <w:tcW w:w="9016" w:type="dxa"/>
            <w:gridSpan w:val="4"/>
          </w:tcPr>
          <w:p w14:paraId="0E6B7648" w14:textId="4C8A22E2" w:rsidR="00262BBC" w:rsidRPr="00D44D25" w:rsidRDefault="00262BBC" w:rsidP="00262B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Sensitivity analysis </w:t>
            </w:r>
            <w:r w:rsidR="005D6D5F">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Adjusted</w:t>
            </w:r>
            <w:r w:rsidR="00AC0865">
              <w:rPr>
                <w:rFonts w:ascii="Times New Roman" w:hAnsi="Times New Roman" w:cs="Times New Roman"/>
                <w:color w:val="000000" w:themeColor="text1"/>
                <w:sz w:val="20"/>
                <w:szCs w:val="20"/>
              </w:rPr>
              <w:t xml:space="preserve"> for</w:t>
            </w:r>
            <w:r>
              <w:rPr>
                <w:rFonts w:ascii="Times New Roman" w:hAnsi="Times New Roman" w:cs="Times New Roman"/>
                <w:color w:val="000000" w:themeColor="text1"/>
                <w:sz w:val="20"/>
                <w:szCs w:val="20"/>
              </w:rPr>
              <w:t xml:space="preserve"> age, concurrent use of antidepressants and benzodiazepine derivatives, doses of </w:t>
            </w:r>
            <w:r w:rsidR="00CB773F">
              <w:rPr>
                <w:rFonts w:ascii="Times New Roman" w:hAnsi="Times New Roman" w:cs="Times New Roman"/>
                <w:color w:val="000000" w:themeColor="text1"/>
                <w:sz w:val="20"/>
                <w:szCs w:val="20"/>
              </w:rPr>
              <w:t>treatment</w:t>
            </w:r>
            <w:r w:rsidRPr="005D48F7">
              <w:rPr>
                <w:rFonts w:ascii="Times New Roman" w:hAnsi="Times New Roman" w:cs="Times New Roman"/>
                <w:color w:val="000000" w:themeColor="text1"/>
                <w:sz w:val="20"/>
                <w:szCs w:val="20"/>
              </w:rPr>
              <w:t xml:space="preserve"> agents</w:t>
            </w:r>
            <w:r>
              <w:rPr>
                <w:rFonts w:ascii="Times New Roman" w:hAnsi="Times New Roman" w:cs="Times New Roman"/>
                <w:color w:val="000000" w:themeColor="text1"/>
                <w:sz w:val="20"/>
                <w:szCs w:val="20"/>
              </w:rPr>
              <w:t xml:space="preserve"> as time-varying confounders (n=5040)</w:t>
            </w:r>
          </w:p>
        </w:tc>
      </w:tr>
      <w:tr w:rsidR="00262BBC" w:rsidRPr="00D44D25" w14:paraId="1CBD1361" w14:textId="77777777" w:rsidTr="00FC5A17">
        <w:tc>
          <w:tcPr>
            <w:tcW w:w="2785" w:type="dxa"/>
          </w:tcPr>
          <w:p w14:paraId="3848358A" w14:textId="364F5E50" w:rsidR="00262BBC" w:rsidRPr="00D44D25" w:rsidRDefault="00262BBC" w:rsidP="00262BBC">
            <w:pPr>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 xml:space="preserve">Baseline </w:t>
            </w:r>
          </w:p>
        </w:tc>
        <w:tc>
          <w:tcPr>
            <w:tcW w:w="1848" w:type="dxa"/>
          </w:tcPr>
          <w:p w14:paraId="453ACA05" w14:textId="4900045D"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2443</w:t>
            </w:r>
          </w:p>
        </w:tc>
        <w:tc>
          <w:tcPr>
            <w:tcW w:w="2472" w:type="dxa"/>
          </w:tcPr>
          <w:p w14:paraId="7B650851" w14:textId="31EB611C"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1.00</w:t>
            </w:r>
          </w:p>
        </w:tc>
        <w:tc>
          <w:tcPr>
            <w:tcW w:w="1911" w:type="dxa"/>
          </w:tcPr>
          <w:p w14:paraId="6DFCF7D8" w14:textId="1DC780BE"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w:t>
            </w:r>
          </w:p>
        </w:tc>
      </w:tr>
      <w:tr w:rsidR="00262BBC" w:rsidRPr="00D44D25" w14:paraId="7956AB64" w14:textId="77777777" w:rsidTr="00FC5A17">
        <w:tc>
          <w:tcPr>
            <w:tcW w:w="2785" w:type="dxa"/>
          </w:tcPr>
          <w:p w14:paraId="3B41EC78" w14:textId="1DE1F5A3" w:rsidR="00262BBC" w:rsidRPr="00D44D25" w:rsidRDefault="00262BBC" w:rsidP="00262BBC">
            <w:pPr>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Pre-exposure period</w:t>
            </w:r>
          </w:p>
        </w:tc>
        <w:tc>
          <w:tcPr>
            <w:tcW w:w="1848" w:type="dxa"/>
          </w:tcPr>
          <w:p w14:paraId="6B197FF9" w14:textId="20B4524E"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133</w:t>
            </w:r>
          </w:p>
        </w:tc>
        <w:tc>
          <w:tcPr>
            <w:tcW w:w="2472" w:type="dxa"/>
          </w:tcPr>
          <w:p w14:paraId="4C4F5F21" w14:textId="2DF93382"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4.43 (3.70-5.30)</w:t>
            </w:r>
          </w:p>
        </w:tc>
        <w:tc>
          <w:tcPr>
            <w:tcW w:w="1911" w:type="dxa"/>
          </w:tcPr>
          <w:p w14:paraId="1C014F94" w14:textId="4D958B30"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5D48F7">
              <w:rPr>
                <w:rFonts w:ascii="Times New Roman" w:hAnsi="Times New Roman" w:cs="Times New Roman"/>
                <w:color w:val="000000" w:themeColor="text1"/>
                <w:sz w:val="20"/>
                <w:szCs w:val="20"/>
              </w:rPr>
              <w:t>.0</w:t>
            </w:r>
            <w:r w:rsidR="009D653E">
              <w:rPr>
                <w:rFonts w:ascii="Times New Roman" w:hAnsi="Times New Roman" w:cs="Times New Roman"/>
                <w:color w:val="000000" w:themeColor="text1"/>
                <w:sz w:val="20"/>
                <w:szCs w:val="20"/>
              </w:rPr>
              <w:t>0</w:t>
            </w:r>
            <w:r w:rsidRPr="005D48F7">
              <w:rPr>
                <w:rFonts w:ascii="Times New Roman" w:hAnsi="Times New Roman" w:cs="Times New Roman"/>
                <w:color w:val="000000" w:themeColor="text1"/>
                <w:sz w:val="20"/>
                <w:szCs w:val="20"/>
              </w:rPr>
              <w:t>01</w:t>
            </w:r>
          </w:p>
        </w:tc>
      </w:tr>
      <w:tr w:rsidR="00262BBC" w:rsidRPr="00D44D25" w14:paraId="5EAAB028" w14:textId="77777777" w:rsidTr="00FC5A17">
        <w:tc>
          <w:tcPr>
            <w:tcW w:w="2785" w:type="dxa"/>
          </w:tcPr>
          <w:p w14:paraId="2E458C84" w14:textId="00992823" w:rsidR="00262BBC" w:rsidRPr="00D44D25" w:rsidRDefault="00262BBC" w:rsidP="00262BBC">
            <w:pPr>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Acute treatment: low dose</w:t>
            </w:r>
          </w:p>
        </w:tc>
        <w:tc>
          <w:tcPr>
            <w:tcW w:w="1848" w:type="dxa"/>
          </w:tcPr>
          <w:p w14:paraId="3D2C5D20" w14:textId="40C6511A"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167</w:t>
            </w:r>
          </w:p>
        </w:tc>
        <w:tc>
          <w:tcPr>
            <w:tcW w:w="2472" w:type="dxa"/>
          </w:tcPr>
          <w:p w14:paraId="69FD5ECD" w14:textId="4C39CEE1"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1.41 (1.19-1.67)</w:t>
            </w:r>
          </w:p>
        </w:tc>
        <w:tc>
          <w:tcPr>
            <w:tcW w:w="1911" w:type="dxa"/>
          </w:tcPr>
          <w:p w14:paraId="382AD7EF" w14:textId="7D09955D"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&lt;</w:t>
            </w:r>
            <w:r w:rsidR="00380600">
              <w:rPr>
                <w:rFonts w:ascii="Times New Roman" w:hAnsi="Times New Roman" w:cs="Times New Roman"/>
                <w:color w:val="000000" w:themeColor="text1"/>
                <w:sz w:val="20"/>
                <w:szCs w:val="20"/>
              </w:rPr>
              <w:t>0</w:t>
            </w:r>
            <w:r w:rsidRPr="005D48F7">
              <w:rPr>
                <w:rFonts w:ascii="Times New Roman" w:hAnsi="Times New Roman" w:cs="Times New Roman"/>
                <w:color w:val="000000" w:themeColor="text1"/>
                <w:sz w:val="20"/>
                <w:szCs w:val="20"/>
              </w:rPr>
              <w:t>.0</w:t>
            </w:r>
            <w:r w:rsidR="009D653E">
              <w:rPr>
                <w:rFonts w:ascii="Times New Roman" w:hAnsi="Times New Roman" w:cs="Times New Roman"/>
                <w:color w:val="000000" w:themeColor="text1"/>
                <w:sz w:val="20"/>
                <w:szCs w:val="20"/>
              </w:rPr>
              <w:t>0</w:t>
            </w:r>
            <w:r w:rsidRPr="005D48F7">
              <w:rPr>
                <w:rFonts w:ascii="Times New Roman" w:hAnsi="Times New Roman" w:cs="Times New Roman"/>
                <w:color w:val="000000" w:themeColor="text1"/>
                <w:sz w:val="20"/>
                <w:szCs w:val="20"/>
              </w:rPr>
              <w:t>01</w:t>
            </w:r>
          </w:p>
        </w:tc>
      </w:tr>
      <w:tr w:rsidR="00262BBC" w:rsidRPr="00D44D25" w14:paraId="31418C3E" w14:textId="77777777" w:rsidTr="00FC5A17">
        <w:tc>
          <w:tcPr>
            <w:tcW w:w="2785" w:type="dxa"/>
          </w:tcPr>
          <w:p w14:paraId="4384C93D" w14:textId="0EA589DB" w:rsidR="00262BBC" w:rsidRPr="00D44D25" w:rsidRDefault="00262BBC" w:rsidP="00262BBC">
            <w:pPr>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Acute treatment: high dose</w:t>
            </w:r>
          </w:p>
        </w:tc>
        <w:tc>
          <w:tcPr>
            <w:tcW w:w="1848" w:type="dxa"/>
          </w:tcPr>
          <w:p w14:paraId="58290984" w14:textId="13223953"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71</w:t>
            </w:r>
          </w:p>
        </w:tc>
        <w:tc>
          <w:tcPr>
            <w:tcW w:w="2472" w:type="dxa"/>
          </w:tcPr>
          <w:p w14:paraId="395EFD6C" w14:textId="60C2609B"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1.51 (1.18-1.95)</w:t>
            </w:r>
          </w:p>
        </w:tc>
        <w:tc>
          <w:tcPr>
            <w:tcW w:w="1911" w:type="dxa"/>
          </w:tcPr>
          <w:p w14:paraId="0C2CE45D" w14:textId="1FA8E619"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0.0012</w:t>
            </w:r>
          </w:p>
        </w:tc>
      </w:tr>
      <w:tr w:rsidR="00262BBC" w:rsidRPr="00D44D25" w14:paraId="560ED4E0" w14:textId="77777777" w:rsidTr="00FC5A17">
        <w:tc>
          <w:tcPr>
            <w:tcW w:w="2785" w:type="dxa"/>
          </w:tcPr>
          <w:p w14:paraId="4CEFBFE9" w14:textId="7FA64071" w:rsidR="00262BBC" w:rsidRPr="00D44D25" w:rsidRDefault="00262BBC" w:rsidP="00262BBC">
            <w:pPr>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Maintenance treatment: low dose</w:t>
            </w:r>
          </w:p>
        </w:tc>
        <w:tc>
          <w:tcPr>
            <w:tcW w:w="1848" w:type="dxa"/>
          </w:tcPr>
          <w:p w14:paraId="24A228E9" w14:textId="22FDE7B1"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254</w:t>
            </w:r>
          </w:p>
        </w:tc>
        <w:tc>
          <w:tcPr>
            <w:tcW w:w="2472" w:type="dxa"/>
          </w:tcPr>
          <w:p w14:paraId="7C082F42" w14:textId="1C011678"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1.11 (0.96-1.30)</w:t>
            </w:r>
          </w:p>
        </w:tc>
        <w:tc>
          <w:tcPr>
            <w:tcW w:w="1911" w:type="dxa"/>
          </w:tcPr>
          <w:p w14:paraId="6109F527" w14:textId="2D90002F"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0.1618</w:t>
            </w:r>
          </w:p>
        </w:tc>
      </w:tr>
      <w:tr w:rsidR="00262BBC" w:rsidRPr="00D44D25" w14:paraId="28E3AAC8" w14:textId="77777777" w:rsidTr="00FC5A17">
        <w:tc>
          <w:tcPr>
            <w:tcW w:w="2785" w:type="dxa"/>
          </w:tcPr>
          <w:p w14:paraId="565747A4" w14:textId="28032900" w:rsidR="00262BBC" w:rsidRPr="00D44D25" w:rsidRDefault="00262BBC" w:rsidP="00262BBC">
            <w:pPr>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Maintenance treatment: high dose</w:t>
            </w:r>
          </w:p>
        </w:tc>
        <w:tc>
          <w:tcPr>
            <w:tcW w:w="1848" w:type="dxa"/>
          </w:tcPr>
          <w:p w14:paraId="6D644920" w14:textId="01AE302B"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1875</w:t>
            </w:r>
          </w:p>
        </w:tc>
        <w:tc>
          <w:tcPr>
            <w:tcW w:w="2472" w:type="dxa"/>
          </w:tcPr>
          <w:p w14:paraId="3B5635B4" w14:textId="70C7AC3E"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0.94 (0.85-1.04)</w:t>
            </w:r>
          </w:p>
        </w:tc>
        <w:tc>
          <w:tcPr>
            <w:tcW w:w="1911" w:type="dxa"/>
          </w:tcPr>
          <w:p w14:paraId="75571593" w14:textId="0863E045"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0.2288</w:t>
            </w:r>
          </w:p>
        </w:tc>
      </w:tr>
      <w:tr w:rsidR="00262BBC" w:rsidRPr="00D44D25" w14:paraId="1732DA26" w14:textId="77777777" w:rsidTr="00FC5A17">
        <w:tc>
          <w:tcPr>
            <w:tcW w:w="2785" w:type="dxa"/>
          </w:tcPr>
          <w:p w14:paraId="0FE074CA" w14:textId="1C489D20" w:rsidR="00262BBC" w:rsidRPr="00D44D25" w:rsidRDefault="00262BBC" w:rsidP="00262BBC">
            <w:pPr>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 xml:space="preserve">Post-exposure period </w:t>
            </w:r>
          </w:p>
        </w:tc>
        <w:tc>
          <w:tcPr>
            <w:tcW w:w="1848" w:type="dxa"/>
          </w:tcPr>
          <w:p w14:paraId="30ED33DD" w14:textId="127AA44F"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97</w:t>
            </w:r>
          </w:p>
        </w:tc>
        <w:tc>
          <w:tcPr>
            <w:tcW w:w="2472" w:type="dxa"/>
          </w:tcPr>
          <w:p w14:paraId="16EB6DE5" w14:textId="3727BEA2"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1.34 (1.09-1.66)</w:t>
            </w:r>
          </w:p>
        </w:tc>
        <w:tc>
          <w:tcPr>
            <w:tcW w:w="1911" w:type="dxa"/>
          </w:tcPr>
          <w:p w14:paraId="60E39E0A" w14:textId="73B40452" w:rsidR="00262BBC" w:rsidRPr="00D44D25" w:rsidRDefault="00262BBC" w:rsidP="00262BBC">
            <w:pPr>
              <w:jc w:val="right"/>
              <w:rPr>
                <w:rFonts w:ascii="Times New Roman" w:hAnsi="Times New Roman" w:cs="Times New Roman"/>
                <w:color w:val="000000" w:themeColor="text1"/>
                <w:sz w:val="20"/>
                <w:szCs w:val="20"/>
              </w:rPr>
            </w:pPr>
            <w:r w:rsidRPr="005D48F7">
              <w:rPr>
                <w:rFonts w:ascii="Times New Roman" w:hAnsi="Times New Roman" w:cs="Times New Roman"/>
                <w:color w:val="000000" w:themeColor="text1"/>
                <w:sz w:val="20"/>
                <w:szCs w:val="20"/>
              </w:rPr>
              <w:t>0.0</w:t>
            </w:r>
            <w:r w:rsidR="009D653E">
              <w:rPr>
                <w:rFonts w:ascii="Times New Roman" w:hAnsi="Times New Roman" w:cs="Times New Roman"/>
                <w:color w:val="000000" w:themeColor="text1"/>
                <w:sz w:val="20"/>
                <w:szCs w:val="20"/>
              </w:rPr>
              <w:t>0</w:t>
            </w:r>
            <w:r w:rsidRPr="005D48F7">
              <w:rPr>
                <w:rFonts w:ascii="Times New Roman" w:hAnsi="Times New Roman" w:cs="Times New Roman"/>
                <w:color w:val="000000" w:themeColor="text1"/>
                <w:sz w:val="20"/>
                <w:szCs w:val="20"/>
              </w:rPr>
              <w:t>061</w:t>
            </w:r>
          </w:p>
        </w:tc>
      </w:tr>
      <w:tr w:rsidR="00262BBC" w:rsidRPr="00D44D25" w14:paraId="3BB53267" w14:textId="77777777" w:rsidTr="00FC5A17">
        <w:tc>
          <w:tcPr>
            <w:tcW w:w="2785" w:type="dxa"/>
          </w:tcPr>
          <w:p w14:paraId="27671EB9" w14:textId="77777777" w:rsidR="00262BBC" w:rsidRPr="00D44D25" w:rsidRDefault="00262BBC" w:rsidP="00262BBC">
            <w:pPr>
              <w:rPr>
                <w:rFonts w:ascii="Times New Roman" w:hAnsi="Times New Roman" w:cs="Times New Roman"/>
                <w:color w:val="000000" w:themeColor="text1"/>
                <w:sz w:val="20"/>
                <w:szCs w:val="20"/>
              </w:rPr>
            </w:pPr>
          </w:p>
        </w:tc>
        <w:tc>
          <w:tcPr>
            <w:tcW w:w="1848" w:type="dxa"/>
          </w:tcPr>
          <w:p w14:paraId="3A12590D" w14:textId="77777777" w:rsidR="00262BBC" w:rsidRPr="00D44D25" w:rsidRDefault="00262BBC" w:rsidP="00262BBC">
            <w:pPr>
              <w:jc w:val="right"/>
              <w:rPr>
                <w:rFonts w:ascii="Times New Roman" w:hAnsi="Times New Roman" w:cs="Times New Roman"/>
                <w:color w:val="000000" w:themeColor="text1"/>
                <w:sz w:val="20"/>
                <w:szCs w:val="20"/>
              </w:rPr>
            </w:pPr>
          </w:p>
        </w:tc>
        <w:tc>
          <w:tcPr>
            <w:tcW w:w="2472" w:type="dxa"/>
          </w:tcPr>
          <w:p w14:paraId="6CEF2A40" w14:textId="77777777" w:rsidR="00262BBC" w:rsidRPr="00D44D25" w:rsidRDefault="00262BBC" w:rsidP="00262BBC">
            <w:pPr>
              <w:jc w:val="right"/>
              <w:rPr>
                <w:rFonts w:ascii="Times New Roman" w:hAnsi="Times New Roman" w:cs="Times New Roman"/>
                <w:color w:val="000000" w:themeColor="text1"/>
                <w:sz w:val="20"/>
                <w:szCs w:val="20"/>
              </w:rPr>
            </w:pPr>
          </w:p>
        </w:tc>
        <w:tc>
          <w:tcPr>
            <w:tcW w:w="1911" w:type="dxa"/>
          </w:tcPr>
          <w:p w14:paraId="2E34D3FC" w14:textId="77777777" w:rsidR="00262BBC" w:rsidRPr="00D44D25" w:rsidRDefault="00262BBC" w:rsidP="00262BBC">
            <w:pPr>
              <w:jc w:val="right"/>
              <w:rPr>
                <w:rFonts w:ascii="Times New Roman" w:hAnsi="Times New Roman" w:cs="Times New Roman"/>
                <w:color w:val="000000" w:themeColor="text1"/>
                <w:sz w:val="20"/>
                <w:szCs w:val="20"/>
              </w:rPr>
            </w:pPr>
          </w:p>
        </w:tc>
      </w:tr>
    </w:tbl>
    <w:p w14:paraId="4DA4AA36" w14:textId="77777777" w:rsidR="00BF79DD" w:rsidRPr="0071226A" w:rsidRDefault="00BF79DD" w:rsidP="00BF79DD">
      <w:pPr>
        <w:spacing w:line="240" w:lineRule="auto"/>
        <w:rPr>
          <w:rFonts w:ascii="Times New Roman" w:hAnsi="Times New Roman" w:cs="Times New Roman"/>
          <w:color w:val="000000" w:themeColor="text1"/>
          <w:sz w:val="20"/>
          <w:lang w:val="en-US"/>
        </w:rPr>
      </w:pPr>
      <w:r w:rsidRPr="0071226A">
        <w:rPr>
          <w:rFonts w:ascii="Times New Roman" w:hAnsi="Times New Roman" w:cs="Times New Roman"/>
          <w:color w:val="000000" w:themeColor="text1"/>
          <w:sz w:val="20"/>
          <w:vertAlign w:val="superscript"/>
          <w:lang w:val="en-US"/>
        </w:rPr>
        <w:t>a</w:t>
      </w:r>
      <w:r w:rsidRPr="0071226A">
        <w:rPr>
          <w:rFonts w:ascii="Times New Roman" w:hAnsi="Times New Roman" w:cs="Times New Roman"/>
          <w:color w:val="000000" w:themeColor="text1"/>
          <w:sz w:val="20"/>
          <w:lang w:val="en-US"/>
        </w:rPr>
        <w:t xml:space="preserve">All estimates are adjusted for age in one-year age band and concurrent use of antidepressants and/or benzodiazepine derivatives. </w:t>
      </w:r>
    </w:p>
    <w:p w14:paraId="4122AF43" w14:textId="77777777" w:rsidR="00BF79DD" w:rsidRPr="0071226A" w:rsidRDefault="00BF79DD" w:rsidP="00BF79DD">
      <w:pPr>
        <w:spacing w:line="240" w:lineRule="auto"/>
        <w:rPr>
          <w:rFonts w:ascii="Times New Roman" w:hAnsi="Times New Roman" w:cs="Times New Roman"/>
          <w:noProof/>
          <w:color w:val="000000" w:themeColor="text1"/>
          <w:sz w:val="20"/>
        </w:rPr>
      </w:pPr>
      <w:r w:rsidRPr="0071226A">
        <w:rPr>
          <w:rFonts w:ascii="Times New Roman" w:hAnsi="Times New Roman" w:cs="Times New Roman"/>
          <w:noProof/>
          <w:color w:val="000000" w:themeColor="text1"/>
          <w:sz w:val="20"/>
        </w:rPr>
        <w:t>Abbreviations: CI=confidence interval; ER=emergency room; IRR=incidence rate ratio</w:t>
      </w:r>
    </w:p>
    <w:p w14:paraId="6936F898" w14:textId="63026446" w:rsidR="00D649E7" w:rsidRPr="00D44D25" w:rsidRDefault="00D649E7">
      <w:pPr>
        <w:rPr>
          <w:rFonts w:ascii="Times New Roman" w:hAnsi="Times New Roman" w:cs="Times New Roman"/>
          <w:sz w:val="20"/>
          <w:szCs w:val="20"/>
          <w:lang w:val="en-US"/>
        </w:rPr>
      </w:pPr>
      <w:r w:rsidRPr="00D44D25">
        <w:rPr>
          <w:rFonts w:ascii="Times New Roman" w:hAnsi="Times New Roman" w:cs="Times New Roman"/>
          <w:sz w:val="20"/>
          <w:szCs w:val="20"/>
          <w:lang w:val="en-US"/>
        </w:rPr>
        <w:br w:type="page"/>
      </w:r>
    </w:p>
    <w:p w14:paraId="095F44A8" w14:textId="7B4076C9" w:rsidR="00D649E7" w:rsidRPr="00D44D25" w:rsidRDefault="00D649E7" w:rsidP="00423B41">
      <w:pPr>
        <w:rPr>
          <w:rFonts w:ascii="Times New Roman" w:hAnsi="Times New Roman" w:cs="Times New Roman"/>
          <w:b/>
          <w:bCs/>
          <w:sz w:val="20"/>
          <w:szCs w:val="20"/>
          <w:lang w:val="en-US"/>
        </w:rPr>
      </w:pPr>
      <w:r w:rsidRPr="00D44D25">
        <w:rPr>
          <w:rFonts w:ascii="Times New Roman" w:hAnsi="Times New Roman" w:cs="Times New Roman"/>
          <w:b/>
          <w:bCs/>
          <w:noProof/>
          <w:color w:val="000000" w:themeColor="text1"/>
          <w:sz w:val="20"/>
          <w:szCs w:val="20"/>
          <w:lang w:val="en-US"/>
        </w:rPr>
        <w:lastRenderedPageBreak/>
        <w:drawing>
          <wp:anchor distT="0" distB="0" distL="114300" distR="114300" simplePos="0" relativeHeight="251660288" behindDoc="0" locked="0" layoutInCell="1" allowOverlap="1" wp14:anchorId="4BDBC3A4" wp14:editId="771EABF1">
            <wp:simplePos x="0" y="0"/>
            <wp:positionH relativeFrom="margin">
              <wp:align>right</wp:align>
            </wp:positionH>
            <wp:positionV relativeFrom="paragraph">
              <wp:posOffset>108585</wp:posOffset>
            </wp:positionV>
            <wp:extent cx="5724525" cy="3048000"/>
            <wp:effectExtent l="0" t="0" r="9525" b="0"/>
            <wp:wrapTopAndBottom/>
            <wp:docPr id="1" name="Chart 1">
              <a:extLst xmlns:a="http://schemas.openxmlformats.org/drawingml/2006/main">
                <a:ext uri="{FF2B5EF4-FFF2-40B4-BE49-F238E27FC236}">
                  <a16:creationId xmlns:a16="http://schemas.microsoft.com/office/drawing/2014/main" id="{D2DA18B8-A527-4A20-B18A-8ADCFCAB5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021E3">
        <w:rPr>
          <w:rFonts w:ascii="Times New Roman" w:hAnsi="Times New Roman" w:cs="Times New Roman"/>
          <w:b/>
          <w:bCs/>
          <w:sz w:val="20"/>
          <w:szCs w:val="20"/>
          <w:lang w:val="en-US"/>
        </w:rPr>
        <w:t xml:space="preserve">Supplementary Figure </w:t>
      </w:r>
      <w:r w:rsidR="004F75CA">
        <w:rPr>
          <w:rFonts w:ascii="Times New Roman" w:hAnsi="Times New Roman" w:cs="Times New Roman"/>
          <w:b/>
          <w:bCs/>
          <w:sz w:val="20"/>
          <w:szCs w:val="20"/>
          <w:lang w:val="en-US"/>
        </w:rPr>
        <w:t>2</w:t>
      </w:r>
      <w:r w:rsidR="00423B41" w:rsidRPr="00D44D25">
        <w:rPr>
          <w:rFonts w:ascii="Times New Roman" w:hAnsi="Times New Roman" w:cs="Times New Roman"/>
          <w:b/>
          <w:bCs/>
          <w:sz w:val="20"/>
          <w:szCs w:val="20"/>
          <w:lang w:val="en-US"/>
        </w:rPr>
        <w:t xml:space="preserve">. Sensitivity analysis on exposure periods by adding 1 to 10 weeks after the end of an exposed period: Incidence rate ratio of </w:t>
      </w:r>
      <w:r w:rsidR="00DB6F1E">
        <w:rPr>
          <w:rFonts w:ascii="Times New Roman" w:hAnsi="Times New Roman" w:cs="Times New Roman"/>
          <w:b/>
          <w:bCs/>
          <w:sz w:val="20"/>
          <w:szCs w:val="20"/>
          <w:lang w:val="en-US"/>
        </w:rPr>
        <w:t>emergency room admissions due to traumatic injuries</w:t>
      </w:r>
      <w:r w:rsidR="00635BDF">
        <w:rPr>
          <w:rFonts w:ascii="Times New Roman" w:hAnsi="Times New Roman" w:cs="Times New Roman"/>
          <w:b/>
          <w:bCs/>
          <w:sz w:val="20"/>
          <w:szCs w:val="20"/>
          <w:lang w:val="en-US"/>
        </w:rPr>
        <w:t xml:space="preserve"> </w:t>
      </w:r>
      <w:r w:rsidR="00423B41" w:rsidRPr="00D44D25">
        <w:rPr>
          <w:rFonts w:ascii="Times New Roman" w:hAnsi="Times New Roman" w:cs="Times New Roman"/>
          <w:b/>
          <w:bCs/>
          <w:sz w:val="20"/>
          <w:szCs w:val="20"/>
          <w:lang w:val="en-US"/>
        </w:rPr>
        <w:t>in the pre-exposure period</w:t>
      </w:r>
    </w:p>
    <w:p w14:paraId="4D19E2DE" w14:textId="752139AF" w:rsidR="009B4E4F" w:rsidRPr="00D44D25" w:rsidRDefault="00D649E7" w:rsidP="00D649E7">
      <w:pPr>
        <w:rPr>
          <w:rFonts w:ascii="Times New Roman" w:hAnsi="Times New Roman" w:cs="Times New Roman"/>
          <w:b/>
          <w:bCs/>
          <w:sz w:val="20"/>
          <w:szCs w:val="20"/>
          <w:lang w:val="en-US"/>
        </w:rPr>
      </w:pPr>
      <w:r w:rsidRPr="00D44D25">
        <w:rPr>
          <w:rFonts w:ascii="Times New Roman" w:hAnsi="Times New Roman" w:cs="Times New Roman"/>
          <w:b/>
          <w:bCs/>
          <w:sz w:val="20"/>
          <w:szCs w:val="20"/>
          <w:lang w:val="en-US"/>
        </w:rPr>
        <w:br w:type="page"/>
      </w:r>
    </w:p>
    <w:p w14:paraId="04F4BD8D" w14:textId="0153CC94" w:rsidR="009B4E4F" w:rsidRPr="00D44D25" w:rsidRDefault="009B4E4F">
      <w:pPr>
        <w:rPr>
          <w:rFonts w:ascii="Times New Roman" w:hAnsi="Times New Roman" w:cs="Times New Roman"/>
          <w:b/>
          <w:bCs/>
          <w:sz w:val="20"/>
          <w:szCs w:val="20"/>
          <w:lang w:val="en-US"/>
        </w:rPr>
      </w:pPr>
      <w:r w:rsidRPr="00D44D25">
        <w:rPr>
          <w:rFonts w:ascii="Times New Roman" w:hAnsi="Times New Roman" w:cs="Times New Roman"/>
          <w:noProof/>
          <w:color w:val="000000" w:themeColor="text1"/>
          <w:sz w:val="20"/>
          <w:szCs w:val="20"/>
          <w:lang w:val="en-US"/>
        </w:rPr>
        <w:lastRenderedPageBreak/>
        <w:drawing>
          <wp:anchor distT="0" distB="0" distL="114300" distR="114300" simplePos="0" relativeHeight="251662336" behindDoc="0" locked="0" layoutInCell="1" allowOverlap="1" wp14:anchorId="16A2F78D" wp14:editId="7FF75186">
            <wp:simplePos x="0" y="0"/>
            <wp:positionH relativeFrom="margin">
              <wp:align>left</wp:align>
            </wp:positionH>
            <wp:positionV relativeFrom="paragraph">
              <wp:posOffset>94615</wp:posOffset>
            </wp:positionV>
            <wp:extent cx="5743575" cy="3238500"/>
            <wp:effectExtent l="0" t="0" r="9525" b="0"/>
            <wp:wrapTopAndBottom/>
            <wp:docPr id="4" name="Chart 4">
              <a:extLst xmlns:a="http://schemas.openxmlformats.org/drawingml/2006/main">
                <a:ext uri="{FF2B5EF4-FFF2-40B4-BE49-F238E27FC236}">
                  <a16:creationId xmlns:a16="http://schemas.microsoft.com/office/drawing/2014/main" id="{E8BF6643-CC68-48BE-A209-3830E3251E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E021E3">
        <w:rPr>
          <w:rFonts w:ascii="Times New Roman" w:hAnsi="Times New Roman" w:cs="Times New Roman"/>
          <w:b/>
          <w:bCs/>
          <w:sz w:val="20"/>
          <w:szCs w:val="20"/>
          <w:lang w:val="en-US"/>
        </w:rPr>
        <w:t xml:space="preserve">Supplementary </w:t>
      </w:r>
      <w:r w:rsidR="00423B41" w:rsidRPr="00D44D25">
        <w:rPr>
          <w:rFonts w:ascii="Times New Roman" w:hAnsi="Times New Roman" w:cs="Times New Roman"/>
          <w:b/>
          <w:bCs/>
          <w:sz w:val="20"/>
          <w:szCs w:val="20"/>
          <w:lang w:val="en-US"/>
        </w:rPr>
        <w:t>Figure</w:t>
      </w:r>
      <w:r w:rsidR="004F75CA">
        <w:rPr>
          <w:rFonts w:ascii="Times New Roman" w:hAnsi="Times New Roman" w:cs="Times New Roman"/>
          <w:b/>
          <w:bCs/>
          <w:sz w:val="20"/>
          <w:szCs w:val="20"/>
          <w:lang w:val="en-US"/>
        </w:rPr>
        <w:t xml:space="preserve"> 3</w:t>
      </w:r>
      <w:r w:rsidR="00423B41" w:rsidRPr="00D44D25">
        <w:rPr>
          <w:rFonts w:ascii="Times New Roman" w:hAnsi="Times New Roman" w:cs="Times New Roman"/>
          <w:b/>
          <w:bCs/>
          <w:sz w:val="20"/>
          <w:szCs w:val="20"/>
          <w:lang w:val="en-US"/>
        </w:rPr>
        <w:t xml:space="preserve">. Sensitivity analysis on exposure periods by adding 1 to 10 weeks after the end of an exposed period: Incidence rate ratio of </w:t>
      </w:r>
      <w:r w:rsidR="00DB6F1E">
        <w:rPr>
          <w:rFonts w:ascii="Times New Roman" w:hAnsi="Times New Roman" w:cs="Times New Roman"/>
          <w:b/>
          <w:bCs/>
          <w:sz w:val="20"/>
          <w:szCs w:val="20"/>
          <w:lang w:val="en-US"/>
        </w:rPr>
        <w:t>emergency room admissions due to traumatic injuries</w:t>
      </w:r>
      <w:r w:rsidR="00635BDF">
        <w:rPr>
          <w:rFonts w:ascii="Times New Roman" w:hAnsi="Times New Roman" w:cs="Times New Roman"/>
          <w:b/>
          <w:bCs/>
          <w:sz w:val="20"/>
          <w:szCs w:val="20"/>
          <w:lang w:val="en-US"/>
        </w:rPr>
        <w:t xml:space="preserve"> </w:t>
      </w:r>
      <w:r w:rsidR="00423B41" w:rsidRPr="00D44D25">
        <w:rPr>
          <w:rFonts w:ascii="Times New Roman" w:hAnsi="Times New Roman" w:cs="Times New Roman"/>
          <w:b/>
          <w:bCs/>
          <w:sz w:val="20"/>
          <w:szCs w:val="20"/>
          <w:lang w:val="en-US"/>
        </w:rPr>
        <w:t>in the acute treatment</w:t>
      </w:r>
    </w:p>
    <w:p w14:paraId="1078E646" w14:textId="790978CC" w:rsidR="00D649E7" w:rsidRPr="00D44D25" w:rsidRDefault="00D649E7">
      <w:pPr>
        <w:rPr>
          <w:rFonts w:ascii="Times New Roman" w:hAnsi="Times New Roman" w:cs="Times New Roman"/>
          <w:sz w:val="20"/>
          <w:szCs w:val="20"/>
          <w:lang w:val="en-US"/>
        </w:rPr>
      </w:pPr>
      <w:r w:rsidRPr="00D44D25">
        <w:rPr>
          <w:rFonts w:ascii="Times New Roman" w:hAnsi="Times New Roman" w:cs="Times New Roman"/>
          <w:sz w:val="20"/>
          <w:szCs w:val="20"/>
          <w:lang w:val="en-US"/>
        </w:rPr>
        <w:br w:type="page"/>
      </w:r>
    </w:p>
    <w:p w14:paraId="7B6C2271" w14:textId="77777777" w:rsidR="009B4E4F" w:rsidRPr="00D44D25" w:rsidRDefault="009B4E4F">
      <w:pPr>
        <w:rPr>
          <w:rFonts w:ascii="Times New Roman" w:hAnsi="Times New Roman" w:cs="Times New Roman"/>
          <w:sz w:val="20"/>
          <w:szCs w:val="20"/>
          <w:lang w:val="en-US"/>
        </w:rPr>
      </w:pPr>
    </w:p>
    <w:p w14:paraId="4F24B1E5" w14:textId="3B9D2BDC" w:rsidR="009B4E4F" w:rsidRPr="00D44D25" w:rsidRDefault="00423B41">
      <w:pPr>
        <w:rPr>
          <w:rFonts w:ascii="Times New Roman" w:hAnsi="Times New Roman" w:cs="Times New Roman"/>
          <w:b/>
          <w:bCs/>
          <w:sz w:val="20"/>
          <w:szCs w:val="20"/>
          <w:lang w:val="en-US"/>
        </w:rPr>
      </w:pPr>
      <w:r w:rsidRPr="00D44D25">
        <w:rPr>
          <w:rFonts w:ascii="Times New Roman" w:hAnsi="Times New Roman" w:cs="Times New Roman"/>
          <w:b/>
          <w:bCs/>
          <w:noProof/>
          <w:color w:val="000000" w:themeColor="text1"/>
          <w:sz w:val="20"/>
          <w:szCs w:val="20"/>
          <w:lang w:val="en-US"/>
        </w:rPr>
        <w:drawing>
          <wp:anchor distT="0" distB="0" distL="114300" distR="114300" simplePos="0" relativeHeight="251664384" behindDoc="0" locked="0" layoutInCell="1" allowOverlap="1" wp14:anchorId="1F6171E3" wp14:editId="318D7BEB">
            <wp:simplePos x="0" y="0"/>
            <wp:positionH relativeFrom="margin">
              <wp:align>right</wp:align>
            </wp:positionH>
            <wp:positionV relativeFrom="paragraph">
              <wp:posOffset>34290</wp:posOffset>
            </wp:positionV>
            <wp:extent cx="5724525" cy="3343275"/>
            <wp:effectExtent l="0" t="0" r="9525" b="9525"/>
            <wp:wrapTopAndBottom/>
            <wp:docPr id="7" name="Chart 7">
              <a:extLst xmlns:a="http://schemas.openxmlformats.org/drawingml/2006/main">
                <a:ext uri="{FF2B5EF4-FFF2-40B4-BE49-F238E27FC236}">
                  <a16:creationId xmlns:a16="http://schemas.microsoft.com/office/drawing/2014/main" id="{00BDC618-EFC1-4352-B02E-887F952A6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E021E3">
        <w:rPr>
          <w:rFonts w:ascii="Times New Roman" w:hAnsi="Times New Roman" w:cs="Times New Roman"/>
          <w:b/>
          <w:bCs/>
          <w:sz w:val="20"/>
          <w:szCs w:val="20"/>
          <w:lang w:val="en-US"/>
        </w:rPr>
        <w:t xml:space="preserve">Supplementary </w:t>
      </w:r>
      <w:r w:rsidR="00B72608" w:rsidRPr="00D44D25">
        <w:rPr>
          <w:rFonts w:ascii="Times New Roman" w:hAnsi="Times New Roman" w:cs="Times New Roman"/>
          <w:b/>
          <w:bCs/>
          <w:sz w:val="20"/>
          <w:szCs w:val="20"/>
          <w:lang w:val="en-US"/>
        </w:rPr>
        <w:t>Figure</w:t>
      </w:r>
      <w:r w:rsidRPr="00D44D25">
        <w:rPr>
          <w:rFonts w:ascii="Times New Roman" w:hAnsi="Times New Roman" w:cs="Times New Roman"/>
          <w:b/>
          <w:bCs/>
          <w:sz w:val="20"/>
          <w:szCs w:val="20"/>
          <w:lang w:val="en-US"/>
        </w:rPr>
        <w:t xml:space="preserve"> </w:t>
      </w:r>
      <w:r w:rsidR="004F75CA">
        <w:rPr>
          <w:rFonts w:ascii="Times New Roman" w:hAnsi="Times New Roman" w:cs="Times New Roman"/>
          <w:b/>
          <w:bCs/>
          <w:sz w:val="20"/>
          <w:szCs w:val="20"/>
          <w:lang w:val="en-US"/>
        </w:rPr>
        <w:t>4</w:t>
      </w:r>
      <w:r w:rsidRPr="00D44D25">
        <w:rPr>
          <w:rFonts w:ascii="Times New Roman" w:hAnsi="Times New Roman" w:cs="Times New Roman"/>
          <w:b/>
          <w:bCs/>
          <w:sz w:val="20"/>
          <w:szCs w:val="20"/>
          <w:lang w:val="en-US"/>
        </w:rPr>
        <w:t xml:space="preserve">. Sensitivity analysis on exposure periods by adding 1 to 10 weeks after the end of an exposed period: Incidence rate ratio of </w:t>
      </w:r>
      <w:r w:rsidR="00DB6F1E">
        <w:rPr>
          <w:rFonts w:ascii="Times New Roman" w:hAnsi="Times New Roman" w:cs="Times New Roman"/>
          <w:b/>
          <w:bCs/>
          <w:sz w:val="20"/>
          <w:szCs w:val="20"/>
          <w:lang w:val="en-US"/>
        </w:rPr>
        <w:t>emergency room admissions due to traumatic injuries</w:t>
      </w:r>
      <w:r w:rsidR="00635BDF">
        <w:rPr>
          <w:rFonts w:ascii="Times New Roman" w:hAnsi="Times New Roman" w:cs="Times New Roman"/>
          <w:b/>
          <w:bCs/>
          <w:sz w:val="20"/>
          <w:szCs w:val="20"/>
          <w:lang w:val="en-US"/>
        </w:rPr>
        <w:t xml:space="preserve"> </w:t>
      </w:r>
      <w:r w:rsidRPr="00D44D25">
        <w:rPr>
          <w:rFonts w:ascii="Times New Roman" w:hAnsi="Times New Roman" w:cs="Times New Roman"/>
          <w:b/>
          <w:bCs/>
          <w:sz w:val="20"/>
          <w:szCs w:val="20"/>
          <w:lang w:val="en-US"/>
        </w:rPr>
        <w:t>in the maintenance treatment</w:t>
      </w:r>
    </w:p>
    <w:p w14:paraId="6ED7B897" w14:textId="51ED53E7" w:rsidR="00D649E7" w:rsidRPr="00D44D25" w:rsidRDefault="00D649E7">
      <w:pPr>
        <w:rPr>
          <w:rFonts w:ascii="Times New Roman" w:hAnsi="Times New Roman" w:cs="Times New Roman"/>
          <w:b/>
          <w:bCs/>
          <w:sz w:val="20"/>
          <w:szCs w:val="20"/>
          <w:lang w:val="en-US"/>
        </w:rPr>
      </w:pPr>
      <w:r w:rsidRPr="00D44D25">
        <w:rPr>
          <w:rFonts w:ascii="Times New Roman" w:hAnsi="Times New Roman" w:cs="Times New Roman"/>
          <w:b/>
          <w:bCs/>
          <w:sz w:val="20"/>
          <w:szCs w:val="20"/>
          <w:lang w:val="en-US"/>
        </w:rPr>
        <w:br w:type="page"/>
      </w:r>
    </w:p>
    <w:p w14:paraId="58DE2C51" w14:textId="0F58DF98" w:rsidR="009B4E4F" w:rsidRPr="00D44D25" w:rsidRDefault="00D649E7">
      <w:pPr>
        <w:rPr>
          <w:rFonts w:ascii="Times New Roman" w:hAnsi="Times New Roman" w:cs="Times New Roman"/>
          <w:b/>
          <w:bCs/>
          <w:sz w:val="20"/>
          <w:szCs w:val="20"/>
          <w:lang w:val="en-US"/>
        </w:rPr>
      </w:pPr>
      <w:r w:rsidRPr="00D44D25">
        <w:rPr>
          <w:rFonts w:ascii="Times New Roman" w:hAnsi="Times New Roman" w:cs="Times New Roman"/>
          <w:b/>
          <w:bCs/>
          <w:noProof/>
          <w:color w:val="000000" w:themeColor="text1"/>
          <w:sz w:val="20"/>
          <w:szCs w:val="20"/>
          <w:lang w:val="en-US"/>
        </w:rPr>
        <w:lastRenderedPageBreak/>
        <w:drawing>
          <wp:anchor distT="0" distB="0" distL="114300" distR="114300" simplePos="0" relativeHeight="251666432" behindDoc="0" locked="0" layoutInCell="1" allowOverlap="1" wp14:anchorId="114D262F" wp14:editId="4510AA80">
            <wp:simplePos x="0" y="0"/>
            <wp:positionH relativeFrom="margin">
              <wp:posOffset>-12065</wp:posOffset>
            </wp:positionH>
            <wp:positionV relativeFrom="paragraph">
              <wp:posOffset>86995</wp:posOffset>
            </wp:positionV>
            <wp:extent cx="5724525" cy="3429000"/>
            <wp:effectExtent l="0" t="0" r="9525" b="0"/>
            <wp:wrapTopAndBottom/>
            <wp:docPr id="10" name="Chart 10">
              <a:extLst xmlns:a="http://schemas.openxmlformats.org/drawingml/2006/main">
                <a:ext uri="{FF2B5EF4-FFF2-40B4-BE49-F238E27FC236}">
                  <a16:creationId xmlns:a16="http://schemas.microsoft.com/office/drawing/2014/main" id="{2B2B0B26-8EEC-485D-A208-31457264E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E021E3">
        <w:rPr>
          <w:rFonts w:ascii="Times New Roman" w:hAnsi="Times New Roman" w:cs="Times New Roman"/>
          <w:b/>
          <w:bCs/>
          <w:sz w:val="20"/>
          <w:szCs w:val="20"/>
          <w:lang w:val="en-US"/>
        </w:rPr>
        <w:t xml:space="preserve">Supplementary </w:t>
      </w:r>
      <w:r w:rsidR="00423B41" w:rsidRPr="00D44D25">
        <w:rPr>
          <w:rFonts w:ascii="Times New Roman" w:hAnsi="Times New Roman" w:cs="Times New Roman"/>
          <w:b/>
          <w:bCs/>
          <w:sz w:val="20"/>
          <w:szCs w:val="20"/>
          <w:lang w:val="en-US"/>
        </w:rPr>
        <w:t xml:space="preserve">Figure </w:t>
      </w:r>
      <w:r w:rsidR="004F75CA">
        <w:rPr>
          <w:rFonts w:ascii="Times New Roman" w:hAnsi="Times New Roman" w:cs="Times New Roman"/>
          <w:b/>
          <w:bCs/>
          <w:sz w:val="20"/>
          <w:szCs w:val="20"/>
          <w:lang w:val="en-US"/>
        </w:rPr>
        <w:t>5</w:t>
      </w:r>
      <w:r w:rsidR="00423B41" w:rsidRPr="00D44D25">
        <w:rPr>
          <w:rFonts w:ascii="Times New Roman" w:hAnsi="Times New Roman" w:cs="Times New Roman"/>
          <w:b/>
          <w:bCs/>
          <w:sz w:val="20"/>
          <w:szCs w:val="20"/>
          <w:lang w:val="en-US"/>
        </w:rPr>
        <w:t xml:space="preserve">. Sensitivity analysis on exposure periods by adding 1 to 10 weeks after the end of an exposed period: Incidence rate ratio of </w:t>
      </w:r>
      <w:r w:rsidR="00DB6F1E">
        <w:rPr>
          <w:rFonts w:ascii="Times New Roman" w:hAnsi="Times New Roman" w:cs="Times New Roman"/>
          <w:b/>
          <w:bCs/>
          <w:sz w:val="20"/>
          <w:szCs w:val="20"/>
          <w:lang w:val="en-US"/>
        </w:rPr>
        <w:t>emergency room admissions due to traumatic injuries</w:t>
      </w:r>
      <w:r w:rsidR="00635BDF">
        <w:rPr>
          <w:rFonts w:ascii="Times New Roman" w:hAnsi="Times New Roman" w:cs="Times New Roman"/>
          <w:b/>
          <w:bCs/>
          <w:sz w:val="20"/>
          <w:szCs w:val="20"/>
          <w:lang w:val="en-US"/>
        </w:rPr>
        <w:t xml:space="preserve"> </w:t>
      </w:r>
      <w:r w:rsidR="00423B41" w:rsidRPr="00D44D25">
        <w:rPr>
          <w:rFonts w:ascii="Times New Roman" w:hAnsi="Times New Roman" w:cs="Times New Roman"/>
          <w:b/>
          <w:bCs/>
          <w:sz w:val="20"/>
          <w:szCs w:val="20"/>
          <w:lang w:val="en-US"/>
        </w:rPr>
        <w:t>in the post-exposure period</w:t>
      </w:r>
    </w:p>
    <w:p w14:paraId="29F22E68" w14:textId="77777777" w:rsidR="00D649E7" w:rsidRPr="00D44D25" w:rsidRDefault="00D649E7">
      <w:pPr>
        <w:rPr>
          <w:rFonts w:ascii="Times New Roman" w:hAnsi="Times New Roman" w:cs="Times New Roman"/>
          <w:b/>
          <w:bCs/>
          <w:sz w:val="20"/>
          <w:szCs w:val="20"/>
          <w:lang w:val="en-US"/>
        </w:rPr>
      </w:pPr>
      <w:r w:rsidRPr="00D44D25">
        <w:rPr>
          <w:rFonts w:ascii="Times New Roman" w:hAnsi="Times New Roman" w:cs="Times New Roman"/>
          <w:b/>
          <w:bCs/>
          <w:sz w:val="20"/>
          <w:szCs w:val="20"/>
          <w:lang w:val="en-US"/>
        </w:rPr>
        <w:br w:type="page"/>
      </w:r>
    </w:p>
    <w:p w14:paraId="73E3259D" w14:textId="5F867DB1" w:rsidR="009B4E4F" w:rsidRPr="00D44D25" w:rsidRDefault="00E021E3">
      <w:pPr>
        <w:rPr>
          <w:rFonts w:ascii="Times New Roman" w:hAnsi="Times New Roman" w:cs="Times New Roman"/>
          <w:b/>
          <w:bCs/>
          <w:color w:val="000000" w:themeColor="text1"/>
          <w:sz w:val="20"/>
          <w:szCs w:val="20"/>
          <w:lang w:val="en-US"/>
        </w:rPr>
      </w:pPr>
      <w:r>
        <w:rPr>
          <w:rFonts w:ascii="Times New Roman" w:hAnsi="Times New Roman" w:cs="Times New Roman"/>
          <w:b/>
          <w:bCs/>
          <w:sz w:val="20"/>
          <w:szCs w:val="20"/>
          <w:lang w:val="en-US"/>
        </w:rPr>
        <w:lastRenderedPageBreak/>
        <w:t xml:space="preserve">Supplementary Table </w:t>
      </w:r>
      <w:r w:rsidR="007F61AD">
        <w:rPr>
          <w:rFonts w:ascii="Times New Roman" w:hAnsi="Times New Roman" w:cs="Times New Roman"/>
          <w:b/>
          <w:bCs/>
          <w:sz w:val="20"/>
          <w:szCs w:val="20"/>
          <w:lang w:val="en-US"/>
        </w:rPr>
        <w:t>7</w:t>
      </w:r>
      <w:r w:rsidR="009B4E4F" w:rsidRPr="00D44D25">
        <w:rPr>
          <w:rFonts w:ascii="Times New Roman" w:hAnsi="Times New Roman" w:cs="Times New Roman"/>
          <w:b/>
          <w:bCs/>
          <w:sz w:val="20"/>
          <w:szCs w:val="20"/>
          <w:lang w:val="en-US"/>
        </w:rPr>
        <w:t xml:space="preserve">. </w:t>
      </w:r>
      <w:r w:rsidR="00484555" w:rsidRPr="00D44D25">
        <w:rPr>
          <w:rFonts w:ascii="Times New Roman" w:hAnsi="Times New Roman" w:cs="Times New Roman"/>
          <w:b/>
          <w:bCs/>
          <w:color w:val="000000" w:themeColor="text1"/>
          <w:sz w:val="20"/>
          <w:szCs w:val="20"/>
          <w:lang w:val="en-US"/>
        </w:rPr>
        <w:t>Results from E-value analysis</w:t>
      </w:r>
    </w:p>
    <w:tbl>
      <w:tblPr>
        <w:tblStyle w:val="TableGrid"/>
        <w:tblW w:w="8945" w:type="dxa"/>
        <w:tblLook w:val="04A0" w:firstRow="1" w:lastRow="0" w:firstColumn="1" w:lastColumn="0" w:noHBand="0" w:noVBand="1"/>
      </w:tblPr>
      <w:tblGrid>
        <w:gridCol w:w="2981"/>
        <w:gridCol w:w="2981"/>
        <w:gridCol w:w="2983"/>
      </w:tblGrid>
      <w:tr w:rsidR="00484555" w:rsidRPr="00D44D25" w14:paraId="61C6AC3E" w14:textId="77777777" w:rsidTr="00D92A57">
        <w:trPr>
          <w:trHeight w:val="242"/>
        </w:trPr>
        <w:tc>
          <w:tcPr>
            <w:tcW w:w="2981" w:type="dxa"/>
          </w:tcPr>
          <w:p w14:paraId="58F58173" w14:textId="77777777" w:rsidR="00484555" w:rsidRPr="00D44D25" w:rsidRDefault="00484555" w:rsidP="00CF2857">
            <w:pPr>
              <w:spacing w:line="480" w:lineRule="auto"/>
              <w:rPr>
                <w:rFonts w:ascii="Times New Roman" w:hAnsi="Times New Roman" w:cs="Times New Roman"/>
                <w:b/>
                <w:bCs/>
                <w:color w:val="000000" w:themeColor="text1"/>
                <w:sz w:val="20"/>
                <w:szCs w:val="20"/>
              </w:rPr>
            </w:pPr>
            <w:r w:rsidRPr="00D44D25">
              <w:rPr>
                <w:rFonts w:ascii="Times New Roman" w:hAnsi="Times New Roman" w:cs="Times New Roman"/>
                <w:b/>
                <w:bCs/>
                <w:color w:val="000000" w:themeColor="text1"/>
                <w:sz w:val="20"/>
                <w:szCs w:val="20"/>
              </w:rPr>
              <w:t>Risk windows</w:t>
            </w:r>
          </w:p>
        </w:tc>
        <w:tc>
          <w:tcPr>
            <w:tcW w:w="2981" w:type="dxa"/>
          </w:tcPr>
          <w:p w14:paraId="5D73FB4E" w14:textId="77777777" w:rsidR="00484555" w:rsidRPr="00D44D25" w:rsidRDefault="00484555" w:rsidP="00CF2857">
            <w:pPr>
              <w:rPr>
                <w:rFonts w:ascii="Times New Roman" w:hAnsi="Times New Roman" w:cs="Times New Roman"/>
                <w:b/>
                <w:bCs/>
                <w:color w:val="000000" w:themeColor="text1"/>
                <w:sz w:val="20"/>
                <w:szCs w:val="20"/>
              </w:rPr>
            </w:pPr>
            <w:r w:rsidRPr="00D44D25">
              <w:rPr>
                <w:rFonts w:ascii="Times New Roman" w:hAnsi="Times New Roman" w:cs="Times New Roman"/>
                <w:b/>
                <w:bCs/>
                <w:color w:val="000000" w:themeColor="text1"/>
                <w:sz w:val="20"/>
                <w:szCs w:val="20"/>
              </w:rPr>
              <w:t>Adjusted IRR (95% CI)</w:t>
            </w:r>
          </w:p>
        </w:tc>
        <w:tc>
          <w:tcPr>
            <w:tcW w:w="2983" w:type="dxa"/>
          </w:tcPr>
          <w:p w14:paraId="457CDA12" w14:textId="77777777" w:rsidR="00484555" w:rsidRPr="00D44D25" w:rsidRDefault="00484555" w:rsidP="00CF2857">
            <w:pPr>
              <w:rPr>
                <w:rFonts w:ascii="Times New Roman" w:hAnsi="Times New Roman" w:cs="Times New Roman"/>
                <w:b/>
                <w:bCs/>
                <w:color w:val="000000" w:themeColor="text1"/>
                <w:sz w:val="20"/>
                <w:szCs w:val="20"/>
              </w:rPr>
            </w:pPr>
            <w:r w:rsidRPr="00D44D25">
              <w:rPr>
                <w:rFonts w:ascii="Times New Roman" w:hAnsi="Times New Roman" w:cs="Times New Roman"/>
                <w:b/>
                <w:bCs/>
                <w:color w:val="000000" w:themeColor="text1"/>
                <w:sz w:val="20"/>
                <w:szCs w:val="20"/>
              </w:rPr>
              <w:t>E-value (lower CI)</w:t>
            </w:r>
          </w:p>
        </w:tc>
      </w:tr>
      <w:tr w:rsidR="00484555" w:rsidRPr="00D44D25" w14:paraId="3AC32B98" w14:textId="77777777" w:rsidTr="00423B41">
        <w:trPr>
          <w:trHeight w:val="278"/>
        </w:trPr>
        <w:tc>
          <w:tcPr>
            <w:tcW w:w="2981" w:type="dxa"/>
          </w:tcPr>
          <w:p w14:paraId="1DCAC036" w14:textId="3DB29F28"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Acute treatment </w:t>
            </w:r>
          </w:p>
        </w:tc>
        <w:tc>
          <w:tcPr>
            <w:tcW w:w="2981" w:type="dxa"/>
          </w:tcPr>
          <w:p w14:paraId="063C8A7F"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1.44 (1.24-1.67)</w:t>
            </w:r>
          </w:p>
        </w:tc>
        <w:tc>
          <w:tcPr>
            <w:tcW w:w="2983" w:type="dxa"/>
          </w:tcPr>
          <w:p w14:paraId="5B99EA6D"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2.24 (1.79)</w:t>
            </w:r>
          </w:p>
        </w:tc>
      </w:tr>
      <w:tr w:rsidR="00484555" w:rsidRPr="00D44D25" w14:paraId="0394FC3A" w14:textId="77777777" w:rsidTr="00423B41">
        <w:trPr>
          <w:trHeight w:val="332"/>
        </w:trPr>
        <w:tc>
          <w:tcPr>
            <w:tcW w:w="2981" w:type="dxa"/>
          </w:tcPr>
          <w:p w14:paraId="6C6C3172"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Maintenance treatment </w:t>
            </w:r>
          </w:p>
        </w:tc>
        <w:tc>
          <w:tcPr>
            <w:tcW w:w="2981" w:type="dxa"/>
          </w:tcPr>
          <w:p w14:paraId="0DB1CA58"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0.97 (0.88-1.06)</w:t>
            </w:r>
          </w:p>
        </w:tc>
        <w:tc>
          <w:tcPr>
            <w:tcW w:w="2983" w:type="dxa"/>
          </w:tcPr>
          <w:p w14:paraId="78AC430B"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w:t>
            </w:r>
          </w:p>
        </w:tc>
      </w:tr>
      <w:tr w:rsidR="00484555" w:rsidRPr="00D44D25" w14:paraId="37243B05" w14:textId="77777777" w:rsidTr="00CF2857">
        <w:trPr>
          <w:trHeight w:val="515"/>
        </w:trPr>
        <w:tc>
          <w:tcPr>
            <w:tcW w:w="2981" w:type="dxa"/>
          </w:tcPr>
          <w:p w14:paraId="059D0109"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Direct comparison of maintenance treatment with pre-exposure period</w:t>
            </w:r>
          </w:p>
        </w:tc>
        <w:tc>
          <w:tcPr>
            <w:tcW w:w="2981" w:type="dxa"/>
          </w:tcPr>
          <w:p w14:paraId="733D6014"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0.22 (0.18-0.26)</w:t>
            </w:r>
          </w:p>
        </w:tc>
        <w:tc>
          <w:tcPr>
            <w:tcW w:w="2983" w:type="dxa"/>
          </w:tcPr>
          <w:p w14:paraId="149BC6BF"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8.56 (7.15)</w:t>
            </w:r>
          </w:p>
        </w:tc>
      </w:tr>
      <w:tr w:rsidR="00484555" w:rsidRPr="00D44D25" w14:paraId="78248F57" w14:textId="77777777" w:rsidTr="00CF2857">
        <w:trPr>
          <w:trHeight w:val="515"/>
        </w:trPr>
        <w:tc>
          <w:tcPr>
            <w:tcW w:w="2981" w:type="dxa"/>
          </w:tcPr>
          <w:p w14:paraId="03F8FA0C"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Direct comparison of maintenance treatment with acute treatment</w:t>
            </w:r>
          </w:p>
        </w:tc>
        <w:tc>
          <w:tcPr>
            <w:tcW w:w="2981" w:type="dxa"/>
          </w:tcPr>
          <w:p w14:paraId="019D5FED"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0.67 (0.59-0.77)</w:t>
            </w:r>
          </w:p>
        </w:tc>
        <w:tc>
          <w:tcPr>
            <w:tcW w:w="2983" w:type="dxa"/>
          </w:tcPr>
          <w:p w14:paraId="0D75B81B"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2.35 (1.92)</w:t>
            </w:r>
          </w:p>
        </w:tc>
      </w:tr>
      <w:tr w:rsidR="00484555" w:rsidRPr="00D44D25" w14:paraId="077E4F41" w14:textId="77777777" w:rsidTr="00CF2857">
        <w:trPr>
          <w:trHeight w:val="515"/>
        </w:trPr>
        <w:tc>
          <w:tcPr>
            <w:tcW w:w="2981" w:type="dxa"/>
          </w:tcPr>
          <w:p w14:paraId="2D9BF667"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Direct comparison of maintenance treatment with post-exposure period </w:t>
            </w:r>
          </w:p>
        </w:tc>
        <w:tc>
          <w:tcPr>
            <w:tcW w:w="2981" w:type="dxa"/>
          </w:tcPr>
          <w:p w14:paraId="53489DF7"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0.72 (0.58-0.89)</w:t>
            </w:r>
          </w:p>
        </w:tc>
        <w:tc>
          <w:tcPr>
            <w:tcW w:w="2983" w:type="dxa"/>
          </w:tcPr>
          <w:p w14:paraId="23E0F0B0" w14:textId="77777777" w:rsidR="00484555" w:rsidRPr="00D44D25" w:rsidRDefault="00484555" w:rsidP="00423B41">
            <w:pPr>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2.12 (1.5)</w:t>
            </w:r>
          </w:p>
        </w:tc>
      </w:tr>
    </w:tbl>
    <w:p w14:paraId="13B336C0" w14:textId="77777777" w:rsidR="00484555" w:rsidRPr="00D44D25" w:rsidRDefault="00484555" w:rsidP="00423B41">
      <w:pPr>
        <w:spacing w:line="240" w:lineRule="auto"/>
        <w:rPr>
          <w:rFonts w:ascii="Times New Roman" w:hAnsi="Times New Roman" w:cs="Times New Roman"/>
          <w:color w:val="000000" w:themeColor="text1"/>
          <w:sz w:val="20"/>
          <w:szCs w:val="20"/>
          <w:lang w:val="en-US"/>
        </w:rPr>
      </w:pPr>
    </w:p>
    <w:p w14:paraId="5D4817D3" w14:textId="6B8FEEC7" w:rsidR="00484555" w:rsidRPr="00D44D25" w:rsidRDefault="00484555" w:rsidP="00423B41">
      <w:pPr>
        <w:spacing w:line="240" w:lineRule="auto"/>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In our main analysis, the IRR (95% CI) for </w:t>
      </w:r>
      <w:r w:rsidR="00DB6F1E">
        <w:rPr>
          <w:rFonts w:ascii="Times New Roman" w:hAnsi="Times New Roman" w:cs="Times New Roman"/>
          <w:color w:val="000000" w:themeColor="text1"/>
          <w:sz w:val="20"/>
          <w:szCs w:val="20"/>
        </w:rPr>
        <w:t>ER admissions due to traumatic injuries</w:t>
      </w:r>
      <w:r w:rsidRPr="00D44D25">
        <w:rPr>
          <w:rFonts w:ascii="Times New Roman" w:hAnsi="Times New Roman" w:cs="Times New Roman"/>
          <w:color w:val="000000" w:themeColor="text1"/>
          <w:sz w:val="20"/>
          <w:szCs w:val="20"/>
        </w:rPr>
        <w:t xml:space="preserve"> with the acute treatment was 1.44 (1.24-1.67). The E-value for the result point estimate was 2.24 with the lower confidence interval was 1.79 in an IRR scale. This result indicated that our observed increase in the risk of </w:t>
      </w:r>
      <w:r w:rsidR="00DB6F1E">
        <w:rPr>
          <w:rFonts w:ascii="Times New Roman" w:hAnsi="Times New Roman" w:cs="Times New Roman"/>
          <w:color w:val="000000" w:themeColor="text1"/>
          <w:sz w:val="20"/>
          <w:szCs w:val="20"/>
        </w:rPr>
        <w:t>ER admissions due to traumatic injuries</w:t>
      </w:r>
      <w:r w:rsidRPr="00D44D25">
        <w:rPr>
          <w:rFonts w:ascii="Times New Roman" w:hAnsi="Times New Roman" w:cs="Times New Roman"/>
          <w:color w:val="000000" w:themeColor="text1"/>
          <w:sz w:val="20"/>
          <w:szCs w:val="20"/>
        </w:rPr>
        <w:t xml:space="preserve"> during the acute treatment could be explained away by an unmeasured time-varying confounder that was associated with both the treatment and the outcome by a risk ratio of 2.24 each; the confidence interval could be moved to include 1.00 (i.e. no association) by an unmeasured time-varying confounder that was associated with both the treatment and the outcome by a risk ratio of 1.79-fold each, with the existing confounders that were already accounted for, but weaker confounding could not do so.</w:t>
      </w:r>
    </w:p>
    <w:p w14:paraId="31C6DCB5" w14:textId="022FC4BE" w:rsidR="00484555" w:rsidRPr="00D44D25" w:rsidRDefault="00484555" w:rsidP="00423B41">
      <w:pPr>
        <w:spacing w:line="240" w:lineRule="auto"/>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During maintenance treatment, the IRR for </w:t>
      </w:r>
      <w:r w:rsidR="00DB6F1E">
        <w:rPr>
          <w:rFonts w:ascii="Times New Roman" w:hAnsi="Times New Roman" w:cs="Times New Roman"/>
          <w:color w:val="000000" w:themeColor="text1"/>
          <w:sz w:val="20"/>
          <w:szCs w:val="20"/>
        </w:rPr>
        <w:t>ER admissions due to traumatic injuries</w:t>
      </w:r>
      <w:r w:rsidRPr="00D44D25">
        <w:rPr>
          <w:rFonts w:ascii="Times New Roman" w:hAnsi="Times New Roman" w:cs="Times New Roman"/>
          <w:color w:val="000000" w:themeColor="text1"/>
          <w:sz w:val="20"/>
          <w:szCs w:val="20"/>
        </w:rPr>
        <w:t xml:space="preserve"> did not reach statistical significance so the E-value was not calculated. </w:t>
      </w:r>
    </w:p>
    <w:p w14:paraId="350DEA8A" w14:textId="2F31FEDB" w:rsidR="00484555" w:rsidRPr="00D44D25" w:rsidRDefault="00484555" w:rsidP="00423B41">
      <w:pPr>
        <w:spacing w:line="240" w:lineRule="auto"/>
        <w:rPr>
          <w:rFonts w:ascii="Times New Roman" w:hAnsi="Times New Roman" w:cs="Times New Roman"/>
          <w:color w:val="000000" w:themeColor="text1"/>
          <w:sz w:val="20"/>
          <w:szCs w:val="20"/>
        </w:rPr>
      </w:pPr>
      <w:r w:rsidRPr="00D44D25">
        <w:rPr>
          <w:rFonts w:ascii="Times New Roman" w:hAnsi="Times New Roman" w:cs="Times New Roman"/>
          <w:color w:val="000000" w:themeColor="text1"/>
          <w:sz w:val="20"/>
          <w:szCs w:val="20"/>
        </w:rPr>
        <w:t xml:space="preserve">The E-value for the result point estimates of the direct comparison of different risk windows with the maintenance treatment for the </w:t>
      </w:r>
      <w:r w:rsidR="00DB6F1E">
        <w:rPr>
          <w:rFonts w:ascii="Times New Roman" w:hAnsi="Times New Roman" w:cs="Times New Roman"/>
          <w:color w:val="000000" w:themeColor="text1"/>
          <w:sz w:val="20"/>
          <w:szCs w:val="20"/>
        </w:rPr>
        <w:t>ER admissions due to traumatic injuries</w:t>
      </w:r>
      <w:r w:rsidRPr="00D44D25">
        <w:rPr>
          <w:rFonts w:ascii="Times New Roman" w:hAnsi="Times New Roman" w:cs="Times New Roman"/>
          <w:color w:val="000000" w:themeColor="text1"/>
          <w:sz w:val="20"/>
          <w:szCs w:val="20"/>
        </w:rPr>
        <w:t xml:space="preserve"> were calculated. </w:t>
      </w:r>
      <w:proofErr w:type="gramStart"/>
      <w:r w:rsidRPr="00D44D25">
        <w:rPr>
          <w:rFonts w:ascii="Times New Roman" w:hAnsi="Times New Roman" w:cs="Times New Roman"/>
          <w:color w:val="000000" w:themeColor="text1"/>
          <w:sz w:val="20"/>
          <w:szCs w:val="20"/>
        </w:rPr>
        <w:t>Similar to</w:t>
      </w:r>
      <w:proofErr w:type="gramEnd"/>
      <w:r w:rsidRPr="00D44D25">
        <w:rPr>
          <w:rFonts w:ascii="Times New Roman" w:hAnsi="Times New Roman" w:cs="Times New Roman"/>
          <w:color w:val="000000" w:themeColor="text1"/>
          <w:sz w:val="20"/>
          <w:szCs w:val="20"/>
        </w:rPr>
        <w:t xml:space="preserve"> the main analysis, the calculated E-value (from 2.12 to 8.56) and lower confidence interval (from 1.5 to 7.15) explained the minimum strength of an unmeasured time-varying confounder that would nullify the observed decreased risk of </w:t>
      </w:r>
      <w:r w:rsidR="00DB6F1E">
        <w:rPr>
          <w:rFonts w:ascii="Times New Roman" w:hAnsi="Times New Roman" w:cs="Times New Roman"/>
          <w:color w:val="000000" w:themeColor="text1"/>
          <w:sz w:val="20"/>
          <w:szCs w:val="20"/>
        </w:rPr>
        <w:t>ER admissions due to traumatic injuries</w:t>
      </w:r>
      <w:r w:rsidRPr="00D44D25">
        <w:rPr>
          <w:rFonts w:ascii="Times New Roman" w:hAnsi="Times New Roman" w:cs="Times New Roman"/>
          <w:color w:val="000000" w:themeColor="text1"/>
          <w:sz w:val="20"/>
          <w:szCs w:val="20"/>
        </w:rPr>
        <w:t xml:space="preserve"> with the use of pharmacological treatment of BPD.  </w:t>
      </w:r>
    </w:p>
    <w:p w14:paraId="71EB815A" w14:textId="18F77EEB" w:rsidR="00484555" w:rsidRPr="00D44D25" w:rsidRDefault="00484555" w:rsidP="00423B41">
      <w:pPr>
        <w:spacing w:line="240" w:lineRule="auto"/>
        <w:rPr>
          <w:rFonts w:ascii="Times New Roman" w:hAnsi="Times New Roman" w:cs="Times New Roman"/>
          <w:color w:val="000000" w:themeColor="text1"/>
          <w:sz w:val="20"/>
          <w:szCs w:val="20"/>
          <w:lang w:val="en-US"/>
        </w:rPr>
      </w:pPr>
      <w:r w:rsidRPr="00D44D25">
        <w:rPr>
          <w:rFonts w:ascii="Times New Roman" w:hAnsi="Times New Roman" w:cs="Times New Roman"/>
          <w:color w:val="000000" w:themeColor="text1"/>
          <w:sz w:val="20"/>
          <w:szCs w:val="20"/>
        </w:rPr>
        <w:t xml:space="preserve">Therefore, it is unlikely that an unmeasured time-varying confounder with this large magnitude of an association with both receiving pharmacological treatment of BPD and risk of </w:t>
      </w:r>
      <w:r w:rsidR="00DB6F1E">
        <w:rPr>
          <w:rFonts w:ascii="Times New Roman" w:hAnsi="Times New Roman" w:cs="Times New Roman"/>
          <w:color w:val="000000" w:themeColor="text1"/>
          <w:sz w:val="20"/>
          <w:szCs w:val="20"/>
        </w:rPr>
        <w:t>ER admissions due to traumatic injuries</w:t>
      </w:r>
      <w:r w:rsidRPr="00D44D25">
        <w:rPr>
          <w:rFonts w:ascii="Times New Roman" w:hAnsi="Times New Roman" w:cs="Times New Roman"/>
          <w:color w:val="000000" w:themeColor="text1"/>
          <w:sz w:val="20"/>
          <w:szCs w:val="20"/>
        </w:rPr>
        <w:t xml:space="preserve"> exists, as such magnitude is much larger than those risk factors for </w:t>
      </w:r>
      <w:r w:rsidR="00DB6F1E">
        <w:rPr>
          <w:rFonts w:ascii="Times New Roman" w:hAnsi="Times New Roman" w:cs="Times New Roman"/>
          <w:color w:val="000000" w:themeColor="text1"/>
          <w:sz w:val="20"/>
          <w:szCs w:val="20"/>
        </w:rPr>
        <w:t>ER admissions due to traumatic injuries</w:t>
      </w:r>
      <w:r w:rsidRPr="00D44D25">
        <w:rPr>
          <w:rFonts w:ascii="Times New Roman" w:hAnsi="Times New Roman" w:cs="Times New Roman"/>
          <w:color w:val="000000" w:themeColor="text1"/>
          <w:sz w:val="20"/>
          <w:szCs w:val="20"/>
        </w:rPr>
        <w:t xml:space="preserve">, </w:t>
      </w:r>
      <w:proofErr w:type="gramStart"/>
      <w:r w:rsidRPr="00D44D25">
        <w:rPr>
          <w:rFonts w:ascii="Times New Roman" w:hAnsi="Times New Roman" w:cs="Times New Roman"/>
          <w:color w:val="000000" w:themeColor="text1"/>
          <w:sz w:val="20"/>
          <w:szCs w:val="20"/>
        </w:rPr>
        <w:t>in particular age</w:t>
      </w:r>
      <w:proofErr w:type="gramEnd"/>
      <w:r w:rsidRPr="00D44D25">
        <w:rPr>
          <w:rFonts w:ascii="Times New Roman" w:hAnsi="Times New Roman" w:cs="Times New Roman"/>
          <w:color w:val="000000" w:themeColor="text1"/>
          <w:sz w:val="20"/>
          <w:szCs w:val="20"/>
        </w:rPr>
        <w:t>, concurrent use of psychotropic medications, for which we have already controlled for in the analyses. Therefore, our result is unlikely to have been due to an unmeasured time-varying confounder and this further supports the validity of our result.</w:t>
      </w:r>
    </w:p>
    <w:p w14:paraId="72CE5600" w14:textId="77777777" w:rsidR="00484555" w:rsidRPr="00D44D25" w:rsidRDefault="00484555" w:rsidP="00484555">
      <w:pPr>
        <w:spacing w:line="480" w:lineRule="auto"/>
        <w:rPr>
          <w:rFonts w:ascii="Times New Roman" w:hAnsi="Times New Roman" w:cs="Times New Roman"/>
          <w:color w:val="000000" w:themeColor="text1"/>
          <w:sz w:val="20"/>
          <w:szCs w:val="20"/>
          <w:lang w:val="en-US"/>
        </w:rPr>
      </w:pPr>
    </w:p>
    <w:p w14:paraId="02FB0484" w14:textId="77777777" w:rsidR="00484555" w:rsidRPr="00D44D25" w:rsidRDefault="00484555">
      <w:pPr>
        <w:rPr>
          <w:rFonts w:ascii="Times New Roman" w:hAnsi="Times New Roman" w:cs="Times New Roman"/>
          <w:color w:val="000000" w:themeColor="text1"/>
          <w:sz w:val="20"/>
          <w:szCs w:val="20"/>
          <w:lang w:val="en-US"/>
        </w:rPr>
      </w:pPr>
    </w:p>
    <w:p w14:paraId="32F29CC2" w14:textId="77777777" w:rsidR="004612AE" w:rsidRDefault="004612AE">
      <w:pPr>
        <w:rPr>
          <w:rFonts w:ascii="Times New Roman" w:hAnsi="Times New Roman" w:cs="Times New Roman"/>
          <w:sz w:val="20"/>
          <w:szCs w:val="20"/>
          <w:lang w:val="en-US"/>
        </w:rPr>
      </w:pPr>
    </w:p>
    <w:p w14:paraId="331B5793" w14:textId="77777777" w:rsidR="004612AE" w:rsidRDefault="004612AE">
      <w:pPr>
        <w:rPr>
          <w:rFonts w:ascii="Times New Roman" w:hAnsi="Times New Roman" w:cs="Times New Roman"/>
          <w:sz w:val="20"/>
          <w:szCs w:val="20"/>
          <w:lang w:val="en-US"/>
        </w:rPr>
      </w:pPr>
    </w:p>
    <w:p w14:paraId="0AD59048" w14:textId="77777777" w:rsidR="00C85882" w:rsidRDefault="00C85882">
      <w:pPr>
        <w:rPr>
          <w:rFonts w:ascii="Times New Roman" w:hAnsi="Times New Roman" w:cs="Times New Roman"/>
          <w:sz w:val="20"/>
          <w:szCs w:val="20"/>
          <w:lang w:val="en-US"/>
        </w:rPr>
      </w:pPr>
    </w:p>
    <w:p w14:paraId="0B003FA0" w14:textId="77777777" w:rsidR="00C85882" w:rsidRDefault="00C85882">
      <w:pPr>
        <w:rPr>
          <w:rFonts w:ascii="Times New Roman" w:hAnsi="Times New Roman" w:cs="Times New Roman"/>
          <w:sz w:val="20"/>
          <w:szCs w:val="20"/>
          <w:lang w:val="en-US"/>
        </w:rPr>
      </w:pPr>
    </w:p>
    <w:p w14:paraId="5315437A" w14:textId="1EF78F41" w:rsidR="00484555" w:rsidRPr="00D44D25" w:rsidRDefault="00484555">
      <w:pPr>
        <w:rPr>
          <w:rFonts w:ascii="Times New Roman" w:hAnsi="Times New Roman" w:cs="Times New Roman"/>
          <w:sz w:val="20"/>
          <w:szCs w:val="20"/>
          <w:lang w:val="en-US"/>
        </w:rPr>
      </w:pPr>
    </w:p>
    <w:sectPr w:rsidR="00484555" w:rsidRPr="00D44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75E8E" w14:textId="77777777" w:rsidR="00495C18" w:rsidRDefault="00495C18" w:rsidP="0095788D">
      <w:pPr>
        <w:spacing w:after="0" w:line="240" w:lineRule="auto"/>
      </w:pPr>
      <w:r>
        <w:separator/>
      </w:r>
    </w:p>
  </w:endnote>
  <w:endnote w:type="continuationSeparator" w:id="0">
    <w:p w14:paraId="571D2F7B" w14:textId="77777777" w:rsidR="00495C18" w:rsidRDefault="00495C18" w:rsidP="0095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144E9" w14:textId="77777777" w:rsidR="00495C18" w:rsidRDefault="00495C18" w:rsidP="0095788D">
      <w:pPr>
        <w:spacing w:after="0" w:line="240" w:lineRule="auto"/>
      </w:pPr>
      <w:r>
        <w:separator/>
      </w:r>
    </w:p>
  </w:footnote>
  <w:footnote w:type="continuationSeparator" w:id="0">
    <w:p w14:paraId="4A5FCF12" w14:textId="77777777" w:rsidR="00495C18" w:rsidRDefault="00495C18" w:rsidP="00957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7CA"/>
    <w:multiLevelType w:val="hybridMultilevel"/>
    <w:tmpl w:val="84B0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54CAD"/>
    <w:multiLevelType w:val="hybridMultilevel"/>
    <w:tmpl w:val="9896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269"/>
    <w:multiLevelType w:val="hybridMultilevel"/>
    <w:tmpl w:val="41BA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96ABC"/>
    <w:multiLevelType w:val="hybridMultilevel"/>
    <w:tmpl w:val="94B6B3B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377A071B"/>
    <w:multiLevelType w:val="hybridMultilevel"/>
    <w:tmpl w:val="A86A6456"/>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49562606"/>
    <w:multiLevelType w:val="hybridMultilevel"/>
    <w:tmpl w:val="C7FA4B9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4CE52D06"/>
    <w:multiLevelType w:val="hybridMultilevel"/>
    <w:tmpl w:val="C7FA4B9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68DC0FDD"/>
    <w:multiLevelType w:val="hybridMultilevel"/>
    <w:tmpl w:val="272E98F6"/>
    <w:lvl w:ilvl="0" w:tplc="893899E4">
      <w:start w:val="1"/>
      <w:numFmt w:val="decimal"/>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df5raxcdffsmeaewx595tgt2x92xtaff5w&quot;&gt;bpd_trauma&lt;record-ids&gt;&lt;item&gt;26&lt;/item&gt;&lt;item&gt;46&lt;/item&gt;&lt;item&gt;47&lt;/item&gt;&lt;/record-ids&gt;&lt;/item&gt;&lt;/Libraries&gt;"/>
  </w:docVars>
  <w:rsids>
    <w:rsidRoot w:val="00875C8E"/>
    <w:rsid w:val="00020825"/>
    <w:rsid w:val="00024372"/>
    <w:rsid w:val="000302C4"/>
    <w:rsid w:val="000317B7"/>
    <w:rsid w:val="000571A0"/>
    <w:rsid w:val="0006603A"/>
    <w:rsid w:val="00081ADB"/>
    <w:rsid w:val="000962B5"/>
    <w:rsid w:val="000C4C9D"/>
    <w:rsid w:val="000C51E5"/>
    <w:rsid w:val="000D370E"/>
    <w:rsid w:val="00122CF5"/>
    <w:rsid w:val="00165EE3"/>
    <w:rsid w:val="00180195"/>
    <w:rsid w:val="001C2F12"/>
    <w:rsid w:val="001D23E0"/>
    <w:rsid w:val="001D5913"/>
    <w:rsid w:val="001D5F33"/>
    <w:rsid w:val="001F1065"/>
    <w:rsid w:val="002448C3"/>
    <w:rsid w:val="00257E09"/>
    <w:rsid w:val="00262BBC"/>
    <w:rsid w:val="002854FC"/>
    <w:rsid w:val="002B0156"/>
    <w:rsid w:val="002C1C18"/>
    <w:rsid w:val="002C1D24"/>
    <w:rsid w:val="00335A33"/>
    <w:rsid w:val="00342A0F"/>
    <w:rsid w:val="00356965"/>
    <w:rsid w:val="00373E08"/>
    <w:rsid w:val="00380600"/>
    <w:rsid w:val="00400578"/>
    <w:rsid w:val="00413ABB"/>
    <w:rsid w:val="00423B41"/>
    <w:rsid w:val="00427781"/>
    <w:rsid w:val="004612AE"/>
    <w:rsid w:val="00466773"/>
    <w:rsid w:val="00484555"/>
    <w:rsid w:val="00485304"/>
    <w:rsid w:val="00493F79"/>
    <w:rsid w:val="00495C18"/>
    <w:rsid w:val="00495E4F"/>
    <w:rsid w:val="004A2B82"/>
    <w:rsid w:val="004B19EA"/>
    <w:rsid w:val="004D115D"/>
    <w:rsid w:val="004D70CC"/>
    <w:rsid w:val="004F75CA"/>
    <w:rsid w:val="005052E4"/>
    <w:rsid w:val="00510E9C"/>
    <w:rsid w:val="00550EB2"/>
    <w:rsid w:val="00565597"/>
    <w:rsid w:val="00585E7E"/>
    <w:rsid w:val="00590EFA"/>
    <w:rsid w:val="00592CFF"/>
    <w:rsid w:val="00594E44"/>
    <w:rsid w:val="005A6173"/>
    <w:rsid w:val="005D6D5F"/>
    <w:rsid w:val="00631300"/>
    <w:rsid w:val="00635BDF"/>
    <w:rsid w:val="00644089"/>
    <w:rsid w:val="00667AEC"/>
    <w:rsid w:val="006C213F"/>
    <w:rsid w:val="00706154"/>
    <w:rsid w:val="0071226A"/>
    <w:rsid w:val="007350E7"/>
    <w:rsid w:val="0074479F"/>
    <w:rsid w:val="00785C00"/>
    <w:rsid w:val="007A18A7"/>
    <w:rsid w:val="007C3EAE"/>
    <w:rsid w:val="007E3202"/>
    <w:rsid w:val="007F61AD"/>
    <w:rsid w:val="00820A0F"/>
    <w:rsid w:val="008228DB"/>
    <w:rsid w:val="00823878"/>
    <w:rsid w:val="00850179"/>
    <w:rsid w:val="00861F8A"/>
    <w:rsid w:val="00873071"/>
    <w:rsid w:val="00875C8E"/>
    <w:rsid w:val="00886B98"/>
    <w:rsid w:val="00942E9C"/>
    <w:rsid w:val="00952304"/>
    <w:rsid w:val="0095508F"/>
    <w:rsid w:val="0095788D"/>
    <w:rsid w:val="00976C74"/>
    <w:rsid w:val="00993543"/>
    <w:rsid w:val="009B2FD0"/>
    <w:rsid w:val="009B4E4F"/>
    <w:rsid w:val="009D0F4B"/>
    <w:rsid w:val="009D653E"/>
    <w:rsid w:val="009F08DB"/>
    <w:rsid w:val="009F4B16"/>
    <w:rsid w:val="00A4089E"/>
    <w:rsid w:val="00A657CC"/>
    <w:rsid w:val="00A83FDB"/>
    <w:rsid w:val="00A86832"/>
    <w:rsid w:val="00AC0865"/>
    <w:rsid w:val="00AE3693"/>
    <w:rsid w:val="00AE6E81"/>
    <w:rsid w:val="00AF612B"/>
    <w:rsid w:val="00B70ACF"/>
    <w:rsid w:val="00B72608"/>
    <w:rsid w:val="00B86ABC"/>
    <w:rsid w:val="00BC50C9"/>
    <w:rsid w:val="00BE2096"/>
    <w:rsid w:val="00BF79DD"/>
    <w:rsid w:val="00C62478"/>
    <w:rsid w:val="00C67B31"/>
    <w:rsid w:val="00C85882"/>
    <w:rsid w:val="00C9074C"/>
    <w:rsid w:val="00C91949"/>
    <w:rsid w:val="00CA2AC2"/>
    <w:rsid w:val="00CB773F"/>
    <w:rsid w:val="00CF2857"/>
    <w:rsid w:val="00CF35C7"/>
    <w:rsid w:val="00D32C60"/>
    <w:rsid w:val="00D34BFA"/>
    <w:rsid w:val="00D44D25"/>
    <w:rsid w:val="00D649E7"/>
    <w:rsid w:val="00D92A57"/>
    <w:rsid w:val="00DB6F1E"/>
    <w:rsid w:val="00DD3BFE"/>
    <w:rsid w:val="00DF6A72"/>
    <w:rsid w:val="00E021E3"/>
    <w:rsid w:val="00E02EE4"/>
    <w:rsid w:val="00E03C1D"/>
    <w:rsid w:val="00E170B9"/>
    <w:rsid w:val="00E21FDC"/>
    <w:rsid w:val="00E35B8F"/>
    <w:rsid w:val="00E4746F"/>
    <w:rsid w:val="00E51734"/>
    <w:rsid w:val="00E915BB"/>
    <w:rsid w:val="00E94F84"/>
    <w:rsid w:val="00F31E83"/>
    <w:rsid w:val="00F33612"/>
    <w:rsid w:val="00F41886"/>
    <w:rsid w:val="00F84ADB"/>
    <w:rsid w:val="00F87165"/>
    <w:rsid w:val="00FC5A17"/>
    <w:rsid w:val="00FD6E91"/>
    <w:rsid w:val="00FF17F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D14BD"/>
  <w15:chartTrackingRefBased/>
  <w15:docId w15:val="{E86DDE30-99AB-492B-8D4A-76B32CF5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D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5C8E"/>
    <w:rPr>
      <w:sz w:val="16"/>
      <w:szCs w:val="16"/>
    </w:rPr>
  </w:style>
  <w:style w:type="paragraph" w:styleId="CommentText">
    <w:name w:val="annotation text"/>
    <w:basedOn w:val="Normal"/>
    <w:link w:val="CommentTextChar"/>
    <w:uiPriority w:val="99"/>
    <w:unhideWhenUsed/>
    <w:rsid w:val="00875C8E"/>
    <w:pPr>
      <w:spacing w:line="240" w:lineRule="auto"/>
    </w:pPr>
    <w:rPr>
      <w:sz w:val="20"/>
      <w:szCs w:val="20"/>
    </w:rPr>
  </w:style>
  <w:style w:type="character" w:customStyle="1" w:styleId="CommentTextChar">
    <w:name w:val="Comment Text Char"/>
    <w:basedOn w:val="DefaultParagraphFont"/>
    <w:link w:val="CommentText"/>
    <w:uiPriority w:val="99"/>
    <w:rsid w:val="00875C8E"/>
    <w:rPr>
      <w:sz w:val="20"/>
      <w:szCs w:val="20"/>
    </w:rPr>
  </w:style>
  <w:style w:type="table" w:styleId="TableGrid">
    <w:name w:val="Table Grid"/>
    <w:basedOn w:val="TableNormal"/>
    <w:uiPriority w:val="39"/>
    <w:rsid w:val="00875C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C8E"/>
    <w:pPr>
      <w:ind w:left="720"/>
      <w:contextualSpacing/>
    </w:pPr>
  </w:style>
  <w:style w:type="paragraph" w:styleId="Header">
    <w:name w:val="header"/>
    <w:basedOn w:val="Normal"/>
    <w:link w:val="HeaderChar"/>
    <w:uiPriority w:val="99"/>
    <w:unhideWhenUsed/>
    <w:rsid w:val="00957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88D"/>
  </w:style>
  <w:style w:type="paragraph" w:styleId="Footer">
    <w:name w:val="footer"/>
    <w:basedOn w:val="Normal"/>
    <w:link w:val="FooterChar"/>
    <w:uiPriority w:val="99"/>
    <w:unhideWhenUsed/>
    <w:rsid w:val="00957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88D"/>
  </w:style>
  <w:style w:type="paragraph" w:customStyle="1" w:styleId="EndNoteBibliographyTitle">
    <w:name w:val="EndNote Bibliography Title"/>
    <w:basedOn w:val="Normal"/>
    <w:link w:val="EndNoteBibliographyTitleChar"/>
    <w:rsid w:val="004612A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612AE"/>
    <w:rPr>
      <w:rFonts w:ascii="Calibri" w:hAnsi="Calibri" w:cs="Calibri"/>
      <w:noProof/>
    </w:rPr>
  </w:style>
  <w:style w:type="paragraph" w:customStyle="1" w:styleId="EndNoteBibliography">
    <w:name w:val="EndNote Bibliography"/>
    <w:basedOn w:val="Normal"/>
    <w:link w:val="EndNoteBibliographyChar"/>
    <w:rsid w:val="004612A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612AE"/>
    <w:rPr>
      <w:rFonts w:ascii="Calibri" w:hAnsi="Calibri" w:cs="Calibri"/>
      <w:noProof/>
    </w:rPr>
  </w:style>
  <w:style w:type="character" w:styleId="Hyperlink">
    <w:name w:val="Hyperlink"/>
    <w:basedOn w:val="DefaultParagraphFont"/>
    <w:uiPriority w:val="99"/>
    <w:unhideWhenUsed/>
    <w:rsid w:val="004612AE"/>
    <w:rPr>
      <w:color w:val="0563C1" w:themeColor="hyperlink"/>
      <w:u w:val="single"/>
    </w:rPr>
  </w:style>
  <w:style w:type="character" w:customStyle="1" w:styleId="UnresolvedMention1">
    <w:name w:val="Unresolved Mention1"/>
    <w:basedOn w:val="DefaultParagraphFont"/>
    <w:uiPriority w:val="99"/>
    <w:semiHidden/>
    <w:unhideWhenUsed/>
    <w:rsid w:val="004612A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E3202"/>
    <w:rPr>
      <w:b/>
      <w:bCs/>
    </w:rPr>
  </w:style>
  <w:style w:type="character" w:customStyle="1" w:styleId="CommentSubjectChar">
    <w:name w:val="Comment Subject Char"/>
    <w:basedOn w:val="CommentTextChar"/>
    <w:link w:val="CommentSubject"/>
    <w:uiPriority w:val="99"/>
    <w:semiHidden/>
    <w:rsid w:val="007E3202"/>
    <w:rPr>
      <w:b/>
      <w:bCs/>
      <w:sz w:val="20"/>
      <w:szCs w:val="20"/>
    </w:rPr>
  </w:style>
  <w:style w:type="character" w:styleId="UnresolvedMention">
    <w:name w:val="Unresolved Mention"/>
    <w:basedOn w:val="DefaultParagraphFont"/>
    <w:uiPriority w:val="99"/>
    <w:semiHidden/>
    <w:unhideWhenUsed/>
    <w:rsid w:val="00165EE3"/>
    <w:rPr>
      <w:color w:val="605E5C"/>
      <w:shd w:val="clear" w:color="auto" w:fill="E1DFDD"/>
    </w:rPr>
  </w:style>
  <w:style w:type="paragraph" w:styleId="BalloonText">
    <w:name w:val="Balloon Text"/>
    <w:basedOn w:val="Normal"/>
    <w:link w:val="BalloonTextChar"/>
    <w:uiPriority w:val="99"/>
    <w:semiHidden/>
    <w:unhideWhenUsed/>
    <w:rsid w:val="007F6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21575">
      <w:bodyDiv w:val="1"/>
      <w:marLeft w:val="0"/>
      <w:marRight w:val="0"/>
      <w:marTop w:val="0"/>
      <w:marBottom w:val="0"/>
      <w:divBdr>
        <w:top w:val="none" w:sz="0" w:space="0" w:color="auto"/>
        <w:left w:val="none" w:sz="0" w:space="0" w:color="auto"/>
        <w:bottom w:val="none" w:sz="0" w:space="0" w:color="auto"/>
        <w:right w:val="none" w:sz="0" w:space="0" w:color="auto"/>
      </w:divBdr>
    </w:div>
    <w:div w:id="1443693862">
      <w:bodyDiv w:val="1"/>
      <w:marLeft w:val="0"/>
      <w:marRight w:val="0"/>
      <w:marTop w:val="0"/>
      <w:marBottom w:val="0"/>
      <w:divBdr>
        <w:top w:val="none" w:sz="0" w:space="0" w:color="auto"/>
        <w:left w:val="none" w:sz="0" w:space="0" w:color="auto"/>
        <w:bottom w:val="none" w:sz="0" w:space="0" w:color="auto"/>
        <w:right w:val="none" w:sz="0" w:space="0" w:color="auto"/>
      </w:divBdr>
    </w:div>
    <w:div w:id="1561014604">
      <w:bodyDiv w:val="1"/>
      <w:marLeft w:val="0"/>
      <w:marRight w:val="0"/>
      <w:marTop w:val="0"/>
      <w:marBottom w:val="0"/>
      <w:divBdr>
        <w:top w:val="none" w:sz="0" w:space="0" w:color="auto"/>
        <w:left w:val="none" w:sz="0" w:space="0" w:color="auto"/>
        <w:bottom w:val="none" w:sz="0" w:space="0" w:color="auto"/>
        <w:right w:val="none" w:sz="0" w:space="0" w:color="auto"/>
      </w:divBdr>
    </w:div>
    <w:div w:id="1567182735">
      <w:bodyDiv w:val="1"/>
      <w:marLeft w:val="0"/>
      <w:marRight w:val="0"/>
      <w:marTop w:val="0"/>
      <w:marBottom w:val="0"/>
      <w:divBdr>
        <w:top w:val="none" w:sz="0" w:space="0" w:color="auto"/>
        <w:left w:val="none" w:sz="0" w:space="0" w:color="auto"/>
        <w:bottom w:val="none" w:sz="0" w:space="0" w:color="auto"/>
        <w:right w:val="none" w:sz="0" w:space="0" w:color="auto"/>
      </w:divBdr>
    </w:div>
    <w:div w:id="1732923358">
      <w:bodyDiv w:val="1"/>
      <w:marLeft w:val="0"/>
      <w:marRight w:val="0"/>
      <w:marTop w:val="0"/>
      <w:marBottom w:val="0"/>
      <w:divBdr>
        <w:top w:val="none" w:sz="0" w:space="0" w:color="auto"/>
        <w:left w:val="none" w:sz="0" w:space="0" w:color="auto"/>
        <w:bottom w:val="none" w:sz="0" w:space="0" w:color="auto"/>
        <w:right w:val="none" w:sz="0" w:space="0" w:color="auto"/>
      </w:divBdr>
      <w:divsChild>
        <w:div w:id="302582683">
          <w:marLeft w:val="0"/>
          <w:marRight w:val="0"/>
          <w:marTop w:val="0"/>
          <w:marBottom w:val="0"/>
          <w:divBdr>
            <w:top w:val="none" w:sz="0" w:space="0" w:color="auto"/>
            <w:left w:val="none" w:sz="0" w:space="0" w:color="auto"/>
            <w:bottom w:val="none" w:sz="0" w:space="0" w:color="auto"/>
            <w:right w:val="none" w:sz="0" w:space="0" w:color="auto"/>
          </w:divBdr>
          <w:divsChild>
            <w:div w:id="1787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s.org/~/media/files/quality%20programs/trauma/ntdb/ntds/data%20dictionaries/ntdb_data_dictionary_2019_revision.ashx"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death_30d_trauma!$B$1</c:f>
              <c:strCache>
                <c:ptCount val="1"/>
                <c:pt idx="0">
                  <c:v>Frequency </c:v>
                </c:pt>
              </c:strCache>
            </c:strRef>
          </c:tx>
          <c:spPr>
            <a:solidFill>
              <a:schemeClr val="accent1"/>
            </a:solidFill>
            <a:ln>
              <a:noFill/>
            </a:ln>
            <a:effectLst/>
          </c:spPr>
          <c:invertIfNegative val="0"/>
          <c:cat>
            <c:strRef>
              <c:f>death_30d_trauma!$A$2:$A$5</c:f>
              <c:strCache>
                <c:ptCount val="4"/>
                <c:pt idx="0">
                  <c:v>0-7</c:v>
                </c:pt>
                <c:pt idx="1">
                  <c:v>8-15</c:v>
                </c:pt>
                <c:pt idx="2">
                  <c:v>16-21</c:v>
                </c:pt>
                <c:pt idx="3">
                  <c:v>22-30</c:v>
                </c:pt>
              </c:strCache>
            </c:strRef>
          </c:cat>
          <c:val>
            <c:numRef>
              <c:f>death_30d_trauma!$B$2:$B$5</c:f>
              <c:numCache>
                <c:formatCode>General</c:formatCode>
                <c:ptCount val="4"/>
                <c:pt idx="0">
                  <c:v>39</c:v>
                </c:pt>
                <c:pt idx="1">
                  <c:v>3</c:v>
                </c:pt>
                <c:pt idx="2">
                  <c:v>0</c:v>
                </c:pt>
                <c:pt idx="3">
                  <c:v>2</c:v>
                </c:pt>
              </c:numCache>
            </c:numRef>
          </c:val>
          <c:extLst>
            <c:ext xmlns:c16="http://schemas.microsoft.com/office/drawing/2014/chart" uri="{C3380CC4-5D6E-409C-BE32-E72D297353CC}">
              <c16:uniqueId val="{00000000-9AF0-4BE8-B200-48BD88E49974}"/>
            </c:ext>
          </c:extLst>
        </c:ser>
        <c:dLbls>
          <c:showLegendKey val="0"/>
          <c:showVal val="0"/>
          <c:showCatName val="0"/>
          <c:showSerName val="0"/>
          <c:showPercent val="0"/>
          <c:showBubbleSize val="0"/>
        </c:dLbls>
        <c:gapWidth val="219"/>
        <c:overlap val="-27"/>
        <c:axId val="1041261343"/>
        <c:axId val="1041266751"/>
      </c:barChart>
      <c:catAx>
        <c:axId val="1041261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HK" sz="800" b="1" baseline="0">
                    <a:solidFill>
                      <a:schemeClr val="tx1"/>
                    </a:solidFill>
                    <a:latin typeface="Arial" panose="020B0604020202020204" pitchFamily="34" charset="0"/>
                    <a:cs typeface="Arial" panose="020B0604020202020204" pitchFamily="34" charset="0"/>
                  </a:rPr>
                  <a:t>No. of days from </a:t>
                </a:r>
                <a:r>
                  <a:rPr lang="en-US" sz="800" b="1" i="0" u="none" strike="noStrike" baseline="0">
                    <a:effectLst/>
                  </a:rPr>
                  <a:t>emergency room admissions due to traumatic injuries </a:t>
                </a:r>
                <a:r>
                  <a:rPr lang="en-HK" sz="800" b="1" baseline="0">
                    <a:solidFill>
                      <a:schemeClr val="tx1"/>
                    </a:solidFill>
                    <a:latin typeface="Arial" panose="020B0604020202020204" pitchFamily="34" charset="0"/>
                    <a:cs typeface="Arial" panose="020B0604020202020204" pitchFamily="34" charset="0"/>
                  </a:rPr>
                  <a:t>to censoring of observation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41266751"/>
        <c:crosses val="autoZero"/>
        <c:auto val="1"/>
        <c:lblAlgn val="ctr"/>
        <c:lblOffset val="100"/>
        <c:noMultiLvlLbl val="0"/>
      </c:catAx>
      <c:valAx>
        <c:axId val="1041266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HK" sz="800" b="1" baseline="0">
                    <a:solidFill>
                      <a:schemeClr val="tx1"/>
                    </a:solidFill>
                    <a:latin typeface="Arial" panose="020B0604020202020204" pitchFamily="34" charset="0"/>
                    <a:cs typeface="Arial" panose="020B0604020202020204" pitchFamily="34" charset="0"/>
                  </a:rPr>
                  <a:t>Frequency </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41261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Pre-exposure period</c:v>
                </c:pt>
              </c:strCache>
            </c:strRef>
          </c:tx>
          <c:spPr>
            <a:ln w="28575" cap="rnd">
              <a:noFill/>
              <a:round/>
            </a:ln>
            <a:effectLst/>
          </c:spPr>
          <c:marker>
            <c:symbol val="square"/>
            <c:size val="10"/>
            <c:spPr>
              <a:solidFill>
                <a:schemeClr val="accent1"/>
              </a:solidFill>
              <a:ln w="9525">
                <a:solidFill>
                  <a:schemeClr val="accent1"/>
                </a:solid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Sheet1!$B$2:$B$12</c:f>
              <c:numCache>
                <c:formatCode>General</c:formatCode>
                <c:ptCount val="11"/>
                <c:pt idx="0">
                  <c:v>4.4400000000000004</c:v>
                </c:pt>
                <c:pt idx="1">
                  <c:v>4.43</c:v>
                </c:pt>
                <c:pt idx="2">
                  <c:v>4.4400000000000004</c:v>
                </c:pt>
                <c:pt idx="3">
                  <c:v>4.4400000000000004</c:v>
                </c:pt>
                <c:pt idx="4">
                  <c:v>4.43</c:v>
                </c:pt>
                <c:pt idx="5">
                  <c:v>4.43</c:v>
                </c:pt>
                <c:pt idx="6">
                  <c:v>4.4400000000000004</c:v>
                </c:pt>
                <c:pt idx="7">
                  <c:v>4.42</c:v>
                </c:pt>
                <c:pt idx="8">
                  <c:v>4.42</c:v>
                </c:pt>
                <c:pt idx="9">
                  <c:v>4.42</c:v>
                </c:pt>
                <c:pt idx="10">
                  <c:v>4.42</c:v>
                </c:pt>
              </c:numCache>
            </c:numRef>
          </c:val>
          <c:smooth val="0"/>
          <c:extLst>
            <c:ext xmlns:c16="http://schemas.microsoft.com/office/drawing/2014/chart" uri="{C3380CC4-5D6E-409C-BE32-E72D297353CC}">
              <c16:uniqueId val="{00000000-9D7E-4626-B0B8-E837E8BF0968}"/>
            </c:ext>
          </c:extLst>
        </c:ser>
        <c:ser>
          <c:idx val="1"/>
          <c:order val="1"/>
          <c:tx>
            <c:strRef>
              <c:f>Sheet1!$C$1</c:f>
              <c:strCache>
                <c:ptCount val="1"/>
                <c:pt idx="0">
                  <c:v>Column1</c:v>
                </c:pt>
              </c:strCache>
            </c:strRef>
          </c:tx>
          <c:spPr>
            <a:ln w="28575" cap="rnd">
              <a:noFill/>
              <a:round/>
            </a:ln>
            <a:effectLst/>
          </c:spPr>
          <c:marker>
            <c:symbol val="dash"/>
            <c:size val="7"/>
            <c:spPr>
              <a:solidFill>
                <a:schemeClr val="tx1"/>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Sheet1!$C$2:$C$12</c:f>
              <c:numCache>
                <c:formatCode>General</c:formatCode>
                <c:ptCount val="11"/>
                <c:pt idx="0">
                  <c:v>3.71</c:v>
                </c:pt>
                <c:pt idx="1">
                  <c:v>3.7</c:v>
                </c:pt>
                <c:pt idx="2">
                  <c:v>3.71</c:v>
                </c:pt>
                <c:pt idx="3">
                  <c:v>3.71</c:v>
                </c:pt>
                <c:pt idx="4">
                  <c:v>3.7</c:v>
                </c:pt>
                <c:pt idx="5">
                  <c:v>3.7</c:v>
                </c:pt>
                <c:pt idx="6">
                  <c:v>3.71</c:v>
                </c:pt>
                <c:pt idx="7">
                  <c:v>3.69</c:v>
                </c:pt>
                <c:pt idx="8">
                  <c:v>3.69</c:v>
                </c:pt>
                <c:pt idx="9">
                  <c:v>3.7</c:v>
                </c:pt>
                <c:pt idx="10">
                  <c:v>3.69</c:v>
                </c:pt>
              </c:numCache>
            </c:numRef>
          </c:val>
          <c:smooth val="0"/>
          <c:extLst>
            <c:ext xmlns:c16="http://schemas.microsoft.com/office/drawing/2014/chart" uri="{C3380CC4-5D6E-409C-BE32-E72D297353CC}">
              <c16:uniqueId val="{00000001-9D7E-4626-B0B8-E837E8BF0968}"/>
            </c:ext>
          </c:extLst>
        </c:ser>
        <c:ser>
          <c:idx val="2"/>
          <c:order val="2"/>
          <c:tx>
            <c:strRef>
              <c:f>Sheet1!$D$1</c:f>
              <c:strCache>
                <c:ptCount val="1"/>
                <c:pt idx="0">
                  <c:v>Column2</c:v>
                </c:pt>
              </c:strCache>
            </c:strRef>
          </c:tx>
          <c:spPr>
            <a:ln w="28575" cap="rnd">
              <a:noFill/>
              <a:round/>
            </a:ln>
            <a:effectLst/>
          </c:spPr>
          <c:marker>
            <c:symbol val="dash"/>
            <c:size val="7"/>
            <c:spPr>
              <a:solidFill>
                <a:schemeClr val="tx1"/>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Sheet1!$D$2:$D$12</c:f>
              <c:numCache>
                <c:formatCode>General</c:formatCode>
                <c:ptCount val="11"/>
                <c:pt idx="0">
                  <c:v>5.31</c:v>
                </c:pt>
                <c:pt idx="1">
                  <c:v>5.3</c:v>
                </c:pt>
                <c:pt idx="2">
                  <c:v>5.31</c:v>
                </c:pt>
                <c:pt idx="3">
                  <c:v>5.31</c:v>
                </c:pt>
                <c:pt idx="4">
                  <c:v>5.3</c:v>
                </c:pt>
                <c:pt idx="5">
                  <c:v>5.3</c:v>
                </c:pt>
                <c:pt idx="6">
                  <c:v>5.31</c:v>
                </c:pt>
                <c:pt idx="7">
                  <c:v>5.29</c:v>
                </c:pt>
                <c:pt idx="8">
                  <c:v>5.28</c:v>
                </c:pt>
                <c:pt idx="9">
                  <c:v>5.29</c:v>
                </c:pt>
                <c:pt idx="10">
                  <c:v>5.29</c:v>
                </c:pt>
              </c:numCache>
            </c:numRef>
          </c:val>
          <c:smooth val="0"/>
          <c:extLst>
            <c:ext xmlns:c16="http://schemas.microsoft.com/office/drawing/2014/chart" uri="{C3380CC4-5D6E-409C-BE32-E72D297353CC}">
              <c16:uniqueId val="{00000002-9D7E-4626-B0B8-E837E8BF0968}"/>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2028816991"/>
        <c:axId val="96988607"/>
      </c:lineChart>
      <c:catAx>
        <c:axId val="202881699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HK" sz="800" dirty="0">
                    <a:solidFill>
                      <a:schemeClr val="tx1"/>
                    </a:solidFill>
                    <a:latin typeface="Arial" panose="020B0604020202020204" pitchFamily="34" charset="0"/>
                    <a:cs typeface="Arial" panose="020B0604020202020204" pitchFamily="34" charset="0"/>
                  </a:rPr>
                  <a:t>Extra week(s)</a:t>
                </a:r>
                <a:r>
                  <a:rPr lang="en-HK" sz="800" baseline="0" dirty="0">
                    <a:solidFill>
                      <a:schemeClr val="tx1"/>
                    </a:solidFill>
                    <a:latin typeface="Arial" panose="020B0604020202020204" pitchFamily="34" charset="0"/>
                    <a:cs typeface="Arial" panose="020B0604020202020204" pitchFamily="34" charset="0"/>
                  </a:rPr>
                  <a:t> added to the end of exposure</a:t>
                </a:r>
                <a:endParaRPr lang="en-HK" sz="800" dirty="0">
                  <a:solidFill>
                    <a:schemeClr val="tx1"/>
                  </a:solidFill>
                  <a:latin typeface="Arial" panose="020B0604020202020204" pitchFamily="34" charset="0"/>
                  <a:cs typeface="Arial" panose="020B0604020202020204" pitchFamily="34" charset="0"/>
                </a:endParaRPr>
              </a:p>
            </c:rich>
          </c:tx>
          <c:layout>
            <c:manualLayout>
              <c:xMode val="edge"/>
              <c:yMode val="edge"/>
              <c:x val="0.30940191544276602"/>
              <c:y val="0.8309865485564303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6988607"/>
        <c:crosses val="autoZero"/>
        <c:auto val="1"/>
        <c:lblAlgn val="ctr"/>
        <c:lblOffset val="100"/>
        <c:noMultiLvlLbl val="0"/>
      </c:catAx>
      <c:valAx>
        <c:axId val="96988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HK" sz="800" dirty="0">
                    <a:solidFill>
                      <a:schemeClr val="tx1"/>
                    </a:solidFill>
                    <a:latin typeface="Arial" panose="020B0604020202020204" pitchFamily="34" charset="0"/>
                    <a:cs typeface="Arial" panose="020B0604020202020204" pitchFamily="34" charset="0"/>
                  </a:rPr>
                  <a:t>Incidence rate ratio</a:t>
                </a:r>
              </a:p>
            </c:rich>
          </c:tx>
          <c:layout>
            <c:manualLayout>
              <c:xMode val="edge"/>
              <c:yMode val="edge"/>
              <c:x val="1.9966722129783693E-2"/>
              <c:y val="0.2507604986876640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28816991"/>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Acute treatment</c:v>
                </c:pt>
              </c:strCache>
            </c:strRef>
          </c:tx>
          <c:spPr>
            <a:ln w="28575" cap="rnd">
              <a:noFill/>
              <a:round/>
            </a:ln>
            <a:effectLst/>
          </c:spPr>
          <c:marker>
            <c:symbol val="diamond"/>
            <c:size val="10"/>
            <c:spPr>
              <a:solidFill>
                <a:srgbClr val="FF66FF"/>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Sheet1!$B$2:$B$12</c:f>
              <c:numCache>
                <c:formatCode>General</c:formatCode>
                <c:ptCount val="11"/>
                <c:pt idx="0">
                  <c:v>1.44</c:v>
                </c:pt>
                <c:pt idx="1">
                  <c:v>1.66</c:v>
                </c:pt>
                <c:pt idx="2">
                  <c:v>1.69</c:v>
                </c:pt>
                <c:pt idx="3">
                  <c:v>1.68</c:v>
                </c:pt>
                <c:pt idx="4">
                  <c:v>1.69</c:v>
                </c:pt>
                <c:pt idx="5">
                  <c:v>1.68</c:v>
                </c:pt>
                <c:pt idx="6">
                  <c:v>1.69</c:v>
                </c:pt>
                <c:pt idx="7">
                  <c:v>1.69</c:v>
                </c:pt>
                <c:pt idx="8">
                  <c:v>1.7</c:v>
                </c:pt>
                <c:pt idx="9">
                  <c:v>1.73</c:v>
                </c:pt>
                <c:pt idx="10">
                  <c:v>1.7</c:v>
                </c:pt>
              </c:numCache>
            </c:numRef>
          </c:val>
          <c:smooth val="0"/>
          <c:extLst>
            <c:ext xmlns:c16="http://schemas.microsoft.com/office/drawing/2014/chart" uri="{C3380CC4-5D6E-409C-BE32-E72D297353CC}">
              <c16:uniqueId val="{00000000-96D4-481A-8FC3-A4EAFC7215EC}"/>
            </c:ext>
          </c:extLst>
        </c:ser>
        <c:ser>
          <c:idx val="1"/>
          <c:order val="1"/>
          <c:tx>
            <c:strRef>
              <c:f>Sheet1!$C$1</c:f>
              <c:strCache>
                <c:ptCount val="1"/>
                <c:pt idx="0">
                  <c:v>Column1</c:v>
                </c:pt>
              </c:strCache>
            </c:strRef>
          </c:tx>
          <c:spPr>
            <a:ln w="28575" cap="rnd">
              <a:noFill/>
              <a:round/>
            </a:ln>
            <a:effectLst/>
          </c:spPr>
          <c:marker>
            <c:symbol val="dash"/>
            <c:size val="7"/>
            <c:spPr>
              <a:solidFill>
                <a:schemeClr val="tx1"/>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Sheet1!$C$2:$C$12</c:f>
              <c:numCache>
                <c:formatCode>General</c:formatCode>
                <c:ptCount val="11"/>
                <c:pt idx="0">
                  <c:v>1.24</c:v>
                </c:pt>
                <c:pt idx="1">
                  <c:v>1.41</c:v>
                </c:pt>
                <c:pt idx="2">
                  <c:v>1.42</c:v>
                </c:pt>
                <c:pt idx="3">
                  <c:v>1.4</c:v>
                </c:pt>
                <c:pt idx="4">
                  <c:v>1.4</c:v>
                </c:pt>
                <c:pt idx="5">
                  <c:v>1.39</c:v>
                </c:pt>
                <c:pt idx="6">
                  <c:v>1.39</c:v>
                </c:pt>
                <c:pt idx="7">
                  <c:v>1.38</c:v>
                </c:pt>
                <c:pt idx="8">
                  <c:v>1.39</c:v>
                </c:pt>
                <c:pt idx="9">
                  <c:v>1.42</c:v>
                </c:pt>
                <c:pt idx="10">
                  <c:v>1.39</c:v>
                </c:pt>
              </c:numCache>
            </c:numRef>
          </c:val>
          <c:smooth val="0"/>
          <c:extLst>
            <c:ext xmlns:c16="http://schemas.microsoft.com/office/drawing/2014/chart" uri="{C3380CC4-5D6E-409C-BE32-E72D297353CC}">
              <c16:uniqueId val="{00000001-96D4-481A-8FC3-A4EAFC7215EC}"/>
            </c:ext>
          </c:extLst>
        </c:ser>
        <c:ser>
          <c:idx val="2"/>
          <c:order val="2"/>
          <c:tx>
            <c:strRef>
              <c:f>Sheet1!$D$1</c:f>
              <c:strCache>
                <c:ptCount val="1"/>
                <c:pt idx="0">
                  <c:v>Column2</c:v>
                </c:pt>
              </c:strCache>
            </c:strRef>
          </c:tx>
          <c:spPr>
            <a:ln w="28575" cap="rnd">
              <a:noFill/>
              <a:round/>
            </a:ln>
            <a:effectLst/>
          </c:spPr>
          <c:marker>
            <c:symbol val="dash"/>
            <c:size val="7"/>
            <c:spPr>
              <a:solidFill>
                <a:schemeClr val="tx1"/>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Sheet1!$D$2:$D$12</c:f>
              <c:numCache>
                <c:formatCode>General</c:formatCode>
                <c:ptCount val="11"/>
                <c:pt idx="0">
                  <c:v>1.67</c:v>
                </c:pt>
                <c:pt idx="1">
                  <c:v>1.96</c:v>
                </c:pt>
                <c:pt idx="2">
                  <c:v>2.0099999999999998</c:v>
                </c:pt>
                <c:pt idx="3">
                  <c:v>2.02</c:v>
                </c:pt>
                <c:pt idx="4">
                  <c:v>2.04</c:v>
                </c:pt>
                <c:pt idx="5">
                  <c:v>2.04</c:v>
                </c:pt>
                <c:pt idx="6">
                  <c:v>2.0499999999999998</c:v>
                </c:pt>
                <c:pt idx="7">
                  <c:v>2.0499999999999998</c:v>
                </c:pt>
                <c:pt idx="8">
                  <c:v>2.0699999999999998</c:v>
                </c:pt>
                <c:pt idx="9">
                  <c:v>2.11</c:v>
                </c:pt>
                <c:pt idx="10">
                  <c:v>2.09</c:v>
                </c:pt>
              </c:numCache>
            </c:numRef>
          </c:val>
          <c:smooth val="0"/>
          <c:extLst>
            <c:ext xmlns:c16="http://schemas.microsoft.com/office/drawing/2014/chart" uri="{C3380CC4-5D6E-409C-BE32-E72D297353CC}">
              <c16:uniqueId val="{00000002-96D4-481A-8FC3-A4EAFC7215EC}"/>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93092767"/>
        <c:axId val="93092351"/>
      </c:lineChart>
      <c:catAx>
        <c:axId val="9309276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HK" sz="800" dirty="0">
                    <a:solidFill>
                      <a:schemeClr val="tx1"/>
                    </a:solidFill>
                    <a:latin typeface="Arial" panose="020B0604020202020204" pitchFamily="34" charset="0"/>
                    <a:cs typeface="Arial" panose="020B0604020202020204" pitchFamily="34" charset="0"/>
                  </a:rPr>
                  <a:t>Extra week(s)</a:t>
                </a:r>
                <a:r>
                  <a:rPr lang="en-HK" sz="800" baseline="0" dirty="0">
                    <a:solidFill>
                      <a:schemeClr val="tx1"/>
                    </a:solidFill>
                    <a:latin typeface="Arial" panose="020B0604020202020204" pitchFamily="34" charset="0"/>
                    <a:cs typeface="Arial" panose="020B0604020202020204" pitchFamily="34" charset="0"/>
                  </a:rPr>
                  <a:t> added on exposure periods</a:t>
                </a:r>
                <a:endParaRPr lang="en-HK" sz="800" dirty="0">
                  <a:solidFill>
                    <a:schemeClr val="tx1"/>
                  </a:solidFill>
                  <a:latin typeface="Arial" panose="020B0604020202020204" pitchFamily="34" charset="0"/>
                  <a:cs typeface="Arial" panose="020B0604020202020204" pitchFamily="34" charset="0"/>
                </a:endParaRPr>
              </a:p>
            </c:rich>
          </c:tx>
          <c:layout>
            <c:manualLayout>
              <c:xMode val="edge"/>
              <c:yMode val="edge"/>
              <c:x val="0.30699364072028312"/>
              <c:y val="0.8409285162884051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3092351"/>
        <c:crosses val="autoZero"/>
        <c:auto val="1"/>
        <c:lblAlgn val="ctr"/>
        <c:lblOffset val="100"/>
        <c:noMultiLvlLbl val="0"/>
      </c:catAx>
      <c:valAx>
        <c:axId val="93092351"/>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HK" sz="800" dirty="0">
                    <a:solidFill>
                      <a:schemeClr val="tx1"/>
                    </a:solidFill>
                    <a:latin typeface="Arial" panose="020B0604020202020204" pitchFamily="34" charset="0"/>
                    <a:cs typeface="Arial" panose="020B0604020202020204" pitchFamily="34" charset="0"/>
                  </a:rPr>
                  <a:t>Incidence</a:t>
                </a:r>
                <a:r>
                  <a:rPr lang="en-HK" sz="800" baseline="0" dirty="0">
                    <a:solidFill>
                      <a:schemeClr val="tx1"/>
                    </a:solidFill>
                    <a:latin typeface="Arial" panose="020B0604020202020204" pitchFamily="34" charset="0"/>
                    <a:cs typeface="Arial" panose="020B0604020202020204" pitchFamily="34" charset="0"/>
                  </a:rPr>
                  <a:t> rate ratio</a:t>
                </a:r>
                <a:endParaRPr lang="en-HK" sz="800" dirty="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3092767"/>
        <c:crosses val="autoZero"/>
        <c:crossBetween val="between"/>
        <c:majorUnit val="0.5"/>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56062909718699"/>
          <c:y val="2.9579841393820416E-2"/>
          <c:w val="0.79084949546141892"/>
          <c:h val="0.70225104214914313"/>
        </c:manualLayout>
      </c:layout>
      <c:lineChart>
        <c:grouping val="standard"/>
        <c:varyColors val="0"/>
        <c:ser>
          <c:idx val="0"/>
          <c:order val="0"/>
          <c:tx>
            <c:strRef>
              <c:f>Sheet1!$B$1</c:f>
              <c:strCache>
                <c:ptCount val="1"/>
                <c:pt idx="0">
                  <c:v>Maintenance treatment</c:v>
                </c:pt>
              </c:strCache>
            </c:strRef>
          </c:tx>
          <c:spPr>
            <a:ln w="28575" cap="rnd">
              <a:noFill/>
              <a:round/>
            </a:ln>
            <a:effectLst/>
          </c:spPr>
          <c:marker>
            <c:symbol val="triangle"/>
            <c:size val="10"/>
            <c:spPr>
              <a:solidFill>
                <a:srgbClr val="00B050"/>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Sheet1!$B$2:$B$12</c:f>
              <c:numCache>
                <c:formatCode>General</c:formatCode>
                <c:ptCount val="11"/>
                <c:pt idx="0">
                  <c:v>0.97</c:v>
                </c:pt>
                <c:pt idx="1">
                  <c:v>0.97</c:v>
                </c:pt>
                <c:pt idx="2">
                  <c:v>0.98</c:v>
                </c:pt>
                <c:pt idx="3">
                  <c:v>0.99</c:v>
                </c:pt>
                <c:pt idx="4">
                  <c:v>0.99</c:v>
                </c:pt>
                <c:pt idx="5">
                  <c:v>0.99</c:v>
                </c:pt>
                <c:pt idx="6">
                  <c:v>1</c:v>
                </c:pt>
                <c:pt idx="7">
                  <c:v>0.99</c:v>
                </c:pt>
                <c:pt idx="8">
                  <c:v>0.99</c:v>
                </c:pt>
                <c:pt idx="9">
                  <c:v>0.99</c:v>
                </c:pt>
                <c:pt idx="10">
                  <c:v>0.99</c:v>
                </c:pt>
              </c:numCache>
            </c:numRef>
          </c:val>
          <c:smooth val="0"/>
          <c:extLst>
            <c:ext xmlns:c16="http://schemas.microsoft.com/office/drawing/2014/chart" uri="{C3380CC4-5D6E-409C-BE32-E72D297353CC}">
              <c16:uniqueId val="{00000000-A383-4E89-90A2-565227E69306}"/>
            </c:ext>
          </c:extLst>
        </c:ser>
        <c:ser>
          <c:idx val="1"/>
          <c:order val="1"/>
          <c:tx>
            <c:strRef>
              <c:f>Sheet1!$C$1</c:f>
              <c:strCache>
                <c:ptCount val="1"/>
                <c:pt idx="0">
                  <c:v>Column1</c:v>
                </c:pt>
              </c:strCache>
            </c:strRef>
          </c:tx>
          <c:spPr>
            <a:ln w="28575" cap="rnd">
              <a:noFill/>
              <a:round/>
            </a:ln>
            <a:effectLst/>
          </c:spPr>
          <c:marker>
            <c:symbol val="dash"/>
            <c:size val="7"/>
            <c:spPr>
              <a:solidFill>
                <a:schemeClr val="tx1"/>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Sheet1!$C$2:$C$12</c:f>
              <c:numCache>
                <c:formatCode>General</c:formatCode>
                <c:ptCount val="11"/>
                <c:pt idx="0">
                  <c:v>0.88</c:v>
                </c:pt>
                <c:pt idx="1">
                  <c:v>0.88</c:v>
                </c:pt>
                <c:pt idx="2">
                  <c:v>0.89</c:v>
                </c:pt>
                <c:pt idx="3">
                  <c:v>0.9</c:v>
                </c:pt>
                <c:pt idx="4">
                  <c:v>0.9</c:v>
                </c:pt>
                <c:pt idx="5">
                  <c:v>0.91</c:v>
                </c:pt>
                <c:pt idx="6">
                  <c:v>0.91</c:v>
                </c:pt>
                <c:pt idx="7">
                  <c:v>0.9</c:v>
                </c:pt>
                <c:pt idx="8">
                  <c:v>0.9</c:v>
                </c:pt>
                <c:pt idx="9">
                  <c:v>0.9</c:v>
                </c:pt>
                <c:pt idx="10">
                  <c:v>0.9</c:v>
                </c:pt>
              </c:numCache>
            </c:numRef>
          </c:val>
          <c:smooth val="0"/>
          <c:extLst>
            <c:ext xmlns:c16="http://schemas.microsoft.com/office/drawing/2014/chart" uri="{C3380CC4-5D6E-409C-BE32-E72D297353CC}">
              <c16:uniqueId val="{00000001-A383-4E89-90A2-565227E69306}"/>
            </c:ext>
          </c:extLst>
        </c:ser>
        <c:ser>
          <c:idx val="2"/>
          <c:order val="2"/>
          <c:tx>
            <c:strRef>
              <c:f>Sheet1!$D$1</c:f>
              <c:strCache>
                <c:ptCount val="1"/>
                <c:pt idx="0">
                  <c:v>Column2</c:v>
                </c:pt>
              </c:strCache>
            </c:strRef>
          </c:tx>
          <c:spPr>
            <a:ln w="28575" cap="rnd">
              <a:noFill/>
              <a:round/>
            </a:ln>
            <a:effectLst/>
          </c:spPr>
          <c:marker>
            <c:symbol val="dash"/>
            <c:size val="7"/>
            <c:spPr>
              <a:solidFill>
                <a:schemeClr val="tx1"/>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Sheet1!$D$2:$D$12</c:f>
              <c:numCache>
                <c:formatCode>General</c:formatCode>
                <c:ptCount val="11"/>
                <c:pt idx="0">
                  <c:v>1.06</c:v>
                </c:pt>
                <c:pt idx="1">
                  <c:v>1.07</c:v>
                </c:pt>
                <c:pt idx="2">
                  <c:v>1.08</c:v>
                </c:pt>
                <c:pt idx="3">
                  <c:v>1.0900000000000001</c:v>
                </c:pt>
                <c:pt idx="4">
                  <c:v>1.0900000000000001</c:v>
                </c:pt>
                <c:pt idx="5">
                  <c:v>1.0900000000000001</c:v>
                </c:pt>
                <c:pt idx="6">
                  <c:v>1.0900000000000001</c:v>
                </c:pt>
                <c:pt idx="7">
                  <c:v>1.0900000000000001</c:v>
                </c:pt>
                <c:pt idx="8">
                  <c:v>1.08</c:v>
                </c:pt>
                <c:pt idx="9">
                  <c:v>1.0900000000000001</c:v>
                </c:pt>
                <c:pt idx="10">
                  <c:v>1.0900000000000001</c:v>
                </c:pt>
              </c:numCache>
            </c:numRef>
          </c:val>
          <c:smooth val="0"/>
          <c:extLst>
            <c:ext xmlns:c16="http://schemas.microsoft.com/office/drawing/2014/chart" uri="{C3380CC4-5D6E-409C-BE32-E72D297353CC}">
              <c16:uniqueId val="{00000002-A383-4E89-90A2-565227E69306}"/>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93089439"/>
        <c:axId val="93089855"/>
      </c:lineChart>
      <c:catAx>
        <c:axId val="93089439"/>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HK" sz="800" dirty="0">
                    <a:solidFill>
                      <a:schemeClr val="tx1"/>
                    </a:solidFill>
                    <a:latin typeface="Arial" panose="020B0604020202020204" pitchFamily="34" charset="0"/>
                    <a:cs typeface="Arial" panose="020B0604020202020204" pitchFamily="34" charset="0"/>
                  </a:rPr>
                  <a:t>Extra week(s) added on </a:t>
                </a:r>
                <a:r>
                  <a:rPr lang="en-HK" sz="800" baseline="0" dirty="0">
                    <a:solidFill>
                      <a:schemeClr val="tx1"/>
                    </a:solidFill>
                    <a:latin typeface="Arial" panose="020B0604020202020204" pitchFamily="34" charset="0"/>
                    <a:cs typeface="Arial" panose="020B0604020202020204" pitchFamily="34" charset="0"/>
                  </a:rPr>
                  <a:t>exposure periods </a:t>
                </a:r>
                <a:endParaRPr lang="en-HK" sz="800" dirty="0">
                  <a:solidFill>
                    <a:schemeClr val="tx1"/>
                  </a:solidFill>
                  <a:latin typeface="Arial" panose="020B0604020202020204" pitchFamily="34" charset="0"/>
                  <a:cs typeface="Arial" panose="020B0604020202020204" pitchFamily="34" charset="0"/>
                </a:endParaRPr>
              </a:p>
            </c:rich>
          </c:tx>
          <c:layout>
            <c:manualLayout>
              <c:xMode val="edge"/>
              <c:yMode val="edge"/>
              <c:x val="0.35367720465890179"/>
              <c:y val="0.8293876513299085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3089855"/>
        <c:crosses val="autoZero"/>
        <c:auto val="1"/>
        <c:lblAlgn val="ctr"/>
        <c:lblOffset val="100"/>
        <c:noMultiLvlLbl val="0"/>
      </c:catAx>
      <c:valAx>
        <c:axId val="93089855"/>
        <c:scaling>
          <c:orientation val="minMax"/>
          <c:max val="1.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HK" sz="800" dirty="0">
                    <a:solidFill>
                      <a:schemeClr val="tx1"/>
                    </a:solidFill>
                    <a:latin typeface="Arial" panose="020B0604020202020204" pitchFamily="34" charset="0"/>
                    <a:cs typeface="Arial" panose="020B0604020202020204" pitchFamily="34" charset="0"/>
                  </a:rPr>
                  <a:t>Incidence rate ratio</a:t>
                </a:r>
              </a:p>
            </c:rich>
          </c:tx>
          <c:layout>
            <c:manualLayout>
              <c:xMode val="edge"/>
              <c:yMode val="edge"/>
              <c:x val="3.6270083544049508E-2"/>
              <c:y val="0.21616050130485825"/>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3089439"/>
        <c:crosses val="autoZero"/>
        <c:crossBetween val="between"/>
        <c:majorUnit val="0.25"/>
        <c:minorUnit val="0.2"/>
      </c:valAx>
      <c:spPr>
        <a:noFill/>
        <a:ln>
          <a:noFill/>
        </a:ln>
        <a:effectLst/>
      </c:spPr>
    </c:plotArea>
    <c:legend>
      <c:legendPos val="b"/>
      <c:legendEntry>
        <c:idx val="1"/>
        <c:delete val="1"/>
      </c:legendEntry>
      <c:legendEntry>
        <c:idx val="2"/>
        <c:delete val="1"/>
      </c:legendEntry>
      <c:layout>
        <c:manualLayout>
          <c:xMode val="edge"/>
          <c:yMode val="edge"/>
          <c:x val="0.36693605606991425"/>
          <c:y val="0.92464669857444282"/>
          <c:w val="0.26612788786017133"/>
          <c:h val="6.455088556289713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Post-exposure period</c:v>
                </c:pt>
              </c:strCache>
            </c:strRef>
          </c:tx>
          <c:spPr>
            <a:ln w="28575" cap="rnd">
              <a:noFill/>
              <a:round/>
            </a:ln>
            <a:effectLst/>
          </c:spPr>
          <c:marker>
            <c:symbol val="circle"/>
            <c:size val="10"/>
            <c:spPr>
              <a:solidFill>
                <a:schemeClr val="accent2"/>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Sheet1!$B$2:$B$12</c:f>
              <c:numCache>
                <c:formatCode>General</c:formatCode>
                <c:ptCount val="11"/>
                <c:pt idx="0">
                  <c:v>1.34</c:v>
                </c:pt>
                <c:pt idx="1">
                  <c:v>1.24</c:v>
                </c:pt>
                <c:pt idx="2">
                  <c:v>1.19</c:v>
                </c:pt>
                <c:pt idx="3">
                  <c:v>1.1200000000000001</c:v>
                </c:pt>
                <c:pt idx="4">
                  <c:v>0.81</c:v>
                </c:pt>
                <c:pt idx="5">
                  <c:v>0.84</c:v>
                </c:pt>
                <c:pt idx="6">
                  <c:v>0.83</c:v>
                </c:pt>
                <c:pt idx="7">
                  <c:v>0.71</c:v>
                </c:pt>
                <c:pt idx="8">
                  <c:v>0.88</c:v>
                </c:pt>
                <c:pt idx="9">
                  <c:v>0.99</c:v>
                </c:pt>
                <c:pt idx="10">
                  <c:v>0.88</c:v>
                </c:pt>
              </c:numCache>
            </c:numRef>
          </c:val>
          <c:smooth val="0"/>
          <c:extLst>
            <c:ext xmlns:c16="http://schemas.microsoft.com/office/drawing/2014/chart" uri="{C3380CC4-5D6E-409C-BE32-E72D297353CC}">
              <c16:uniqueId val="{00000000-C96B-45EA-BE71-E2596E138BF7}"/>
            </c:ext>
          </c:extLst>
        </c:ser>
        <c:ser>
          <c:idx val="1"/>
          <c:order val="1"/>
          <c:tx>
            <c:strRef>
              <c:f>Sheet1!$C$1</c:f>
              <c:strCache>
                <c:ptCount val="1"/>
                <c:pt idx="0">
                  <c:v>Column1</c:v>
                </c:pt>
              </c:strCache>
            </c:strRef>
          </c:tx>
          <c:spPr>
            <a:ln w="28575" cap="rnd">
              <a:noFill/>
              <a:round/>
            </a:ln>
            <a:effectLst/>
          </c:spPr>
          <c:marker>
            <c:symbol val="dash"/>
            <c:size val="7"/>
            <c:spPr>
              <a:solidFill>
                <a:schemeClr val="tx1"/>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Sheet1!$C$2:$C$12</c:f>
              <c:numCache>
                <c:formatCode>General</c:formatCode>
                <c:ptCount val="11"/>
                <c:pt idx="0">
                  <c:v>1.0900000000000001</c:v>
                </c:pt>
                <c:pt idx="1">
                  <c:v>0.96</c:v>
                </c:pt>
                <c:pt idx="2">
                  <c:v>0.9</c:v>
                </c:pt>
                <c:pt idx="3">
                  <c:v>0.83</c:v>
                </c:pt>
                <c:pt idx="4">
                  <c:v>0.56000000000000005</c:v>
                </c:pt>
                <c:pt idx="5">
                  <c:v>0.57999999999999996</c:v>
                </c:pt>
                <c:pt idx="6">
                  <c:v>0.56999999999999995</c:v>
                </c:pt>
                <c:pt idx="7">
                  <c:v>0.47</c:v>
                </c:pt>
                <c:pt idx="8">
                  <c:v>0.6</c:v>
                </c:pt>
                <c:pt idx="9">
                  <c:v>0.68</c:v>
                </c:pt>
                <c:pt idx="10">
                  <c:v>0.6</c:v>
                </c:pt>
              </c:numCache>
            </c:numRef>
          </c:val>
          <c:smooth val="0"/>
          <c:extLst>
            <c:ext xmlns:c16="http://schemas.microsoft.com/office/drawing/2014/chart" uri="{C3380CC4-5D6E-409C-BE32-E72D297353CC}">
              <c16:uniqueId val="{00000001-C96B-45EA-BE71-E2596E138BF7}"/>
            </c:ext>
          </c:extLst>
        </c:ser>
        <c:ser>
          <c:idx val="2"/>
          <c:order val="2"/>
          <c:tx>
            <c:strRef>
              <c:f>Sheet1!$D$1</c:f>
              <c:strCache>
                <c:ptCount val="1"/>
                <c:pt idx="0">
                  <c:v>Column2</c:v>
                </c:pt>
              </c:strCache>
            </c:strRef>
          </c:tx>
          <c:spPr>
            <a:ln w="28575" cap="rnd">
              <a:noFill/>
              <a:round/>
            </a:ln>
            <a:effectLst/>
          </c:spPr>
          <c:marker>
            <c:symbol val="dash"/>
            <c:size val="7"/>
            <c:spPr>
              <a:solidFill>
                <a:schemeClr val="tx1"/>
              </a:solidFill>
              <a:ln w="9525">
                <a:noFill/>
              </a:ln>
              <a:effectLst/>
            </c:spPr>
          </c:marker>
          <c:cat>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Sheet1!$D$2:$D$12</c:f>
              <c:numCache>
                <c:formatCode>General</c:formatCode>
                <c:ptCount val="11"/>
                <c:pt idx="0">
                  <c:v>1.66</c:v>
                </c:pt>
                <c:pt idx="1">
                  <c:v>1.59</c:v>
                </c:pt>
                <c:pt idx="2">
                  <c:v>1.57</c:v>
                </c:pt>
                <c:pt idx="3">
                  <c:v>1.51</c:v>
                </c:pt>
                <c:pt idx="4">
                  <c:v>1.17</c:v>
                </c:pt>
                <c:pt idx="5">
                  <c:v>1.22</c:v>
                </c:pt>
                <c:pt idx="6">
                  <c:v>1.22</c:v>
                </c:pt>
                <c:pt idx="7">
                  <c:v>1.08</c:v>
                </c:pt>
                <c:pt idx="8">
                  <c:v>1.3</c:v>
                </c:pt>
                <c:pt idx="9">
                  <c:v>1.45</c:v>
                </c:pt>
                <c:pt idx="10">
                  <c:v>1.33</c:v>
                </c:pt>
              </c:numCache>
            </c:numRef>
          </c:val>
          <c:smooth val="0"/>
          <c:extLst>
            <c:ext xmlns:c16="http://schemas.microsoft.com/office/drawing/2014/chart" uri="{C3380CC4-5D6E-409C-BE32-E72D297353CC}">
              <c16:uniqueId val="{00000002-C96B-45EA-BE71-E2596E138BF7}"/>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227795807"/>
        <c:axId val="227797471"/>
      </c:lineChart>
      <c:catAx>
        <c:axId val="22779580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HK" sz="800" dirty="0">
                    <a:solidFill>
                      <a:schemeClr val="tx1"/>
                    </a:solidFill>
                    <a:latin typeface="Arial" panose="020B0604020202020204" pitchFamily="34" charset="0"/>
                    <a:cs typeface="Arial" panose="020B0604020202020204" pitchFamily="34" charset="0"/>
                  </a:rPr>
                  <a:t>Extra week(s) added on exposure periods</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27797471"/>
        <c:crosses val="autoZero"/>
        <c:auto val="1"/>
        <c:lblAlgn val="ctr"/>
        <c:lblOffset val="100"/>
        <c:noMultiLvlLbl val="0"/>
      </c:catAx>
      <c:valAx>
        <c:axId val="227797471"/>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HK" sz="800" dirty="0">
                    <a:solidFill>
                      <a:schemeClr val="tx1"/>
                    </a:solidFill>
                    <a:latin typeface="Arial" panose="020B0604020202020204" pitchFamily="34" charset="0"/>
                    <a:cs typeface="Arial" panose="020B0604020202020204" pitchFamily="34" charset="0"/>
                  </a:rPr>
                  <a:t>Incidence rate ratio</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27795807"/>
        <c:crosses val="autoZero"/>
        <c:crossBetween val="between"/>
        <c:majorUnit val="0.5"/>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3208</Words>
  <Characters>18420</Characters>
  <Application>Microsoft Office Word</Application>
  <DocSecurity>0</DocSecurity>
  <Lines>391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Ng</dc:creator>
  <cp:keywords/>
  <dc:description/>
  <cp:lastModifiedBy>Ng Wai Sei Vanessa</cp:lastModifiedBy>
  <cp:revision>11</cp:revision>
  <cp:lastPrinted>2022-03-18T09:43:00Z</cp:lastPrinted>
  <dcterms:created xsi:type="dcterms:W3CDTF">2022-06-27T17:55:00Z</dcterms:created>
  <dcterms:modified xsi:type="dcterms:W3CDTF">2022-06-27T18:11:00Z</dcterms:modified>
</cp:coreProperties>
</file>