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84E6" w14:textId="3FE7713A" w:rsidR="009A63C3" w:rsidRPr="00AA738D" w:rsidRDefault="00335120" w:rsidP="00335120">
      <w:pPr>
        <w:jc w:val="center"/>
        <w:rPr>
          <w:rFonts w:ascii="Times New Roman" w:hAnsi="Times New Roman" w:cs="Times New Roman"/>
          <w:b/>
          <w:bCs/>
          <w:lang w:val="en-US"/>
        </w:rPr>
      </w:pPr>
      <w:r w:rsidRPr="00AA738D">
        <w:rPr>
          <w:rFonts w:ascii="Times New Roman" w:hAnsi="Times New Roman" w:cs="Times New Roman"/>
          <w:b/>
          <w:bCs/>
          <w:lang w:val="en-US"/>
        </w:rPr>
        <w:t>Supplementary material</w:t>
      </w:r>
    </w:p>
    <w:p w14:paraId="2CEF90B8" w14:textId="77777777" w:rsidR="00335120" w:rsidRPr="00AA738D" w:rsidRDefault="00335120" w:rsidP="00335120">
      <w:pPr>
        <w:jc w:val="center"/>
        <w:rPr>
          <w:b/>
          <w:bCs/>
          <w:lang w:val="en-US"/>
        </w:rPr>
      </w:pPr>
    </w:p>
    <w:p w14:paraId="74E1FE3F" w14:textId="77777777" w:rsidR="00335120" w:rsidRPr="00AA738D" w:rsidRDefault="00335120" w:rsidP="005A09B3">
      <w:pPr>
        <w:spacing w:line="360" w:lineRule="auto"/>
        <w:rPr>
          <w:rFonts w:ascii="Times New Roman" w:hAnsi="Times New Roman" w:cs="Times New Roman"/>
          <w:b/>
          <w:bCs/>
          <w:lang w:val="en-US"/>
        </w:rPr>
      </w:pPr>
      <w:r w:rsidRPr="00AA738D">
        <w:rPr>
          <w:rFonts w:ascii="Times New Roman" w:hAnsi="Times New Roman" w:cs="Times New Roman"/>
          <w:b/>
          <w:bCs/>
          <w:lang w:val="en-US"/>
        </w:rPr>
        <w:t>Appendix A</w:t>
      </w:r>
    </w:p>
    <w:p w14:paraId="1CE3A735" w14:textId="77777777" w:rsidR="00335120" w:rsidRPr="00AA738D" w:rsidRDefault="00335120" w:rsidP="00335120">
      <w:pPr>
        <w:spacing w:line="360" w:lineRule="auto"/>
        <w:ind w:firstLine="720"/>
        <w:rPr>
          <w:rFonts w:ascii="Times New Roman" w:hAnsi="Times New Roman" w:cs="Times New Roman"/>
          <w:lang w:val="en-US"/>
        </w:rPr>
      </w:pPr>
      <w:r w:rsidRPr="00AA738D">
        <w:rPr>
          <w:rFonts w:ascii="Times New Roman" w:hAnsi="Times New Roman" w:cs="Times New Roman"/>
          <w:lang w:val="en-US"/>
        </w:rPr>
        <w:t xml:space="preserve">Appendix A reports the output for models run with only threshold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diagnoses. These yield very similar estimated associations as the models reported in the article (which used both subthreshold and threshold diagnoses).</w:t>
      </w:r>
    </w:p>
    <w:p w14:paraId="64925A84" w14:textId="77777777" w:rsidR="00335120" w:rsidRPr="00AA738D" w:rsidRDefault="00335120" w:rsidP="00335120">
      <w:pPr>
        <w:spacing w:line="360" w:lineRule="auto"/>
        <w:rPr>
          <w:rFonts w:ascii="Times New Roman" w:hAnsi="Times New Roman" w:cs="Times New Roman"/>
          <w:lang w:val="en-US"/>
        </w:rPr>
      </w:pPr>
    </w:p>
    <w:p w14:paraId="5DA777FB" w14:textId="77777777" w:rsidR="00335120" w:rsidRPr="00AA738D" w:rsidRDefault="00335120" w:rsidP="00335120">
      <w:pPr>
        <w:spacing w:line="480" w:lineRule="auto"/>
        <w:rPr>
          <w:rFonts w:ascii="Times New Roman" w:hAnsi="Times New Roman" w:cs="Times New Roman"/>
          <w:b/>
          <w:bCs/>
          <w:sz w:val="22"/>
          <w:szCs w:val="22"/>
          <w:lang w:val="en-US"/>
        </w:rPr>
      </w:pPr>
      <w:r w:rsidRPr="00AA738D">
        <w:rPr>
          <w:rFonts w:ascii="Times New Roman" w:hAnsi="Times New Roman" w:cs="Times New Roman"/>
          <w:b/>
          <w:bCs/>
          <w:sz w:val="22"/>
          <w:szCs w:val="22"/>
          <w:lang w:val="en-US"/>
        </w:rPr>
        <w:t>Table A1</w:t>
      </w:r>
    </w:p>
    <w:p w14:paraId="7CB2C5F3" w14:textId="77777777" w:rsidR="00335120" w:rsidRPr="00AA738D" w:rsidRDefault="00335120" w:rsidP="00335120">
      <w:pPr>
        <w:spacing w:line="480" w:lineRule="auto"/>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 xml:space="preserve">AE Model With All 18 SLEs and Only Threshold </w:t>
      </w:r>
      <w:proofErr w:type="spellStart"/>
      <w:r w:rsidRPr="00AA738D">
        <w:rPr>
          <w:rFonts w:ascii="Times New Roman" w:hAnsi="Times New Roman" w:cs="Times New Roman"/>
          <w:i/>
          <w:iCs/>
          <w:sz w:val="22"/>
          <w:szCs w:val="22"/>
          <w:lang w:val="en-US"/>
        </w:rPr>
        <w:t>MDE</w:t>
      </w:r>
      <w:proofErr w:type="spellEnd"/>
      <w:r w:rsidRPr="00AA738D">
        <w:rPr>
          <w:rFonts w:ascii="Times New Roman" w:hAnsi="Times New Roman" w:cs="Times New Roman"/>
          <w:i/>
          <w:iCs/>
          <w:sz w:val="22"/>
          <w:szCs w:val="22"/>
          <w:lang w:val="en-US"/>
        </w:rPr>
        <w:t xml:space="preserve"> Diagnoses</w:t>
      </w:r>
    </w:p>
    <w:tbl>
      <w:tblPr>
        <w:tblW w:w="10166" w:type="dxa"/>
        <w:tblLook w:val="04A0" w:firstRow="1" w:lastRow="0" w:firstColumn="1" w:lastColumn="0" w:noHBand="0" w:noVBand="1"/>
      </w:tblPr>
      <w:tblGrid>
        <w:gridCol w:w="1897"/>
        <w:gridCol w:w="1080"/>
        <w:gridCol w:w="1110"/>
        <w:gridCol w:w="1250"/>
        <w:gridCol w:w="2905"/>
        <w:gridCol w:w="672"/>
        <w:gridCol w:w="1252"/>
      </w:tblGrid>
      <w:tr w:rsidR="00AA738D" w:rsidRPr="00AA738D" w14:paraId="57A4D353" w14:textId="77777777" w:rsidTr="006D0CAD">
        <w:trPr>
          <w:trHeight w:val="356"/>
        </w:trPr>
        <w:tc>
          <w:tcPr>
            <w:tcW w:w="1897" w:type="dxa"/>
            <w:tcBorders>
              <w:top w:val="nil"/>
              <w:left w:val="nil"/>
              <w:bottom w:val="single" w:sz="4" w:space="0" w:color="auto"/>
              <w:right w:val="nil"/>
            </w:tcBorders>
            <w:shd w:val="clear" w:color="auto" w:fill="auto"/>
            <w:vAlign w:val="center"/>
            <w:hideMark/>
          </w:tcPr>
          <w:p w14:paraId="7160FF73"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 Fixed part</w:t>
            </w:r>
          </w:p>
        </w:tc>
        <w:tc>
          <w:tcPr>
            <w:tcW w:w="1080" w:type="dxa"/>
            <w:tcBorders>
              <w:top w:val="nil"/>
              <w:left w:val="nil"/>
              <w:bottom w:val="single" w:sz="4" w:space="0" w:color="auto"/>
              <w:right w:val="nil"/>
            </w:tcBorders>
            <w:shd w:val="clear" w:color="auto" w:fill="auto"/>
            <w:vAlign w:val="center"/>
            <w:hideMark/>
          </w:tcPr>
          <w:p w14:paraId="3134C881"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β</w:t>
            </w:r>
          </w:p>
        </w:tc>
        <w:tc>
          <w:tcPr>
            <w:tcW w:w="1110" w:type="dxa"/>
            <w:tcBorders>
              <w:top w:val="nil"/>
              <w:left w:val="nil"/>
              <w:bottom w:val="single" w:sz="4" w:space="0" w:color="auto"/>
              <w:right w:val="nil"/>
            </w:tcBorders>
            <w:shd w:val="clear" w:color="auto" w:fill="auto"/>
            <w:vAlign w:val="center"/>
            <w:hideMark/>
          </w:tcPr>
          <w:p w14:paraId="50FCBBBA" w14:textId="77777777" w:rsidR="00335120" w:rsidRPr="00AA738D" w:rsidRDefault="00335120" w:rsidP="006D0CAD">
            <w:pPr>
              <w:jc w:val="center"/>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SE</w:t>
            </w:r>
          </w:p>
        </w:tc>
        <w:tc>
          <w:tcPr>
            <w:tcW w:w="1250" w:type="dxa"/>
            <w:tcBorders>
              <w:top w:val="nil"/>
              <w:left w:val="nil"/>
              <w:bottom w:val="single" w:sz="4" w:space="0" w:color="auto"/>
              <w:right w:val="nil"/>
            </w:tcBorders>
            <w:shd w:val="clear" w:color="auto" w:fill="auto"/>
            <w:vAlign w:val="center"/>
            <w:hideMark/>
          </w:tcPr>
          <w:p w14:paraId="0ABAB7A0"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p</w:t>
            </w:r>
          </w:p>
        </w:tc>
        <w:tc>
          <w:tcPr>
            <w:tcW w:w="2905" w:type="dxa"/>
            <w:tcBorders>
              <w:top w:val="nil"/>
              <w:left w:val="nil"/>
              <w:bottom w:val="single" w:sz="4" w:space="0" w:color="auto"/>
              <w:right w:val="nil"/>
            </w:tcBorders>
            <w:shd w:val="clear" w:color="auto" w:fill="auto"/>
            <w:noWrap/>
            <w:vAlign w:val="center"/>
            <w:hideMark/>
          </w:tcPr>
          <w:p w14:paraId="38231B90"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95% Confidence Interval</w:t>
            </w:r>
          </w:p>
        </w:tc>
        <w:tc>
          <w:tcPr>
            <w:tcW w:w="672" w:type="dxa"/>
            <w:tcBorders>
              <w:top w:val="nil"/>
              <w:left w:val="nil"/>
              <w:bottom w:val="single" w:sz="4" w:space="0" w:color="auto"/>
              <w:right w:val="nil"/>
            </w:tcBorders>
            <w:shd w:val="clear" w:color="auto" w:fill="auto"/>
            <w:noWrap/>
            <w:vAlign w:val="center"/>
            <w:hideMark/>
          </w:tcPr>
          <w:p w14:paraId="35E5441F"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noWrap/>
            <w:vAlign w:val="center"/>
            <w:hideMark/>
          </w:tcPr>
          <w:p w14:paraId="377326D0"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141D9D27" w14:textId="77777777" w:rsidTr="006D0CAD">
        <w:trPr>
          <w:trHeight w:val="316"/>
        </w:trPr>
        <w:tc>
          <w:tcPr>
            <w:tcW w:w="1897" w:type="dxa"/>
            <w:tcBorders>
              <w:top w:val="nil"/>
              <w:left w:val="nil"/>
              <w:bottom w:val="nil"/>
              <w:right w:val="nil"/>
            </w:tcBorders>
            <w:shd w:val="clear" w:color="auto" w:fill="auto"/>
            <w:vAlign w:val="center"/>
          </w:tcPr>
          <w:p w14:paraId="694C0838" w14:textId="082ABB99"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SLE</w:t>
            </w:r>
            <w:r w:rsidR="003F45DC" w:rsidRPr="00AA738D">
              <w:rPr>
                <w:rFonts w:ascii="Times New Roman" w:hAnsi="Times New Roman" w:cs="Times New Roman"/>
                <w:sz w:val="22"/>
                <w:szCs w:val="22"/>
                <w:lang w:val="en-US"/>
              </w:rPr>
              <w:t>-</w:t>
            </w:r>
            <w:r w:rsidRPr="00AA738D">
              <w:rPr>
                <w:rFonts w:ascii="Times New Roman" w:hAnsi="Times New Roman" w:cs="Times New Roman"/>
                <w:sz w:val="22"/>
                <w:szCs w:val="22"/>
                <w:lang w:val="en-US"/>
              </w:rPr>
              <w:t>tot</w:t>
            </w:r>
            <w:r w:rsidR="003F45DC" w:rsidRPr="00AA738D">
              <w:rPr>
                <w:rFonts w:ascii="Times New Roman" w:hAnsi="Times New Roman" w:cs="Times New Roman"/>
                <w:sz w:val="22"/>
                <w:szCs w:val="22"/>
                <w:lang w:val="en-US"/>
              </w:rPr>
              <w:t xml:space="preserve">al [cluster </w:t>
            </w:r>
            <w:r w:rsidRPr="00AA738D">
              <w:rPr>
                <w:rFonts w:ascii="Times New Roman" w:hAnsi="Times New Roman" w:cs="Times New Roman"/>
                <w:sz w:val="22"/>
                <w:szCs w:val="22"/>
                <w:lang w:val="en-US"/>
              </w:rPr>
              <w:t>m</w:t>
            </w:r>
            <w:r w:rsidR="003F45DC" w:rsidRPr="00AA738D">
              <w:rPr>
                <w:rFonts w:ascii="Times New Roman" w:hAnsi="Times New Roman" w:cs="Times New Roman"/>
                <w:sz w:val="22"/>
                <w:szCs w:val="22"/>
                <w:lang w:val="en-US"/>
              </w:rPr>
              <w:t>ean]</w:t>
            </w:r>
          </w:p>
        </w:tc>
        <w:tc>
          <w:tcPr>
            <w:tcW w:w="1080" w:type="dxa"/>
            <w:tcBorders>
              <w:top w:val="nil"/>
              <w:left w:val="nil"/>
              <w:bottom w:val="nil"/>
              <w:right w:val="nil"/>
            </w:tcBorders>
            <w:shd w:val="clear" w:color="auto" w:fill="auto"/>
            <w:vAlign w:val="center"/>
          </w:tcPr>
          <w:p w14:paraId="24E429DB" w14:textId="093207E0"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.36</w:t>
            </w:r>
            <w:r w:rsidR="00CC3C17" w:rsidRPr="00AA738D">
              <w:rPr>
                <w:rFonts w:ascii="Times New Roman" w:hAnsi="Times New Roman" w:cs="Times New Roman"/>
                <w:sz w:val="22"/>
                <w:szCs w:val="22"/>
                <w:lang w:val="en-US"/>
              </w:rPr>
              <w:t>8</w:t>
            </w:r>
          </w:p>
        </w:tc>
        <w:tc>
          <w:tcPr>
            <w:tcW w:w="1110" w:type="dxa"/>
            <w:tcBorders>
              <w:top w:val="nil"/>
              <w:left w:val="nil"/>
              <w:bottom w:val="nil"/>
              <w:right w:val="nil"/>
            </w:tcBorders>
            <w:shd w:val="clear" w:color="auto" w:fill="auto"/>
            <w:vAlign w:val="center"/>
          </w:tcPr>
          <w:p w14:paraId="60268468" w14:textId="5F64D99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.04</w:t>
            </w:r>
            <w:r w:rsidR="00CC3C17" w:rsidRPr="00AA738D">
              <w:rPr>
                <w:rFonts w:ascii="Times New Roman" w:hAnsi="Times New Roman" w:cs="Times New Roman"/>
                <w:sz w:val="22"/>
                <w:szCs w:val="22"/>
                <w:lang w:val="en-US"/>
              </w:rPr>
              <w:t>6</w:t>
            </w:r>
          </w:p>
        </w:tc>
        <w:tc>
          <w:tcPr>
            <w:tcW w:w="1250" w:type="dxa"/>
            <w:tcBorders>
              <w:top w:val="nil"/>
              <w:left w:val="nil"/>
              <w:bottom w:val="nil"/>
              <w:right w:val="nil"/>
            </w:tcBorders>
            <w:shd w:val="clear" w:color="auto" w:fill="auto"/>
            <w:noWrap/>
            <w:vAlign w:val="center"/>
          </w:tcPr>
          <w:p w14:paraId="40B27F6B" w14:textId="7ED776D2"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tcPr>
          <w:p w14:paraId="1ACF0C75" w14:textId="473013CB"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[.278, .45</w:t>
            </w:r>
            <w:r w:rsidR="00AC5303" w:rsidRPr="00AA738D">
              <w:rPr>
                <w:rFonts w:ascii="Times New Roman" w:hAnsi="Times New Roman" w:cs="Times New Roman"/>
                <w:sz w:val="22"/>
                <w:szCs w:val="22"/>
                <w:lang w:val="en-US"/>
              </w:rPr>
              <w:t>8</w:t>
            </w:r>
            <w:r w:rsidRPr="00AA738D">
              <w:rPr>
                <w:rFonts w:ascii="Times New Roman" w:hAnsi="Times New Roman" w:cs="Times New Roman"/>
                <w:sz w:val="22"/>
                <w:szCs w:val="22"/>
                <w:lang w:val="en-US"/>
              </w:rPr>
              <w:t>]</w:t>
            </w:r>
          </w:p>
        </w:tc>
      </w:tr>
      <w:tr w:rsidR="00AA738D" w:rsidRPr="00AA738D" w14:paraId="4278044E" w14:textId="77777777" w:rsidTr="006D0CAD">
        <w:trPr>
          <w:trHeight w:val="316"/>
        </w:trPr>
        <w:tc>
          <w:tcPr>
            <w:tcW w:w="1897" w:type="dxa"/>
            <w:tcBorders>
              <w:top w:val="nil"/>
              <w:left w:val="nil"/>
              <w:bottom w:val="nil"/>
              <w:right w:val="nil"/>
            </w:tcBorders>
            <w:shd w:val="clear" w:color="auto" w:fill="auto"/>
            <w:vAlign w:val="center"/>
          </w:tcPr>
          <w:p w14:paraId="4F22A0EE" w14:textId="788E0D79"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SLE</w:t>
            </w:r>
            <w:r w:rsidR="003F45DC" w:rsidRPr="00AA738D">
              <w:rPr>
                <w:rFonts w:ascii="Times New Roman" w:hAnsi="Times New Roman" w:cs="Times New Roman"/>
                <w:sz w:val="22"/>
                <w:szCs w:val="22"/>
                <w:lang w:val="en-US"/>
              </w:rPr>
              <w:t>-t</w:t>
            </w:r>
            <w:r w:rsidRPr="00AA738D">
              <w:rPr>
                <w:rFonts w:ascii="Times New Roman" w:hAnsi="Times New Roman" w:cs="Times New Roman"/>
                <w:sz w:val="22"/>
                <w:szCs w:val="22"/>
                <w:lang w:val="en-US"/>
              </w:rPr>
              <w:t>ot</w:t>
            </w:r>
            <w:r w:rsidR="003F45DC" w:rsidRPr="00AA738D">
              <w:rPr>
                <w:rFonts w:ascii="Times New Roman" w:hAnsi="Times New Roman" w:cs="Times New Roman"/>
                <w:sz w:val="22"/>
                <w:szCs w:val="22"/>
                <w:lang w:val="en-US"/>
              </w:rPr>
              <w:t xml:space="preserve"> [</w:t>
            </w:r>
            <w:r w:rsidRPr="00AA738D">
              <w:rPr>
                <w:rFonts w:ascii="Times New Roman" w:hAnsi="Times New Roman" w:cs="Times New Roman"/>
                <w:sz w:val="22"/>
                <w:szCs w:val="22"/>
                <w:lang w:val="en-US"/>
              </w:rPr>
              <w:t>c</w:t>
            </w:r>
            <w:r w:rsidR="003F45DC" w:rsidRPr="00AA738D">
              <w:rPr>
                <w:rFonts w:ascii="Times New Roman" w:hAnsi="Times New Roman" w:cs="Times New Roman"/>
                <w:sz w:val="22"/>
                <w:szCs w:val="22"/>
                <w:lang w:val="en-US"/>
              </w:rPr>
              <w:t xml:space="preserve">luster </w:t>
            </w:r>
            <w:r w:rsidRPr="00AA738D">
              <w:rPr>
                <w:rFonts w:ascii="Times New Roman" w:hAnsi="Times New Roman" w:cs="Times New Roman"/>
                <w:sz w:val="22"/>
                <w:szCs w:val="22"/>
                <w:lang w:val="en-US"/>
              </w:rPr>
              <w:t>m</w:t>
            </w:r>
            <w:r w:rsidR="003F45DC" w:rsidRPr="00AA738D">
              <w:rPr>
                <w:rFonts w:ascii="Times New Roman" w:hAnsi="Times New Roman" w:cs="Times New Roman"/>
                <w:sz w:val="22"/>
                <w:szCs w:val="22"/>
                <w:lang w:val="en-US"/>
              </w:rPr>
              <w:t xml:space="preserve">ean] * </w:t>
            </w:r>
            <w:r w:rsidRPr="00AA738D">
              <w:rPr>
                <w:rFonts w:ascii="Times New Roman" w:hAnsi="Times New Roman" w:cs="Times New Roman"/>
                <w:sz w:val="22"/>
                <w:szCs w:val="22"/>
                <w:lang w:val="en-US"/>
              </w:rPr>
              <w:t>d</w:t>
            </w:r>
            <w:r w:rsidR="003F45DC" w:rsidRPr="00AA738D">
              <w:rPr>
                <w:rFonts w:ascii="Times New Roman" w:hAnsi="Times New Roman" w:cs="Times New Roman"/>
                <w:sz w:val="22"/>
                <w:szCs w:val="22"/>
                <w:lang w:val="en-US"/>
              </w:rPr>
              <w:t>i</w:t>
            </w:r>
            <w:r w:rsidRPr="00AA738D">
              <w:rPr>
                <w:rFonts w:ascii="Times New Roman" w:hAnsi="Times New Roman" w:cs="Times New Roman"/>
                <w:sz w:val="22"/>
                <w:szCs w:val="22"/>
                <w:lang w:val="en-US"/>
              </w:rPr>
              <w:t>z</w:t>
            </w:r>
            <w:r w:rsidR="003F45DC" w:rsidRPr="00AA738D">
              <w:rPr>
                <w:rFonts w:ascii="Times New Roman" w:hAnsi="Times New Roman" w:cs="Times New Roman"/>
                <w:sz w:val="22"/>
                <w:szCs w:val="22"/>
                <w:lang w:val="en-US"/>
              </w:rPr>
              <w:t>ygotic</w:t>
            </w:r>
          </w:p>
        </w:tc>
        <w:tc>
          <w:tcPr>
            <w:tcW w:w="1080" w:type="dxa"/>
            <w:tcBorders>
              <w:top w:val="nil"/>
              <w:left w:val="nil"/>
              <w:bottom w:val="nil"/>
              <w:right w:val="nil"/>
            </w:tcBorders>
            <w:shd w:val="clear" w:color="auto" w:fill="auto"/>
            <w:vAlign w:val="center"/>
          </w:tcPr>
          <w:p w14:paraId="7E84BA66" w14:textId="1A743368"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w:t>
            </w:r>
            <w:r w:rsidR="00CC3C17" w:rsidRPr="00AA738D">
              <w:rPr>
                <w:rFonts w:ascii="Times New Roman" w:hAnsi="Times New Roman" w:cs="Times New Roman"/>
                <w:sz w:val="22"/>
                <w:szCs w:val="22"/>
                <w:lang w:val="en-US"/>
              </w:rPr>
              <w:t>1</w:t>
            </w:r>
            <w:r w:rsidR="006154E9" w:rsidRPr="00AA738D">
              <w:rPr>
                <w:rFonts w:ascii="Times New Roman" w:hAnsi="Times New Roman" w:cs="Times New Roman"/>
                <w:sz w:val="22"/>
                <w:szCs w:val="22"/>
                <w:vertAlign w:val="superscript"/>
                <w:lang w:val="en-US"/>
              </w:rPr>
              <w:t>a</w:t>
            </w:r>
          </w:p>
        </w:tc>
        <w:tc>
          <w:tcPr>
            <w:tcW w:w="1110" w:type="dxa"/>
            <w:tcBorders>
              <w:top w:val="nil"/>
              <w:left w:val="nil"/>
              <w:bottom w:val="nil"/>
              <w:right w:val="nil"/>
            </w:tcBorders>
            <w:shd w:val="clear" w:color="auto" w:fill="auto"/>
            <w:vAlign w:val="center"/>
          </w:tcPr>
          <w:p w14:paraId="44EFE97E" w14:textId="76E4DC64"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.052</w:t>
            </w:r>
          </w:p>
        </w:tc>
        <w:tc>
          <w:tcPr>
            <w:tcW w:w="1250" w:type="dxa"/>
            <w:tcBorders>
              <w:top w:val="nil"/>
              <w:left w:val="nil"/>
              <w:bottom w:val="nil"/>
              <w:right w:val="nil"/>
            </w:tcBorders>
            <w:shd w:val="clear" w:color="auto" w:fill="auto"/>
            <w:noWrap/>
            <w:vAlign w:val="center"/>
          </w:tcPr>
          <w:p w14:paraId="42DD6C27" w14:textId="44E7F0B3"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.838</w:t>
            </w:r>
          </w:p>
        </w:tc>
        <w:tc>
          <w:tcPr>
            <w:tcW w:w="4829" w:type="dxa"/>
            <w:gridSpan w:val="3"/>
            <w:tcBorders>
              <w:top w:val="nil"/>
              <w:left w:val="nil"/>
              <w:bottom w:val="nil"/>
              <w:right w:val="nil"/>
            </w:tcBorders>
            <w:shd w:val="clear" w:color="auto" w:fill="auto"/>
            <w:vAlign w:val="center"/>
          </w:tcPr>
          <w:p w14:paraId="438AE4CA" w14:textId="40099DBD"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[-.09</w:t>
            </w:r>
            <w:r w:rsidR="00AC5303" w:rsidRPr="00AA738D">
              <w:rPr>
                <w:rFonts w:ascii="Times New Roman" w:hAnsi="Times New Roman" w:cs="Times New Roman"/>
                <w:sz w:val="22"/>
                <w:szCs w:val="22"/>
                <w:lang w:val="en-US"/>
              </w:rPr>
              <w:t>2</w:t>
            </w:r>
            <w:r w:rsidRPr="00AA738D">
              <w:rPr>
                <w:rFonts w:ascii="Times New Roman" w:hAnsi="Times New Roman" w:cs="Times New Roman"/>
                <w:sz w:val="22"/>
                <w:szCs w:val="22"/>
                <w:lang w:val="en-US"/>
              </w:rPr>
              <w:t>, .11</w:t>
            </w:r>
            <w:r w:rsidR="00AC5303" w:rsidRPr="00AA738D">
              <w:rPr>
                <w:rFonts w:ascii="Times New Roman" w:hAnsi="Times New Roman" w:cs="Times New Roman"/>
                <w:sz w:val="22"/>
                <w:szCs w:val="22"/>
                <w:lang w:val="en-US"/>
              </w:rPr>
              <w:t>3</w:t>
            </w:r>
            <w:r w:rsidRPr="00AA738D">
              <w:rPr>
                <w:rFonts w:ascii="Times New Roman" w:hAnsi="Times New Roman" w:cs="Times New Roman"/>
                <w:sz w:val="22"/>
                <w:szCs w:val="22"/>
                <w:lang w:val="en-US"/>
              </w:rPr>
              <w:t>]</w:t>
            </w:r>
          </w:p>
        </w:tc>
      </w:tr>
      <w:tr w:rsidR="00AA738D" w:rsidRPr="00AA738D" w14:paraId="06431BE7" w14:textId="77777777" w:rsidTr="006D0CAD">
        <w:trPr>
          <w:trHeight w:val="316"/>
        </w:trPr>
        <w:tc>
          <w:tcPr>
            <w:tcW w:w="1897" w:type="dxa"/>
            <w:tcBorders>
              <w:top w:val="nil"/>
              <w:left w:val="nil"/>
              <w:bottom w:val="nil"/>
              <w:right w:val="nil"/>
            </w:tcBorders>
            <w:shd w:val="clear" w:color="auto" w:fill="auto"/>
            <w:vAlign w:val="center"/>
          </w:tcPr>
          <w:p w14:paraId="114A05E5" w14:textId="59690273"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SLE</w:t>
            </w:r>
            <w:r w:rsidR="006154E9" w:rsidRPr="00AA738D">
              <w:rPr>
                <w:rFonts w:ascii="Times New Roman" w:hAnsi="Times New Roman" w:cs="Times New Roman"/>
                <w:sz w:val="22"/>
                <w:szCs w:val="22"/>
                <w:lang w:val="en-US"/>
              </w:rPr>
              <w:t>-</w:t>
            </w:r>
            <w:r w:rsidRPr="00AA738D">
              <w:rPr>
                <w:rFonts w:ascii="Times New Roman" w:hAnsi="Times New Roman" w:cs="Times New Roman"/>
                <w:sz w:val="22"/>
                <w:szCs w:val="22"/>
                <w:lang w:val="en-US"/>
              </w:rPr>
              <w:t>tot</w:t>
            </w:r>
            <w:r w:rsidR="006154E9" w:rsidRPr="00AA738D">
              <w:rPr>
                <w:rFonts w:ascii="Times New Roman" w:hAnsi="Times New Roman" w:cs="Times New Roman"/>
                <w:sz w:val="22"/>
                <w:szCs w:val="22"/>
                <w:lang w:val="en-US"/>
              </w:rPr>
              <w:t xml:space="preserve">al [cluster mean centered] </w:t>
            </w:r>
          </w:p>
        </w:tc>
        <w:tc>
          <w:tcPr>
            <w:tcW w:w="1080" w:type="dxa"/>
            <w:tcBorders>
              <w:top w:val="nil"/>
              <w:left w:val="nil"/>
              <w:bottom w:val="nil"/>
              <w:right w:val="nil"/>
            </w:tcBorders>
            <w:shd w:val="clear" w:color="auto" w:fill="auto"/>
            <w:vAlign w:val="center"/>
          </w:tcPr>
          <w:p w14:paraId="5FD0E8B3" w14:textId="4BF52C5C"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.330</w:t>
            </w:r>
          </w:p>
        </w:tc>
        <w:tc>
          <w:tcPr>
            <w:tcW w:w="1110" w:type="dxa"/>
            <w:tcBorders>
              <w:top w:val="nil"/>
              <w:left w:val="nil"/>
              <w:bottom w:val="nil"/>
              <w:right w:val="nil"/>
            </w:tcBorders>
            <w:shd w:val="clear" w:color="auto" w:fill="auto"/>
            <w:vAlign w:val="center"/>
          </w:tcPr>
          <w:p w14:paraId="6C7BF1F1" w14:textId="17B390F4"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.07</w:t>
            </w:r>
            <w:r w:rsidR="00CC3C17" w:rsidRPr="00AA738D">
              <w:rPr>
                <w:rFonts w:ascii="Times New Roman" w:hAnsi="Times New Roman" w:cs="Times New Roman"/>
                <w:sz w:val="22"/>
                <w:szCs w:val="22"/>
                <w:lang w:val="en-US"/>
              </w:rPr>
              <w:t>7</w:t>
            </w:r>
          </w:p>
        </w:tc>
        <w:tc>
          <w:tcPr>
            <w:tcW w:w="1250" w:type="dxa"/>
            <w:tcBorders>
              <w:top w:val="nil"/>
              <w:left w:val="nil"/>
              <w:bottom w:val="nil"/>
              <w:right w:val="nil"/>
            </w:tcBorders>
            <w:shd w:val="clear" w:color="auto" w:fill="auto"/>
            <w:noWrap/>
            <w:vAlign w:val="center"/>
          </w:tcPr>
          <w:p w14:paraId="69FD9F5D" w14:textId="69E50E5C"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tcPr>
          <w:p w14:paraId="41D79385" w14:textId="1EEC99EC"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[.1</w:t>
            </w:r>
            <w:r w:rsidR="00AC5303" w:rsidRPr="00AA738D">
              <w:rPr>
                <w:rFonts w:ascii="Times New Roman" w:hAnsi="Times New Roman" w:cs="Times New Roman"/>
                <w:sz w:val="22"/>
                <w:szCs w:val="22"/>
                <w:lang w:val="en-US"/>
              </w:rPr>
              <w:t>80</w:t>
            </w:r>
            <w:r w:rsidRPr="00AA738D">
              <w:rPr>
                <w:rFonts w:ascii="Times New Roman" w:hAnsi="Times New Roman" w:cs="Times New Roman"/>
                <w:sz w:val="22"/>
                <w:szCs w:val="22"/>
                <w:lang w:val="en-US"/>
              </w:rPr>
              <w:t>, .48</w:t>
            </w:r>
            <w:r w:rsidR="00AC5303" w:rsidRPr="00AA738D">
              <w:rPr>
                <w:rFonts w:ascii="Times New Roman" w:hAnsi="Times New Roman" w:cs="Times New Roman"/>
                <w:sz w:val="22"/>
                <w:szCs w:val="22"/>
                <w:lang w:val="en-US"/>
              </w:rPr>
              <w:t>1</w:t>
            </w:r>
            <w:r w:rsidRPr="00AA738D">
              <w:rPr>
                <w:rFonts w:ascii="Times New Roman" w:hAnsi="Times New Roman" w:cs="Times New Roman"/>
                <w:sz w:val="22"/>
                <w:szCs w:val="22"/>
                <w:lang w:val="en-US"/>
              </w:rPr>
              <w:t>]</w:t>
            </w:r>
          </w:p>
        </w:tc>
      </w:tr>
      <w:tr w:rsidR="00AA738D" w:rsidRPr="00AA738D" w14:paraId="2EA63B75" w14:textId="77777777" w:rsidTr="006D0CAD">
        <w:trPr>
          <w:trHeight w:val="316"/>
        </w:trPr>
        <w:tc>
          <w:tcPr>
            <w:tcW w:w="1897" w:type="dxa"/>
            <w:tcBorders>
              <w:top w:val="nil"/>
              <w:left w:val="nil"/>
              <w:bottom w:val="nil"/>
              <w:right w:val="nil"/>
            </w:tcBorders>
            <w:shd w:val="clear" w:color="auto" w:fill="auto"/>
            <w:vAlign w:val="center"/>
          </w:tcPr>
          <w:p w14:paraId="57922470" w14:textId="41CC4D1D"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SLE</w:t>
            </w:r>
            <w:r w:rsidR="006154E9" w:rsidRPr="00AA738D">
              <w:rPr>
                <w:rFonts w:ascii="Times New Roman" w:hAnsi="Times New Roman" w:cs="Times New Roman"/>
                <w:sz w:val="22"/>
                <w:szCs w:val="22"/>
                <w:lang w:val="en-US"/>
              </w:rPr>
              <w:t>-</w:t>
            </w:r>
            <w:r w:rsidRPr="00AA738D">
              <w:rPr>
                <w:rFonts w:ascii="Times New Roman" w:hAnsi="Times New Roman" w:cs="Times New Roman"/>
                <w:sz w:val="22"/>
                <w:szCs w:val="22"/>
                <w:lang w:val="en-US"/>
              </w:rPr>
              <w:t>tot</w:t>
            </w:r>
            <w:r w:rsidR="006154E9" w:rsidRPr="00AA738D">
              <w:rPr>
                <w:rFonts w:ascii="Times New Roman" w:hAnsi="Times New Roman" w:cs="Times New Roman"/>
                <w:sz w:val="22"/>
                <w:szCs w:val="22"/>
                <w:lang w:val="en-US"/>
              </w:rPr>
              <w:t xml:space="preserve">al [cluster mean centered] * dizygotic </w:t>
            </w:r>
          </w:p>
        </w:tc>
        <w:tc>
          <w:tcPr>
            <w:tcW w:w="1080" w:type="dxa"/>
            <w:tcBorders>
              <w:top w:val="nil"/>
              <w:left w:val="nil"/>
              <w:bottom w:val="nil"/>
              <w:right w:val="nil"/>
            </w:tcBorders>
            <w:shd w:val="clear" w:color="auto" w:fill="auto"/>
            <w:vAlign w:val="center"/>
          </w:tcPr>
          <w:p w14:paraId="1C8CCD62" w14:textId="75D9AEE6"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w:t>
            </w:r>
            <w:r w:rsidR="00CC3C17" w:rsidRPr="00AA738D">
              <w:rPr>
                <w:rFonts w:ascii="Times New Roman" w:hAnsi="Times New Roman" w:cs="Times New Roman"/>
                <w:sz w:val="22"/>
                <w:szCs w:val="22"/>
                <w:lang w:val="en-US"/>
              </w:rPr>
              <w:t>1</w:t>
            </w:r>
            <w:r w:rsidR="006154E9" w:rsidRPr="00AA738D">
              <w:rPr>
                <w:rFonts w:ascii="Times New Roman" w:hAnsi="Times New Roman" w:cs="Times New Roman"/>
                <w:sz w:val="22"/>
                <w:szCs w:val="22"/>
                <w:vertAlign w:val="superscript"/>
                <w:lang w:val="en-US"/>
              </w:rPr>
              <w:t>a</w:t>
            </w:r>
          </w:p>
        </w:tc>
        <w:tc>
          <w:tcPr>
            <w:tcW w:w="1110" w:type="dxa"/>
            <w:tcBorders>
              <w:top w:val="nil"/>
              <w:left w:val="nil"/>
              <w:bottom w:val="nil"/>
              <w:right w:val="nil"/>
            </w:tcBorders>
            <w:shd w:val="clear" w:color="auto" w:fill="auto"/>
            <w:vAlign w:val="center"/>
          </w:tcPr>
          <w:p w14:paraId="60AFE345" w14:textId="3B17A84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.052</w:t>
            </w:r>
          </w:p>
        </w:tc>
        <w:tc>
          <w:tcPr>
            <w:tcW w:w="1250" w:type="dxa"/>
            <w:tcBorders>
              <w:top w:val="nil"/>
              <w:left w:val="nil"/>
              <w:bottom w:val="nil"/>
              <w:right w:val="nil"/>
            </w:tcBorders>
            <w:shd w:val="clear" w:color="auto" w:fill="auto"/>
            <w:noWrap/>
            <w:vAlign w:val="center"/>
          </w:tcPr>
          <w:p w14:paraId="56AEB085" w14:textId="159FE6BE"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.838</w:t>
            </w:r>
          </w:p>
        </w:tc>
        <w:tc>
          <w:tcPr>
            <w:tcW w:w="4829" w:type="dxa"/>
            <w:gridSpan w:val="3"/>
            <w:tcBorders>
              <w:top w:val="nil"/>
              <w:left w:val="nil"/>
              <w:bottom w:val="nil"/>
              <w:right w:val="nil"/>
            </w:tcBorders>
            <w:shd w:val="clear" w:color="auto" w:fill="auto"/>
            <w:vAlign w:val="center"/>
          </w:tcPr>
          <w:p w14:paraId="06B6D216" w14:textId="3813255F"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[-.11</w:t>
            </w:r>
            <w:r w:rsidR="00AC5303" w:rsidRPr="00AA738D">
              <w:rPr>
                <w:rFonts w:ascii="Times New Roman" w:hAnsi="Times New Roman" w:cs="Times New Roman"/>
                <w:sz w:val="22"/>
                <w:szCs w:val="22"/>
                <w:lang w:val="en-US"/>
              </w:rPr>
              <w:t>3</w:t>
            </w:r>
            <w:r w:rsidRPr="00AA738D">
              <w:rPr>
                <w:rFonts w:ascii="Times New Roman" w:hAnsi="Times New Roman" w:cs="Times New Roman"/>
                <w:sz w:val="22"/>
                <w:szCs w:val="22"/>
                <w:lang w:val="en-US"/>
              </w:rPr>
              <w:t>, .09</w:t>
            </w:r>
            <w:r w:rsidR="00AC5303" w:rsidRPr="00AA738D">
              <w:rPr>
                <w:rFonts w:ascii="Times New Roman" w:hAnsi="Times New Roman" w:cs="Times New Roman"/>
                <w:sz w:val="22"/>
                <w:szCs w:val="22"/>
                <w:lang w:val="en-US"/>
              </w:rPr>
              <w:t>2</w:t>
            </w:r>
            <w:r w:rsidRPr="00AA738D">
              <w:rPr>
                <w:rFonts w:ascii="Times New Roman" w:hAnsi="Times New Roman" w:cs="Times New Roman"/>
                <w:sz w:val="22"/>
                <w:szCs w:val="22"/>
                <w:lang w:val="en-US"/>
              </w:rPr>
              <w:t>]</w:t>
            </w:r>
          </w:p>
        </w:tc>
      </w:tr>
      <w:tr w:rsidR="00AA738D" w:rsidRPr="00AA738D" w14:paraId="38F15828" w14:textId="77777777" w:rsidTr="006D0CAD">
        <w:trPr>
          <w:trHeight w:val="316"/>
        </w:trPr>
        <w:tc>
          <w:tcPr>
            <w:tcW w:w="1897" w:type="dxa"/>
            <w:tcBorders>
              <w:top w:val="nil"/>
              <w:left w:val="nil"/>
              <w:bottom w:val="nil"/>
              <w:right w:val="nil"/>
            </w:tcBorders>
            <w:shd w:val="clear" w:color="auto" w:fill="auto"/>
            <w:vAlign w:val="center"/>
            <w:hideMark/>
          </w:tcPr>
          <w:p w14:paraId="3A43CA73" w14:textId="518D6E8C"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 (</w:t>
            </w:r>
            <w:r w:rsidRPr="00AA738D">
              <w:rPr>
                <w:rFonts w:ascii="Times New Roman" w:hAnsi="Times New Roman" w:cs="Times New Roman"/>
                <w:i/>
                <w:iCs/>
                <w:sz w:val="22"/>
                <w:szCs w:val="22"/>
                <w:lang w:val="en-US"/>
              </w:rPr>
              <w:t>t</w:t>
            </w:r>
            <w:r w:rsidRPr="00AA738D">
              <w:rPr>
                <w:rFonts w:ascii="Times New Roman" w:hAnsi="Times New Roman" w:cs="Times New Roman"/>
                <w:sz w:val="22"/>
                <w:szCs w:val="22"/>
                <w:lang w:val="en-US"/>
              </w:rPr>
              <w:t>)</w:t>
            </w:r>
          </w:p>
        </w:tc>
        <w:tc>
          <w:tcPr>
            <w:tcW w:w="1080" w:type="dxa"/>
            <w:tcBorders>
              <w:top w:val="nil"/>
              <w:left w:val="nil"/>
              <w:bottom w:val="nil"/>
              <w:right w:val="nil"/>
            </w:tcBorders>
            <w:shd w:val="clear" w:color="auto" w:fill="auto"/>
            <w:vAlign w:val="center"/>
            <w:hideMark/>
          </w:tcPr>
          <w:p w14:paraId="55BA7A8A" w14:textId="39D6E42D"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.444</w:t>
            </w:r>
          </w:p>
        </w:tc>
        <w:tc>
          <w:tcPr>
            <w:tcW w:w="1110" w:type="dxa"/>
            <w:tcBorders>
              <w:top w:val="nil"/>
              <w:left w:val="nil"/>
              <w:bottom w:val="nil"/>
              <w:right w:val="nil"/>
            </w:tcBorders>
            <w:shd w:val="clear" w:color="auto" w:fill="auto"/>
            <w:vAlign w:val="center"/>
            <w:hideMark/>
          </w:tcPr>
          <w:p w14:paraId="6DFBD506" w14:textId="03FC5ABB"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w:t>
            </w:r>
            <w:r w:rsidR="00CC3C17" w:rsidRPr="00AA738D">
              <w:rPr>
                <w:rFonts w:ascii="Times New Roman" w:hAnsi="Times New Roman" w:cs="Times New Roman"/>
                <w:sz w:val="22"/>
                <w:szCs w:val="22"/>
                <w:lang w:val="en-US"/>
              </w:rPr>
              <w:t>7</w:t>
            </w:r>
          </w:p>
        </w:tc>
        <w:tc>
          <w:tcPr>
            <w:tcW w:w="1250" w:type="dxa"/>
            <w:tcBorders>
              <w:top w:val="nil"/>
              <w:left w:val="nil"/>
              <w:bottom w:val="nil"/>
              <w:right w:val="nil"/>
            </w:tcBorders>
            <w:shd w:val="clear" w:color="auto" w:fill="auto"/>
            <w:noWrap/>
            <w:vAlign w:val="center"/>
            <w:hideMark/>
          </w:tcPr>
          <w:p w14:paraId="71283FA9" w14:textId="1C9E8E0A"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hideMark/>
          </w:tcPr>
          <w:p w14:paraId="301F3998" w14:textId="068C03EB"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[.274, .614]</w:t>
            </w:r>
          </w:p>
        </w:tc>
      </w:tr>
      <w:tr w:rsidR="00AA738D" w:rsidRPr="00AA738D" w14:paraId="716383E7" w14:textId="77777777" w:rsidTr="006D0CAD">
        <w:trPr>
          <w:trHeight w:val="316"/>
        </w:trPr>
        <w:tc>
          <w:tcPr>
            <w:tcW w:w="1897" w:type="dxa"/>
            <w:tcBorders>
              <w:top w:val="nil"/>
              <w:left w:val="nil"/>
              <w:bottom w:val="nil"/>
              <w:right w:val="nil"/>
            </w:tcBorders>
            <w:shd w:val="clear" w:color="auto" w:fill="auto"/>
            <w:vAlign w:val="center"/>
            <w:hideMark/>
          </w:tcPr>
          <w:p w14:paraId="1DCFCB81" w14:textId="54DEB161"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2</w:t>
            </w:r>
          </w:p>
        </w:tc>
        <w:tc>
          <w:tcPr>
            <w:tcW w:w="1080" w:type="dxa"/>
            <w:tcBorders>
              <w:top w:val="nil"/>
              <w:left w:val="nil"/>
              <w:bottom w:val="nil"/>
              <w:right w:val="nil"/>
            </w:tcBorders>
            <w:shd w:val="clear" w:color="auto" w:fill="auto"/>
            <w:vAlign w:val="center"/>
            <w:hideMark/>
          </w:tcPr>
          <w:p w14:paraId="47BEC697" w14:textId="7E47A88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w:t>
            </w:r>
            <w:r w:rsidR="00CC3C17" w:rsidRPr="00AA738D">
              <w:rPr>
                <w:rFonts w:ascii="Times New Roman" w:hAnsi="Times New Roman" w:cs="Times New Roman"/>
                <w:sz w:val="22"/>
                <w:szCs w:val="22"/>
                <w:lang w:val="en-US"/>
              </w:rPr>
              <w:t>2</w:t>
            </w:r>
          </w:p>
        </w:tc>
        <w:tc>
          <w:tcPr>
            <w:tcW w:w="1110" w:type="dxa"/>
            <w:tcBorders>
              <w:top w:val="nil"/>
              <w:left w:val="nil"/>
              <w:bottom w:val="nil"/>
              <w:right w:val="nil"/>
            </w:tcBorders>
            <w:shd w:val="clear" w:color="auto" w:fill="auto"/>
            <w:vAlign w:val="center"/>
            <w:hideMark/>
          </w:tcPr>
          <w:p w14:paraId="7CD56791" w14:textId="1E186E00"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w:t>
            </w:r>
            <w:r w:rsidR="00CC3C17" w:rsidRPr="00AA738D">
              <w:rPr>
                <w:rFonts w:ascii="Times New Roman" w:hAnsi="Times New Roman" w:cs="Times New Roman"/>
                <w:sz w:val="22"/>
                <w:szCs w:val="22"/>
                <w:lang w:val="en-US"/>
              </w:rPr>
              <w:t>4</w:t>
            </w:r>
          </w:p>
        </w:tc>
        <w:tc>
          <w:tcPr>
            <w:tcW w:w="1250" w:type="dxa"/>
            <w:tcBorders>
              <w:top w:val="nil"/>
              <w:left w:val="nil"/>
              <w:bottom w:val="nil"/>
              <w:right w:val="nil"/>
            </w:tcBorders>
            <w:shd w:val="clear" w:color="auto" w:fill="auto"/>
            <w:noWrap/>
            <w:vAlign w:val="center"/>
            <w:hideMark/>
          </w:tcPr>
          <w:p w14:paraId="21F32847" w14:textId="2A40C9B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.001</w:t>
            </w:r>
          </w:p>
        </w:tc>
        <w:tc>
          <w:tcPr>
            <w:tcW w:w="4829" w:type="dxa"/>
            <w:gridSpan w:val="3"/>
            <w:tcBorders>
              <w:top w:val="nil"/>
              <w:left w:val="nil"/>
              <w:bottom w:val="nil"/>
              <w:right w:val="nil"/>
            </w:tcBorders>
            <w:shd w:val="clear" w:color="auto" w:fill="auto"/>
            <w:vAlign w:val="center"/>
            <w:hideMark/>
          </w:tcPr>
          <w:p w14:paraId="085CF65A" w14:textId="4E048CA6"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[-.01</w:t>
            </w:r>
            <w:r w:rsidR="00AC5303"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 -.004]</w:t>
            </w:r>
          </w:p>
        </w:tc>
      </w:tr>
      <w:tr w:rsidR="00AA738D" w:rsidRPr="00AA738D" w14:paraId="3771ACC0" w14:textId="77777777" w:rsidTr="006D0CAD">
        <w:trPr>
          <w:trHeight w:val="316"/>
        </w:trPr>
        <w:tc>
          <w:tcPr>
            <w:tcW w:w="1897" w:type="dxa"/>
            <w:tcBorders>
              <w:top w:val="nil"/>
              <w:left w:val="nil"/>
              <w:bottom w:val="nil"/>
              <w:right w:val="nil"/>
            </w:tcBorders>
            <w:shd w:val="clear" w:color="auto" w:fill="auto"/>
            <w:vAlign w:val="center"/>
            <w:hideMark/>
          </w:tcPr>
          <w:p w14:paraId="11C83161" w14:textId="21B881F8"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3</w:t>
            </w:r>
          </w:p>
        </w:tc>
        <w:tc>
          <w:tcPr>
            <w:tcW w:w="1080" w:type="dxa"/>
            <w:tcBorders>
              <w:top w:val="nil"/>
              <w:left w:val="nil"/>
              <w:bottom w:val="nil"/>
              <w:right w:val="nil"/>
            </w:tcBorders>
            <w:shd w:val="clear" w:color="auto" w:fill="auto"/>
            <w:vAlign w:val="center"/>
            <w:hideMark/>
          </w:tcPr>
          <w:p w14:paraId="481AFE7A" w14:textId="3E5ED4B8"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110" w:type="dxa"/>
            <w:tcBorders>
              <w:top w:val="nil"/>
              <w:left w:val="nil"/>
              <w:bottom w:val="nil"/>
              <w:right w:val="nil"/>
            </w:tcBorders>
            <w:shd w:val="clear" w:color="auto" w:fill="auto"/>
            <w:vAlign w:val="center"/>
            <w:hideMark/>
          </w:tcPr>
          <w:p w14:paraId="4EA1568D" w14:textId="57137793"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250" w:type="dxa"/>
            <w:tcBorders>
              <w:top w:val="nil"/>
              <w:left w:val="nil"/>
              <w:bottom w:val="nil"/>
              <w:right w:val="nil"/>
            </w:tcBorders>
            <w:shd w:val="clear" w:color="auto" w:fill="auto"/>
            <w:noWrap/>
            <w:vAlign w:val="center"/>
            <w:hideMark/>
          </w:tcPr>
          <w:p w14:paraId="1E823CF6" w14:textId="20DF2F5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.029</w:t>
            </w:r>
          </w:p>
        </w:tc>
        <w:tc>
          <w:tcPr>
            <w:tcW w:w="4829" w:type="dxa"/>
            <w:gridSpan w:val="3"/>
            <w:tcBorders>
              <w:top w:val="nil"/>
              <w:left w:val="nil"/>
              <w:bottom w:val="nil"/>
              <w:right w:val="nil"/>
            </w:tcBorders>
            <w:shd w:val="clear" w:color="auto" w:fill="auto"/>
            <w:vAlign w:val="center"/>
            <w:hideMark/>
          </w:tcPr>
          <w:p w14:paraId="056965C3" w14:textId="7D40F9AB"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[.000, .000]</w:t>
            </w:r>
          </w:p>
        </w:tc>
      </w:tr>
      <w:tr w:rsidR="00AA738D" w:rsidRPr="00AA738D" w14:paraId="1411A8C2" w14:textId="77777777" w:rsidTr="006D0CAD">
        <w:trPr>
          <w:trHeight w:val="316"/>
        </w:trPr>
        <w:tc>
          <w:tcPr>
            <w:tcW w:w="1897" w:type="dxa"/>
            <w:tcBorders>
              <w:top w:val="nil"/>
              <w:left w:val="nil"/>
              <w:bottom w:val="nil"/>
              <w:right w:val="nil"/>
            </w:tcBorders>
            <w:shd w:val="clear" w:color="auto" w:fill="auto"/>
            <w:vAlign w:val="center"/>
            <w:hideMark/>
          </w:tcPr>
          <w:p w14:paraId="1EFD2375" w14:textId="40B71C84"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Wave 2</w:t>
            </w:r>
          </w:p>
        </w:tc>
        <w:tc>
          <w:tcPr>
            <w:tcW w:w="1080" w:type="dxa"/>
            <w:tcBorders>
              <w:top w:val="nil"/>
              <w:left w:val="nil"/>
              <w:bottom w:val="nil"/>
              <w:right w:val="nil"/>
            </w:tcBorders>
            <w:shd w:val="clear" w:color="auto" w:fill="auto"/>
            <w:vAlign w:val="center"/>
            <w:hideMark/>
          </w:tcPr>
          <w:p w14:paraId="704613F2" w14:textId="4BCDD67C"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-.422</w:t>
            </w:r>
          </w:p>
        </w:tc>
        <w:tc>
          <w:tcPr>
            <w:tcW w:w="1110" w:type="dxa"/>
            <w:tcBorders>
              <w:top w:val="nil"/>
              <w:left w:val="nil"/>
              <w:bottom w:val="nil"/>
              <w:right w:val="nil"/>
            </w:tcBorders>
            <w:shd w:val="clear" w:color="auto" w:fill="auto"/>
            <w:vAlign w:val="center"/>
            <w:hideMark/>
          </w:tcPr>
          <w:p w14:paraId="4B781FF4" w14:textId="32AA276B"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.085</w:t>
            </w:r>
          </w:p>
        </w:tc>
        <w:tc>
          <w:tcPr>
            <w:tcW w:w="1250" w:type="dxa"/>
            <w:tcBorders>
              <w:top w:val="nil"/>
              <w:left w:val="nil"/>
              <w:bottom w:val="nil"/>
              <w:right w:val="nil"/>
            </w:tcBorders>
            <w:shd w:val="clear" w:color="auto" w:fill="auto"/>
            <w:noWrap/>
            <w:vAlign w:val="center"/>
            <w:hideMark/>
          </w:tcPr>
          <w:p w14:paraId="5A6EA2FD" w14:textId="3ADE3016"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hideMark/>
          </w:tcPr>
          <w:p w14:paraId="616FAB76" w14:textId="3DFF2323"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[-.59</w:t>
            </w:r>
            <w:r w:rsidR="00AC5303" w:rsidRPr="00AA738D">
              <w:rPr>
                <w:rFonts w:ascii="Times New Roman" w:hAnsi="Times New Roman" w:cs="Times New Roman"/>
                <w:sz w:val="22"/>
                <w:szCs w:val="22"/>
                <w:lang w:val="en-US"/>
              </w:rPr>
              <w:t>0</w:t>
            </w:r>
            <w:r w:rsidRPr="00AA738D">
              <w:rPr>
                <w:rFonts w:ascii="Times New Roman" w:hAnsi="Times New Roman" w:cs="Times New Roman"/>
                <w:sz w:val="22"/>
                <w:szCs w:val="22"/>
                <w:lang w:val="en-US"/>
              </w:rPr>
              <w:t>, -.255]</w:t>
            </w:r>
          </w:p>
        </w:tc>
      </w:tr>
      <w:tr w:rsidR="00AA738D" w:rsidRPr="00AA738D" w14:paraId="11FAFB16" w14:textId="77777777" w:rsidTr="006D0CAD">
        <w:trPr>
          <w:trHeight w:val="316"/>
        </w:trPr>
        <w:tc>
          <w:tcPr>
            <w:tcW w:w="1897" w:type="dxa"/>
            <w:tcBorders>
              <w:top w:val="nil"/>
              <w:left w:val="nil"/>
              <w:bottom w:val="nil"/>
              <w:right w:val="nil"/>
            </w:tcBorders>
            <w:shd w:val="clear" w:color="auto" w:fill="auto"/>
            <w:vAlign w:val="center"/>
          </w:tcPr>
          <w:p w14:paraId="0483DA9E" w14:textId="7FF3CEE0"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Sex (female)</w:t>
            </w:r>
          </w:p>
        </w:tc>
        <w:tc>
          <w:tcPr>
            <w:tcW w:w="1080" w:type="dxa"/>
            <w:tcBorders>
              <w:top w:val="nil"/>
              <w:left w:val="nil"/>
              <w:bottom w:val="nil"/>
              <w:right w:val="nil"/>
            </w:tcBorders>
            <w:shd w:val="clear" w:color="auto" w:fill="auto"/>
            <w:vAlign w:val="center"/>
          </w:tcPr>
          <w:p w14:paraId="5166A575" w14:textId="47546D6C"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.63</w:t>
            </w:r>
            <w:r w:rsidR="00CC3C17" w:rsidRPr="00AA738D">
              <w:rPr>
                <w:rFonts w:ascii="Times New Roman" w:hAnsi="Times New Roman" w:cs="Times New Roman"/>
                <w:sz w:val="22"/>
                <w:szCs w:val="22"/>
                <w:lang w:val="en-US"/>
              </w:rPr>
              <w:t>4</w:t>
            </w:r>
          </w:p>
        </w:tc>
        <w:tc>
          <w:tcPr>
            <w:tcW w:w="1110" w:type="dxa"/>
            <w:tcBorders>
              <w:top w:val="nil"/>
              <w:left w:val="nil"/>
              <w:bottom w:val="nil"/>
              <w:right w:val="nil"/>
            </w:tcBorders>
            <w:shd w:val="clear" w:color="auto" w:fill="auto"/>
            <w:vAlign w:val="center"/>
          </w:tcPr>
          <w:p w14:paraId="69E64CF9" w14:textId="0CF6A06E"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w:t>
            </w:r>
            <w:r w:rsidR="00CC3C17" w:rsidRPr="00AA738D">
              <w:rPr>
                <w:rFonts w:ascii="Times New Roman" w:hAnsi="Times New Roman" w:cs="Times New Roman"/>
                <w:sz w:val="22"/>
                <w:szCs w:val="22"/>
                <w:lang w:val="en-US"/>
              </w:rPr>
              <w:t>2</w:t>
            </w:r>
          </w:p>
        </w:tc>
        <w:tc>
          <w:tcPr>
            <w:tcW w:w="1250" w:type="dxa"/>
            <w:tcBorders>
              <w:top w:val="nil"/>
              <w:left w:val="nil"/>
              <w:bottom w:val="nil"/>
              <w:right w:val="nil"/>
            </w:tcBorders>
            <w:shd w:val="clear" w:color="auto" w:fill="auto"/>
            <w:noWrap/>
            <w:vAlign w:val="center"/>
          </w:tcPr>
          <w:p w14:paraId="4323D3A2" w14:textId="6A41BB32"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tcPr>
          <w:p w14:paraId="507ACC43" w14:textId="72F4A2F6"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[.39</w:t>
            </w:r>
            <w:r w:rsidR="00AC5303" w:rsidRPr="00AA738D">
              <w:rPr>
                <w:rFonts w:ascii="Times New Roman" w:hAnsi="Times New Roman" w:cs="Times New Roman"/>
                <w:sz w:val="22"/>
                <w:szCs w:val="22"/>
                <w:lang w:val="en-US"/>
              </w:rPr>
              <w:t>5</w:t>
            </w:r>
            <w:r w:rsidRPr="00AA738D">
              <w:rPr>
                <w:rFonts w:ascii="Times New Roman" w:hAnsi="Times New Roman" w:cs="Times New Roman"/>
                <w:sz w:val="22"/>
                <w:szCs w:val="22"/>
                <w:lang w:val="en-US"/>
              </w:rPr>
              <w:t>, .87</w:t>
            </w:r>
            <w:r w:rsidR="00AC5303" w:rsidRPr="00AA738D">
              <w:rPr>
                <w:rFonts w:ascii="Times New Roman" w:hAnsi="Times New Roman" w:cs="Times New Roman"/>
                <w:sz w:val="22"/>
                <w:szCs w:val="22"/>
                <w:lang w:val="en-US"/>
              </w:rPr>
              <w:t>3</w:t>
            </w:r>
            <w:r w:rsidRPr="00AA738D">
              <w:rPr>
                <w:rFonts w:ascii="Times New Roman" w:hAnsi="Times New Roman" w:cs="Times New Roman"/>
                <w:sz w:val="22"/>
                <w:szCs w:val="22"/>
                <w:lang w:val="en-US"/>
              </w:rPr>
              <w:t>]</w:t>
            </w:r>
          </w:p>
        </w:tc>
      </w:tr>
      <w:tr w:rsidR="00AA738D" w:rsidRPr="00AA738D" w14:paraId="6D962E85" w14:textId="77777777" w:rsidTr="006D0CAD">
        <w:trPr>
          <w:trHeight w:val="335"/>
        </w:trPr>
        <w:tc>
          <w:tcPr>
            <w:tcW w:w="1897" w:type="dxa"/>
            <w:tcBorders>
              <w:top w:val="nil"/>
              <w:left w:val="nil"/>
              <w:bottom w:val="single" w:sz="8" w:space="0" w:color="auto"/>
              <w:right w:val="nil"/>
            </w:tcBorders>
            <w:shd w:val="clear" w:color="auto" w:fill="auto"/>
            <w:vAlign w:val="center"/>
            <w:hideMark/>
          </w:tcPr>
          <w:p w14:paraId="647F3F2D" w14:textId="2E1C9EB2" w:rsidR="00335120" w:rsidRPr="00AA738D" w:rsidRDefault="00092DB6"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Fixed intercept</w:t>
            </w:r>
            <w:r w:rsidRPr="00AA738D" w:rsidDel="00092DB6">
              <w:rPr>
                <w:rFonts w:ascii="Times New Roman" w:hAnsi="Times New Roman" w:cs="Times New Roman"/>
                <w:sz w:val="22"/>
                <w:szCs w:val="22"/>
                <w:lang w:val="en-US"/>
              </w:rPr>
              <w:t xml:space="preserve"> </w:t>
            </w:r>
          </w:p>
        </w:tc>
        <w:tc>
          <w:tcPr>
            <w:tcW w:w="1080" w:type="dxa"/>
            <w:tcBorders>
              <w:top w:val="nil"/>
              <w:left w:val="nil"/>
              <w:bottom w:val="single" w:sz="8" w:space="0" w:color="auto"/>
              <w:right w:val="nil"/>
            </w:tcBorders>
            <w:shd w:val="clear" w:color="auto" w:fill="auto"/>
            <w:vAlign w:val="center"/>
            <w:hideMark/>
          </w:tcPr>
          <w:p w14:paraId="00A7866E" w14:textId="1B00D8B9"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-11.64</w:t>
            </w:r>
            <w:r w:rsidR="00CC3C17" w:rsidRPr="00AA738D">
              <w:rPr>
                <w:rFonts w:ascii="Times New Roman" w:hAnsi="Times New Roman" w:cs="Times New Roman"/>
                <w:sz w:val="22"/>
                <w:szCs w:val="22"/>
                <w:lang w:val="en-US"/>
              </w:rPr>
              <w:t>4</w:t>
            </w:r>
          </w:p>
        </w:tc>
        <w:tc>
          <w:tcPr>
            <w:tcW w:w="1110" w:type="dxa"/>
            <w:tcBorders>
              <w:top w:val="nil"/>
              <w:left w:val="nil"/>
              <w:bottom w:val="single" w:sz="8" w:space="0" w:color="auto"/>
              <w:right w:val="nil"/>
            </w:tcBorders>
            <w:shd w:val="clear" w:color="auto" w:fill="auto"/>
            <w:vAlign w:val="center"/>
            <w:hideMark/>
          </w:tcPr>
          <w:p w14:paraId="35DCDEB6" w14:textId="0A8704AE"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.676</w:t>
            </w:r>
          </w:p>
        </w:tc>
        <w:tc>
          <w:tcPr>
            <w:tcW w:w="1250" w:type="dxa"/>
            <w:tcBorders>
              <w:top w:val="nil"/>
              <w:left w:val="nil"/>
              <w:bottom w:val="single" w:sz="8" w:space="0" w:color="auto"/>
              <w:right w:val="nil"/>
            </w:tcBorders>
            <w:shd w:val="clear" w:color="auto" w:fill="auto"/>
            <w:noWrap/>
            <w:vAlign w:val="center"/>
            <w:hideMark/>
          </w:tcPr>
          <w:p w14:paraId="7558C129" w14:textId="2996EC97" w:rsidR="00335120" w:rsidRPr="00AA738D" w:rsidRDefault="00AC5303"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Pr="00AA738D">
              <w:rPr>
                <w:rFonts w:ascii="Times New Roman" w:hAnsi="Times New Roman" w:cs="Times New Roman"/>
                <w:sz w:val="22"/>
                <w:szCs w:val="22"/>
                <w:lang w:val="en-US"/>
              </w:rPr>
              <w:t>1</w:t>
            </w:r>
          </w:p>
        </w:tc>
        <w:tc>
          <w:tcPr>
            <w:tcW w:w="4829" w:type="dxa"/>
            <w:gridSpan w:val="3"/>
            <w:tcBorders>
              <w:top w:val="nil"/>
              <w:left w:val="nil"/>
              <w:bottom w:val="single" w:sz="8" w:space="0" w:color="auto"/>
              <w:right w:val="nil"/>
            </w:tcBorders>
            <w:shd w:val="clear" w:color="auto" w:fill="auto"/>
            <w:vAlign w:val="center"/>
            <w:hideMark/>
          </w:tcPr>
          <w:p w14:paraId="68F72D6A" w14:textId="621EA521"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[-12.96</w:t>
            </w:r>
            <w:r w:rsidR="00AC5303"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 -10.31</w:t>
            </w:r>
            <w:r w:rsidR="00AC5303"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w:t>
            </w:r>
          </w:p>
        </w:tc>
      </w:tr>
      <w:tr w:rsidR="00AA738D" w:rsidRPr="00AA738D" w14:paraId="1E7965EE" w14:textId="77777777" w:rsidTr="006D0CAD">
        <w:trPr>
          <w:trHeight w:val="375"/>
        </w:trPr>
        <w:tc>
          <w:tcPr>
            <w:tcW w:w="1897" w:type="dxa"/>
            <w:tcBorders>
              <w:top w:val="nil"/>
              <w:left w:val="nil"/>
              <w:bottom w:val="single" w:sz="4" w:space="0" w:color="auto"/>
              <w:right w:val="nil"/>
            </w:tcBorders>
            <w:shd w:val="clear" w:color="auto" w:fill="auto"/>
            <w:vAlign w:val="center"/>
            <w:hideMark/>
          </w:tcPr>
          <w:p w14:paraId="35839D8D"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Random part</w:t>
            </w:r>
          </w:p>
        </w:tc>
        <w:tc>
          <w:tcPr>
            <w:tcW w:w="1080" w:type="dxa"/>
            <w:tcBorders>
              <w:top w:val="nil"/>
              <w:left w:val="nil"/>
              <w:bottom w:val="single" w:sz="4" w:space="0" w:color="auto"/>
              <w:right w:val="nil"/>
            </w:tcBorders>
            <w:shd w:val="clear" w:color="auto" w:fill="auto"/>
            <w:noWrap/>
            <w:vAlign w:val="center"/>
            <w:hideMark/>
          </w:tcPr>
          <w:p w14:paraId="1540002B"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110" w:type="dxa"/>
            <w:tcBorders>
              <w:top w:val="nil"/>
              <w:left w:val="nil"/>
              <w:bottom w:val="single" w:sz="4" w:space="0" w:color="auto"/>
              <w:right w:val="nil"/>
            </w:tcBorders>
            <w:shd w:val="clear" w:color="auto" w:fill="auto"/>
            <w:noWrap/>
            <w:vAlign w:val="center"/>
            <w:hideMark/>
          </w:tcPr>
          <w:p w14:paraId="53533235"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0" w:type="dxa"/>
            <w:tcBorders>
              <w:top w:val="nil"/>
              <w:left w:val="nil"/>
              <w:bottom w:val="single" w:sz="4" w:space="0" w:color="auto"/>
              <w:right w:val="nil"/>
            </w:tcBorders>
            <w:shd w:val="clear" w:color="auto" w:fill="auto"/>
            <w:noWrap/>
            <w:vAlign w:val="bottom"/>
            <w:hideMark/>
          </w:tcPr>
          <w:p w14:paraId="39BA0B1F"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2905" w:type="dxa"/>
            <w:tcBorders>
              <w:top w:val="nil"/>
              <w:left w:val="nil"/>
              <w:bottom w:val="single" w:sz="4" w:space="0" w:color="auto"/>
              <w:right w:val="nil"/>
            </w:tcBorders>
            <w:shd w:val="clear" w:color="auto" w:fill="auto"/>
            <w:noWrap/>
            <w:vAlign w:val="bottom"/>
            <w:hideMark/>
          </w:tcPr>
          <w:p w14:paraId="3149855F" w14:textId="77777777" w:rsidR="00335120" w:rsidRPr="00AA738D" w:rsidRDefault="00335120" w:rsidP="006D0CAD">
            <w:pPr>
              <w:jc w:val="center"/>
              <w:rPr>
                <w:rFonts w:ascii="Times New Roman" w:hAnsi="Times New Roman" w:cs="Times New Roman"/>
                <w:sz w:val="22"/>
                <w:szCs w:val="22"/>
                <w:lang w:val="en-US"/>
              </w:rPr>
            </w:pPr>
          </w:p>
        </w:tc>
        <w:tc>
          <w:tcPr>
            <w:tcW w:w="672" w:type="dxa"/>
            <w:tcBorders>
              <w:top w:val="nil"/>
              <w:left w:val="nil"/>
              <w:bottom w:val="single" w:sz="4" w:space="0" w:color="auto"/>
              <w:right w:val="nil"/>
            </w:tcBorders>
            <w:shd w:val="clear" w:color="auto" w:fill="auto"/>
            <w:noWrap/>
            <w:vAlign w:val="center"/>
            <w:hideMark/>
          </w:tcPr>
          <w:p w14:paraId="6C8E5092"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vAlign w:val="center"/>
            <w:hideMark/>
          </w:tcPr>
          <w:p w14:paraId="2AB5E0AF"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36F051CC" w14:textId="77777777" w:rsidTr="006D0CAD">
        <w:trPr>
          <w:trHeight w:val="316"/>
        </w:trPr>
        <w:tc>
          <w:tcPr>
            <w:tcW w:w="1897" w:type="dxa"/>
            <w:tcBorders>
              <w:top w:val="nil"/>
              <w:left w:val="nil"/>
              <w:bottom w:val="nil"/>
              <w:right w:val="nil"/>
            </w:tcBorders>
            <w:shd w:val="clear" w:color="auto" w:fill="auto"/>
            <w:vAlign w:val="center"/>
            <w:hideMark/>
          </w:tcPr>
          <w:p w14:paraId="32481276"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A</m:t>
                    </m:r>
                  </m:sub>
                </m:sSub>
              </m:oMath>
            </m:oMathPara>
          </w:p>
        </w:tc>
        <w:tc>
          <w:tcPr>
            <w:tcW w:w="1080" w:type="dxa"/>
            <w:tcBorders>
              <w:top w:val="nil"/>
              <w:left w:val="nil"/>
              <w:bottom w:val="nil"/>
              <w:right w:val="nil"/>
            </w:tcBorders>
            <w:shd w:val="clear" w:color="auto" w:fill="auto"/>
            <w:vAlign w:val="center"/>
            <w:hideMark/>
          </w:tcPr>
          <w:p w14:paraId="11F8F8C9" w14:textId="4CB1C811"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1.23</w:t>
            </w:r>
            <w:r w:rsidR="00CC3C17" w:rsidRPr="00AA738D">
              <w:rPr>
                <w:rFonts w:ascii="Times New Roman" w:hAnsi="Times New Roman" w:cs="Times New Roman"/>
                <w:sz w:val="22"/>
                <w:szCs w:val="22"/>
                <w:lang w:val="en-US"/>
              </w:rPr>
              <w:t>5</w:t>
            </w:r>
          </w:p>
        </w:tc>
        <w:tc>
          <w:tcPr>
            <w:tcW w:w="1110" w:type="dxa"/>
            <w:tcBorders>
              <w:top w:val="nil"/>
              <w:left w:val="nil"/>
              <w:bottom w:val="nil"/>
              <w:right w:val="nil"/>
            </w:tcBorders>
            <w:shd w:val="clear" w:color="auto" w:fill="auto"/>
            <w:vAlign w:val="center"/>
            <w:hideMark/>
          </w:tcPr>
          <w:p w14:paraId="176CE82D" w14:textId="5B550F4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.26</w:t>
            </w:r>
            <w:r w:rsidR="00CC3C17" w:rsidRPr="00AA738D">
              <w:rPr>
                <w:rFonts w:ascii="Times New Roman" w:hAnsi="Times New Roman" w:cs="Times New Roman"/>
                <w:sz w:val="22"/>
                <w:szCs w:val="22"/>
                <w:lang w:val="en-US"/>
              </w:rPr>
              <w:t>8</w:t>
            </w:r>
          </w:p>
        </w:tc>
        <w:tc>
          <w:tcPr>
            <w:tcW w:w="1250" w:type="dxa"/>
            <w:tcBorders>
              <w:top w:val="nil"/>
              <w:left w:val="nil"/>
              <w:bottom w:val="nil"/>
              <w:right w:val="nil"/>
            </w:tcBorders>
            <w:shd w:val="clear" w:color="auto" w:fill="auto"/>
            <w:noWrap/>
            <w:vAlign w:val="bottom"/>
            <w:hideMark/>
          </w:tcPr>
          <w:p w14:paraId="4813BFD1"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38B29AFB" w14:textId="329E8A28"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[.807, 1.88</w:t>
            </w:r>
            <w:r w:rsidR="00AC5303"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w:t>
            </w:r>
          </w:p>
        </w:tc>
      </w:tr>
      <w:tr w:rsidR="00AA738D" w:rsidRPr="00AA738D" w14:paraId="2B9F79F4" w14:textId="77777777" w:rsidTr="006D0CAD">
        <w:trPr>
          <w:trHeight w:val="77"/>
        </w:trPr>
        <w:tc>
          <w:tcPr>
            <w:tcW w:w="1897" w:type="dxa"/>
            <w:tcBorders>
              <w:top w:val="nil"/>
              <w:left w:val="nil"/>
              <w:bottom w:val="nil"/>
              <w:right w:val="nil"/>
            </w:tcBorders>
            <w:shd w:val="clear" w:color="auto" w:fill="auto"/>
            <w:vAlign w:val="center"/>
            <w:hideMark/>
          </w:tcPr>
          <w:p w14:paraId="3C7EC4F1"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E</m:t>
                    </m:r>
                  </m:sub>
                </m:sSub>
              </m:oMath>
            </m:oMathPara>
          </w:p>
        </w:tc>
        <w:tc>
          <w:tcPr>
            <w:tcW w:w="1080" w:type="dxa"/>
            <w:tcBorders>
              <w:top w:val="nil"/>
              <w:left w:val="nil"/>
              <w:bottom w:val="nil"/>
              <w:right w:val="nil"/>
            </w:tcBorders>
            <w:shd w:val="clear" w:color="auto" w:fill="auto"/>
            <w:noWrap/>
            <w:vAlign w:val="center"/>
            <w:hideMark/>
          </w:tcPr>
          <w:p w14:paraId="6656367A" w14:textId="7C96A93C"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w:t>
            </w:r>
            <w:r w:rsidR="00CC3C17" w:rsidRPr="00AA738D">
              <w:rPr>
                <w:rFonts w:ascii="Times New Roman" w:hAnsi="Times New Roman" w:cs="Times New Roman"/>
                <w:sz w:val="22"/>
                <w:szCs w:val="22"/>
                <w:lang w:val="en-US"/>
              </w:rPr>
              <w:t>20</w:t>
            </w:r>
          </w:p>
        </w:tc>
        <w:tc>
          <w:tcPr>
            <w:tcW w:w="1110" w:type="dxa"/>
            <w:tcBorders>
              <w:top w:val="nil"/>
              <w:left w:val="nil"/>
              <w:bottom w:val="nil"/>
              <w:right w:val="nil"/>
            </w:tcBorders>
            <w:shd w:val="clear" w:color="auto" w:fill="auto"/>
            <w:noWrap/>
            <w:vAlign w:val="center"/>
            <w:hideMark/>
          </w:tcPr>
          <w:p w14:paraId="1474D9DD" w14:textId="3AE7501E"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.299</w:t>
            </w:r>
          </w:p>
        </w:tc>
        <w:tc>
          <w:tcPr>
            <w:tcW w:w="1250" w:type="dxa"/>
            <w:tcBorders>
              <w:top w:val="nil"/>
              <w:left w:val="nil"/>
              <w:bottom w:val="nil"/>
              <w:right w:val="nil"/>
            </w:tcBorders>
            <w:shd w:val="clear" w:color="auto" w:fill="auto"/>
            <w:noWrap/>
            <w:vAlign w:val="bottom"/>
            <w:hideMark/>
          </w:tcPr>
          <w:p w14:paraId="61D6AA35"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034C9291" w14:textId="394AEB4C"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[.754, 1.97</w:t>
            </w:r>
            <w:r w:rsidR="00AC5303" w:rsidRPr="00AA738D">
              <w:rPr>
                <w:rFonts w:ascii="Times New Roman" w:hAnsi="Times New Roman" w:cs="Times New Roman"/>
                <w:sz w:val="22"/>
                <w:szCs w:val="22"/>
                <w:lang w:val="en-US"/>
              </w:rPr>
              <w:t>3</w:t>
            </w:r>
            <w:r w:rsidRPr="00AA738D">
              <w:rPr>
                <w:rFonts w:ascii="Times New Roman" w:hAnsi="Times New Roman" w:cs="Times New Roman"/>
                <w:sz w:val="22"/>
                <w:szCs w:val="22"/>
                <w:lang w:val="en-US"/>
              </w:rPr>
              <w:t>]</w:t>
            </w:r>
          </w:p>
        </w:tc>
      </w:tr>
    </w:tbl>
    <w:p w14:paraId="20163EBE" w14:textId="77777777" w:rsidR="00335120" w:rsidRPr="00AA738D" w:rsidRDefault="00335120" w:rsidP="00335120">
      <w:pPr>
        <w:spacing w:line="360" w:lineRule="auto"/>
        <w:rPr>
          <w:rFonts w:ascii="Times New Roman" w:hAnsi="Times New Roman" w:cs="Times New Roman"/>
          <w:i/>
          <w:iCs/>
          <w:sz w:val="22"/>
          <w:szCs w:val="22"/>
          <w:lang w:val="en-US"/>
        </w:rPr>
      </w:pPr>
    </w:p>
    <w:p w14:paraId="1071B2E1" w14:textId="0A31A166" w:rsidR="00335120" w:rsidRPr="00AA738D" w:rsidRDefault="00335120" w:rsidP="00335120">
      <w:pPr>
        <w:spacing w:line="360" w:lineRule="auto"/>
        <w:rPr>
          <w:rFonts w:ascii="Times New Roman" w:hAnsi="Times New Roman" w:cs="Times New Roman"/>
          <w:sz w:val="22"/>
          <w:szCs w:val="22"/>
          <w:lang w:val="en-US"/>
        </w:rPr>
      </w:pPr>
      <w:r w:rsidRPr="00AA738D">
        <w:rPr>
          <w:rFonts w:ascii="Times New Roman" w:hAnsi="Times New Roman" w:cs="Times New Roman"/>
          <w:sz w:val="22"/>
          <w:szCs w:val="22"/>
          <w:lang w:val="en-US"/>
        </w:rPr>
        <w:t>AIC = 8788.451 (</w:t>
      </w:r>
      <w:proofErr w:type="spellStart"/>
      <w:r w:rsidRPr="00AA738D">
        <w:rPr>
          <w:rFonts w:ascii="Times New Roman" w:hAnsi="Times New Roman" w:cs="Times New Roman"/>
          <w:sz w:val="22"/>
          <w:szCs w:val="22"/>
          <w:lang w:val="en-US"/>
        </w:rPr>
        <w:t>df</w:t>
      </w:r>
      <w:proofErr w:type="spellEnd"/>
      <w:r w:rsidRPr="00AA738D">
        <w:rPr>
          <w:rFonts w:ascii="Times New Roman" w:hAnsi="Times New Roman" w:cs="Times New Roman"/>
          <w:sz w:val="22"/>
          <w:szCs w:val="22"/>
          <w:lang w:val="en-US"/>
        </w:rPr>
        <w:t xml:space="preserve"> = 11)</w:t>
      </w:r>
    </w:p>
    <w:p w14:paraId="276FA1C2" w14:textId="4C4F05AF" w:rsidR="006154E9" w:rsidRPr="00AA738D" w:rsidRDefault="006154E9" w:rsidP="00335120">
      <w:pPr>
        <w:spacing w:line="360" w:lineRule="auto"/>
        <w:rPr>
          <w:rFonts w:ascii="Times New Roman" w:hAnsi="Times New Roman" w:cs="Times New Roman"/>
          <w:sz w:val="22"/>
          <w:szCs w:val="22"/>
          <w:lang w:val="en-US"/>
        </w:rPr>
      </w:pPr>
      <w:proofErr w:type="spellStart"/>
      <w:r w:rsidRPr="00AA738D">
        <w:rPr>
          <w:rFonts w:ascii="Times New Roman" w:hAnsi="Times New Roman" w:cs="Times New Roman"/>
          <w:sz w:val="22"/>
          <w:szCs w:val="22"/>
          <w:vertAlign w:val="superscript"/>
          <w:lang w:val="en-US"/>
        </w:rPr>
        <w:t>a</w:t>
      </w:r>
      <w:r w:rsidRPr="00AA738D">
        <w:rPr>
          <w:rFonts w:ascii="Times New Roman" w:hAnsi="Times New Roman" w:cs="Times New Roman"/>
          <w:sz w:val="22"/>
          <w:szCs w:val="22"/>
          <w:lang w:val="en-US"/>
        </w:rPr>
        <w:t>Estimated</w:t>
      </w:r>
      <w:proofErr w:type="spellEnd"/>
      <w:r w:rsidRPr="00AA738D">
        <w:rPr>
          <w:rFonts w:ascii="Times New Roman" w:hAnsi="Times New Roman" w:cs="Times New Roman"/>
          <w:sz w:val="22"/>
          <w:szCs w:val="22"/>
          <w:lang w:val="en-US"/>
        </w:rPr>
        <w:t xml:space="preserve"> as single parameter.</w:t>
      </w:r>
    </w:p>
    <w:p w14:paraId="74E80986" w14:textId="77777777" w:rsidR="00335120" w:rsidRPr="00AA738D" w:rsidRDefault="00335120" w:rsidP="00335120">
      <w:pPr>
        <w:spacing w:line="360" w:lineRule="auto"/>
        <w:rPr>
          <w:rFonts w:ascii="Times New Roman" w:hAnsi="Times New Roman" w:cs="Times New Roman"/>
          <w:sz w:val="22"/>
          <w:szCs w:val="22"/>
          <w:lang w:val="en-US"/>
        </w:rPr>
      </w:pPr>
    </w:p>
    <w:p w14:paraId="04C244D5" w14:textId="77777777" w:rsidR="00335120" w:rsidRPr="00AA738D" w:rsidRDefault="00335120" w:rsidP="00335120">
      <w:pPr>
        <w:spacing w:line="360" w:lineRule="auto"/>
        <w:rPr>
          <w:rFonts w:ascii="Times New Roman" w:hAnsi="Times New Roman" w:cs="Times New Roman"/>
          <w:sz w:val="22"/>
          <w:szCs w:val="22"/>
          <w:lang w:val="en-US"/>
        </w:rPr>
      </w:pPr>
    </w:p>
    <w:p w14:paraId="2BD74944" w14:textId="77777777" w:rsidR="00335120" w:rsidRPr="00AA738D" w:rsidRDefault="00335120" w:rsidP="00335120">
      <w:pPr>
        <w:spacing w:line="360" w:lineRule="auto"/>
        <w:rPr>
          <w:rFonts w:ascii="Times New Roman" w:hAnsi="Times New Roman" w:cs="Times New Roman"/>
          <w:sz w:val="22"/>
          <w:szCs w:val="22"/>
          <w:lang w:val="en-US"/>
        </w:rPr>
      </w:pPr>
    </w:p>
    <w:p w14:paraId="7D227DC8" w14:textId="77777777" w:rsidR="00335120" w:rsidRPr="00AA738D" w:rsidRDefault="00335120" w:rsidP="00335120">
      <w:pPr>
        <w:spacing w:line="360" w:lineRule="auto"/>
        <w:rPr>
          <w:rFonts w:ascii="Times New Roman" w:hAnsi="Times New Roman" w:cs="Times New Roman"/>
          <w:sz w:val="22"/>
          <w:szCs w:val="22"/>
          <w:lang w:val="en-US"/>
        </w:rPr>
      </w:pPr>
    </w:p>
    <w:p w14:paraId="2F4057D2" w14:textId="77777777" w:rsidR="00335120" w:rsidRPr="00AA738D" w:rsidRDefault="00335120" w:rsidP="00335120">
      <w:pPr>
        <w:spacing w:line="360" w:lineRule="auto"/>
        <w:rPr>
          <w:rFonts w:ascii="Times New Roman" w:hAnsi="Times New Roman" w:cs="Times New Roman"/>
          <w:sz w:val="22"/>
          <w:szCs w:val="22"/>
          <w:lang w:val="en-US"/>
        </w:rPr>
      </w:pPr>
    </w:p>
    <w:p w14:paraId="5275D7FF" w14:textId="77777777" w:rsidR="00335120" w:rsidRPr="00AA738D" w:rsidRDefault="00335120" w:rsidP="00335120">
      <w:pPr>
        <w:spacing w:line="360" w:lineRule="auto"/>
        <w:rPr>
          <w:rFonts w:ascii="Times New Roman" w:hAnsi="Times New Roman" w:cs="Times New Roman"/>
          <w:sz w:val="22"/>
          <w:szCs w:val="22"/>
          <w:lang w:val="en-US"/>
        </w:rPr>
      </w:pPr>
    </w:p>
    <w:p w14:paraId="0DEC4122" w14:textId="77777777" w:rsidR="00335120" w:rsidRPr="00AA738D" w:rsidRDefault="00335120" w:rsidP="00335120">
      <w:pPr>
        <w:spacing w:line="360" w:lineRule="auto"/>
        <w:rPr>
          <w:rFonts w:ascii="Times New Roman" w:hAnsi="Times New Roman" w:cs="Times New Roman"/>
          <w:sz w:val="22"/>
          <w:szCs w:val="22"/>
          <w:lang w:val="en-US"/>
        </w:rPr>
      </w:pPr>
    </w:p>
    <w:p w14:paraId="3B8B739E" w14:textId="77777777" w:rsidR="00335120" w:rsidRPr="00AA738D" w:rsidRDefault="00335120" w:rsidP="00335120">
      <w:pPr>
        <w:spacing w:line="360" w:lineRule="auto"/>
        <w:rPr>
          <w:rFonts w:ascii="Times New Roman" w:hAnsi="Times New Roman" w:cs="Times New Roman"/>
          <w:sz w:val="22"/>
          <w:szCs w:val="22"/>
          <w:lang w:val="en-US"/>
        </w:rPr>
      </w:pPr>
    </w:p>
    <w:p w14:paraId="724AE244" w14:textId="77777777" w:rsidR="00871E43" w:rsidRPr="00AA738D" w:rsidRDefault="00871E43" w:rsidP="00335120">
      <w:pPr>
        <w:spacing w:line="480" w:lineRule="auto"/>
        <w:rPr>
          <w:rFonts w:ascii="Times New Roman" w:hAnsi="Times New Roman" w:cs="Times New Roman"/>
          <w:sz w:val="22"/>
          <w:szCs w:val="22"/>
          <w:lang w:val="en-US"/>
        </w:rPr>
      </w:pPr>
    </w:p>
    <w:p w14:paraId="09CC8171" w14:textId="33A8EAF7" w:rsidR="00335120" w:rsidRPr="00AA738D" w:rsidRDefault="00335120" w:rsidP="00335120">
      <w:pPr>
        <w:spacing w:line="480" w:lineRule="auto"/>
        <w:rPr>
          <w:rFonts w:ascii="Times New Roman" w:hAnsi="Times New Roman" w:cs="Times New Roman"/>
          <w:b/>
          <w:bCs/>
          <w:sz w:val="22"/>
          <w:szCs w:val="22"/>
          <w:lang w:val="en-US"/>
        </w:rPr>
      </w:pPr>
      <w:r w:rsidRPr="00AA738D">
        <w:rPr>
          <w:rFonts w:ascii="Times New Roman" w:hAnsi="Times New Roman" w:cs="Times New Roman"/>
          <w:b/>
          <w:bCs/>
          <w:sz w:val="22"/>
          <w:szCs w:val="22"/>
          <w:lang w:val="en-US"/>
        </w:rPr>
        <w:lastRenderedPageBreak/>
        <w:t>Table A2</w:t>
      </w:r>
    </w:p>
    <w:p w14:paraId="058E7903" w14:textId="77777777" w:rsidR="00335120" w:rsidRPr="00AA738D" w:rsidRDefault="00335120" w:rsidP="00335120">
      <w:pPr>
        <w:spacing w:line="360" w:lineRule="auto"/>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 xml:space="preserve">AE Model With Violent SLEs and Only Threshold </w:t>
      </w:r>
      <w:proofErr w:type="spellStart"/>
      <w:r w:rsidRPr="00AA738D">
        <w:rPr>
          <w:rFonts w:ascii="Times New Roman" w:hAnsi="Times New Roman" w:cs="Times New Roman"/>
          <w:i/>
          <w:iCs/>
          <w:sz w:val="22"/>
          <w:szCs w:val="22"/>
          <w:lang w:val="en-US"/>
        </w:rPr>
        <w:t>MDE</w:t>
      </w:r>
      <w:proofErr w:type="spellEnd"/>
      <w:r w:rsidRPr="00AA738D">
        <w:rPr>
          <w:rFonts w:ascii="Times New Roman" w:hAnsi="Times New Roman" w:cs="Times New Roman"/>
          <w:i/>
          <w:iCs/>
          <w:sz w:val="22"/>
          <w:szCs w:val="22"/>
          <w:lang w:val="en-US"/>
        </w:rPr>
        <w:t xml:space="preserve"> Diagnoses</w:t>
      </w:r>
    </w:p>
    <w:tbl>
      <w:tblPr>
        <w:tblW w:w="10043" w:type="dxa"/>
        <w:tblLook w:val="04A0" w:firstRow="1" w:lastRow="0" w:firstColumn="1" w:lastColumn="0" w:noHBand="0" w:noVBand="1"/>
      </w:tblPr>
      <w:tblGrid>
        <w:gridCol w:w="1774"/>
        <w:gridCol w:w="1061"/>
        <w:gridCol w:w="1129"/>
        <w:gridCol w:w="1250"/>
        <w:gridCol w:w="2905"/>
        <w:gridCol w:w="672"/>
        <w:gridCol w:w="1252"/>
      </w:tblGrid>
      <w:tr w:rsidR="00AA738D" w:rsidRPr="00AA738D" w14:paraId="0F9FDEEC" w14:textId="77777777" w:rsidTr="006D0CAD">
        <w:trPr>
          <w:trHeight w:val="356"/>
        </w:trPr>
        <w:tc>
          <w:tcPr>
            <w:tcW w:w="1774" w:type="dxa"/>
            <w:tcBorders>
              <w:top w:val="nil"/>
              <w:left w:val="nil"/>
              <w:bottom w:val="single" w:sz="4" w:space="0" w:color="auto"/>
              <w:right w:val="nil"/>
            </w:tcBorders>
            <w:shd w:val="clear" w:color="auto" w:fill="auto"/>
            <w:vAlign w:val="center"/>
            <w:hideMark/>
          </w:tcPr>
          <w:p w14:paraId="45C51AF7"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 Fixed part</w:t>
            </w:r>
          </w:p>
        </w:tc>
        <w:tc>
          <w:tcPr>
            <w:tcW w:w="1061" w:type="dxa"/>
            <w:tcBorders>
              <w:top w:val="nil"/>
              <w:left w:val="nil"/>
              <w:bottom w:val="single" w:sz="4" w:space="0" w:color="auto"/>
              <w:right w:val="nil"/>
            </w:tcBorders>
            <w:shd w:val="clear" w:color="auto" w:fill="auto"/>
            <w:vAlign w:val="center"/>
            <w:hideMark/>
          </w:tcPr>
          <w:p w14:paraId="35A85C62"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β</w:t>
            </w:r>
          </w:p>
        </w:tc>
        <w:tc>
          <w:tcPr>
            <w:tcW w:w="1129" w:type="dxa"/>
            <w:tcBorders>
              <w:top w:val="nil"/>
              <w:left w:val="nil"/>
              <w:bottom w:val="single" w:sz="4" w:space="0" w:color="auto"/>
              <w:right w:val="nil"/>
            </w:tcBorders>
            <w:shd w:val="clear" w:color="auto" w:fill="auto"/>
            <w:vAlign w:val="center"/>
            <w:hideMark/>
          </w:tcPr>
          <w:p w14:paraId="16ECEF99" w14:textId="77777777" w:rsidR="00335120" w:rsidRPr="00AA738D" w:rsidRDefault="00335120" w:rsidP="006D0CAD">
            <w:pPr>
              <w:jc w:val="center"/>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SE</w:t>
            </w:r>
          </w:p>
        </w:tc>
        <w:tc>
          <w:tcPr>
            <w:tcW w:w="1250" w:type="dxa"/>
            <w:tcBorders>
              <w:top w:val="nil"/>
              <w:left w:val="nil"/>
              <w:bottom w:val="single" w:sz="4" w:space="0" w:color="auto"/>
              <w:right w:val="nil"/>
            </w:tcBorders>
            <w:shd w:val="clear" w:color="auto" w:fill="auto"/>
            <w:vAlign w:val="center"/>
            <w:hideMark/>
          </w:tcPr>
          <w:p w14:paraId="1AB08BD0"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p</w:t>
            </w:r>
          </w:p>
        </w:tc>
        <w:tc>
          <w:tcPr>
            <w:tcW w:w="2905" w:type="dxa"/>
            <w:tcBorders>
              <w:top w:val="nil"/>
              <w:left w:val="nil"/>
              <w:bottom w:val="single" w:sz="4" w:space="0" w:color="auto"/>
              <w:right w:val="nil"/>
            </w:tcBorders>
            <w:shd w:val="clear" w:color="auto" w:fill="auto"/>
            <w:noWrap/>
            <w:vAlign w:val="center"/>
            <w:hideMark/>
          </w:tcPr>
          <w:p w14:paraId="01F06C21"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95% Confidence Interval</w:t>
            </w:r>
          </w:p>
        </w:tc>
        <w:tc>
          <w:tcPr>
            <w:tcW w:w="672" w:type="dxa"/>
            <w:tcBorders>
              <w:top w:val="nil"/>
              <w:left w:val="nil"/>
              <w:bottom w:val="single" w:sz="4" w:space="0" w:color="auto"/>
              <w:right w:val="nil"/>
            </w:tcBorders>
            <w:shd w:val="clear" w:color="auto" w:fill="auto"/>
            <w:noWrap/>
            <w:vAlign w:val="center"/>
            <w:hideMark/>
          </w:tcPr>
          <w:p w14:paraId="7F70DEFD"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noWrap/>
            <w:vAlign w:val="center"/>
            <w:hideMark/>
          </w:tcPr>
          <w:p w14:paraId="2827882D"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4433E39A" w14:textId="77777777" w:rsidTr="006D0CAD">
        <w:trPr>
          <w:trHeight w:val="316"/>
        </w:trPr>
        <w:tc>
          <w:tcPr>
            <w:tcW w:w="1774" w:type="dxa"/>
            <w:tcBorders>
              <w:top w:val="nil"/>
              <w:left w:val="nil"/>
              <w:bottom w:val="nil"/>
              <w:right w:val="nil"/>
            </w:tcBorders>
            <w:shd w:val="clear" w:color="auto" w:fill="auto"/>
            <w:vAlign w:val="center"/>
          </w:tcPr>
          <w:p w14:paraId="0337BC89" w14:textId="5F4D1846" w:rsidR="00335120" w:rsidRPr="00AA738D" w:rsidRDefault="00F72DF5"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Violent</w:t>
            </w:r>
            <w:r w:rsidR="007F36C1" w:rsidRPr="00AA738D">
              <w:rPr>
                <w:rFonts w:ascii="Times New Roman" w:hAnsi="Times New Roman" w:cs="Times New Roman"/>
                <w:sz w:val="22"/>
                <w:szCs w:val="22"/>
                <w:lang w:val="en-US"/>
              </w:rPr>
              <w:t xml:space="preserve"> SLE [cluster mean]</w:t>
            </w:r>
          </w:p>
        </w:tc>
        <w:tc>
          <w:tcPr>
            <w:tcW w:w="1061" w:type="dxa"/>
            <w:tcBorders>
              <w:top w:val="nil"/>
              <w:left w:val="nil"/>
              <w:bottom w:val="nil"/>
              <w:right w:val="nil"/>
            </w:tcBorders>
            <w:shd w:val="clear" w:color="auto" w:fill="auto"/>
            <w:vAlign w:val="center"/>
          </w:tcPr>
          <w:p w14:paraId="0C487B1C" w14:textId="7A4E4228"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.5</w:t>
            </w:r>
            <w:r w:rsidR="00A72985">
              <w:rPr>
                <w:rFonts w:ascii="Times New Roman" w:hAnsi="Times New Roman" w:cs="Times New Roman"/>
                <w:sz w:val="22"/>
                <w:szCs w:val="22"/>
                <w:lang w:val="en-US"/>
              </w:rPr>
              <w:t>69</w:t>
            </w:r>
          </w:p>
        </w:tc>
        <w:tc>
          <w:tcPr>
            <w:tcW w:w="1129" w:type="dxa"/>
            <w:tcBorders>
              <w:top w:val="nil"/>
              <w:left w:val="nil"/>
              <w:bottom w:val="nil"/>
              <w:right w:val="nil"/>
            </w:tcBorders>
            <w:shd w:val="clear" w:color="auto" w:fill="auto"/>
            <w:vAlign w:val="center"/>
          </w:tcPr>
          <w:p w14:paraId="53A7A283" w14:textId="2FB1D2FB"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.109</w:t>
            </w:r>
          </w:p>
        </w:tc>
        <w:tc>
          <w:tcPr>
            <w:tcW w:w="1250" w:type="dxa"/>
            <w:tcBorders>
              <w:top w:val="nil"/>
              <w:left w:val="nil"/>
              <w:bottom w:val="nil"/>
              <w:right w:val="nil"/>
            </w:tcBorders>
            <w:shd w:val="clear" w:color="auto" w:fill="auto"/>
            <w:noWrap/>
            <w:vAlign w:val="center"/>
          </w:tcPr>
          <w:p w14:paraId="6112550B" w14:textId="622DBAEE" w:rsidR="00335120" w:rsidRPr="00AA738D" w:rsidRDefault="002C0298"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w:t>
            </w:r>
            <w:r w:rsidR="00335120" w:rsidRPr="00AA738D">
              <w:rPr>
                <w:rFonts w:ascii="Times New Roman" w:hAnsi="Times New Roman" w:cs="Times New Roman"/>
                <w:sz w:val="22"/>
                <w:szCs w:val="22"/>
                <w:lang w:val="en-US"/>
              </w:rPr>
              <w:t>.00</w:t>
            </w:r>
            <w:r w:rsidR="001F4625" w:rsidRPr="00AA738D">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tcPr>
          <w:p w14:paraId="17557345" w14:textId="4DBFF730"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[.355 .78</w:t>
            </w:r>
            <w:r w:rsidR="0069081E" w:rsidRPr="00AA738D">
              <w:rPr>
                <w:rFonts w:ascii="Times New Roman" w:hAnsi="Times New Roman" w:cs="Times New Roman"/>
                <w:sz w:val="22"/>
                <w:szCs w:val="22"/>
                <w:lang w:val="en-US"/>
              </w:rPr>
              <w:t>4</w:t>
            </w:r>
            <w:r w:rsidRPr="00AA738D">
              <w:rPr>
                <w:rFonts w:ascii="Times New Roman" w:hAnsi="Times New Roman" w:cs="Times New Roman"/>
                <w:sz w:val="22"/>
                <w:szCs w:val="22"/>
                <w:lang w:val="en-US"/>
              </w:rPr>
              <w:t>]</w:t>
            </w:r>
          </w:p>
        </w:tc>
      </w:tr>
      <w:tr w:rsidR="00AA738D" w:rsidRPr="00AA738D" w14:paraId="7258AC35" w14:textId="77777777" w:rsidTr="006D0CAD">
        <w:trPr>
          <w:trHeight w:val="316"/>
        </w:trPr>
        <w:tc>
          <w:tcPr>
            <w:tcW w:w="1774" w:type="dxa"/>
            <w:tcBorders>
              <w:top w:val="nil"/>
              <w:left w:val="nil"/>
              <w:bottom w:val="nil"/>
              <w:right w:val="nil"/>
            </w:tcBorders>
            <w:shd w:val="clear" w:color="auto" w:fill="auto"/>
            <w:vAlign w:val="center"/>
          </w:tcPr>
          <w:p w14:paraId="15AF5401" w14:textId="07F4EDA3" w:rsidR="00335120" w:rsidRPr="00AA738D" w:rsidRDefault="007F36C1"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Violent SLE [cluster mean] * dizygotic</w:t>
            </w:r>
          </w:p>
        </w:tc>
        <w:tc>
          <w:tcPr>
            <w:tcW w:w="1061" w:type="dxa"/>
            <w:tcBorders>
              <w:top w:val="nil"/>
              <w:left w:val="nil"/>
              <w:bottom w:val="nil"/>
              <w:right w:val="nil"/>
            </w:tcBorders>
            <w:shd w:val="clear" w:color="auto" w:fill="auto"/>
            <w:vAlign w:val="center"/>
          </w:tcPr>
          <w:p w14:paraId="023661AA" w14:textId="04B964DC"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-.014</w:t>
            </w:r>
            <w:r w:rsidR="007F36C1" w:rsidRPr="00AA738D">
              <w:rPr>
                <w:rFonts w:ascii="Times New Roman" w:hAnsi="Times New Roman" w:cs="Times New Roman"/>
                <w:sz w:val="22"/>
                <w:szCs w:val="22"/>
                <w:vertAlign w:val="superscript"/>
                <w:lang w:val="en-US"/>
              </w:rPr>
              <w:t>a</w:t>
            </w:r>
          </w:p>
        </w:tc>
        <w:tc>
          <w:tcPr>
            <w:tcW w:w="1129" w:type="dxa"/>
            <w:tcBorders>
              <w:top w:val="nil"/>
              <w:left w:val="nil"/>
              <w:bottom w:val="nil"/>
              <w:right w:val="nil"/>
            </w:tcBorders>
            <w:shd w:val="clear" w:color="auto" w:fill="auto"/>
            <w:vAlign w:val="center"/>
          </w:tcPr>
          <w:p w14:paraId="7B4D6C2E" w14:textId="78C7C6F4"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.130</w:t>
            </w:r>
          </w:p>
        </w:tc>
        <w:tc>
          <w:tcPr>
            <w:tcW w:w="1250" w:type="dxa"/>
            <w:tcBorders>
              <w:top w:val="nil"/>
              <w:left w:val="nil"/>
              <w:bottom w:val="nil"/>
              <w:right w:val="nil"/>
            </w:tcBorders>
            <w:shd w:val="clear" w:color="auto" w:fill="auto"/>
            <w:noWrap/>
            <w:vAlign w:val="center"/>
          </w:tcPr>
          <w:p w14:paraId="643C0E1B" w14:textId="23287A93"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.914</w:t>
            </w:r>
          </w:p>
        </w:tc>
        <w:tc>
          <w:tcPr>
            <w:tcW w:w="4829" w:type="dxa"/>
            <w:gridSpan w:val="3"/>
            <w:tcBorders>
              <w:top w:val="nil"/>
              <w:left w:val="nil"/>
              <w:bottom w:val="nil"/>
              <w:right w:val="nil"/>
            </w:tcBorders>
            <w:shd w:val="clear" w:color="auto" w:fill="auto"/>
            <w:vAlign w:val="center"/>
          </w:tcPr>
          <w:p w14:paraId="6EF61A37" w14:textId="2D0970EA"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[-.269, .24</w:t>
            </w:r>
            <w:r w:rsidR="0069081E" w:rsidRPr="00AA738D">
              <w:rPr>
                <w:rFonts w:ascii="Times New Roman" w:hAnsi="Times New Roman" w:cs="Times New Roman"/>
                <w:sz w:val="22"/>
                <w:szCs w:val="22"/>
                <w:lang w:val="en-US"/>
              </w:rPr>
              <w:t>1</w:t>
            </w:r>
            <w:r w:rsidRPr="00AA738D">
              <w:rPr>
                <w:rFonts w:ascii="Times New Roman" w:hAnsi="Times New Roman" w:cs="Times New Roman"/>
                <w:sz w:val="22"/>
                <w:szCs w:val="22"/>
                <w:lang w:val="en-US"/>
              </w:rPr>
              <w:t>]</w:t>
            </w:r>
          </w:p>
        </w:tc>
      </w:tr>
      <w:tr w:rsidR="00AA738D" w:rsidRPr="00AA738D" w14:paraId="7E31E1B3" w14:textId="77777777" w:rsidTr="006D0CAD">
        <w:trPr>
          <w:trHeight w:val="316"/>
        </w:trPr>
        <w:tc>
          <w:tcPr>
            <w:tcW w:w="1774" w:type="dxa"/>
            <w:tcBorders>
              <w:top w:val="nil"/>
              <w:left w:val="nil"/>
              <w:bottom w:val="nil"/>
              <w:right w:val="nil"/>
            </w:tcBorders>
            <w:shd w:val="clear" w:color="auto" w:fill="auto"/>
            <w:vAlign w:val="center"/>
          </w:tcPr>
          <w:p w14:paraId="4ED373C0" w14:textId="27700F11" w:rsidR="00335120" w:rsidRPr="00AA738D" w:rsidRDefault="007F36C1"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Violent SLE [cluster mean centered]</w:t>
            </w:r>
          </w:p>
        </w:tc>
        <w:tc>
          <w:tcPr>
            <w:tcW w:w="1061" w:type="dxa"/>
            <w:tcBorders>
              <w:top w:val="nil"/>
              <w:left w:val="nil"/>
              <w:bottom w:val="nil"/>
              <w:right w:val="nil"/>
            </w:tcBorders>
            <w:shd w:val="clear" w:color="auto" w:fill="auto"/>
            <w:vAlign w:val="center"/>
          </w:tcPr>
          <w:p w14:paraId="210C6864" w14:textId="5E3D96F3"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.32</w:t>
            </w:r>
            <w:r w:rsidR="002C0298" w:rsidRPr="00AA738D">
              <w:rPr>
                <w:rFonts w:ascii="Times New Roman" w:hAnsi="Times New Roman" w:cs="Times New Roman"/>
                <w:sz w:val="22"/>
                <w:szCs w:val="22"/>
                <w:lang w:val="en-US"/>
              </w:rPr>
              <w:t>8</w:t>
            </w:r>
          </w:p>
        </w:tc>
        <w:tc>
          <w:tcPr>
            <w:tcW w:w="1129" w:type="dxa"/>
            <w:tcBorders>
              <w:top w:val="nil"/>
              <w:left w:val="nil"/>
              <w:bottom w:val="nil"/>
              <w:right w:val="nil"/>
            </w:tcBorders>
            <w:shd w:val="clear" w:color="auto" w:fill="auto"/>
            <w:vAlign w:val="center"/>
          </w:tcPr>
          <w:p w14:paraId="740D7D6C" w14:textId="7BD4CF3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.155</w:t>
            </w:r>
          </w:p>
        </w:tc>
        <w:tc>
          <w:tcPr>
            <w:tcW w:w="1250" w:type="dxa"/>
            <w:tcBorders>
              <w:top w:val="nil"/>
              <w:left w:val="nil"/>
              <w:bottom w:val="nil"/>
              <w:right w:val="nil"/>
            </w:tcBorders>
            <w:shd w:val="clear" w:color="auto" w:fill="auto"/>
            <w:noWrap/>
            <w:vAlign w:val="center"/>
          </w:tcPr>
          <w:p w14:paraId="449181CF" w14:textId="2E1ED3F1"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.035</w:t>
            </w:r>
          </w:p>
        </w:tc>
        <w:tc>
          <w:tcPr>
            <w:tcW w:w="4829" w:type="dxa"/>
            <w:gridSpan w:val="3"/>
            <w:tcBorders>
              <w:top w:val="nil"/>
              <w:left w:val="nil"/>
              <w:bottom w:val="nil"/>
              <w:right w:val="nil"/>
            </w:tcBorders>
            <w:shd w:val="clear" w:color="auto" w:fill="auto"/>
            <w:vAlign w:val="center"/>
          </w:tcPr>
          <w:p w14:paraId="1D2DB97E" w14:textId="20E4298B"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[.023, .632]</w:t>
            </w:r>
          </w:p>
        </w:tc>
      </w:tr>
      <w:tr w:rsidR="00AA738D" w:rsidRPr="00AA738D" w14:paraId="09467015" w14:textId="77777777" w:rsidTr="006D0CAD">
        <w:trPr>
          <w:trHeight w:val="316"/>
        </w:trPr>
        <w:tc>
          <w:tcPr>
            <w:tcW w:w="1774" w:type="dxa"/>
            <w:tcBorders>
              <w:top w:val="nil"/>
              <w:left w:val="nil"/>
              <w:bottom w:val="nil"/>
              <w:right w:val="nil"/>
            </w:tcBorders>
            <w:shd w:val="clear" w:color="auto" w:fill="auto"/>
            <w:vAlign w:val="center"/>
          </w:tcPr>
          <w:p w14:paraId="5AAC8271" w14:textId="3BFB5417" w:rsidR="00335120" w:rsidRPr="00AA738D" w:rsidRDefault="007F36C1"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Violent SLE [cluster mean centered] * dizygotic</w:t>
            </w:r>
          </w:p>
        </w:tc>
        <w:tc>
          <w:tcPr>
            <w:tcW w:w="1061" w:type="dxa"/>
            <w:tcBorders>
              <w:top w:val="nil"/>
              <w:left w:val="nil"/>
              <w:bottom w:val="nil"/>
              <w:right w:val="nil"/>
            </w:tcBorders>
            <w:shd w:val="clear" w:color="auto" w:fill="auto"/>
            <w:vAlign w:val="center"/>
          </w:tcPr>
          <w:p w14:paraId="271510FA" w14:textId="166213D9"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.014</w:t>
            </w:r>
            <w:r w:rsidR="007F36C1" w:rsidRPr="00AA738D">
              <w:rPr>
                <w:rFonts w:ascii="Times New Roman" w:hAnsi="Times New Roman" w:cs="Times New Roman"/>
                <w:sz w:val="22"/>
                <w:szCs w:val="22"/>
                <w:vertAlign w:val="superscript"/>
                <w:lang w:val="en-US"/>
              </w:rPr>
              <w:t>a</w:t>
            </w:r>
          </w:p>
        </w:tc>
        <w:tc>
          <w:tcPr>
            <w:tcW w:w="1129" w:type="dxa"/>
            <w:tcBorders>
              <w:top w:val="nil"/>
              <w:left w:val="nil"/>
              <w:bottom w:val="nil"/>
              <w:right w:val="nil"/>
            </w:tcBorders>
            <w:shd w:val="clear" w:color="auto" w:fill="auto"/>
            <w:vAlign w:val="center"/>
          </w:tcPr>
          <w:p w14:paraId="6E391E2F" w14:textId="4F79BF9B"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.130</w:t>
            </w:r>
          </w:p>
        </w:tc>
        <w:tc>
          <w:tcPr>
            <w:tcW w:w="1250" w:type="dxa"/>
            <w:tcBorders>
              <w:top w:val="nil"/>
              <w:left w:val="nil"/>
              <w:bottom w:val="nil"/>
              <w:right w:val="nil"/>
            </w:tcBorders>
            <w:shd w:val="clear" w:color="auto" w:fill="auto"/>
            <w:noWrap/>
            <w:vAlign w:val="center"/>
          </w:tcPr>
          <w:p w14:paraId="2047E956" w14:textId="0CB88FB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.914</w:t>
            </w:r>
          </w:p>
        </w:tc>
        <w:tc>
          <w:tcPr>
            <w:tcW w:w="4829" w:type="dxa"/>
            <w:gridSpan w:val="3"/>
            <w:tcBorders>
              <w:top w:val="nil"/>
              <w:left w:val="nil"/>
              <w:bottom w:val="nil"/>
              <w:right w:val="nil"/>
            </w:tcBorders>
            <w:shd w:val="clear" w:color="auto" w:fill="auto"/>
            <w:vAlign w:val="center"/>
          </w:tcPr>
          <w:p w14:paraId="01CF5041" w14:textId="7032D3D8"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[-.24</w:t>
            </w:r>
            <w:r w:rsidR="0069081E" w:rsidRPr="00AA738D">
              <w:rPr>
                <w:rFonts w:ascii="Times New Roman" w:hAnsi="Times New Roman" w:cs="Times New Roman"/>
                <w:sz w:val="22"/>
                <w:szCs w:val="22"/>
                <w:lang w:val="en-US"/>
              </w:rPr>
              <w:t>1</w:t>
            </w:r>
            <w:r w:rsidRPr="00AA738D">
              <w:rPr>
                <w:rFonts w:ascii="Times New Roman" w:hAnsi="Times New Roman" w:cs="Times New Roman"/>
                <w:sz w:val="22"/>
                <w:szCs w:val="22"/>
                <w:lang w:val="en-US"/>
              </w:rPr>
              <w:t>, .269]</w:t>
            </w:r>
          </w:p>
        </w:tc>
      </w:tr>
      <w:tr w:rsidR="00AA738D" w:rsidRPr="00AA738D" w14:paraId="4242CDEB" w14:textId="77777777" w:rsidTr="006D0CAD">
        <w:trPr>
          <w:trHeight w:val="316"/>
        </w:trPr>
        <w:tc>
          <w:tcPr>
            <w:tcW w:w="1774" w:type="dxa"/>
            <w:tcBorders>
              <w:top w:val="nil"/>
              <w:left w:val="nil"/>
              <w:bottom w:val="nil"/>
              <w:right w:val="nil"/>
            </w:tcBorders>
            <w:shd w:val="clear" w:color="auto" w:fill="auto"/>
            <w:vAlign w:val="center"/>
            <w:hideMark/>
          </w:tcPr>
          <w:p w14:paraId="6E469E62" w14:textId="68F601D9"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 (</w:t>
            </w:r>
            <w:r w:rsidRPr="00AA738D">
              <w:rPr>
                <w:rFonts w:ascii="Times New Roman" w:hAnsi="Times New Roman" w:cs="Times New Roman"/>
                <w:i/>
                <w:iCs/>
                <w:sz w:val="22"/>
                <w:szCs w:val="22"/>
                <w:lang w:val="en-US"/>
              </w:rPr>
              <w:t>t</w:t>
            </w:r>
            <w:r w:rsidRPr="00AA738D">
              <w:rPr>
                <w:rFonts w:ascii="Times New Roman" w:hAnsi="Times New Roman" w:cs="Times New Roman"/>
                <w:sz w:val="22"/>
                <w:szCs w:val="22"/>
                <w:lang w:val="en-US"/>
              </w:rPr>
              <w:t>)</w:t>
            </w:r>
          </w:p>
        </w:tc>
        <w:tc>
          <w:tcPr>
            <w:tcW w:w="1061" w:type="dxa"/>
            <w:tcBorders>
              <w:top w:val="nil"/>
              <w:left w:val="nil"/>
              <w:bottom w:val="nil"/>
              <w:right w:val="nil"/>
            </w:tcBorders>
            <w:shd w:val="clear" w:color="auto" w:fill="auto"/>
            <w:vAlign w:val="center"/>
            <w:hideMark/>
          </w:tcPr>
          <w:p w14:paraId="263714BF" w14:textId="266C1AD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.44</w:t>
            </w:r>
            <w:r w:rsidR="00C01E7D">
              <w:rPr>
                <w:rFonts w:ascii="Times New Roman" w:hAnsi="Times New Roman" w:cs="Times New Roman"/>
                <w:sz w:val="22"/>
                <w:szCs w:val="22"/>
                <w:lang w:val="en-US"/>
              </w:rPr>
              <w:t>4</w:t>
            </w:r>
          </w:p>
        </w:tc>
        <w:tc>
          <w:tcPr>
            <w:tcW w:w="1129" w:type="dxa"/>
            <w:tcBorders>
              <w:top w:val="nil"/>
              <w:left w:val="nil"/>
              <w:bottom w:val="nil"/>
              <w:right w:val="nil"/>
            </w:tcBorders>
            <w:shd w:val="clear" w:color="auto" w:fill="auto"/>
            <w:vAlign w:val="center"/>
            <w:hideMark/>
          </w:tcPr>
          <w:p w14:paraId="2A23B762" w14:textId="2BF9BD9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.086</w:t>
            </w:r>
          </w:p>
        </w:tc>
        <w:tc>
          <w:tcPr>
            <w:tcW w:w="1250" w:type="dxa"/>
            <w:tcBorders>
              <w:top w:val="nil"/>
              <w:left w:val="nil"/>
              <w:bottom w:val="nil"/>
              <w:right w:val="nil"/>
            </w:tcBorders>
            <w:shd w:val="clear" w:color="auto" w:fill="auto"/>
            <w:noWrap/>
            <w:vAlign w:val="center"/>
            <w:hideMark/>
          </w:tcPr>
          <w:p w14:paraId="373EF5D5" w14:textId="4FD23C83"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hideMark/>
          </w:tcPr>
          <w:p w14:paraId="0569ADF2" w14:textId="6EF7C39D"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[.276, .613]</w:t>
            </w:r>
          </w:p>
        </w:tc>
      </w:tr>
      <w:tr w:rsidR="00AA738D" w:rsidRPr="00AA738D" w14:paraId="03F1DCEB" w14:textId="77777777" w:rsidTr="006D0CAD">
        <w:trPr>
          <w:trHeight w:val="316"/>
        </w:trPr>
        <w:tc>
          <w:tcPr>
            <w:tcW w:w="1774" w:type="dxa"/>
            <w:tcBorders>
              <w:top w:val="nil"/>
              <w:left w:val="nil"/>
              <w:bottom w:val="nil"/>
              <w:right w:val="nil"/>
            </w:tcBorders>
            <w:shd w:val="clear" w:color="auto" w:fill="auto"/>
            <w:vAlign w:val="center"/>
            <w:hideMark/>
          </w:tcPr>
          <w:p w14:paraId="17E28245" w14:textId="6A856BAF"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2</w:t>
            </w:r>
          </w:p>
        </w:tc>
        <w:tc>
          <w:tcPr>
            <w:tcW w:w="1061" w:type="dxa"/>
            <w:tcBorders>
              <w:top w:val="nil"/>
              <w:left w:val="nil"/>
              <w:bottom w:val="nil"/>
              <w:right w:val="nil"/>
            </w:tcBorders>
            <w:shd w:val="clear" w:color="auto" w:fill="auto"/>
            <w:vAlign w:val="center"/>
            <w:hideMark/>
          </w:tcPr>
          <w:p w14:paraId="67AC58FF" w14:textId="1B80FCFB"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-.011</w:t>
            </w:r>
          </w:p>
        </w:tc>
        <w:tc>
          <w:tcPr>
            <w:tcW w:w="1129" w:type="dxa"/>
            <w:tcBorders>
              <w:top w:val="nil"/>
              <w:left w:val="nil"/>
              <w:bottom w:val="nil"/>
              <w:right w:val="nil"/>
            </w:tcBorders>
            <w:shd w:val="clear" w:color="auto" w:fill="auto"/>
            <w:vAlign w:val="center"/>
            <w:hideMark/>
          </w:tcPr>
          <w:p w14:paraId="59DF16DC" w14:textId="3E75EBF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.004</w:t>
            </w:r>
          </w:p>
        </w:tc>
        <w:tc>
          <w:tcPr>
            <w:tcW w:w="1250" w:type="dxa"/>
            <w:tcBorders>
              <w:top w:val="nil"/>
              <w:left w:val="nil"/>
              <w:bottom w:val="nil"/>
              <w:right w:val="nil"/>
            </w:tcBorders>
            <w:shd w:val="clear" w:color="auto" w:fill="auto"/>
            <w:noWrap/>
            <w:vAlign w:val="center"/>
            <w:hideMark/>
          </w:tcPr>
          <w:p w14:paraId="5E7CE929" w14:textId="4CE976A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.002</w:t>
            </w:r>
          </w:p>
        </w:tc>
        <w:tc>
          <w:tcPr>
            <w:tcW w:w="4829" w:type="dxa"/>
            <w:gridSpan w:val="3"/>
            <w:tcBorders>
              <w:top w:val="nil"/>
              <w:left w:val="nil"/>
              <w:bottom w:val="nil"/>
              <w:right w:val="nil"/>
            </w:tcBorders>
            <w:shd w:val="clear" w:color="auto" w:fill="auto"/>
            <w:vAlign w:val="center"/>
            <w:hideMark/>
          </w:tcPr>
          <w:p w14:paraId="7909B1AB" w14:textId="0EF97C45"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[-.018, -.004]</w:t>
            </w:r>
          </w:p>
        </w:tc>
      </w:tr>
      <w:tr w:rsidR="00AA738D" w:rsidRPr="00AA738D" w14:paraId="4B3DE3EE" w14:textId="77777777" w:rsidTr="006D0CAD">
        <w:trPr>
          <w:trHeight w:val="316"/>
        </w:trPr>
        <w:tc>
          <w:tcPr>
            <w:tcW w:w="1774" w:type="dxa"/>
            <w:tcBorders>
              <w:top w:val="nil"/>
              <w:left w:val="nil"/>
              <w:bottom w:val="nil"/>
              <w:right w:val="nil"/>
            </w:tcBorders>
            <w:shd w:val="clear" w:color="auto" w:fill="auto"/>
            <w:vAlign w:val="center"/>
            <w:hideMark/>
          </w:tcPr>
          <w:p w14:paraId="70B4D725" w14:textId="53E0AA60"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3</w:t>
            </w:r>
          </w:p>
        </w:tc>
        <w:tc>
          <w:tcPr>
            <w:tcW w:w="1061" w:type="dxa"/>
            <w:tcBorders>
              <w:top w:val="nil"/>
              <w:left w:val="nil"/>
              <w:bottom w:val="nil"/>
              <w:right w:val="nil"/>
            </w:tcBorders>
            <w:shd w:val="clear" w:color="auto" w:fill="auto"/>
            <w:vAlign w:val="center"/>
            <w:hideMark/>
          </w:tcPr>
          <w:p w14:paraId="64AE93FC" w14:textId="6CF5044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129" w:type="dxa"/>
            <w:tcBorders>
              <w:top w:val="nil"/>
              <w:left w:val="nil"/>
              <w:bottom w:val="nil"/>
              <w:right w:val="nil"/>
            </w:tcBorders>
            <w:shd w:val="clear" w:color="auto" w:fill="auto"/>
            <w:vAlign w:val="center"/>
            <w:hideMark/>
          </w:tcPr>
          <w:p w14:paraId="187019F8" w14:textId="0EB13A9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250" w:type="dxa"/>
            <w:tcBorders>
              <w:top w:val="nil"/>
              <w:left w:val="nil"/>
              <w:bottom w:val="nil"/>
              <w:right w:val="nil"/>
            </w:tcBorders>
            <w:shd w:val="clear" w:color="auto" w:fill="auto"/>
            <w:noWrap/>
            <w:vAlign w:val="center"/>
            <w:hideMark/>
          </w:tcPr>
          <w:p w14:paraId="1FA0F665" w14:textId="40214178"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.031</w:t>
            </w:r>
          </w:p>
        </w:tc>
        <w:tc>
          <w:tcPr>
            <w:tcW w:w="4829" w:type="dxa"/>
            <w:gridSpan w:val="3"/>
            <w:tcBorders>
              <w:top w:val="nil"/>
              <w:left w:val="nil"/>
              <w:bottom w:val="nil"/>
              <w:right w:val="nil"/>
            </w:tcBorders>
            <w:shd w:val="clear" w:color="auto" w:fill="auto"/>
            <w:vAlign w:val="center"/>
            <w:hideMark/>
          </w:tcPr>
          <w:p w14:paraId="7D19361D" w14:textId="6BB22467"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[.000, .000]</w:t>
            </w:r>
          </w:p>
        </w:tc>
      </w:tr>
      <w:tr w:rsidR="00AA738D" w:rsidRPr="00AA738D" w14:paraId="7C3249EE" w14:textId="77777777" w:rsidTr="006D0CAD">
        <w:trPr>
          <w:trHeight w:val="316"/>
        </w:trPr>
        <w:tc>
          <w:tcPr>
            <w:tcW w:w="1774" w:type="dxa"/>
            <w:tcBorders>
              <w:top w:val="nil"/>
              <w:left w:val="nil"/>
              <w:bottom w:val="nil"/>
              <w:right w:val="nil"/>
            </w:tcBorders>
            <w:shd w:val="clear" w:color="auto" w:fill="auto"/>
            <w:vAlign w:val="center"/>
            <w:hideMark/>
          </w:tcPr>
          <w:p w14:paraId="205E02CC" w14:textId="2C2B7F80"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Wave 2</w:t>
            </w:r>
          </w:p>
        </w:tc>
        <w:tc>
          <w:tcPr>
            <w:tcW w:w="1061" w:type="dxa"/>
            <w:tcBorders>
              <w:top w:val="nil"/>
              <w:left w:val="nil"/>
              <w:bottom w:val="nil"/>
              <w:right w:val="nil"/>
            </w:tcBorders>
            <w:shd w:val="clear" w:color="auto" w:fill="auto"/>
            <w:vAlign w:val="center"/>
            <w:hideMark/>
          </w:tcPr>
          <w:p w14:paraId="519DFDB6" w14:textId="1BC7238D"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-.405</w:t>
            </w:r>
          </w:p>
        </w:tc>
        <w:tc>
          <w:tcPr>
            <w:tcW w:w="1129" w:type="dxa"/>
            <w:tcBorders>
              <w:top w:val="nil"/>
              <w:left w:val="nil"/>
              <w:bottom w:val="nil"/>
              <w:right w:val="nil"/>
            </w:tcBorders>
            <w:shd w:val="clear" w:color="auto" w:fill="auto"/>
            <w:vAlign w:val="center"/>
            <w:hideMark/>
          </w:tcPr>
          <w:p w14:paraId="351B1266" w14:textId="41AB87BA"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.085</w:t>
            </w:r>
          </w:p>
        </w:tc>
        <w:tc>
          <w:tcPr>
            <w:tcW w:w="1250" w:type="dxa"/>
            <w:tcBorders>
              <w:top w:val="nil"/>
              <w:left w:val="nil"/>
              <w:bottom w:val="nil"/>
              <w:right w:val="nil"/>
            </w:tcBorders>
            <w:shd w:val="clear" w:color="auto" w:fill="auto"/>
            <w:noWrap/>
            <w:vAlign w:val="center"/>
            <w:hideMark/>
          </w:tcPr>
          <w:p w14:paraId="6A9DA061" w14:textId="70A1773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hideMark/>
          </w:tcPr>
          <w:p w14:paraId="3C1E9476" w14:textId="1643E88B"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[-.571, -.23</w:t>
            </w:r>
            <w:r w:rsidR="00630F02">
              <w:rPr>
                <w:rFonts w:ascii="Times New Roman" w:hAnsi="Times New Roman" w:cs="Times New Roman"/>
                <w:sz w:val="22"/>
                <w:szCs w:val="22"/>
                <w:lang w:val="en-US"/>
              </w:rPr>
              <w:t>8</w:t>
            </w:r>
            <w:r w:rsidRPr="00AA738D">
              <w:rPr>
                <w:rFonts w:ascii="Times New Roman" w:hAnsi="Times New Roman" w:cs="Times New Roman"/>
                <w:sz w:val="22"/>
                <w:szCs w:val="22"/>
                <w:lang w:val="en-US"/>
              </w:rPr>
              <w:t>]</w:t>
            </w:r>
          </w:p>
        </w:tc>
      </w:tr>
      <w:tr w:rsidR="00AA738D" w:rsidRPr="00AA738D" w14:paraId="7DB9A792" w14:textId="77777777" w:rsidTr="006D0CAD">
        <w:trPr>
          <w:trHeight w:val="316"/>
        </w:trPr>
        <w:tc>
          <w:tcPr>
            <w:tcW w:w="1774" w:type="dxa"/>
            <w:tcBorders>
              <w:top w:val="nil"/>
              <w:left w:val="nil"/>
              <w:bottom w:val="nil"/>
              <w:right w:val="nil"/>
            </w:tcBorders>
            <w:shd w:val="clear" w:color="auto" w:fill="auto"/>
            <w:vAlign w:val="center"/>
          </w:tcPr>
          <w:p w14:paraId="304B3236" w14:textId="22119E61"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Sex (female)</w:t>
            </w:r>
          </w:p>
        </w:tc>
        <w:tc>
          <w:tcPr>
            <w:tcW w:w="1061" w:type="dxa"/>
            <w:tcBorders>
              <w:top w:val="nil"/>
              <w:left w:val="nil"/>
              <w:bottom w:val="nil"/>
              <w:right w:val="nil"/>
            </w:tcBorders>
            <w:shd w:val="clear" w:color="auto" w:fill="auto"/>
            <w:vAlign w:val="center"/>
          </w:tcPr>
          <w:p w14:paraId="4FD21A1B" w14:textId="18F5AD2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.633</w:t>
            </w:r>
          </w:p>
        </w:tc>
        <w:tc>
          <w:tcPr>
            <w:tcW w:w="1129" w:type="dxa"/>
            <w:tcBorders>
              <w:top w:val="nil"/>
              <w:left w:val="nil"/>
              <w:bottom w:val="nil"/>
              <w:right w:val="nil"/>
            </w:tcBorders>
            <w:shd w:val="clear" w:color="auto" w:fill="auto"/>
            <w:vAlign w:val="center"/>
          </w:tcPr>
          <w:p w14:paraId="4A406B81" w14:textId="23FFA62E"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.122</w:t>
            </w:r>
          </w:p>
        </w:tc>
        <w:tc>
          <w:tcPr>
            <w:tcW w:w="1250" w:type="dxa"/>
            <w:tcBorders>
              <w:top w:val="nil"/>
              <w:left w:val="nil"/>
              <w:bottom w:val="nil"/>
              <w:right w:val="nil"/>
            </w:tcBorders>
            <w:shd w:val="clear" w:color="auto" w:fill="auto"/>
            <w:noWrap/>
            <w:vAlign w:val="center"/>
          </w:tcPr>
          <w:p w14:paraId="24690AB5" w14:textId="355CED5C"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tcPr>
          <w:p w14:paraId="6CCC893C" w14:textId="615BF196"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[.394, .872]</w:t>
            </w:r>
          </w:p>
        </w:tc>
      </w:tr>
      <w:tr w:rsidR="00AA738D" w:rsidRPr="00AA738D" w14:paraId="07C374FE" w14:textId="77777777" w:rsidTr="006D0CAD">
        <w:trPr>
          <w:trHeight w:val="335"/>
        </w:trPr>
        <w:tc>
          <w:tcPr>
            <w:tcW w:w="1774" w:type="dxa"/>
            <w:tcBorders>
              <w:top w:val="nil"/>
              <w:left w:val="nil"/>
              <w:bottom w:val="single" w:sz="8" w:space="0" w:color="auto"/>
              <w:right w:val="nil"/>
            </w:tcBorders>
            <w:shd w:val="clear" w:color="auto" w:fill="auto"/>
            <w:vAlign w:val="center"/>
            <w:hideMark/>
          </w:tcPr>
          <w:p w14:paraId="565E9814" w14:textId="1F4FE3BB"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Fixed intercept</w:t>
            </w:r>
          </w:p>
        </w:tc>
        <w:tc>
          <w:tcPr>
            <w:tcW w:w="1061" w:type="dxa"/>
            <w:tcBorders>
              <w:top w:val="nil"/>
              <w:left w:val="nil"/>
              <w:bottom w:val="single" w:sz="8" w:space="0" w:color="auto"/>
              <w:right w:val="nil"/>
            </w:tcBorders>
            <w:shd w:val="clear" w:color="auto" w:fill="auto"/>
            <w:vAlign w:val="center"/>
            <w:hideMark/>
          </w:tcPr>
          <w:p w14:paraId="05FD23D7" w14:textId="56E04769"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-11.578</w:t>
            </w:r>
          </w:p>
        </w:tc>
        <w:tc>
          <w:tcPr>
            <w:tcW w:w="1129" w:type="dxa"/>
            <w:tcBorders>
              <w:top w:val="nil"/>
              <w:left w:val="nil"/>
              <w:bottom w:val="single" w:sz="8" w:space="0" w:color="auto"/>
              <w:right w:val="nil"/>
            </w:tcBorders>
            <w:shd w:val="clear" w:color="auto" w:fill="auto"/>
            <w:vAlign w:val="center"/>
            <w:hideMark/>
          </w:tcPr>
          <w:p w14:paraId="5B54AA26" w14:textId="7520761C"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.671</w:t>
            </w:r>
          </w:p>
        </w:tc>
        <w:tc>
          <w:tcPr>
            <w:tcW w:w="1250" w:type="dxa"/>
            <w:tcBorders>
              <w:top w:val="nil"/>
              <w:left w:val="nil"/>
              <w:bottom w:val="single" w:sz="8" w:space="0" w:color="auto"/>
              <w:right w:val="nil"/>
            </w:tcBorders>
            <w:shd w:val="clear" w:color="auto" w:fill="auto"/>
            <w:noWrap/>
            <w:vAlign w:val="center"/>
            <w:hideMark/>
          </w:tcPr>
          <w:p w14:paraId="5A1052BD" w14:textId="756F63E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single" w:sz="8" w:space="0" w:color="auto"/>
              <w:right w:val="nil"/>
            </w:tcBorders>
            <w:shd w:val="clear" w:color="auto" w:fill="auto"/>
            <w:vAlign w:val="center"/>
            <w:hideMark/>
          </w:tcPr>
          <w:p w14:paraId="3F42FBD2" w14:textId="4628E2A3"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[-12.89</w:t>
            </w:r>
            <w:r w:rsidR="00575E1D">
              <w:rPr>
                <w:rFonts w:ascii="Times New Roman" w:hAnsi="Times New Roman" w:cs="Times New Roman"/>
                <w:sz w:val="22"/>
                <w:szCs w:val="22"/>
                <w:lang w:val="en-US"/>
              </w:rPr>
              <w:t>2</w:t>
            </w:r>
            <w:r w:rsidRPr="00AA738D">
              <w:rPr>
                <w:rFonts w:ascii="Times New Roman" w:hAnsi="Times New Roman" w:cs="Times New Roman"/>
                <w:sz w:val="22"/>
                <w:szCs w:val="22"/>
                <w:lang w:val="en-US"/>
              </w:rPr>
              <w:t>, -10.263]</w:t>
            </w:r>
          </w:p>
        </w:tc>
      </w:tr>
      <w:tr w:rsidR="00AA738D" w:rsidRPr="00AA738D" w14:paraId="0CA98135" w14:textId="77777777" w:rsidTr="006D0CAD">
        <w:trPr>
          <w:trHeight w:val="375"/>
        </w:trPr>
        <w:tc>
          <w:tcPr>
            <w:tcW w:w="1774" w:type="dxa"/>
            <w:tcBorders>
              <w:top w:val="nil"/>
              <w:left w:val="nil"/>
              <w:bottom w:val="single" w:sz="4" w:space="0" w:color="auto"/>
              <w:right w:val="nil"/>
            </w:tcBorders>
            <w:shd w:val="clear" w:color="auto" w:fill="auto"/>
            <w:vAlign w:val="center"/>
            <w:hideMark/>
          </w:tcPr>
          <w:p w14:paraId="706BF59C"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Random part</w:t>
            </w:r>
          </w:p>
        </w:tc>
        <w:tc>
          <w:tcPr>
            <w:tcW w:w="1061" w:type="dxa"/>
            <w:tcBorders>
              <w:top w:val="nil"/>
              <w:left w:val="nil"/>
              <w:bottom w:val="single" w:sz="4" w:space="0" w:color="auto"/>
              <w:right w:val="nil"/>
            </w:tcBorders>
            <w:shd w:val="clear" w:color="auto" w:fill="auto"/>
            <w:noWrap/>
            <w:vAlign w:val="center"/>
            <w:hideMark/>
          </w:tcPr>
          <w:p w14:paraId="78BA4A7E"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129" w:type="dxa"/>
            <w:tcBorders>
              <w:top w:val="nil"/>
              <w:left w:val="nil"/>
              <w:bottom w:val="single" w:sz="4" w:space="0" w:color="auto"/>
              <w:right w:val="nil"/>
            </w:tcBorders>
            <w:shd w:val="clear" w:color="auto" w:fill="auto"/>
            <w:noWrap/>
            <w:vAlign w:val="center"/>
            <w:hideMark/>
          </w:tcPr>
          <w:p w14:paraId="1DC8C879"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0" w:type="dxa"/>
            <w:tcBorders>
              <w:top w:val="nil"/>
              <w:left w:val="nil"/>
              <w:bottom w:val="single" w:sz="4" w:space="0" w:color="auto"/>
              <w:right w:val="nil"/>
            </w:tcBorders>
            <w:shd w:val="clear" w:color="auto" w:fill="auto"/>
            <w:noWrap/>
            <w:vAlign w:val="bottom"/>
            <w:hideMark/>
          </w:tcPr>
          <w:p w14:paraId="3ABF97CF"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2905" w:type="dxa"/>
            <w:tcBorders>
              <w:top w:val="nil"/>
              <w:left w:val="nil"/>
              <w:bottom w:val="single" w:sz="4" w:space="0" w:color="auto"/>
              <w:right w:val="nil"/>
            </w:tcBorders>
            <w:shd w:val="clear" w:color="auto" w:fill="auto"/>
            <w:noWrap/>
            <w:vAlign w:val="bottom"/>
            <w:hideMark/>
          </w:tcPr>
          <w:p w14:paraId="632FAF79" w14:textId="77777777" w:rsidR="00335120" w:rsidRPr="00AA738D" w:rsidRDefault="00335120" w:rsidP="006D0CAD">
            <w:pPr>
              <w:jc w:val="center"/>
              <w:rPr>
                <w:rFonts w:ascii="Times New Roman" w:hAnsi="Times New Roman" w:cs="Times New Roman"/>
                <w:sz w:val="22"/>
                <w:szCs w:val="22"/>
                <w:lang w:val="en-US"/>
              </w:rPr>
            </w:pPr>
          </w:p>
        </w:tc>
        <w:tc>
          <w:tcPr>
            <w:tcW w:w="672" w:type="dxa"/>
            <w:tcBorders>
              <w:top w:val="nil"/>
              <w:left w:val="nil"/>
              <w:bottom w:val="single" w:sz="4" w:space="0" w:color="auto"/>
              <w:right w:val="nil"/>
            </w:tcBorders>
            <w:shd w:val="clear" w:color="auto" w:fill="auto"/>
            <w:noWrap/>
            <w:vAlign w:val="center"/>
            <w:hideMark/>
          </w:tcPr>
          <w:p w14:paraId="376B958A"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vAlign w:val="center"/>
            <w:hideMark/>
          </w:tcPr>
          <w:p w14:paraId="3554AE25"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72C35C78" w14:textId="77777777" w:rsidTr="006D0CAD">
        <w:trPr>
          <w:trHeight w:val="316"/>
        </w:trPr>
        <w:tc>
          <w:tcPr>
            <w:tcW w:w="1774" w:type="dxa"/>
            <w:tcBorders>
              <w:top w:val="nil"/>
              <w:left w:val="nil"/>
              <w:bottom w:val="nil"/>
              <w:right w:val="nil"/>
            </w:tcBorders>
            <w:shd w:val="clear" w:color="auto" w:fill="auto"/>
            <w:vAlign w:val="center"/>
            <w:hideMark/>
          </w:tcPr>
          <w:p w14:paraId="5DCE97D5"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A</m:t>
                    </m:r>
                  </m:sub>
                </m:sSub>
              </m:oMath>
            </m:oMathPara>
          </w:p>
        </w:tc>
        <w:tc>
          <w:tcPr>
            <w:tcW w:w="1061" w:type="dxa"/>
            <w:tcBorders>
              <w:top w:val="nil"/>
              <w:left w:val="nil"/>
              <w:bottom w:val="nil"/>
              <w:right w:val="nil"/>
            </w:tcBorders>
            <w:shd w:val="clear" w:color="auto" w:fill="auto"/>
            <w:vAlign w:val="center"/>
            <w:hideMark/>
          </w:tcPr>
          <w:p w14:paraId="59A3AE74" w14:textId="2423A68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1.33</w:t>
            </w:r>
            <w:r w:rsidR="002C0298" w:rsidRPr="00AA738D">
              <w:rPr>
                <w:rFonts w:ascii="Times New Roman" w:hAnsi="Times New Roman" w:cs="Times New Roman"/>
                <w:sz w:val="22"/>
                <w:szCs w:val="22"/>
                <w:lang w:val="en-US"/>
              </w:rPr>
              <w:t>6</w:t>
            </w:r>
          </w:p>
        </w:tc>
        <w:tc>
          <w:tcPr>
            <w:tcW w:w="1129" w:type="dxa"/>
            <w:tcBorders>
              <w:top w:val="nil"/>
              <w:left w:val="nil"/>
              <w:bottom w:val="nil"/>
              <w:right w:val="nil"/>
            </w:tcBorders>
            <w:shd w:val="clear" w:color="auto" w:fill="auto"/>
            <w:vAlign w:val="center"/>
            <w:hideMark/>
          </w:tcPr>
          <w:p w14:paraId="77687D71" w14:textId="06B789F8"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.26</w:t>
            </w:r>
            <w:r w:rsidR="002C0298" w:rsidRPr="00AA738D">
              <w:rPr>
                <w:rFonts w:ascii="Times New Roman" w:hAnsi="Times New Roman" w:cs="Times New Roman"/>
                <w:sz w:val="22"/>
                <w:szCs w:val="22"/>
                <w:lang w:val="en-US"/>
              </w:rPr>
              <w:t>9</w:t>
            </w:r>
          </w:p>
        </w:tc>
        <w:tc>
          <w:tcPr>
            <w:tcW w:w="1250" w:type="dxa"/>
            <w:tcBorders>
              <w:top w:val="nil"/>
              <w:left w:val="nil"/>
              <w:bottom w:val="nil"/>
              <w:right w:val="nil"/>
            </w:tcBorders>
            <w:shd w:val="clear" w:color="auto" w:fill="auto"/>
            <w:noWrap/>
            <w:vAlign w:val="bottom"/>
            <w:hideMark/>
          </w:tcPr>
          <w:p w14:paraId="7EA14811"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0C56A34C" w14:textId="5FF190D9"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[.900, 1.981]</w:t>
            </w:r>
          </w:p>
        </w:tc>
      </w:tr>
      <w:tr w:rsidR="00AA738D" w:rsidRPr="00AA738D" w14:paraId="069754CB" w14:textId="77777777" w:rsidTr="006D0CAD">
        <w:trPr>
          <w:trHeight w:val="77"/>
        </w:trPr>
        <w:tc>
          <w:tcPr>
            <w:tcW w:w="1774" w:type="dxa"/>
            <w:tcBorders>
              <w:top w:val="nil"/>
              <w:left w:val="nil"/>
              <w:bottom w:val="nil"/>
              <w:right w:val="nil"/>
            </w:tcBorders>
            <w:shd w:val="clear" w:color="auto" w:fill="auto"/>
            <w:vAlign w:val="center"/>
            <w:hideMark/>
          </w:tcPr>
          <w:p w14:paraId="4BBF5AD5"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E</m:t>
                    </m:r>
                  </m:sub>
                </m:sSub>
              </m:oMath>
            </m:oMathPara>
          </w:p>
        </w:tc>
        <w:tc>
          <w:tcPr>
            <w:tcW w:w="1061" w:type="dxa"/>
            <w:tcBorders>
              <w:top w:val="nil"/>
              <w:left w:val="nil"/>
              <w:bottom w:val="nil"/>
              <w:right w:val="nil"/>
            </w:tcBorders>
            <w:shd w:val="clear" w:color="auto" w:fill="auto"/>
            <w:noWrap/>
            <w:vAlign w:val="center"/>
            <w:hideMark/>
          </w:tcPr>
          <w:p w14:paraId="070C854F" w14:textId="514EBF01"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1.130</w:t>
            </w:r>
          </w:p>
        </w:tc>
        <w:tc>
          <w:tcPr>
            <w:tcW w:w="1129" w:type="dxa"/>
            <w:tcBorders>
              <w:top w:val="nil"/>
              <w:left w:val="nil"/>
              <w:bottom w:val="nil"/>
              <w:right w:val="nil"/>
            </w:tcBorders>
            <w:shd w:val="clear" w:color="auto" w:fill="auto"/>
            <w:noWrap/>
            <w:vAlign w:val="center"/>
            <w:hideMark/>
          </w:tcPr>
          <w:p w14:paraId="0662D8B5" w14:textId="550271F6"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.287</w:t>
            </w:r>
          </w:p>
        </w:tc>
        <w:tc>
          <w:tcPr>
            <w:tcW w:w="1250" w:type="dxa"/>
            <w:tcBorders>
              <w:top w:val="nil"/>
              <w:left w:val="nil"/>
              <w:bottom w:val="nil"/>
              <w:right w:val="nil"/>
            </w:tcBorders>
            <w:shd w:val="clear" w:color="auto" w:fill="auto"/>
            <w:noWrap/>
            <w:vAlign w:val="bottom"/>
            <w:hideMark/>
          </w:tcPr>
          <w:p w14:paraId="1920434A"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05C235D1" w14:textId="3BED512A"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[.687, 1.859]</w:t>
            </w:r>
          </w:p>
        </w:tc>
      </w:tr>
      <w:tr w:rsidR="00AA738D" w:rsidRPr="00AA738D" w14:paraId="09880DF1" w14:textId="77777777" w:rsidTr="006D0CAD">
        <w:trPr>
          <w:trHeight w:val="75"/>
        </w:trPr>
        <w:tc>
          <w:tcPr>
            <w:tcW w:w="1774" w:type="dxa"/>
            <w:tcBorders>
              <w:top w:val="nil"/>
              <w:left w:val="nil"/>
              <w:bottom w:val="nil"/>
              <w:right w:val="nil"/>
            </w:tcBorders>
            <w:shd w:val="clear" w:color="auto" w:fill="auto"/>
            <w:vAlign w:val="center"/>
          </w:tcPr>
          <w:p w14:paraId="769C9642" w14:textId="77777777" w:rsidR="00335120" w:rsidRPr="00AA738D" w:rsidRDefault="00335120" w:rsidP="006D0CAD">
            <w:pPr>
              <w:rPr>
                <w:rFonts w:ascii="Times New Roman" w:hAnsi="Times New Roman" w:cs="Times New Roman"/>
                <w:sz w:val="22"/>
                <w:szCs w:val="22"/>
                <w:lang w:val="en-US"/>
              </w:rPr>
            </w:pPr>
          </w:p>
          <w:p w14:paraId="703D49C0" w14:textId="77777777" w:rsidR="00335120" w:rsidRPr="00AA738D" w:rsidRDefault="00335120" w:rsidP="006D0CAD">
            <w:pPr>
              <w:rPr>
                <w:rFonts w:ascii="Times New Roman" w:hAnsi="Times New Roman" w:cs="Times New Roman"/>
                <w:sz w:val="22"/>
                <w:szCs w:val="22"/>
                <w:lang w:val="en-US"/>
              </w:rPr>
            </w:pPr>
          </w:p>
        </w:tc>
        <w:tc>
          <w:tcPr>
            <w:tcW w:w="1061" w:type="dxa"/>
            <w:tcBorders>
              <w:top w:val="nil"/>
              <w:left w:val="nil"/>
              <w:bottom w:val="nil"/>
              <w:right w:val="nil"/>
            </w:tcBorders>
            <w:shd w:val="clear" w:color="auto" w:fill="auto"/>
            <w:noWrap/>
            <w:vAlign w:val="bottom"/>
          </w:tcPr>
          <w:p w14:paraId="7A433A9D" w14:textId="77777777" w:rsidR="00335120" w:rsidRPr="00AA738D" w:rsidRDefault="00335120" w:rsidP="006D0CAD">
            <w:pPr>
              <w:jc w:val="center"/>
              <w:rPr>
                <w:rFonts w:ascii="Times New Roman" w:hAnsi="Times New Roman" w:cs="Times New Roman"/>
                <w:sz w:val="22"/>
                <w:szCs w:val="22"/>
                <w:lang w:val="en-US"/>
              </w:rPr>
            </w:pPr>
          </w:p>
        </w:tc>
        <w:tc>
          <w:tcPr>
            <w:tcW w:w="1129" w:type="dxa"/>
            <w:tcBorders>
              <w:top w:val="nil"/>
              <w:left w:val="nil"/>
              <w:bottom w:val="nil"/>
              <w:right w:val="nil"/>
            </w:tcBorders>
            <w:shd w:val="clear" w:color="auto" w:fill="auto"/>
            <w:noWrap/>
            <w:vAlign w:val="bottom"/>
          </w:tcPr>
          <w:p w14:paraId="002CA096" w14:textId="77777777" w:rsidR="00335120" w:rsidRPr="00AA738D" w:rsidRDefault="00335120" w:rsidP="006D0CAD">
            <w:pPr>
              <w:jc w:val="center"/>
              <w:rPr>
                <w:rFonts w:ascii="Times New Roman" w:hAnsi="Times New Roman" w:cs="Times New Roman"/>
                <w:sz w:val="22"/>
                <w:szCs w:val="22"/>
                <w:lang w:val="en-US"/>
              </w:rPr>
            </w:pPr>
          </w:p>
        </w:tc>
        <w:tc>
          <w:tcPr>
            <w:tcW w:w="1250" w:type="dxa"/>
            <w:tcBorders>
              <w:top w:val="nil"/>
              <w:left w:val="nil"/>
              <w:bottom w:val="nil"/>
              <w:right w:val="nil"/>
            </w:tcBorders>
            <w:shd w:val="clear" w:color="auto" w:fill="auto"/>
            <w:noWrap/>
            <w:vAlign w:val="bottom"/>
          </w:tcPr>
          <w:p w14:paraId="4B193E3C"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tcPr>
          <w:p w14:paraId="22754FED" w14:textId="77777777" w:rsidR="00335120" w:rsidRPr="00AA738D" w:rsidRDefault="00335120" w:rsidP="006D0CAD">
            <w:pPr>
              <w:rPr>
                <w:rFonts w:ascii="Times New Roman" w:hAnsi="Times New Roman" w:cs="Times New Roman"/>
                <w:sz w:val="22"/>
                <w:szCs w:val="22"/>
                <w:lang w:val="en-US"/>
              </w:rPr>
            </w:pPr>
          </w:p>
        </w:tc>
      </w:tr>
    </w:tbl>
    <w:p w14:paraId="438B9E08" w14:textId="1A4F8390" w:rsidR="00335120" w:rsidRPr="00AA738D" w:rsidRDefault="00335120" w:rsidP="00335120">
      <w:pPr>
        <w:rPr>
          <w:rFonts w:ascii="Times New Roman" w:hAnsi="Times New Roman" w:cs="Times New Roman"/>
          <w:sz w:val="22"/>
          <w:szCs w:val="22"/>
          <w:lang w:val="en-US"/>
        </w:rPr>
      </w:pPr>
      <w:r w:rsidRPr="00AA738D">
        <w:rPr>
          <w:rFonts w:ascii="Times New Roman" w:hAnsi="Times New Roman" w:cs="Times New Roman"/>
          <w:sz w:val="22"/>
          <w:szCs w:val="22"/>
          <w:lang w:val="en-US"/>
        </w:rPr>
        <w:t>AIC = 8863.352 (</w:t>
      </w:r>
      <w:proofErr w:type="spellStart"/>
      <w:r w:rsidRPr="00AA738D">
        <w:rPr>
          <w:rFonts w:ascii="Times New Roman" w:hAnsi="Times New Roman" w:cs="Times New Roman"/>
          <w:sz w:val="22"/>
          <w:szCs w:val="22"/>
          <w:lang w:val="en-US"/>
        </w:rPr>
        <w:t>df</w:t>
      </w:r>
      <w:proofErr w:type="spellEnd"/>
      <w:r w:rsidRPr="00AA738D">
        <w:rPr>
          <w:rFonts w:ascii="Times New Roman" w:hAnsi="Times New Roman" w:cs="Times New Roman"/>
          <w:sz w:val="22"/>
          <w:szCs w:val="22"/>
          <w:lang w:val="en-US"/>
        </w:rPr>
        <w:t xml:space="preserve"> = 11)</w:t>
      </w:r>
    </w:p>
    <w:p w14:paraId="5E3A7DAF" w14:textId="4C6EF850" w:rsidR="00335120" w:rsidRPr="00AA738D" w:rsidRDefault="00335120" w:rsidP="00335120">
      <w:pPr>
        <w:rPr>
          <w:rFonts w:ascii="Times New Roman" w:hAnsi="Times New Roman" w:cs="Times New Roman"/>
          <w:sz w:val="22"/>
          <w:szCs w:val="22"/>
          <w:lang w:val="en-US"/>
        </w:rPr>
      </w:pPr>
    </w:p>
    <w:p w14:paraId="1C121B81" w14:textId="77777777" w:rsidR="007F36C1" w:rsidRPr="00AA738D" w:rsidRDefault="007F36C1" w:rsidP="007F36C1">
      <w:pPr>
        <w:spacing w:line="360" w:lineRule="auto"/>
        <w:rPr>
          <w:rFonts w:ascii="Times New Roman" w:hAnsi="Times New Roman" w:cs="Times New Roman"/>
          <w:sz w:val="22"/>
          <w:szCs w:val="22"/>
          <w:lang w:val="en-US"/>
        </w:rPr>
      </w:pPr>
      <w:proofErr w:type="spellStart"/>
      <w:r w:rsidRPr="00AA738D">
        <w:rPr>
          <w:rFonts w:ascii="Times New Roman" w:hAnsi="Times New Roman" w:cs="Times New Roman"/>
          <w:sz w:val="22"/>
          <w:szCs w:val="22"/>
          <w:vertAlign w:val="superscript"/>
          <w:lang w:val="en-US"/>
        </w:rPr>
        <w:t>a</w:t>
      </w:r>
      <w:r w:rsidRPr="00AA738D">
        <w:rPr>
          <w:rFonts w:ascii="Times New Roman" w:hAnsi="Times New Roman" w:cs="Times New Roman"/>
          <w:sz w:val="22"/>
          <w:szCs w:val="22"/>
          <w:lang w:val="en-US"/>
        </w:rPr>
        <w:t>Estimated</w:t>
      </w:r>
      <w:proofErr w:type="spellEnd"/>
      <w:r w:rsidRPr="00AA738D">
        <w:rPr>
          <w:rFonts w:ascii="Times New Roman" w:hAnsi="Times New Roman" w:cs="Times New Roman"/>
          <w:sz w:val="22"/>
          <w:szCs w:val="22"/>
          <w:lang w:val="en-US"/>
        </w:rPr>
        <w:t xml:space="preserve"> as single parameter.</w:t>
      </w:r>
    </w:p>
    <w:p w14:paraId="04F4882E" w14:textId="53F89C2A" w:rsidR="00335120" w:rsidRPr="00AA738D" w:rsidRDefault="00335120" w:rsidP="00335120">
      <w:pPr>
        <w:spacing w:line="360" w:lineRule="auto"/>
        <w:rPr>
          <w:rFonts w:ascii="Times New Roman" w:hAnsi="Times New Roman" w:cs="Times New Roman"/>
          <w:b/>
          <w:bCs/>
          <w:sz w:val="22"/>
          <w:szCs w:val="22"/>
          <w:lang w:val="en-US"/>
        </w:rPr>
      </w:pPr>
    </w:p>
    <w:p w14:paraId="038BDED0" w14:textId="2BDD443C" w:rsidR="00A87823" w:rsidRPr="00AA738D" w:rsidRDefault="00A87823" w:rsidP="00335120">
      <w:pPr>
        <w:spacing w:line="360" w:lineRule="auto"/>
        <w:rPr>
          <w:rFonts w:ascii="Times New Roman" w:hAnsi="Times New Roman" w:cs="Times New Roman"/>
          <w:b/>
          <w:bCs/>
          <w:sz w:val="22"/>
          <w:szCs w:val="22"/>
          <w:lang w:val="en-US"/>
        </w:rPr>
      </w:pPr>
    </w:p>
    <w:p w14:paraId="628F8ACF" w14:textId="37CD1F4F" w:rsidR="00A87823" w:rsidRPr="00AA738D" w:rsidRDefault="00A87823" w:rsidP="00335120">
      <w:pPr>
        <w:spacing w:line="360" w:lineRule="auto"/>
        <w:rPr>
          <w:rFonts w:ascii="Times New Roman" w:hAnsi="Times New Roman" w:cs="Times New Roman"/>
          <w:b/>
          <w:bCs/>
          <w:sz w:val="22"/>
          <w:szCs w:val="22"/>
          <w:lang w:val="en-US"/>
        </w:rPr>
      </w:pPr>
    </w:p>
    <w:p w14:paraId="5336FA0E" w14:textId="7F23DB8D" w:rsidR="00A87823" w:rsidRPr="00AA738D" w:rsidRDefault="00A87823" w:rsidP="00335120">
      <w:pPr>
        <w:spacing w:line="360" w:lineRule="auto"/>
        <w:rPr>
          <w:rFonts w:ascii="Times New Roman" w:hAnsi="Times New Roman" w:cs="Times New Roman"/>
          <w:b/>
          <w:bCs/>
          <w:sz w:val="22"/>
          <w:szCs w:val="22"/>
          <w:lang w:val="en-US"/>
        </w:rPr>
      </w:pPr>
    </w:p>
    <w:p w14:paraId="1DAAA2B7" w14:textId="36310EF0" w:rsidR="00A87823" w:rsidRPr="00AA738D" w:rsidRDefault="00A87823" w:rsidP="00335120">
      <w:pPr>
        <w:spacing w:line="360" w:lineRule="auto"/>
        <w:rPr>
          <w:rFonts w:ascii="Times New Roman" w:hAnsi="Times New Roman" w:cs="Times New Roman"/>
          <w:b/>
          <w:bCs/>
          <w:sz w:val="22"/>
          <w:szCs w:val="22"/>
          <w:lang w:val="en-US"/>
        </w:rPr>
      </w:pPr>
    </w:p>
    <w:p w14:paraId="1316D978" w14:textId="6EA1809F" w:rsidR="00A87823" w:rsidRPr="00AA738D" w:rsidRDefault="00A87823" w:rsidP="00335120">
      <w:pPr>
        <w:spacing w:line="360" w:lineRule="auto"/>
        <w:rPr>
          <w:rFonts w:ascii="Times New Roman" w:hAnsi="Times New Roman" w:cs="Times New Roman"/>
          <w:b/>
          <w:bCs/>
          <w:sz w:val="22"/>
          <w:szCs w:val="22"/>
          <w:lang w:val="en-US"/>
        </w:rPr>
      </w:pPr>
    </w:p>
    <w:p w14:paraId="44D03E29" w14:textId="03ED820A" w:rsidR="00A87823" w:rsidRPr="00AA738D" w:rsidRDefault="00A87823" w:rsidP="00335120">
      <w:pPr>
        <w:spacing w:line="360" w:lineRule="auto"/>
        <w:rPr>
          <w:rFonts w:ascii="Times New Roman" w:hAnsi="Times New Roman" w:cs="Times New Roman"/>
          <w:b/>
          <w:bCs/>
          <w:sz w:val="22"/>
          <w:szCs w:val="22"/>
          <w:lang w:val="en-US"/>
        </w:rPr>
      </w:pPr>
    </w:p>
    <w:p w14:paraId="49A276A0" w14:textId="78ADAC6B" w:rsidR="00A87823" w:rsidRPr="00AA738D" w:rsidRDefault="00A87823" w:rsidP="00335120">
      <w:pPr>
        <w:spacing w:line="360" w:lineRule="auto"/>
        <w:rPr>
          <w:rFonts w:ascii="Times New Roman" w:hAnsi="Times New Roman" w:cs="Times New Roman"/>
          <w:b/>
          <w:bCs/>
          <w:sz w:val="22"/>
          <w:szCs w:val="22"/>
          <w:lang w:val="en-US"/>
        </w:rPr>
      </w:pPr>
    </w:p>
    <w:p w14:paraId="39BC6BF9" w14:textId="5F40CBC0" w:rsidR="00A87823" w:rsidRPr="00AA738D" w:rsidRDefault="00A87823" w:rsidP="00335120">
      <w:pPr>
        <w:spacing w:line="360" w:lineRule="auto"/>
        <w:rPr>
          <w:rFonts w:ascii="Times New Roman" w:hAnsi="Times New Roman" w:cs="Times New Roman"/>
          <w:b/>
          <w:bCs/>
          <w:sz w:val="22"/>
          <w:szCs w:val="22"/>
          <w:lang w:val="en-US"/>
        </w:rPr>
      </w:pPr>
    </w:p>
    <w:p w14:paraId="53D56E8D" w14:textId="06E39E73" w:rsidR="00A87823" w:rsidRPr="00AA738D" w:rsidRDefault="00A87823" w:rsidP="00335120">
      <w:pPr>
        <w:spacing w:line="360" w:lineRule="auto"/>
        <w:rPr>
          <w:rFonts w:ascii="Times New Roman" w:hAnsi="Times New Roman" w:cs="Times New Roman"/>
          <w:b/>
          <w:bCs/>
          <w:sz w:val="22"/>
          <w:szCs w:val="22"/>
          <w:lang w:val="en-US"/>
        </w:rPr>
      </w:pPr>
    </w:p>
    <w:p w14:paraId="6542504E" w14:textId="51A09B0C" w:rsidR="00A87823" w:rsidRPr="00AA738D" w:rsidRDefault="00A87823" w:rsidP="00335120">
      <w:pPr>
        <w:spacing w:line="360" w:lineRule="auto"/>
        <w:rPr>
          <w:rFonts w:ascii="Times New Roman" w:hAnsi="Times New Roman" w:cs="Times New Roman"/>
          <w:b/>
          <w:bCs/>
          <w:sz w:val="22"/>
          <w:szCs w:val="22"/>
          <w:lang w:val="en-US"/>
        </w:rPr>
      </w:pPr>
    </w:p>
    <w:p w14:paraId="1968EBE9" w14:textId="692F073C" w:rsidR="00A87823" w:rsidRPr="00AA738D" w:rsidRDefault="00A87823" w:rsidP="00335120">
      <w:pPr>
        <w:spacing w:line="360" w:lineRule="auto"/>
        <w:rPr>
          <w:rFonts w:ascii="Times New Roman" w:hAnsi="Times New Roman" w:cs="Times New Roman"/>
          <w:b/>
          <w:bCs/>
          <w:sz w:val="22"/>
          <w:szCs w:val="22"/>
          <w:lang w:val="en-US"/>
        </w:rPr>
      </w:pPr>
    </w:p>
    <w:p w14:paraId="4C356E79" w14:textId="471CE311" w:rsidR="00A87823" w:rsidRPr="00AA738D" w:rsidRDefault="00A87823" w:rsidP="00335120">
      <w:pPr>
        <w:spacing w:line="360" w:lineRule="auto"/>
        <w:rPr>
          <w:rFonts w:ascii="Times New Roman" w:hAnsi="Times New Roman" w:cs="Times New Roman"/>
          <w:b/>
          <w:bCs/>
          <w:sz w:val="22"/>
          <w:szCs w:val="22"/>
          <w:lang w:val="en-US"/>
        </w:rPr>
      </w:pPr>
    </w:p>
    <w:p w14:paraId="3A3FDF30" w14:textId="77777777" w:rsidR="00A87823" w:rsidRPr="00AA738D" w:rsidRDefault="00A87823" w:rsidP="00335120">
      <w:pPr>
        <w:spacing w:line="360" w:lineRule="auto"/>
        <w:rPr>
          <w:rFonts w:ascii="Times New Roman" w:hAnsi="Times New Roman" w:cs="Times New Roman"/>
          <w:b/>
          <w:bCs/>
          <w:sz w:val="22"/>
          <w:szCs w:val="22"/>
          <w:lang w:val="en-US"/>
        </w:rPr>
      </w:pPr>
    </w:p>
    <w:p w14:paraId="34190BE0" w14:textId="77777777" w:rsidR="00335120" w:rsidRPr="00AA738D" w:rsidRDefault="00335120" w:rsidP="00335120">
      <w:pPr>
        <w:spacing w:line="480" w:lineRule="auto"/>
        <w:rPr>
          <w:rFonts w:ascii="Times New Roman" w:hAnsi="Times New Roman" w:cs="Times New Roman"/>
          <w:b/>
          <w:bCs/>
          <w:sz w:val="22"/>
          <w:szCs w:val="22"/>
          <w:lang w:val="en-US"/>
        </w:rPr>
      </w:pPr>
      <w:r w:rsidRPr="00AA738D">
        <w:rPr>
          <w:rFonts w:ascii="Times New Roman" w:hAnsi="Times New Roman" w:cs="Times New Roman"/>
          <w:b/>
          <w:bCs/>
          <w:sz w:val="22"/>
          <w:szCs w:val="22"/>
          <w:lang w:val="en-US"/>
        </w:rPr>
        <w:lastRenderedPageBreak/>
        <w:t>Table A3</w:t>
      </w:r>
    </w:p>
    <w:p w14:paraId="3FE96EEF" w14:textId="77777777" w:rsidR="00335120" w:rsidRPr="00AA738D" w:rsidRDefault="00335120" w:rsidP="00335120">
      <w:pPr>
        <w:spacing w:line="360" w:lineRule="auto"/>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 xml:space="preserve">AE Model With Other Traumatic SLEs and Only Threshold </w:t>
      </w:r>
      <w:proofErr w:type="spellStart"/>
      <w:r w:rsidRPr="00AA738D">
        <w:rPr>
          <w:rFonts w:ascii="Times New Roman" w:hAnsi="Times New Roman" w:cs="Times New Roman"/>
          <w:i/>
          <w:iCs/>
          <w:sz w:val="22"/>
          <w:szCs w:val="22"/>
          <w:lang w:val="en-US"/>
        </w:rPr>
        <w:t>MDE</w:t>
      </w:r>
      <w:proofErr w:type="spellEnd"/>
      <w:r w:rsidRPr="00AA738D">
        <w:rPr>
          <w:rFonts w:ascii="Times New Roman" w:hAnsi="Times New Roman" w:cs="Times New Roman"/>
          <w:i/>
          <w:iCs/>
          <w:sz w:val="22"/>
          <w:szCs w:val="22"/>
          <w:lang w:val="en-US"/>
        </w:rPr>
        <w:t xml:space="preserve"> Diagnoses</w:t>
      </w:r>
    </w:p>
    <w:tbl>
      <w:tblPr>
        <w:tblW w:w="10324" w:type="dxa"/>
        <w:tblLook w:val="04A0" w:firstRow="1" w:lastRow="0" w:firstColumn="1" w:lastColumn="0" w:noHBand="0" w:noVBand="1"/>
      </w:tblPr>
      <w:tblGrid>
        <w:gridCol w:w="2055"/>
        <w:gridCol w:w="1064"/>
        <w:gridCol w:w="1126"/>
        <w:gridCol w:w="1250"/>
        <w:gridCol w:w="2905"/>
        <w:gridCol w:w="672"/>
        <w:gridCol w:w="1252"/>
      </w:tblGrid>
      <w:tr w:rsidR="00AA738D" w:rsidRPr="00AA738D" w14:paraId="26708647" w14:textId="77777777" w:rsidTr="006D0CAD">
        <w:trPr>
          <w:trHeight w:val="356"/>
        </w:trPr>
        <w:tc>
          <w:tcPr>
            <w:tcW w:w="2055" w:type="dxa"/>
            <w:tcBorders>
              <w:top w:val="nil"/>
              <w:left w:val="nil"/>
              <w:bottom w:val="single" w:sz="4" w:space="0" w:color="auto"/>
              <w:right w:val="nil"/>
            </w:tcBorders>
            <w:shd w:val="clear" w:color="auto" w:fill="auto"/>
            <w:vAlign w:val="center"/>
            <w:hideMark/>
          </w:tcPr>
          <w:p w14:paraId="7951A980"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 Fixed part</w:t>
            </w:r>
          </w:p>
        </w:tc>
        <w:tc>
          <w:tcPr>
            <w:tcW w:w="1064" w:type="dxa"/>
            <w:tcBorders>
              <w:top w:val="nil"/>
              <w:left w:val="nil"/>
              <w:bottom w:val="single" w:sz="4" w:space="0" w:color="auto"/>
              <w:right w:val="nil"/>
            </w:tcBorders>
            <w:shd w:val="clear" w:color="auto" w:fill="auto"/>
            <w:vAlign w:val="center"/>
            <w:hideMark/>
          </w:tcPr>
          <w:p w14:paraId="4CE09C2B"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β</w:t>
            </w:r>
          </w:p>
        </w:tc>
        <w:tc>
          <w:tcPr>
            <w:tcW w:w="1126" w:type="dxa"/>
            <w:tcBorders>
              <w:top w:val="nil"/>
              <w:left w:val="nil"/>
              <w:bottom w:val="single" w:sz="4" w:space="0" w:color="auto"/>
              <w:right w:val="nil"/>
            </w:tcBorders>
            <w:shd w:val="clear" w:color="auto" w:fill="auto"/>
            <w:vAlign w:val="center"/>
            <w:hideMark/>
          </w:tcPr>
          <w:p w14:paraId="5FD40372" w14:textId="77777777" w:rsidR="00335120" w:rsidRPr="00AA738D" w:rsidRDefault="00335120" w:rsidP="006D0CAD">
            <w:pPr>
              <w:jc w:val="center"/>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SE</w:t>
            </w:r>
          </w:p>
        </w:tc>
        <w:tc>
          <w:tcPr>
            <w:tcW w:w="1250" w:type="dxa"/>
            <w:tcBorders>
              <w:top w:val="nil"/>
              <w:left w:val="nil"/>
              <w:bottom w:val="single" w:sz="4" w:space="0" w:color="auto"/>
              <w:right w:val="nil"/>
            </w:tcBorders>
            <w:shd w:val="clear" w:color="auto" w:fill="auto"/>
            <w:vAlign w:val="center"/>
            <w:hideMark/>
          </w:tcPr>
          <w:p w14:paraId="639526D8"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p</w:t>
            </w:r>
          </w:p>
        </w:tc>
        <w:tc>
          <w:tcPr>
            <w:tcW w:w="2905" w:type="dxa"/>
            <w:tcBorders>
              <w:top w:val="nil"/>
              <w:left w:val="nil"/>
              <w:bottom w:val="single" w:sz="4" w:space="0" w:color="auto"/>
              <w:right w:val="nil"/>
            </w:tcBorders>
            <w:shd w:val="clear" w:color="auto" w:fill="auto"/>
            <w:noWrap/>
            <w:vAlign w:val="center"/>
            <w:hideMark/>
          </w:tcPr>
          <w:p w14:paraId="6C002507"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95% Confidence Interval</w:t>
            </w:r>
          </w:p>
        </w:tc>
        <w:tc>
          <w:tcPr>
            <w:tcW w:w="672" w:type="dxa"/>
            <w:tcBorders>
              <w:top w:val="nil"/>
              <w:left w:val="nil"/>
              <w:bottom w:val="single" w:sz="4" w:space="0" w:color="auto"/>
              <w:right w:val="nil"/>
            </w:tcBorders>
            <w:shd w:val="clear" w:color="auto" w:fill="auto"/>
            <w:noWrap/>
            <w:vAlign w:val="center"/>
            <w:hideMark/>
          </w:tcPr>
          <w:p w14:paraId="5C996159"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noWrap/>
            <w:vAlign w:val="center"/>
            <w:hideMark/>
          </w:tcPr>
          <w:p w14:paraId="03386B14"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666D1273" w14:textId="77777777" w:rsidTr="006D0CAD">
        <w:trPr>
          <w:trHeight w:val="316"/>
        </w:trPr>
        <w:tc>
          <w:tcPr>
            <w:tcW w:w="2055" w:type="dxa"/>
            <w:tcBorders>
              <w:top w:val="nil"/>
              <w:left w:val="nil"/>
              <w:bottom w:val="nil"/>
              <w:right w:val="nil"/>
            </w:tcBorders>
            <w:shd w:val="clear" w:color="auto" w:fill="auto"/>
            <w:vAlign w:val="center"/>
          </w:tcPr>
          <w:p w14:paraId="45DC2B7C" w14:textId="63276A5E"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Other traumatic SLE [cluster mean]</w:t>
            </w:r>
          </w:p>
        </w:tc>
        <w:tc>
          <w:tcPr>
            <w:tcW w:w="1064" w:type="dxa"/>
            <w:tcBorders>
              <w:top w:val="nil"/>
              <w:left w:val="nil"/>
              <w:bottom w:val="nil"/>
              <w:right w:val="nil"/>
            </w:tcBorders>
            <w:shd w:val="clear" w:color="auto" w:fill="auto"/>
            <w:vAlign w:val="center"/>
          </w:tcPr>
          <w:p w14:paraId="2A7D0EC9" w14:textId="7776F3D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.65</w:t>
            </w:r>
            <w:r w:rsidR="001F4625" w:rsidRPr="00AA738D">
              <w:rPr>
                <w:rFonts w:ascii="Times New Roman" w:hAnsi="Times New Roman" w:cs="Times New Roman"/>
                <w:sz w:val="22"/>
                <w:szCs w:val="22"/>
                <w:lang w:val="en-US"/>
              </w:rPr>
              <w:t>4</w:t>
            </w:r>
          </w:p>
        </w:tc>
        <w:tc>
          <w:tcPr>
            <w:tcW w:w="1126" w:type="dxa"/>
            <w:tcBorders>
              <w:top w:val="nil"/>
              <w:left w:val="nil"/>
              <w:bottom w:val="nil"/>
              <w:right w:val="nil"/>
            </w:tcBorders>
            <w:shd w:val="clear" w:color="auto" w:fill="auto"/>
            <w:vAlign w:val="center"/>
          </w:tcPr>
          <w:p w14:paraId="1AAD0D96" w14:textId="297578B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.196</w:t>
            </w:r>
          </w:p>
        </w:tc>
        <w:tc>
          <w:tcPr>
            <w:tcW w:w="1250" w:type="dxa"/>
            <w:tcBorders>
              <w:top w:val="nil"/>
              <w:left w:val="nil"/>
              <w:bottom w:val="nil"/>
              <w:right w:val="nil"/>
            </w:tcBorders>
            <w:shd w:val="clear" w:color="auto" w:fill="auto"/>
            <w:noWrap/>
            <w:vAlign w:val="center"/>
          </w:tcPr>
          <w:p w14:paraId="7BEF01CA" w14:textId="1AA4D6D4"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.001</w:t>
            </w:r>
          </w:p>
        </w:tc>
        <w:tc>
          <w:tcPr>
            <w:tcW w:w="4829" w:type="dxa"/>
            <w:gridSpan w:val="3"/>
            <w:tcBorders>
              <w:top w:val="nil"/>
              <w:left w:val="nil"/>
              <w:bottom w:val="nil"/>
              <w:right w:val="nil"/>
            </w:tcBorders>
            <w:shd w:val="clear" w:color="auto" w:fill="auto"/>
            <w:vAlign w:val="center"/>
          </w:tcPr>
          <w:p w14:paraId="1B249B78" w14:textId="5F164830"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[.26</w:t>
            </w:r>
            <w:r w:rsidR="00A6077D"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 1.03</w:t>
            </w:r>
            <w:r w:rsidR="00A6077D" w:rsidRPr="00AA738D">
              <w:rPr>
                <w:rFonts w:ascii="Times New Roman" w:hAnsi="Times New Roman" w:cs="Times New Roman"/>
                <w:sz w:val="22"/>
                <w:szCs w:val="22"/>
                <w:lang w:val="en-US"/>
              </w:rPr>
              <w:t>9</w:t>
            </w:r>
            <w:r w:rsidRPr="00AA738D">
              <w:rPr>
                <w:rFonts w:ascii="Times New Roman" w:hAnsi="Times New Roman" w:cs="Times New Roman"/>
                <w:sz w:val="22"/>
                <w:szCs w:val="22"/>
                <w:lang w:val="en-US"/>
              </w:rPr>
              <w:t>]</w:t>
            </w:r>
          </w:p>
        </w:tc>
      </w:tr>
      <w:tr w:rsidR="00AA738D" w:rsidRPr="00AA738D" w14:paraId="4061EB4A" w14:textId="77777777" w:rsidTr="006D0CAD">
        <w:trPr>
          <w:trHeight w:val="316"/>
        </w:trPr>
        <w:tc>
          <w:tcPr>
            <w:tcW w:w="2055" w:type="dxa"/>
            <w:tcBorders>
              <w:top w:val="nil"/>
              <w:left w:val="nil"/>
              <w:bottom w:val="nil"/>
              <w:right w:val="nil"/>
            </w:tcBorders>
            <w:shd w:val="clear" w:color="auto" w:fill="auto"/>
            <w:vAlign w:val="center"/>
          </w:tcPr>
          <w:p w14:paraId="0169A70A" w14:textId="553DC881"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Other traumatic SLE [cluster mean] * dizygotic</w:t>
            </w:r>
          </w:p>
        </w:tc>
        <w:tc>
          <w:tcPr>
            <w:tcW w:w="1064" w:type="dxa"/>
            <w:tcBorders>
              <w:top w:val="nil"/>
              <w:left w:val="nil"/>
              <w:bottom w:val="nil"/>
              <w:right w:val="nil"/>
            </w:tcBorders>
            <w:shd w:val="clear" w:color="auto" w:fill="auto"/>
            <w:vAlign w:val="center"/>
          </w:tcPr>
          <w:p w14:paraId="4D39D544" w14:textId="23364FB3"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-.08</w:t>
            </w:r>
            <w:r w:rsidR="001F4625" w:rsidRPr="00AA738D">
              <w:rPr>
                <w:rFonts w:ascii="Times New Roman" w:hAnsi="Times New Roman" w:cs="Times New Roman"/>
                <w:sz w:val="22"/>
                <w:szCs w:val="22"/>
                <w:lang w:val="en-US"/>
              </w:rPr>
              <w:t>5</w:t>
            </w:r>
            <w:r w:rsidR="00B424F9" w:rsidRPr="00AA738D">
              <w:rPr>
                <w:rFonts w:ascii="Times New Roman" w:hAnsi="Times New Roman" w:cs="Times New Roman"/>
                <w:sz w:val="22"/>
                <w:szCs w:val="22"/>
                <w:vertAlign w:val="superscript"/>
                <w:lang w:val="en-US"/>
              </w:rPr>
              <w:t>a</w:t>
            </w:r>
          </w:p>
        </w:tc>
        <w:tc>
          <w:tcPr>
            <w:tcW w:w="1126" w:type="dxa"/>
            <w:tcBorders>
              <w:top w:val="nil"/>
              <w:left w:val="nil"/>
              <w:bottom w:val="nil"/>
              <w:right w:val="nil"/>
            </w:tcBorders>
            <w:shd w:val="clear" w:color="auto" w:fill="auto"/>
            <w:vAlign w:val="center"/>
          </w:tcPr>
          <w:p w14:paraId="3EB7791B" w14:textId="410BDC5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w:t>
            </w:r>
            <w:r w:rsidR="001F4625" w:rsidRPr="00AA738D">
              <w:rPr>
                <w:rFonts w:ascii="Times New Roman" w:hAnsi="Times New Roman" w:cs="Times New Roman"/>
                <w:sz w:val="22"/>
                <w:szCs w:val="22"/>
                <w:lang w:val="en-US"/>
              </w:rPr>
              <w:t>40</w:t>
            </w:r>
          </w:p>
        </w:tc>
        <w:tc>
          <w:tcPr>
            <w:tcW w:w="1250" w:type="dxa"/>
            <w:tcBorders>
              <w:top w:val="nil"/>
              <w:left w:val="nil"/>
              <w:bottom w:val="nil"/>
              <w:right w:val="nil"/>
            </w:tcBorders>
            <w:shd w:val="clear" w:color="auto" w:fill="auto"/>
            <w:noWrap/>
            <w:vAlign w:val="center"/>
          </w:tcPr>
          <w:p w14:paraId="1FADD93A" w14:textId="7F112EAD"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.724</w:t>
            </w:r>
          </w:p>
        </w:tc>
        <w:tc>
          <w:tcPr>
            <w:tcW w:w="4829" w:type="dxa"/>
            <w:gridSpan w:val="3"/>
            <w:tcBorders>
              <w:top w:val="nil"/>
              <w:left w:val="nil"/>
              <w:bottom w:val="nil"/>
              <w:right w:val="nil"/>
            </w:tcBorders>
            <w:shd w:val="clear" w:color="auto" w:fill="auto"/>
            <w:vAlign w:val="center"/>
          </w:tcPr>
          <w:p w14:paraId="6B73466E" w14:textId="02D4527E"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[-.554, .38</w:t>
            </w:r>
            <w:r w:rsidR="00A6077D" w:rsidRPr="00AA738D">
              <w:rPr>
                <w:rFonts w:ascii="Times New Roman" w:hAnsi="Times New Roman" w:cs="Times New Roman"/>
                <w:sz w:val="22"/>
                <w:szCs w:val="22"/>
                <w:lang w:val="en-US"/>
              </w:rPr>
              <w:t>5</w:t>
            </w:r>
            <w:r w:rsidRPr="00AA738D">
              <w:rPr>
                <w:rFonts w:ascii="Times New Roman" w:hAnsi="Times New Roman" w:cs="Times New Roman"/>
                <w:sz w:val="22"/>
                <w:szCs w:val="22"/>
                <w:lang w:val="en-US"/>
              </w:rPr>
              <w:t>]</w:t>
            </w:r>
          </w:p>
        </w:tc>
      </w:tr>
      <w:tr w:rsidR="00AA738D" w:rsidRPr="00AA738D" w14:paraId="6A7ACE7A" w14:textId="77777777" w:rsidTr="006D0CAD">
        <w:trPr>
          <w:trHeight w:val="316"/>
        </w:trPr>
        <w:tc>
          <w:tcPr>
            <w:tcW w:w="2055" w:type="dxa"/>
            <w:tcBorders>
              <w:top w:val="nil"/>
              <w:left w:val="nil"/>
              <w:bottom w:val="nil"/>
              <w:right w:val="nil"/>
            </w:tcBorders>
            <w:shd w:val="clear" w:color="auto" w:fill="auto"/>
            <w:vAlign w:val="center"/>
          </w:tcPr>
          <w:p w14:paraId="078C3D25" w14:textId="3E41DE7F"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Other traumatic SLE [cluster mean centered]</w:t>
            </w:r>
          </w:p>
        </w:tc>
        <w:tc>
          <w:tcPr>
            <w:tcW w:w="1064" w:type="dxa"/>
            <w:tcBorders>
              <w:top w:val="nil"/>
              <w:left w:val="nil"/>
              <w:bottom w:val="nil"/>
              <w:right w:val="nil"/>
            </w:tcBorders>
            <w:shd w:val="clear" w:color="auto" w:fill="auto"/>
            <w:vAlign w:val="center"/>
          </w:tcPr>
          <w:p w14:paraId="2A125DF4" w14:textId="266D6A6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-.10</w:t>
            </w:r>
            <w:r w:rsidR="001F4625" w:rsidRPr="00AA738D">
              <w:rPr>
                <w:rFonts w:ascii="Times New Roman" w:hAnsi="Times New Roman" w:cs="Times New Roman"/>
                <w:sz w:val="22"/>
                <w:szCs w:val="22"/>
                <w:lang w:val="en-US"/>
              </w:rPr>
              <w:t>7</w:t>
            </w:r>
          </w:p>
        </w:tc>
        <w:tc>
          <w:tcPr>
            <w:tcW w:w="1126" w:type="dxa"/>
            <w:tcBorders>
              <w:top w:val="nil"/>
              <w:left w:val="nil"/>
              <w:bottom w:val="nil"/>
              <w:right w:val="nil"/>
            </w:tcBorders>
            <w:shd w:val="clear" w:color="auto" w:fill="auto"/>
            <w:vAlign w:val="center"/>
          </w:tcPr>
          <w:p w14:paraId="1DAB253F" w14:textId="4E9838A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.279</w:t>
            </w:r>
          </w:p>
        </w:tc>
        <w:tc>
          <w:tcPr>
            <w:tcW w:w="1250" w:type="dxa"/>
            <w:tcBorders>
              <w:top w:val="nil"/>
              <w:left w:val="nil"/>
              <w:bottom w:val="nil"/>
              <w:right w:val="nil"/>
            </w:tcBorders>
            <w:shd w:val="clear" w:color="auto" w:fill="auto"/>
            <w:noWrap/>
            <w:vAlign w:val="center"/>
          </w:tcPr>
          <w:p w14:paraId="49C09FED" w14:textId="40C24ED6"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.702</w:t>
            </w:r>
          </w:p>
        </w:tc>
        <w:tc>
          <w:tcPr>
            <w:tcW w:w="4829" w:type="dxa"/>
            <w:gridSpan w:val="3"/>
            <w:tcBorders>
              <w:top w:val="nil"/>
              <w:left w:val="nil"/>
              <w:bottom w:val="nil"/>
              <w:right w:val="nil"/>
            </w:tcBorders>
            <w:shd w:val="clear" w:color="auto" w:fill="auto"/>
            <w:vAlign w:val="center"/>
          </w:tcPr>
          <w:p w14:paraId="7DC43038" w14:textId="2300285D"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[-.65</w:t>
            </w:r>
            <w:r w:rsidR="00A6077D" w:rsidRPr="00AA738D">
              <w:rPr>
                <w:rFonts w:ascii="Times New Roman" w:hAnsi="Times New Roman" w:cs="Times New Roman"/>
                <w:sz w:val="22"/>
                <w:szCs w:val="22"/>
                <w:lang w:val="en-US"/>
              </w:rPr>
              <w:t>4</w:t>
            </w:r>
            <w:r w:rsidRPr="00AA738D">
              <w:rPr>
                <w:rFonts w:ascii="Times New Roman" w:hAnsi="Times New Roman" w:cs="Times New Roman"/>
                <w:sz w:val="22"/>
                <w:szCs w:val="22"/>
                <w:lang w:val="en-US"/>
              </w:rPr>
              <w:t>, .440]</w:t>
            </w:r>
          </w:p>
        </w:tc>
      </w:tr>
      <w:tr w:rsidR="00AA738D" w:rsidRPr="00AA738D" w14:paraId="7A7B4337" w14:textId="77777777" w:rsidTr="006D0CAD">
        <w:trPr>
          <w:trHeight w:val="316"/>
        </w:trPr>
        <w:tc>
          <w:tcPr>
            <w:tcW w:w="2055" w:type="dxa"/>
            <w:tcBorders>
              <w:top w:val="nil"/>
              <w:left w:val="nil"/>
              <w:bottom w:val="nil"/>
              <w:right w:val="nil"/>
            </w:tcBorders>
            <w:shd w:val="clear" w:color="auto" w:fill="auto"/>
            <w:vAlign w:val="center"/>
          </w:tcPr>
          <w:p w14:paraId="044FFB29" w14:textId="00017B9E"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Other traumatic SLE [cluster mean centered] * dizygotic</w:t>
            </w:r>
          </w:p>
        </w:tc>
        <w:tc>
          <w:tcPr>
            <w:tcW w:w="1064" w:type="dxa"/>
            <w:tcBorders>
              <w:top w:val="nil"/>
              <w:left w:val="nil"/>
              <w:bottom w:val="nil"/>
              <w:right w:val="nil"/>
            </w:tcBorders>
            <w:shd w:val="clear" w:color="auto" w:fill="auto"/>
            <w:vAlign w:val="center"/>
          </w:tcPr>
          <w:p w14:paraId="0B630966" w14:textId="233511E2"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.08</w:t>
            </w:r>
            <w:r w:rsidR="001F4625" w:rsidRPr="00AA738D">
              <w:rPr>
                <w:rFonts w:ascii="Times New Roman" w:hAnsi="Times New Roman" w:cs="Times New Roman"/>
                <w:sz w:val="22"/>
                <w:szCs w:val="22"/>
                <w:lang w:val="en-US"/>
              </w:rPr>
              <w:t>5</w:t>
            </w:r>
            <w:r w:rsidR="00B424F9" w:rsidRPr="00AA738D">
              <w:rPr>
                <w:rFonts w:ascii="Times New Roman" w:hAnsi="Times New Roman" w:cs="Times New Roman"/>
                <w:sz w:val="22"/>
                <w:szCs w:val="22"/>
                <w:vertAlign w:val="superscript"/>
                <w:lang w:val="en-US"/>
              </w:rPr>
              <w:t>a</w:t>
            </w:r>
          </w:p>
        </w:tc>
        <w:tc>
          <w:tcPr>
            <w:tcW w:w="1126" w:type="dxa"/>
            <w:tcBorders>
              <w:top w:val="nil"/>
              <w:left w:val="nil"/>
              <w:bottom w:val="nil"/>
              <w:right w:val="nil"/>
            </w:tcBorders>
            <w:shd w:val="clear" w:color="auto" w:fill="auto"/>
            <w:vAlign w:val="center"/>
          </w:tcPr>
          <w:p w14:paraId="716C35B0" w14:textId="5C1E52A9"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w:t>
            </w:r>
            <w:r w:rsidR="001F4625" w:rsidRPr="00AA738D">
              <w:rPr>
                <w:rFonts w:ascii="Times New Roman" w:hAnsi="Times New Roman" w:cs="Times New Roman"/>
                <w:sz w:val="22"/>
                <w:szCs w:val="22"/>
                <w:lang w:val="en-US"/>
              </w:rPr>
              <w:t>40</w:t>
            </w:r>
          </w:p>
        </w:tc>
        <w:tc>
          <w:tcPr>
            <w:tcW w:w="1250" w:type="dxa"/>
            <w:tcBorders>
              <w:top w:val="nil"/>
              <w:left w:val="nil"/>
              <w:bottom w:val="nil"/>
              <w:right w:val="nil"/>
            </w:tcBorders>
            <w:shd w:val="clear" w:color="auto" w:fill="auto"/>
            <w:noWrap/>
            <w:vAlign w:val="center"/>
          </w:tcPr>
          <w:p w14:paraId="5F54A483" w14:textId="1256095F"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.724</w:t>
            </w:r>
          </w:p>
        </w:tc>
        <w:tc>
          <w:tcPr>
            <w:tcW w:w="4829" w:type="dxa"/>
            <w:gridSpan w:val="3"/>
            <w:tcBorders>
              <w:top w:val="nil"/>
              <w:left w:val="nil"/>
              <w:bottom w:val="nil"/>
              <w:right w:val="nil"/>
            </w:tcBorders>
            <w:shd w:val="clear" w:color="auto" w:fill="auto"/>
            <w:vAlign w:val="center"/>
          </w:tcPr>
          <w:p w14:paraId="4D380DEE" w14:textId="132F108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[-.38</w:t>
            </w:r>
            <w:r w:rsidR="00A6077D" w:rsidRPr="00AA738D">
              <w:rPr>
                <w:rFonts w:ascii="Times New Roman" w:hAnsi="Times New Roman" w:cs="Times New Roman"/>
                <w:sz w:val="22"/>
                <w:szCs w:val="22"/>
                <w:lang w:val="en-US"/>
              </w:rPr>
              <w:t>5</w:t>
            </w:r>
            <w:r w:rsidRPr="00AA738D">
              <w:rPr>
                <w:rFonts w:ascii="Times New Roman" w:hAnsi="Times New Roman" w:cs="Times New Roman"/>
                <w:sz w:val="22"/>
                <w:szCs w:val="22"/>
                <w:lang w:val="en-US"/>
              </w:rPr>
              <w:t>, .554]</w:t>
            </w:r>
          </w:p>
        </w:tc>
      </w:tr>
      <w:tr w:rsidR="00AA738D" w:rsidRPr="00AA738D" w14:paraId="7AB3B855" w14:textId="77777777" w:rsidTr="006D0CAD">
        <w:trPr>
          <w:trHeight w:val="316"/>
        </w:trPr>
        <w:tc>
          <w:tcPr>
            <w:tcW w:w="2055" w:type="dxa"/>
            <w:tcBorders>
              <w:top w:val="nil"/>
              <w:left w:val="nil"/>
              <w:bottom w:val="nil"/>
              <w:right w:val="nil"/>
            </w:tcBorders>
            <w:shd w:val="clear" w:color="auto" w:fill="auto"/>
            <w:vAlign w:val="center"/>
            <w:hideMark/>
          </w:tcPr>
          <w:p w14:paraId="65CE9A6D" w14:textId="0F99C0D8"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 (</w:t>
            </w:r>
            <w:r w:rsidRPr="00AA738D">
              <w:rPr>
                <w:rFonts w:ascii="Times New Roman" w:hAnsi="Times New Roman" w:cs="Times New Roman"/>
                <w:i/>
                <w:iCs/>
                <w:sz w:val="22"/>
                <w:szCs w:val="22"/>
                <w:lang w:val="en-US"/>
              </w:rPr>
              <w:t>t</w:t>
            </w:r>
            <w:r w:rsidRPr="00AA738D">
              <w:rPr>
                <w:rFonts w:ascii="Times New Roman" w:hAnsi="Times New Roman" w:cs="Times New Roman"/>
                <w:sz w:val="22"/>
                <w:szCs w:val="22"/>
                <w:lang w:val="en-US"/>
              </w:rPr>
              <w:t>)</w:t>
            </w:r>
          </w:p>
        </w:tc>
        <w:tc>
          <w:tcPr>
            <w:tcW w:w="1064" w:type="dxa"/>
            <w:tcBorders>
              <w:top w:val="nil"/>
              <w:left w:val="nil"/>
              <w:bottom w:val="nil"/>
              <w:right w:val="nil"/>
            </w:tcBorders>
            <w:shd w:val="clear" w:color="auto" w:fill="auto"/>
            <w:vAlign w:val="center"/>
            <w:hideMark/>
          </w:tcPr>
          <w:p w14:paraId="420734C5" w14:textId="1887E1FB"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.464</w:t>
            </w:r>
          </w:p>
        </w:tc>
        <w:tc>
          <w:tcPr>
            <w:tcW w:w="1126" w:type="dxa"/>
            <w:tcBorders>
              <w:top w:val="nil"/>
              <w:left w:val="nil"/>
              <w:bottom w:val="nil"/>
              <w:right w:val="nil"/>
            </w:tcBorders>
            <w:shd w:val="clear" w:color="auto" w:fill="auto"/>
            <w:vAlign w:val="center"/>
            <w:hideMark/>
          </w:tcPr>
          <w:p w14:paraId="298035FF" w14:textId="2FF526E9"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.087</w:t>
            </w:r>
          </w:p>
        </w:tc>
        <w:tc>
          <w:tcPr>
            <w:tcW w:w="1250" w:type="dxa"/>
            <w:tcBorders>
              <w:top w:val="nil"/>
              <w:left w:val="nil"/>
              <w:bottom w:val="nil"/>
              <w:right w:val="nil"/>
            </w:tcBorders>
            <w:shd w:val="clear" w:color="auto" w:fill="auto"/>
            <w:noWrap/>
            <w:vAlign w:val="center"/>
            <w:hideMark/>
          </w:tcPr>
          <w:p w14:paraId="36A4359A" w14:textId="111A70B9"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hideMark/>
          </w:tcPr>
          <w:p w14:paraId="54A9371A" w14:textId="7B44B7C3"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[.294, .634]</w:t>
            </w:r>
          </w:p>
        </w:tc>
      </w:tr>
      <w:tr w:rsidR="00AA738D" w:rsidRPr="00AA738D" w14:paraId="228D055C" w14:textId="77777777" w:rsidTr="006D0CAD">
        <w:trPr>
          <w:trHeight w:val="316"/>
        </w:trPr>
        <w:tc>
          <w:tcPr>
            <w:tcW w:w="2055" w:type="dxa"/>
            <w:tcBorders>
              <w:top w:val="nil"/>
              <w:left w:val="nil"/>
              <w:bottom w:val="nil"/>
              <w:right w:val="nil"/>
            </w:tcBorders>
            <w:shd w:val="clear" w:color="auto" w:fill="auto"/>
            <w:vAlign w:val="center"/>
            <w:hideMark/>
          </w:tcPr>
          <w:p w14:paraId="5BB3978D" w14:textId="47914248"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2</w:t>
            </w:r>
          </w:p>
        </w:tc>
        <w:tc>
          <w:tcPr>
            <w:tcW w:w="1064" w:type="dxa"/>
            <w:tcBorders>
              <w:top w:val="nil"/>
              <w:left w:val="nil"/>
              <w:bottom w:val="nil"/>
              <w:right w:val="nil"/>
            </w:tcBorders>
            <w:shd w:val="clear" w:color="auto" w:fill="auto"/>
            <w:vAlign w:val="center"/>
            <w:hideMark/>
          </w:tcPr>
          <w:p w14:paraId="13C9F409" w14:textId="2AA8A4F7"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-.012</w:t>
            </w:r>
          </w:p>
        </w:tc>
        <w:tc>
          <w:tcPr>
            <w:tcW w:w="1126" w:type="dxa"/>
            <w:tcBorders>
              <w:top w:val="nil"/>
              <w:left w:val="nil"/>
              <w:bottom w:val="nil"/>
              <w:right w:val="nil"/>
            </w:tcBorders>
            <w:shd w:val="clear" w:color="auto" w:fill="auto"/>
            <w:vAlign w:val="center"/>
            <w:hideMark/>
          </w:tcPr>
          <w:p w14:paraId="45A3C1C1" w14:textId="22CD6549"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.004</w:t>
            </w:r>
          </w:p>
        </w:tc>
        <w:tc>
          <w:tcPr>
            <w:tcW w:w="1250" w:type="dxa"/>
            <w:tcBorders>
              <w:top w:val="nil"/>
              <w:left w:val="nil"/>
              <w:bottom w:val="nil"/>
              <w:right w:val="nil"/>
            </w:tcBorders>
            <w:shd w:val="clear" w:color="auto" w:fill="auto"/>
            <w:noWrap/>
            <w:vAlign w:val="center"/>
            <w:hideMark/>
          </w:tcPr>
          <w:p w14:paraId="364CE3B4" w14:textId="3CB354EC"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.001</w:t>
            </w:r>
          </w:p>
        </w:tc>
        <w:tc>
          <w:tcPr>
            <w:tcW w:w="4829" w:type="dxa"/>
            <w:gridSpan w:val="3"/>
            <w:tcBorders>
              <w:top w:val="nil"/>
              <w:left w:val="nil"/>
              <w:bottom w:val="nil"/>
              <w:right w:val="nil"/>
            </w:tcBorders>
            <w:shd w:val="clear" w:color="auto" w:fill="auto"/>
            <w:vAlign w:val="center"/>
            <w:hideMark/>
          </w:tcPr>
          <w:p w14:paraId="3EC83B05" w14:textId="5B5D2232"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[-.019, -.005]</w:t>
            </w:r>
          </w:p>
        </w:tc>
      </w:tr>
      <w:tr w:rsidR="00AA738D" w:rsidRPr="00AA738D" w14:paraId="5A5859DB" w14:textId="77777777" w:rsidTr="006D0CAD">
        <w:trPr>
          <w:trHeight w:val="316"/>
        </w:trPr>
        <w:tc>
          <w:tcPr>
            <w:tcW w:w="2055" w:type="dxa"/>
            <w:tcBorders>
              <w:top w:val="nil"/>
              <w:left w:val="nil"/>
              <w:bottom w:val="nil"/>
              <w:right w:val="nil"/>
            </w:tcBorders>
            <w:shd w:val="clear" w:color="auto" w:fill="auto"/>
            <w:vAlign w:val="center"/>
            <w:hideMark/>
          </w:tcPr>
          <w:p w14:paraId="17136C65" w14:textId="56AE7483"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3</w:t>
            </w:r>
          </w:p>
        </w:tc>
        <w:tc>
          <w:tcPr>
            <w:tcW w:w="1064" w:type="dxa"/>
            <w:tcBorders>
              <w:top w:val="nil"/>
              <w:left w:val="nil"/>
              <w:bottom w:val="nil"/>
              <w:right w:val="nil"/>
            </w:tcBorders>
            <w:shd w:val="clear" w:color="auto" w:fill="auto"/>
            <w:vAlign w:val="center"/>
            <w:hideMark/>
          </w:tcPr>
          <w:p w14:paraId="5F322D97" w14:textId="7DB8A62B"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126" w:type="dxa"/>
            <w:tcBorders>
              <w:top w:val="nil"/>
              <w:left w:val="nil"/>
              <w:bottom w:val="nil"/>
              <w:right w:val="nil"/>
            </w:tcBorders>
            <w:shd w:val="clear" w:color="auto" w:fill="auto"/>
            <w:vAlign w:val="center"/>
            <w:hideMark/>
          </w:tcPr>
          <w:p w14:paraId="230BDDF6" w14:textId="2FCBC4F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250" w:type="dxa"/>
            <w:tcBorders>
              <w:top w:val="nil"/>
              <w:left w:val="nil"/>
              <w:bottom w:val="nil"/>
              <w:right w:val="nil"/>
            </w:tcBorders>
            <w:shd w:val="clear" w:color="auto" w:fill="auto"/>
            <w:noWrap/>
            <w:vAlign w:val="center"/>
            <w:hideMark/>
          </w:tcPr>
          <w:p w14:paraId="194EF39F" w14:textId="37512A67"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.027</w:t>
            </w:r>
          </w:p>
        </w:tc>
        <w:tc>
          <w:tcPr>
            <w:tcW w:w="4829" w:type="dxa"/>
            <w:gridSpan w:val="3"/>
            <w:tcBorders>
              <w:top w:val="nil"/>
              <w:left w:val="nil"/>
              <w:bottom w:val="nil"/>
              <w:right w:val="nil"/>
            </w:tcBorders>
            <w:shd w:val="clear" w:color="auto" w:fill="auto"/>
            <w:vAlign w:val="center"/>
            <w:hideMark/>
          </w:tcPr>
          <w:p w14:paraId="04E4D8A8" w14:textId="557F70B6"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[.000, .000]</w:t>
            </w:r>
          </w:p>
        </w:tc>
      </w:tr>
      <w:tr w:rsidR="00AA738D" w:rsidRPr="00AA738D" w14:paraId="015CCFBA" w14:textId="77777777" w:rsidTr="006D0CAD">
        <w:trPr>
          <w:trHeight w:val="316"/>
        </w:trPr>
        <w:tc>
          <w:tcPr>
            <w:tcW w:w="2055" w:type="dxa"/>
            <w:tcBorders>
              <w:top w:val="nil"/>
              <w:left w:val="nil"/>
              <w:bottom w:val="nil"/>
              <w:right w:val="nil"/>
            </w:tcBorders>
            <w:shd w:val="clear" w:color="auto" w:fill="auto"/>
            <w:vAlign w:val="center"/>
            <w:hideMark/>
          </w:tcPr>
          <w:p w14:paraId="0A7C0293" w14:textId="1513DB6C"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Wave 2</w:t>
            </w:r>
          </w:p>
        </w:tc>
        <w:tc>
          <w:tcPr>
            <w:tcW w:w="1064" w:type="dxa"/>
            <w:tcBorders>
              <w:top w:val="nil"/>
              <w:left w:val="nil"/>
              <w:bottom w:val="nil"/>
              <w:right w:val="nil"/>
            </w:tcBorders>
            <w:shd w:val="clear" w:color="auto" w:fill="auto"/>
            <w:vAlign w:val="center"/>
            <w:hideMark/>
          </w:tcPr>
          <w:p w14:paraId="527B76FA" w14:textId="35D587E4"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-.397</w:t>
            </w:r>
          </w:p>
        </w:tc>
        <w:tc>
          <w:tcPr>
            <w:tcW w:w="1126" w:type="dxa"/>
            <w:tcBorders>
              <w:top w:val="nil"/>
              <w:left w:val="nil"/>
              <w:bottom w:val="nil"/>
              <w:right w:val="nil"/>
            </w:tcBorders>
            <w:shd w:val="clear" w:color="auto" w:fill="auto"/>
            <w:vAlign w:val="center"/>
            <w:hideMark/>
          </w:tcPr>
          <w:p w14:paraId="659029C9" w14:textId="5BCAFE8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.085</w:t>
            </w:r>
          </w:p>
        </w:tc>
        <w:tc>
          <w:tcPr>
            <w:tcW w:w="1250" w:type="dxa"/>
            <w:tcBorders>
              <w:top w:val="nil"/>
              <w:left w:val="nil"/>
              <w:bottom w:val="nil"/>
              <w:right w:val="nil"/>
            </w:tcBorders>
            <w:shd w:val="clear" w:color="auto" w:fill="auto"/>
            <w:noWrap/>
            <w:vAlign w:val="center"/>
            <w:hideMark/>
          </w:tcPr>
          <w:p w14:paraId="66A00378" w14:textId="356D602D"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hideMark/>
          </w:tcPr>
          <w:p w14:paraId="23B211AD" w14:textId="29693ECE"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[-.564, -.231]</w:t>
            </w:r>
          </w:p>
        </w:tc>
      </w:tr>
      <w:tr w:rsidR="00AA738D" w:rsidRPr="00AA738D" w14:paraId="60097951" w14:textId="77777777" w:rsidTr="006D0CAD">
        <w:trPr>
          <w:trHeight w:val="316"/>
        </w:trPr>
        <w:tc>
          <w:tcPr>
            <w:tcW w:w="2055" w:type="dxa"/>
            <w:tcBorders>
              <w:top w:val="nil"/>
              <w:left w:val="nil"/>
              <w:bottom w:val="nil"/>
              <w:right w:val="nil"/>
            </w:tcBorders>
            <w:shd w:val="clear" w:color="auto" w:fill="auto"/>
            <w:vAlign w:val="center"/>
          </w:tcPr>
          <w:p w14:paraId="6099B6AF" w14:textId="459B30BD"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Sex (female)</w:t>
            </w:r>
          </w:p>
        </w:tc>
        <w:tc>
          <w:tcPr>
            <w:tcW w:w="1064" w:type="dxa"/>
            <w:tcBorders>
              <w:top w:val="nil"/>
              <w:left w:val="nil"/>
              <w:bottom w:val="nil"/>
              <w:right w:val="nil"/>
            </w:tcBorders>
            <w:shd w:val="clear" w:color="auto" w:fill="auto"/>
            <w:vAlign w:val="center"/>
          </w:tcPr>
          <w:p w14:paraId="0402468C" w14:textId="6DA99C9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.756</w:t>
            </w:r>
          </w:p>
        </w:tc>
        <w:tc>
          <w:tcPr>
            <w:tcW w:w="1126" w:type="dxa"/>
            <w:tcBorders>
              <w:top w:val="nil"/>
              <w:left w:val="nil"/>
              <w:bottom w:val="nil"/>
              <w:right w:val="nil"/>
            </w:tcBorders>
            <w:shd w:val="clear" w:color="auto" w:fill="auto"/>
            <w:vAlign w:val="center"/>
          </w:tcPr>
          <w:p w14:paraId="6659282C" w14:textId="1EE88C0B"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.127</w:t>
            </w:r>
          </w:p>
        </w:tc>
        <w:tc>
          <w:tcPr>
            <w:tcW w:w="1250" w:type="dxa"/>
            <w:tcBorders>
              <w:top w:val="nil"/>
              <w:left w:val="nil"/>
              <w:bottom w:val="nil"/>
              <w:right w:val="nil"/>
            </w:tcBorders>
            <w:shd w:val="clear" w:color="auto" w:fill="auto"/>
            <w:noWrap/>
            <w:vAlign w:val="center"/>
          </w:tcPr>
          <w:p w14:paraId="05670C7C" w14:textId="7D907A2C"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.001</w:t>
            </w:r>
          </w:p>
        </w:tc>
        <w:tc>
          <w:tcPr>
            <w:tcW w:w="4829" w:type="dxa"/>
            <w:gridSpan w:val="3"/>
            <w:tcBorders>
              <w:top w:val="nil"/>
              <w:left w:val="nil"/>
              <w:bottom w:val="nil"/>
              <w:right w:val="nil"/>
            </w:tcBorders>
            <w:shd w:val="clear" w:color="auto" w:fill="auto"/>
            <w:vAlign w:val="center"/>
          </w:tcPr>
          <w:p w14:paraId="5D56A51F" w14:textId="1D026AB1"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[.507, 1.004]</w:t>
            </w:r>
          </w:p>
        </w:tc>
      </w:tr>
      <w:tr w:rsidR="00AA738D" w:rsidRPr="00AA738D" w14:paraId="504E6DC8" w14:textId="77777777" w:rsidTr="006D0CAD">
        <w:trPr>
          <w:trHeight w:val="335"/>
        </w:trPr>
        <w:tc>
          <w:tcPr>
            <w:tcW w:w="2055" w:type="dxa"/>
            <w:tcBorders>
              <w:top w:val="nil"/>
              <w:left w:val="nil"/>
              <w:bottom w:val="single" w:sz="8" w:space="0" w:color="auto"/>
              <w:right w:val="nil"/>
            </w:tcBorders>
            <w:shd w:val="clear" w:color="auto" w:fill="auto"/>
            <w:vAlign w:val="center"/>
            <w:hideMark/>
          </w:tcPr>
          <w:p w14:paraId="667FF735" w14:textId="00C3C825"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Fixed intercept</w:t>
            </w:r>
          </w:p>
        </w:tc>
        <w:tc>
          <w:tcPr>
            <w:tcW w:w="1064" w:type="dxa"/>
            <w:tcBorders>
              <w:top w:val="nil"/>
              <w:left w:val="nil"/>
              <w:bottom w:val="single" w:sz="8" w:space="0" w:color="auto"/>
              <w:right w:val="nil"/>
            </w:tcBorders>
            <w:shd w:val="clear" w:color="auto" w:fill="auto"/>
            <w:vAlign w:val="center"/>
            <w:hideMark/>
          </w:tcPr>
          <w:p w14:paraId="563BA3D7" w14:textId="71E1DDA0"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-11.878</w:t>
            </w:r>
          </w:p>
        </w:tc>
        <w:tc>
          <w:tcPr>
            <w:tcW w:w="1126" w:type="dxa"/>
            <w:tcBorders>
              <w:top w:val="nil"/>
              <w:left w:val="nil"/>
              <w:bottom w:val="single" w:sz="8" w:space="0" w:color="auto"/>
              <w:right w:val="nil"/>
            </w:tcBorders>
            <w:shd w:val="clear" w:color="auto" w:fill="auto"/>
            <w:vAlign w:val="center"/>
            <w:hideMark/>
          </w:tcPr>
          <w:p w14:paraId="4909450C" w14:textId="0100271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.679</w:t>
            </w:r>
          </w:p>
        </w:tc>
        <w:tc>
          <w:tcPr>
            <w:tcW w:w="1250" w:type="dxa"/>
            <w:tcBorders>
              <w:top w:val="nil"/>
              <w:left w:val="nil"/>
              <w:bottom w:val="single" w:sz="8" w:space="0" w:color="auto"/>
              <w:right w:val="nil"/>
            </w:tcBorders>
            <w:shd w:val="clear" w:color="auto" w:fill="auto"/>
            <w:noWrap/>
            <w:vAlign w:val="center"/>
            <w:hideMark/>
          </w:tcPr>
          <w:p w14:paraId="03AAC451" w14:textId="4C732922"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xml:space="preserve">&lt; .001 </w:t>
            </w:r>
          </w:p>
        </w:tc>
        <w:tc>
          <w:tcPr>
            <w:tcW w:w="4829" w:type="dxa"/>
            <w:gridSpan w:val="3"/>
            <w:tcBorders>
              <w:top w:val="nil"/>
              <w:left w:val="nil"/>
              <w:bottom w:val="single" w:sz="8" w:space="0" w:color="auto"/>
              <w:right w:val="nil"/>
            </w:tcBorders>
            <w:shd w:val="clear" w:color="auto" w:fill="auto"/>
            <w:vAlign w:val="center"/>
            <w:hideMark/>
          </w:tcPr>
          <w:p w14:paraId="4939FA91" w14:textId="3BE7D37A"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[-13.207, -10.548]</w:t>
            </w:r>
          </w:p>
        </w:tc>
      </w:tr>
      <w:tr w:rsidR="00AA738D" w:rsidRPr="00AA738D" w14:paraId="01BC35A5" w14:textId="77777777" w:rsidTr="006D0CAD">
        <w:trPr>
          <w:trHeight w:val="375"/>
        </w:trPr>
        <w:tc>
          <w:tcPr>
            <w:tcW w:w="2055" w:type="dxa"/>
            <w:tcBorders>
              <w:top w:val="nil"/>
              <w:left w:val="nil"/>
              <w:bottom w:val="single" w:sz="4" w:space="0" w:color="auto"/>
              <w:right w:val="nil"/>
            </w:tcBorders>
            <w:shd w:val="clear" w:color="auto" w:fill="auto"/>
            <w:vAlign w:val="center"/>
            <w:hideMark/>
          </w:tcPr>
          <w:p w14:paraId="6BD67B14"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Random part</w:t>
            </w:r>
          </w:p>
        </w:tc>
        <w:tc>
          <w:tcPr>
            <w:tcW w:w="1064" w:type="dxa"/>
            <w:tcBorders>
              <w:top w:val="nil"/>
              <w:left w:val="nil"/>
              <w:bottom w:val="single" w:sz="4" w:space="0" w:color="auto"/>
              <w:right w:val="nil"/>
            </w:tcBorders>
            <w:shd w:val="clear" w:color="auto" w:fill="auto"/>
            <w:noWrap/>
            <w:vAlign w:val="center"/>
            <w:hideMark/>
          </w:tcPr>
          <w:p w14:paraId="1E3C9DE9"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126" w:type="dxa"/>
            <w:tcBorders>
              <w:top w:val="nil"/>
              <w:left w:val="nil"/>
              <w:bottom w:val="single" w:sz="4" w:space="0" w:color="auto"/>
              <w:right w:val="nil"/>
            </w:tcBorders>
            <w:shd w:val="clear" w:color="auto" w:fill="auto"/>
            <w:noWrap/>
            <w:vAlign w:val="center"/>
            <w:hideMark/>
          </w:tcPr>
          <w:p w14:paraId="1682C000"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0" w:type="dxa"/>
            <w:tcBorders>
              <w:top w:val="nil"/>
              <w:left w:val="nil"/>
              <w:bottom w:val="single" w:sz="4" w:space="0" w:color="auto"/>
              <w:right w:val="nil"/>
            </w:tcBorders>
            <w:shd w:val="clear" w:color="auto" w:fill="auto"/>
            <w:noWrap/>
            <w:vAlign w:val="bottom"/>
            <w:hideMark/>
          </w:tcPr>
          <w:p w14:paraId="310C7700"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2905" w:type="dxa"/>
            <w:tcBorders>
              <w:top w:val="nil"/>
              <w:left w:val="nil"/>
              <w:bottom w:val="single" w:sz="4" w:space="0" w:color="auto"/>
              <w:right w:val="nil"/>
            </w:tcBorders>
            <w:shd w:val="clear" w:color="auto" w:fill="auto"/>
            <w:noWrap/>
            <w:vAlign w:val="bottom"/>
            <w:hideMark/>
          </w:tcPr>
          <w:p w14:paraId="463DFAEA" w14:textId="77777777" w:rsidR="00335120" w:rsidRPr="00AA738D" w:rsidRDefault="00335120" w:rsidP="006D0CAD">
            <w:pPr>
              <w:jc w:val="center"/>
              <w:rPr>
                <w:rFonts w:ascii="Times New Roman" w:hAnsi="Times New Roman" w:cs="Times New Roman"/>
                <w:sz w:val="22"/>
                <w:szCs w:val="22"/>
                <w:lang w:val="en-US"/>
              </w:rPr>
            </w:pPr>
          </w:p>
        </w:tc>
        <w:tc>
          <w:tcPr>
            <w:tcW w:w="672" w:type="dxa"/>
            <w:tcBorders>
              <w:top w:val="nil"/>
              <w:left w:val="nil"/>
              <w:bottom w:val="single" w:sz="4" w:space="0" w:color="auto"/>
              <w:right w:val="nil"/>
            </w:tcBorders>
            <w:shd w:val="clear" w:color="auto" w:fill="auto"/>
            <w:noWrap/>
            <w:vAlign w:val="center"/>
            <w:hideMark/>
          </w:tcPr>
          <w:p w14:paraId="52CFBA86"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vAlign w:val="center"/>
            <w:hideMark/>
          </w:tcPr>
          <w:p w14:paraId="06338684"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39BCFB6A" w14:textId="77777777" w:rsidTr="006D0CAD">
        <w:trPr>
          <w:trHeight w:val="316"/>
        </w:trPr>
        <w:tc>
          <w:tcPr>
            <w:tcW w:w="2055" w:type="dxa"/>
            <w:tcBorders>
              <w:top w:val="nil"/>
              <w:left w:val="nil"/>
              <w:bottom w:val="nil"/>
              <w:right w:val="nil"/>
            </w:tcBorders>
            <w:shd w:val="clear" w:color="auto" w:fill="auto"/>
            <w:vAlign w:val="center"/>
            <w:hideMark/>
          </w:tcPr>
          <w:p w14:paraId="2C62BD8E"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A</m:t>
                    </m:r>
                  </m:sub>
                </m:sSub>
              </m:oMath>
            </m:oMathPara>
          </w:p>
        </w:tc>
        <w:tc>
          <w:tcPr>
            <w:tcW w:w="1064" w:type="dxa"/>
            <w:tcBorders>
              <w:top w:val="nil"/>
              <w:left w:val="nil"/>
              <w:bottom w:val="nil"/>
              <w:right w:val="nil"/>
            </w:tcBorders>
            <w:shd w:val="clear" w:color="auto" w:fill="auto"/>
            <w:vAlign w:val="center"/>
            <w:hideMark/>
          </w:tcPr>
          <w:p w14:paraId="630EB66B" w14:textId="47A8B42E"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1.512</w:t>
            </w:r>
          </w:p>
        </w:tc>
        <w:tc>
          <w:tcPr>
            <w:tcW w:w="1126" w:type="dxa"/>
            <w:tcBorders>
              <w:top w:val="nil"/>
              <w:left w:val="nil"/>
              <w:bottom w:val="nil"/>
              <w:right w:val="nil"/>
            </w:tcBorders>
            <w:shd w:val="clear" w:color="auto" w:fill="auto"/>
            <w:vAlign w:val="center"/>
            <w:hideMark/>
          </w:tcPr>
          <w:p w14:paraId="467922CD" w14:textId="2E151FC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.289</w:t>
            </w:r>
          </w:p>
        </w:tc>
        <w:tc>
          <w:tcPr>
            <w:tcW w:w="1250" w:type="dxa"/>
            <w:tcBorders>
              <w:top w:val="nil"/>
              <w:left w:val="nil"/>
              <w:bottom w:val="nil"/>
              <w:right w:val="nil"/>
            </w:tcBorders>
            <w:shd w:val="clear" w:color="auto" w:fill="auto"/>
            <w:noWrap/>
            <w:vAlign w:val="bottom"/>
            <w:hideMark/>
          </w:tcPr>
          <w:p w14:paraId="3038FCF2"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154CAE07" w14:textId="36F478A1"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[1.039, 2.200]</w:t>
            </w:r>
          </w:p>
        </w:tc>
      </w:tr>
      <w:tr w:rsidR="00335120" w:rsidRPr="00AA738D" w14:paraId="419A29DB" w14:textId="77777777" w:rsidTr="006D0CAD">
        <w:trPr>
          <w:trHeight w:val="77"/>
        </w:trPr>
        <w:tc>
          <w:tcPr>
            <w:tcW w:w="2055" w:type="dxa"/>
            <w:tcBorders>
              <w:top w:val="nil"/>
              <w:left w:val="nil"/>
              <w:bottom w:val="nil"/>
              <w:right w:val="nil"/>
            </w:tcBorders>
            <w:shd w:val="clear" w:color="auto" w:fill="auto"/>
            <w:vAlign w:val="center"/>
            <w:hideMark/>
          </w:tcPr>
          <w:p w14:paraId="2205E62E"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E</m:t>
                    </m:r>
                  </m:sub>
                </m:sSub>
              </m:oMath>
            </m:oMathPara>
          </w:p>
        </w:tc>
        <w:tc>
          <w:tcPr>
            <w:tcW w:w="1064" w:type="dxa"/>
            <w:tcBorders>
              <w:top w:val="nil"/>
              <w:left w:val="nil"/>
              <w:bottom w:val="nil"/>
              <w:right w:val="nil"/>
            </w:tcBorders>
            <w:shd w:val="clear" w:color="auto" w:fill="auto"/>
            <w:noWrap/>
            <w:vAlign w:val="center"/>
            <w:hideMark/>
          </w:tcPr>
          <w:p w14:paraId="575C2FED" w14:textId="5BC478D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1.215</w:t>
            </w:r>
          </w:p>
        </w:tc>
        <w:tc>
          <w:tcPr>
            <w:tcW w:w="1126" w:type="dxa"/>
            <w:tcBorders>
              <w:top w:val="nil"/>
              <w:left w:val="nil"/>
              <w:bottom w:val="nil"/>
              <w:right w:val="nil"/>
            </w:tcBorders>
            <w:shd w:val="clear" w:color="auto" w:fill="auto"/>
            <w:noWrap/>
            <w:vAlign w:val="center"/>
            <w:hideMark/>
          </w:tcPr>
          <w:p w14:paraId="06A7804D" w14:textId="1B5D1E29"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.301</w:t>
            </w:r>
          </w:p>
        </w:tc>
        <w:tc>
          <w:tcPr>
            <w:tcW w:w="1250" w:type="dxa"/>
            <w:tcBorders>
              <w:top w:val="nil"/>
              <w:left w:val="nil"/>
              <w:bottom w:val="nil"/>
              <w:right w:val="nil"/>
            </w:tcBorders>
            <w:shd w:val="clear" w:color="auto" w:fill="auto"/>
            <w:noWrap/>
            <w:vAlign w:val="bottom"/>
            <w:hideMark/>
          </w:tcPr>
          <w:p w14:paraId="62F1BE59"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6F2034E5" w14:textId="5D37324C"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[.74</w:t>
            </w:r>
            <w:r w:rsidR="00A6077D" w:rsidRPr="00AA738D">
              <w:rPr>
                <w:rFonts w:ascii="Times New Roman" w:hAnsi="Times New Roman" w:cs="Times New Roman"/>
                <w:sz w:val="22"/>
                <w:szCs w:val="22"/>
                <w:lang w:val="en-US"/>
              </w:rPr>
              <w:t>8</w:t>
            </w:r>
            <w:r w:rsidRPr="00AA738D">
              <w:rPr>
                <w:rFonts w:ascii="Times New Roman" w:hAnsi="Times New Roman" w:cs="Times New Roman"/>
                <w:sz w:val="22"/>
                <w:szCs w:val="22"/>
                <w:lang w:val="en-US"/>
              </w:rPr>
              <w:t>, 1.975]</w:t>
            </w:r>
          </w:p>
        </w:tc>
      </w:tr>
    </w:tbl>
    <w:p w14:paraId="5244895B" w14:textId="77777777" w:rsidR="00335120" w:rsidRPr="00AA738D" w:rsidRDefault="00335120" w:rsidP="00335120">
      <w:pPr>
        <w:rPr>
          <w:rFonts w:ascii="Times New Roman" w:hAnsi="Times New Roman" w:cs="Times New Roman"/>
          <w:i/>
          <w:iCs/>
          <w:sz w:val="22"/>
          <w:szCs w:val="22"/>
          <w:lang w:val="en-US"/>
        </w:rPr>
      </w:pPr>
    </w:p>
    <w:p w14:paraId="2A5636E3" w14:textId="299187D2" w:rsidR="00335120" w:rsidRPr="00AA738D" w:rsidRDefault="00335120" w:rsidP="00335120">
      <w:pPr>
        <w:rPr>
          <w:rFonts w:ascii="Times New Roman" w:hAnsi="Times New Roman" w:cs="Times New Roman"/>
          <w:sz w:val="22"/>
          <w:szCs w:val="22"/>
          <w:lang w:val="en-US"/>
        </w:rPr>
      </w:pPr>
      <w:r w:rsidRPr="00AA738D">
        <w:rPr>
          <w:rFonts w:ascii="Times New Roman" w:hAnsi="Times New Roman" w:cs="Times New Roman"/>
          <w:sz w:val="22"/>
          <w:szCs w:val="22"/>
          <w:lang w:val="en-US"/>
        </w:rPr>
        <w:t>AIC = 8899.936 (</w:t>
      </w:r>
      <w:proofErr w:type="spellStart"/>
      <w:r w:rsidRPr="00AA738D">
        <w:rPr>
          <w:rFonts w:ascii="Times New Roman" w:hAnsi="Times New Roman" w:cs="Times New Roman"/>
          <w:sz w:val="22"/>
          <w:szCs w:val="22"/>
          <w:lang w:val="en-US"/>
        </w:rPr>
        <w:t>df</w:t>
      </w:r>
      <w:proofErr w:type="spellEnd"/>
      <w:r w:rsidRPr="00AA738D">
        <w:rPr>
          <w:rFonts w:ascii="Times New Roman" w:hAnsi="Times New Roman" w:cs="Times New Roman"/>
          <w:sz w:val="22"/>
          <w:szCs w:val="22"/>
          <w:lang w:val="en-US"/>
        </w:rPr>
        <w:t xml:space="preserve"> = 11)</w:t>
      </w:r>
    </w:p>
    <w:p w14:paraId="4884593D" w14:textId="77777777" w:rsidR="00335120" w:rsidRPr="00AA738D" w:rsidRDefault="00335120" w:rsidP="00335120">
      <w:pPr>
        <w:rPr>
          <w:rFonts w:ascii="Times New Roman" w:hAnsi="Times New Roman" w:cs="Times New Roman"/>
          <w:sz w:val="22"/>
          <w:szCs w:val="22"/>
          <w:lang w:val="en-US"/>
        </w:rPr>
      </w:pPr>
    </w:p>
    <w:p w14:paraId="18604A89" w14:textId="41A45AFD" w:rsidR="00335120" w:rsidRPr="00AA738D" w:rsidRDefault="00B424F9" w:rsidP="00335120">
      <w:pPr>
        <w:spacing w:line="360" w:lineRule="auto"/>
        <w:rPr>
          <w:rFonts w:ascii="Times New Roman" w:hAnsi="Times New Roman" w:cs="Times New Roman"/>
          <w:sz w:val="22"/>
          <w:szCs w:val="22"/>
          <w:lang w:val="en-US"/>
        </w:rPr>
      </w:pPr>
      <w:proofErr w:type="spellStart"/>
      <w:r w:rsidRPr="00AA738D">
        <w:rPr>
          <w:rFonts w:ascii="Times New Roman" w:hAnsi="Times New Roman" w:cs="Times New Roman"/>
          <w:sz w:val="22"/>
          <w:szCs w:val="22"/>
          <w:vertAlign w:val="superscript"/>
          <w:lang w:val="en-US"/>
        </w:rPr>
        <w:t>a</w:t>
      </w:r>
      <w:r w:rsidRPr="00AA738D">
        <w:rPr>
          <w:rFonts w:ascii="Times New Roman" w:hAnsi="Times New Roman" w:cs="Times New Roman"/>
          <w:sz w:val="22"/>
          <w:szCs w:val="22"/>
          <w:lang w:val="en-US"/>
        </w:rPr>
        <w:t>Estimated</w:t>
      </w:r>
      <w:proofErr w:type="spellEnd"/>
      <w:r w:rsidRPr="00AA738D">
        <w:rPr>
          <w:rFonts w:ascii="Times New Roman" w:hAnsi="Times New Roman" w:cs="Times New Roman"/>
          <w:sz w:val="22"/>
          <w:szCs w:val="22"/>
          <w:lang w:val="en-US"/>
        </w:rPr>
        <w:t xml:space="preserve"> as single parameter.</w:t>
      </w:r>
    </w:p>
    <w:p w14:paraId="41182749" w14:textId="492E5AE7" w:rsidR="00335120" w:rsidRPr="00AA738D" w:rsidRDefault="00335120" w:rsidP="00335120">
      <w:pPr>
        <w:spacing w:line="360" w:lineRule="auto"/>
        <w:rPr>
          <w:rFonts w:ascii="Times New Roman" w:hAnsi="Times New Roman" w:cs="Times New Roman"/>
          <w:b/>
          <w:bCs/>
          <w:sz w:val="22"/>
          <w:szCs w:val="22"/>
          <w:lang w:val="en-US"/>
        </w:rPr>
      </w:pPr>
    </w:p>
    <w:p w14:paraId="12621C7F" w14:textId="6B1ACF4A" w:rsidR="00A87823" w:rsidRPr="00AA738D" w:rsidRDefault="00A87823" w:rsidP="00335120">
      <w:pPr>
        <w:spacing w:line="360" w:lineRule="auto"/>
        <w:rPr>
          <w:rFonts w:ascii="Times New Roman" w:hAnsi="Times New Roman" w:cs="Times New Roman"/>
          <w:b/>
          <w:bCs/>
          <w:sz w:val="22"/>
          <w:szCs w:val="22"/>
          <w:lang w:val="en-US"/>
        </w:rPr>
      </w:pPr>
    </w:p>
    <w:p w14:paraId="7E8F3C5F" w14:textId="580BF754" w:rsidR="00A87823" w:rsidRPr="00AA738D" w:rsidRDefault="00A87823" w:rsidP="00335120">
      <w:pPr>
        <w:spacing w:line="360" w:lineRule="auto"/>
        <w:rPr>
          <w:rFonts w:ascii="Times New Roman" w:hAnsi="Times New Roman" w:cs="Times New Roman"/>
          <w:b/>
          <w:bCs/>
          <w:sz w:val="22"/>
          <w:szCs w:val="22"/>
          <w:lang w:val="en-US"/>
        </w:rPr>
      </w:pPr>
    </w:p>
    <w:p w14:paraId="5E1C443B" w14:textId="500169C7" w:rsidR="00A87823" w:rsidRPr="00AA738D" w:rsidRDefault="00A87823" w:rsidP="00335120">
      <w:pPr>
        <w:spacing w:line="360" w:lineRule="auto"/>
        <w:rPr>
          <w:rFonts w:ascii="Times New Roman" w:hAnsi="Times New Roman" w:cs="Times New Roman"/>
          <w:b/>
          <w:bCs/>
          <w:sz w:val="22"/>
          <w:szCs w:val="22"/>
          <w:lang w:val="en-US"/>
        </w:rPr>
      </w:pPr>
    </w:p>
    <w:p w14:paraId="6143CDC2" w14:textId="01397CD9" w:rsidR="00A87823" w:rsidRPr="00AA738D" w:rsidRDefault="00A87823" w:rsidP="00335120">
      <w:pPr>
        <w:spacing w:line="360" w:lineRule="auto"/>
        <w:rPr>
          <w:rFonts w:ascii="Times New Roman" w:hAnsi="Times New Roman" w:cs="Times New Roman"/>
          <w:b/>
          <w:bCs/>
          <w:sz w:val="22"/>
          <w:szCs w:val="22"/>
          <w:lang w:val="en-US"/>
        </w:rPr>
      </w:pPr>
    </w:p>
    <w:p w14:paraId="15773D7E" w14:textId="604CC49B" w:rsidR="00A87823" w:rsidRPr="00AA738D" w:rsidRDefault="00A87823" w:rsidP="00335120">
      <w:pPr>
        <w:spacing w:line="360" w:lineRule="auto"/>
        <w:rPr>
          <w:rFonts w:ascii="Times New Roman" w:hAnsi="Times New Roman" w:cs="Times New Roman"/>
          <w:b/>
          <w:bCs/>
          <w:sz w:val="22"/>
          <w:szCs w:val="22"/>
          <w:lang w:val="en-US"/>
        </w:rPr>
      </w:pPr>
    </w:p>
    <w:p w14:paraId="7C1F51F6" w14:textId="58983A89" w:rsidR="00A87823" w:rsidRPr="00AA738D" w:rsidRDefault="00A87823" w:rsidP="00335120">
      <w:pPr>
        <w:spacing w:line="360" w:lineRule="auto"/>
        <w:rPr>
          <w:rFonts w:ascii="Times New Roman" w:hAnsi="Times New Roman" w:cs="Times New Roman"/>
          <w:b/>
          <w:bCs/>
          <w:sz w:val="22"/>
          <w:szCs w:val="22"/>
          <w:lang w:val="en-US"/>
        </w:rPr>
      </w:pPr>
    </w:p>
    <w:p w14:paraId="630A7076" w14:textId="22893EC7" w:rsidR="00A87823" w:rsidRPr="00AA738D" w:rsidRDefault="00A87823" w:rsidP="00335120">
      <w:pPr>
        <w:spacing w:line="360" w:lineRule="auto"/>
        <w:rPr>
          <w:rFonts w:ascii="Times New Roman" w:hAnsi="Times New Roman" w:cs="Times New Roman"/>
          <w:b/>
          <w:bCs/>
          <w:sz w:val="22"/>
          <w:szCs w:val="22"/>
          <w:lang w:val="en-US"/>
        </w:rPr>
      </w:pPr>
    </w:p>
    <w:p w14:paraId="063A1EF4" w14:textId="51523288" w:rsidR="00A87823" w:rsidRPr="00AA738D" w:rsidRDefault="00A87823" w:rsidP="00335120">
      <w:pPr>
        <w:spacing w:line="360" w:lineRule="auto"/>
        <w:rPr>
          <w:rFonts w:ascii="Times New Roman" w:hAnsi="Times New Roman" w:cs="Times New Roman"/>
          <w:b/>
          <w:bCs/>
          <w:sz w:val="22"/>
          <w:szCs w:val="22"/>
          <w:lang w:val="en-US"/>
        </w:rPr>
      </w:pPr>
    </w:p>
    <w:p w14:paraId="59696A7D" w14:textId="3C272A82" w:rsidR="00A87823" w:rsidRPr="00AA738D" w:rsidRDefault="00A87823" w:rsidP="00335120">
      <w:pPr>
        <w:spacing w:line="360" w:lineRule="auto"/>
        <w:rPr>
          <w:rFonts w:ascii="Times New Roman" w:hAnsi="Times New Roman" w:cs="Times New Roman"/>
          <w:b/>
          <w:bCs/>
          <w:sz w:val="22"/>
          <w:szCs w:val="22"/>
          <w:lang w:val="en-US"/>
        </w:rPr>
      </w:pPr>
    </w:p>
    <w:p w14:paraId="459682AF" w14:textId="3A205C06" w:rsidR="00A87823" w:rsidRPr="00AA738D" w:rsidRDefault="00A87823" w:rsidP="00335120">
      <w:pPr>
        <w:spacing w:line="360" w:lineRule="auto"/>
        <w:rPr>
          <w:rFonts w:ascii="Times New Roman" w:hAnsi="Times New Roman" w:cs="Times New Roman"/>
          <w:b/>
          <w:bCs/>
          <w:sz w:val="22"/>
          <w:szCs w:val="22"/>
          <w:lang w:val="en-US"/>
        </w:rPr>
      </w:pPr>
    </w:p>
    <w:p w14:paraId="067733F7" w14:textId="26113FC8" w:rsidR="00A87823" w:rsidRPr="00AA738D" w:rsidRDefault="00A87823" w:rsidP="00335120">
      <w:pPr>
        <w:spacing w:line="360" w:lineRule="auto"/>
        <w:rPr>
          <w:rFonts w:ascii="Times New Roman" w:hAnsi="Times New Roman" w:cs="Times New Roman"/>
          <w:b/>
          <w:bCs/>
          <w:sz w:val="22"/>
          <w:szCs w:val="22"/>
          <w:lang w:val="en-US"/>
        </w:rPr>
      </w:pPr>
    </w:p>
    <w:p w14:paraId="7EC8A635" w14:textId="5A0B1405" w:rsidR="00A87823" w:rsidRPr="00AA738D" w:rsidRDefault="00A87823" w:rsidP="00335120">
      <w:pPr>
        <w:spacing w:line="360" w:lineRule="auto"/>
        <w:rPr>
          <w:rFonts w:ascii="Times New Roman" w:hAnsi="Times New Roman" w:cs="Times New Roman"/>
          <w:b/>
          <w:bCs/>
          <w:sz w:val="22"/>
          <w:szCs w:val="22"/>
          <w:lang w:val="en-US"/>
        </w:rPr>
      </w:pPr>
    </w:p>
    <w:p w14:paraId="760BF6E7" w14:textId="121D8A55" w:rsidR="00A87823" w:rsidRPr="00AA738D" w:rsidRDefault="00A87823" w:rsidP="00335120">
      <w:pPr>
        <w:spacing w:line="360" w:lineRule="auto"/>
        <w:rPr>
          <w:rFonts w:ascii="Times New Roman" w:hAnsi="Times New Roman" w:cs="Times New Roman"/>
          <w:b/>
          <w:bCs/>
          <w:sz w:val="22"/>
          <w:szCs w:val="22"/>
          <w:lang w:val="en-US"/>
        </w:rPr>
      </w:pPr>
    </w:p>
    <w:p w14:paraId="12509953" w14:textId="77777777" w:rsidR="00A87823" w:rsidRPr="00AA738D" w:rsidRDefault="00A87823" w:rsidP="00335120">
      <w:pPr>
        <w:spacing w:line="360" w:lineRule="auto"/>
        <w:rPr>
          <w:rFonts w:ascii="Times New Roman" w:hAnsi="Times New Roman" w:cs="Times New Roman"/>
          <w:b/>
          <w:bCs/>
          <w:sz w:val="22"/>
          <w:szCs w:val="22"/>
          <w:lang w:val="en-US"/>
        </w:rPr>
      </w:pPr>
    </w:p>
    <w:p w14:paraId="56A7FA3A" w14:textId="77777777" w:rsidR="00335120" w:rsidRPr="00AA738D" w:rsidRDefault="00335120" w:rsidP="00335120">
      <w:pPr>
        <w:spacing w:line="480" w:lineRule="auto"/>
        <w:rPr>
          <w:rFonts w:ascii="Times New Roman" w:hAnsi="Times New Roman" w:cs="Times New Roman"/>
          <w:b/>
          <w:bCs/>
          <w:sz w:val="22"/>
          <w:szCs w:val="22"/>
          <w:lang w:val="en-US"/>
        </w:rPr>
      </w:pPr>
      <w:r w:rsidRPr="00AA738D">
        <w:rPr>
          <w:rFonts w:ascii="Times New Roman" w:hAnsi="Times New Roman" w:cs="Times New Roman"/>
          <w:b/>
          <w:bCs/>
          <w:sz w:val="22"/>
          <w:szCs w:val="22"/>
          <w:lang w:val="en-US"/>
        </w:rPr>
        <w:lastRenderedPageBreak/>
        <w:t xml:space="preserve">Table A4. </w:t>
      </w:r>
    </w:p>
    <w:p w14:paraId="053773B1" w14:textId="77777777" w:rsidR="00335120" w:rsidRPr="00AA738D" w:rsidRDefault="00335120" w:rsidP="00335120">
      <w:pPr>
        <w:spacing w:line="360" w:lineRule="auto"/>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 xml:space="preserve">AE Model With Economic SLEs and Only Threshold </w:t>
      </w:r>
      <w:proofErr w:type="spellStart"/>
      <w:r w:rsidRPr="00AA738D">
        <w:rPr>
          <w:rFonts w:ascii="Times New Roman" w:hAnsi="Times New Roman" w:cs="Times New Roman"/>
          <w:i/>
          <w:iCs/>
          <w:sz w:val="22"/>
          <w:szCs w:val="22"/>
          <w:lang w:val="en-US"/>
        </w:rPr>
        <w:t>MDE</w:t>
      </w:r>
      <w:proofErr w:type="spellEnd"/>
      <w:r w:rsidRPr="00AA738D">
        <w:rPr>
          <w:rFonts w:ascii="Times New Roman" w:hAnsi="Times New Roman" w:cs="Times New Roman"/>
          <w:i/>
          <w:iCs/>
          <w:sz w:val="22"/>
          <w:szCs w:val="22"/>
          <w:lang w:val="en-US"/>
        </w:rPr>
        <w:t xml:space="preserve"> Diagnoses</w:t>
      </w:r>
    </w:p>
    <w:tbl>
      <w:tblPr>
        <w:tblW w:w="10343" w:type="dxa"/>
        <w:tblLook w:val="04A0" w:firstRow="1" w:lastRow="0" w:firstColumn="1" w:lastColumn="0" w:noHBand="0" w:noVBand="1"/>
      </w:tblPr>
      <w:tblGrid>
        <w:gridCol w:w="2018"/>
        <w:gridCol w:w="1101"/>
        <w:gridCol w:w="1145"/>
        <w:gridCol w:w="1250"/>
        <w:gridCol w:w="2905"/>
        <w:gridCol w:w="672"/>
        <w:gridCol w:w="1252"/>
      </w:tblGrid>
      <w:tr w:rsidR="00AA738D" w:rsidRPr="00AA738D" w14:paraId="3B1F8148" w14:textId="77777777" w:rsidTr="006D0CAD">
        <w:trPr>
          <w:trHeight w:val="356"/>
        </w:trPr>
        <w:tc>
          <w:tcPr>
            <w:tcW w:w="2018" w:type="dxa"/>
            <w:tcBorders>
              <w:top w:val="nil"/>
              <w:left w:val="nil"/>
              <w:bottom w:val="single" w:sz="4" w:space="0" w:color="auto"/>
              <w:right w:val="nil"/>
            </w:tcBorders>
            <w:shd w:val="clear" w:color="auto" w:fill="auto"/>
            <w:vAlign w:val="center"/>
            <w:hideMark/>
          </w:tcPr>
          <w:p w14:paraId="3B5E0100"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 Fixed part</w:t>
            </w:r>
          </w:p>
        </w:tc>
        <w:tc>
          <w:tcPr>
            <w:tcW w:w="1101" w:type="dxa"/>
            <w:tcBorders>
              <w:top w:val="nil"/>
              <w:left w:val="nil"/>
              <w:bottom w:val="single" w:sz="4" w:space="0" w:color="auto"/>
              <w:right w:val="nil"/>
            </w:tcBorders>
            <w:shd w:val="clear" w:color="auto" w:fill="auto"/>
            <w:vAlign w:val="center"/>
            <w:hideMark/>
          </w:tcPr>
          <w:p w14:paraId="20594394"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β</w:t>
            </w:r>
          </w:p>
        </w:tc>
        <w:tc>
          <w:tcPr>
            <w:tcW w:w="1145" w:type="dxa"/>
            <w:tcBorders>
              <w:top w:val="nil"/>
              <w:left w:val="nil"/>
              <w:bottom w:val="single" w:sz="4" w:space="0" w:color="auto"/>
              <w:right w:val="nil"/>
            </w:tcBorders>
            <w:shd w:val="clear" w:color="auto" w:fill="auto"/>
            <w:vAlign w:val="center"/>
            <w:hideMark/>
          </w:tcPr>
          <w:p w14:paraId="1B8251CB" w14:textId="77777777" w:rsidR="00335120" w:rsidRPr="00AA738D" w:rsidRDefault="00335120" w:rsidP="006D0CAD">
            <w:pPr>
              <w:jc w:val="center"/>
              <w:rPr>
                <w:rFonts w:ascii="Times New Roman" w:hAnsi="Times New Roman" w:cs="Times New Roman"/>
                <w:i/>
                <w:iCs/>
                <w:sz w:val="22"/>
                <w:szCs w:val="22"/>
                <w:lang w:val="en-US"/>
              </w:rPr>
            </w:pPr>
            <w:r w:rsidRPr="00AA738D">
              <w:rPr>
                <w:rFonts w:ascii="Times New Roman" w:hAnsi="Times New Roman" w:cs="Times New Roman"/>
                <w:i/>
                <w:iCs/>
                <w:sz w:val="22"/>
                <w:szCs w:val="22"/>
                <w:lang w:val="en-US"/>
              </w:rPr>
              <w:t>SE</w:t>
            </w:r>
          </w:p>
        </w:tc>
        <w:tc>
          <w:tcPr>
            <w:tcW w:w="1250" w:type="dxa"/>
            <w:tcBorders>
              <w:top w:val="nil"/>
              <w:left w:val="nil"/>
              <w:bottom w:val="single" w:sz="4" w:space="0" w:color="auto"/>
              <w:right w:val="nil"/>
            </w:tcBorders>
            <w:shd w:val="clear" w:color="auto" w:fill="auto"/>
            <w:vAlign w:val="center"/>
            <w:hideMark/>
          </w:tcPr>
          <w:p w14:paraId="7188A818"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p</w:t>
            </w:r>
          </w:p>
        </w:tc>
        <w:tc>
          <w:tcPr>
            <w:tcW w:w="2905" w:type="dxa"/>
            <w:tcBorders>
              <w:top w:val="nil"/>
              <w:left w:val="nil"/>
              <w:bottom w:val="single" w:sz="4" w:space="0" w:color="auto"/>
              <w:right w:val="nil"/>
            </w:tcBorders>
            <w:shd w:val="clear" w:color="auto" w:fill="auto"/>
            <w:noWrap/>
            <w:vAlign w:val="center"/>
            <w:hideMark/>
          </w:tcPr>
          <w:p w14:paraId="22A58846"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95% Confidence Interval</w:t>
            </w:r>
          </w:p>
        </w:tc>
        <w:tc>
          <w:tcPr>
            <w:tcW w:w="672" w:type="dxa"/>
            <w:tcBorders>
              <w:top w:val="nil"/>
              <w:left w:val="nil"/>
              <w:bottom w:val="single" w:sz="4" w:space="0" w:color="auto"/>
              <w:right w:val="nil"/>
            </w:tcBorders>
            <w:shd w:val="clear" w:color="auto" w:fill="auto"/>
            <w:noWrap/>
            <w:vAlign w:val="center"/>
            <w:hideMark/>
          </w:tcPr>
          <w:p w14:paraId="43699A1B"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noWrap/>
            <w:vAlign w:val="center"/>
            <w:hideMark/>
          </w:tcPr>
          <w:p w14:paraId="4549CBE2"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32EE0B19" w14:textId="77777777" w:rsidTr="006D0CAD">
        <w:trPr>
          <w:trHeight w:val="316"/>
        </w:trPr>
        <w:tc>
          <w:tcPr>
            <w:tcW w:w="2018" w:type="dxa"/>
            <w:tcBorders>
              <w:top w:val="nil"/>
              <w:left w:val="nil"/>
              <w:bottom w:val="nil"/>
              <w:right w:val="nil"/>
            </w:tcBorders>
            <w:shd w:val="clear" w:color="auto" w:fill="auto"/>
            <w:vAlign w:val="center"/>
          </w:tcPr>
          <w:p w14:paraId="42AF7B60" w14:textId="0DDAE628"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Economic SLE [cluster mean]</w:t>
            </w:r>
          </w:p>
        </w:tc>
        <w:tc>
          <w:tcPr>
            <w:tcW w:w="1101" w:type="dxa"/>
            <w:tcBorders>
              <w:top w:val="nil"/>
              <w:left w:val="nil"/>
              <w:bottom w:val="nil"/>
              <w:right w:val="nil"/>
            </w:tcBorders>
            <w:shd w:val="clear" w:color="auto" w:fill="auto"/>
            <w:vAlign w:val="center"/>
          </w:tcPr>
          <w:p w14:paraId="611CF202" w14:textId="4F144094"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.516</w:t>
            </w:r>
          </w:p>
        </w:tc>
        <w:tc>
          <w:tcPr>
            <w:tcW w:w="1145" w:type="dxa"/>
            <w:tcBorders>
              <w:top w:val="nil"/>
              <w:left w:val="nil"/>
              <w:bottom w:val="nil"/>
              <w:right w:val="nil"/>
            </w:tcBorders>
            <w:shd w:val="clear" w:color="auto" w:fill="auto"/>
            <w:vAlign w:val="center"/>
          </w:tcPr>
          <w:p w14:paraId="2E7D124A" w14:textId="56FE5DEF"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.238</w:t>
            </w:r>
          </w:p>
        </w:tc>
        <w:tc>
          <w:tcPr>
            <w:tcW w:w="1250" w:type="dxa"/>
            <w:tcBorders>
              <w:top w:val="nil"/>
              <w:left w:val="nil"/>
              <w:bottom w:val="nil"/>
              <w:right w:val="nil"/>
            </w:tcBorders>
            <w:shd w:val="clear" w:color="auto" w:fill="auto"/>
            <w:noWrap/>
            <w:vAlign w:val="center"/>
          </w:tcPr>
          <w:p w14:paraId="0F337960" w14:textId="77667070"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.030</w:t>
            </w:r>
          </w:p>
        </w:tc>
        <w:tc>
          <w:tcPr>
            <w:tcW w:w="4829" w:type="dxa"/>
            <w:gridSpan w:val="3"/>
            <w:tcBorders>
              <w:top w:val="nil"/>
              <w:left w:val="nil"/>
              <w:bottom w:val="nil"/>
              <w:right w:val="nil"/>
            </w:tcBorders>
            <w:shd w:val="clear" w:color="auto" w:fill="auto"/>
            <w:vAlign w:val="center"/>
          </w:tcPr>
          <w:p w14:paraId="44C41F35" w14:textId="50AC1620"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[.049, .983]</w:t>
            </w:r>
          </w:p>
        </w:tc>
      </w:tr>
      <w:tr w:rsidR="00AA738D" w:rsidRPr="00AA738D" w14:paraId="4B0C329E" w14:textId="77777777" w:rsidTr="006D0CAD">
        <w:trPr>
          <w:trHeight w:val="316"/>
        </w:trPr>
        <w:tc>
          <w:tcPr>
            <w:tcW w:w="2018" w:type="dxa"/>
            <w:tcBorders>
              <w:top w:val="nil"/>
              <w:left w:val="nil"/>
              <w:bottom w:val="nil"/>
              <w:right w:val="nil"/>
            </w:tcBorders>
            <w:shd w:val="clear" w:color="auto" w:fill="auto"/>
            <w:vAlign w:val="center"/>
          </w:tcPr>
          <w:p w14:paraId="712C8590" w14:textId="7FBD07C9"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Economic SLE [cluster mean] * dizygotic</w:t>
            </w:r>
          </w:p>
        </w:tc>
        <w:tc>
          <w:tcPr>
            <w:tcW w:w="1101" w:type="dxa"/>
            <w:tcBorders>
              <w:top w:val="nil"/>
              <w:left w:val="nil"/>
              <w:bottom w:val="nil"/>
              <w:right w:val="nil"/>
            </w:tcBorders>
            <w:shd w:val="clear" w:color="auto" w:fill="auto"/>
            <w:vAlign w:val="center"/>
          </w:tcPr>
          <w:p w14:paraId="540CCA17" w14:textId="0A9F608D"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.165</w:t>
            </w:r>
            <w:r w:rsidR="00B424F9" w:rsidRPr="00AA738D">
              <w:rPr>
                <w:rFonts w:ascii="Times New Roman" w:hAnsi="Times New Roman" w:cs="Times New Roman"/>
                <w:sz w:val="22"/>
                <w:szCs w:val="22"/>
                <w:vertAlign w:val="superscript"/>
                <w:lang w:val="en-US"/>
              </w:rPr>
              <w:t>a</w:t>
            </w:r>
          </w:p>
        </w:tc>
        <w:tc>
          <w:tcPr>
            <w:tcW w:w="1145" w:type="dxa"/>
            <w:tcBorders>
              <w:top w:val="nil"/>
              <w:left w:val="nil"/>
              <w:bottom w:val="nil"/>
              <w:right w:val="nil"/>
            </w:tcBorders>
            <w:shd w:val="clear" w:color="auto" w:fill="auto"/>
            <w:vAlign w:val="center"/>
          </w:tcPr>
          <w:p w14:paraId="09B1BA09" w14:textId="5F045F8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.311</w:t>
            </w:r>
          </w:p>
        </w:tc>
        <w:tc>
          <w:tcPr>
            <w:tcW w:w="1250" w:type="dxa"/>
            <w:tcBorders>
              <w:top w:val="nil"/>
              <w:left w:val="nil"/>
              <w:bottom w:val="nil"/>
              <w:right w:val="nil"/>
            </w:tcBorders>
            <w:shd w:val="clear" w:color="auto" w:fill="auto"/>
            <w:noWrap/>
            <w:vAlign w:val="center"/>
          </w:tcPr>
          <w:p w14:paraId="023AB168" w14:textId="45D0F4B0"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.595</w:t>
            </w:r>
          </w:p>
        </w:tc>
        <w:tc>
          <w:tcPr>
            <w:tcW w:w="4829" w:type="dxa"/>
            <w:gridSpan w:val="3"/>
            <w:tcBorders>
              <w:top w:val="nil"/>
              <w:left w:val="nil"/>
              <w:bottom w:val="nil"/>
              <w:right w:val="nil"/>
            </w:tcBorders>
            <w:shd w:val="clear" w:color="auto" w:fill="auto"/>
            <w:vAlign w:val="center"/>
          </w:tcPr>
          <w:p w14:paraId="20B496DC" w14:textId="6D13C174"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[-.44</w:t>
            </w:r>
            <w:r w:rsidR="00382E2D" w:rsidRPr="00AA738D">
              <w:rPr>
                <w:rFonts w:ascii="Times New Roman" w:hAnsi="Times New Roman" w:cs="Times New Roman"/>
                <w:sz w:val="22"/>
                <w:szCs w:val="22"/>
                <w:lang w:val="en-US"/>
              </w:rPr>
              <w:t>5</w:t>
            </w:r>
            <w:r w:rsidRPr="00AA738D">
              <w:rPr>
                <w:rFonts w:ascii="Times New Roman" w:hAnsi="Times New Roman" w:cs="Times New Roman"/>
                <w:sz w:val="22"/>
                <w:szCs w:val="22"/>
                <w:lang w:val="en-US"/>
              </w:rPr>
              <w:t>, .775]</w:t>
            </w:r>
          </w:p>
        </w:tc>
      </w:tr>
      <w:tr w:rsidR="00AA738D" w:rsidRPr="00AA738D" w14:paraId="213E827C" w14:textId="77777777" w:rsidTr="006D0CAD">
        <w:trPr>
          <w:trHeight w:val="316"/>
        </w:trPr>
        <w:tc>
          <w:tcPr>
            <w:tcW w:w="2018" w:type="dxa"/>
            <w:tcBorders>
              <w:top w:val="nil"/>
              <w:left w:val="nil"/>
              <w:bottom w:val="nil"/>
              <w:right w:val="nil"/>
            </w:tcBorders>
            <w:shd w:val="clear" w:color="auto" w:fill="auto"/>
            <w:vAlign w:val="center"/>
          </w:tcPr>
          <w:p w14:paraId="2DFEA6D3" w14:textId="154B6F93"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Economic SLE [cluster mean centered]</w:t>
            </w:r>
          </w:p>
        </w:tc>
        <w:tc>
          <w:tcPr>
            <w:tcW w:w="1101" w:type="dxa"/>
            <w:tcBorders>
              <w:top w:val="nil"/>
              <w:left w:val="nil"/>
              <w:bottom w:val="nil"/>
              <w:right w:val="nil"/>
            </w:tcBorders>
            <w:shd w:val="clear" w:color="auto" w:fill="auto"/>
            <w:vAlign w:val="center"/>
          </w:tcPr>
          <w:p w14:paraId="1D52B4D0" w14:textId="37AE60C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.86</w:t>
            </w:r>
            <w:r w:rsidR="009A2A2E">
              <w:rPr>
                <w:rFonts w:ascii="Times New Roman" w:hAnsi="Times New Roman" w:cs="Times New Roman"/>
                <w:sz w:val="22"/>
                <w:szCs w:val="22"/>
                <w:lang w:val="en-US"/>
              </w:rPr>
              <w:t>1</w:t>
            </w:r>
          </w:p>
        </w:tc>
        <w:tc>
          <w:tcPr>
            <w:tcW w:w="1145" w:type="dxa"/>
            <w:tcBorders>
              <w:top w:val="nil"/>
              <w:left w:val="nil"/>
              <w:bottom w:val="nil"/>
              <w:right w:val="nil"/>
            </w:tcBorders>
            <w:shd w:val="clear" w:color="auto" w:fill="auto"/>
            <w:vAlign w:val="center"/>
          </w:tcPr>
          <w:p w14:paraId="08EF3FF8" w14:textId="24DC851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.31</w:t>
            </w:r>
            <w:r w:rsidR="003E467B">
              <w:rPr>
                <w:rFonts w:ascii="Times New Roman" w:hAnsi="Times New Roman" w:cs="Times New Roman"/>
                <w:sz w:val="22"/>
                <w:szCs w:val="22"/>
                <w:lang w:val="en-US"/>
              </w:rPr>
              <w:t>7</w:t>
            </w:r>
          </w:p>
        </w:tc>
        <w:tc>
          <w:tcPr>
            <w:tcW w:w="1250" w:type="dxa"/>
            <w:tcBorders>
              <w:top w:val="nil"/>
              <w:left w:val="nil"/>
              <w:bottom w:val="nil"/>
              <w:right w:val="nil"/>
            </w:tcBorders>
            <w:shd w:val="clear" w:color="auto" w:fill="auto"/>
            <w:noWrap/>
            <w:vAlign w:val="center"/>
          </w:tcPr>
          <w:p w14:paraId="5D75CD9B" w14:textId="53905600"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.007</w:t>
            </w:r>
          </w:p>
        </w:tc>
        <w:tc>
          <w:tcPr>
            <w:tcW w:w="4829" w:type="dxa"/>
            <w:gridSpan w:val="3"/>
            <w:tcBorders>
              <w:top w:val="nil"/>
              <w:left w:val="nil"/>
              <w:bottom w:val="nil"/>
              <w:right w:val="nil"/>
            </w:tcBorders>
            <w:shd w:val="clear" w:color="auto" w:fill="auto"/>
            <w:vAlign w:val="center"/>
          </w:tcPr>
          <w:p w14:paraId="0B5D9C36" w14:textId="2CC585F1"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[.239, 1.48</w:t>
            </w:r>
            <w:r w:rsidR="00382E2D" w:rsidRPr="00AA738D">
              <w:rPr>
                <w:rFonts w:ascii="Times New Roman" w:hAnsi="Times New Roman" w:cs="Times New Roman"/>
                <w:sz w:val="22"/>
                <w:szCs w:val="22"/>
                <w:lang w:val="en-US"/>
              </w:rPr>
              <w:t>4</w:t>
            </w:r>
            <w:r w:rsidRPr="00AA738D">
              <w:rPr>
                <w:rFonts w:ascii="Times New Roman" w:hAnsi="Times New Roman" w:cs="Times New Roman"/>
                <w:sz w:val="22"/>
                <w:szCs w:val="22"/>
                <w:lang w:val="en-US"/>
              </w:rPr>
              <w:t>]</w:t>
            </w:r>
          </w:p>
        </w:tc>
      </w:tr>
      <w:tr w:rsidR="00AA738D" w:rsidRPr="00AA738D" w14:paraId="42C69145" w14:textId="77777777" w:rsidTr="006D0CAD">
        <w:trPr>
          <w:trHeight w:val="316"/>
        </w:trPr>
        <w:tc>
          <w:tcPr>
            <w:tcW w:w="2018" w:type="dxa"/>
            <w:tcBorders>
              <w:top w:val="nil"/>
              <w:left w:val="nil"/>
              <w:bottom w:val="nil"/>
              <w:right w:val="nil"/>
            </w:tcBorders>
            <w:shd w:val="clear" w:color="auto" w:fill="auto"/>
            <w:vAlign w:val="center"/>
          </w:tcPr>
          <w:p w14:paraId="762091BB" w14:textId="536AF7D4" w:rsidR="00335120" w:rsidRPr="00AA738D" w:rsidRDefault="00B424F9"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Economic SLE [cluster mean centered] * dizygotic</w:t>
            </w:r>
          </w:p>
        </w:tc>
        <w:tc>
          <w:tcPr>
            <w:tcW w:w="1101" w:type="dxa"/>
            <w:tcBorders>
              <w:top w:val="nil"/>
              <w:left w:val="nil"/>
              <w:bottom w:val="nil"/>
              <w:right w:val="nil"/>
            </w:tcBorders>
            <w:shd w:val="clear" w:color="auto" w:fill="auto"/>
            <w:vAlign w:val="center"/>
          </w:tcPr>
          <w:p w14:paraId="5A83A619" w14:textId="7B914EED" w:rsidR="00335120" w:rsidRPr="00AA738D" w:rsidRDefault="00335120" w:rsidP="006D0CAD">
            <w:pPr>
              <w:jc w:val="center"/>
              <w:rPr>
                <w:rFonts w:ascii="Times New Roman" w:hAnsi="Times New Roman" w:cs="Times New Roman"/>
                <w:sz w:val="22"/>
                <w:szCs w:val="22"/>
                <w:vertAlign w:val="superscript"/>
                <w:lang w:val="en-US"/>
              </w:rPr>
            </w:pPr>
            <w:r w:rsidRPr="00AA738D">
              <w:rPr>
                <w:rFonts w:ascii="Times New Roman" w:hAnsi="Times New Roman" w:cs="Times New Roman"/>
                <w:sz w:val="22"/>
                <w:szCs w:val="22"/>
                <w:lang w:val="en-US"/>
              </w:rPr>
              <w:t>-.165</w:t>
            </w:r>
            <w:r w:rsidR="00B424F9" w:rsidRPr="00AA738D">
              <w:rPr>
                <w:rFonts w:ascii="Times New Roman" w:hAnsi="Times New Roman" w:cs="Times New Roman"/>
                <w:sz w:val="22"/>
                <w:szCs w:val="22"/>
                <w:vertAlign w:val="superscript"/>
                <w:lang w:val="en-US"/>
              </w:rPr>
              <w:t>a</w:t>
            </w:r>
          </w:p>
        </w:tc>
        <w:tc>
          <w:tcPr>
            <w:tcW w:w="1145" w:type="dxa"/>
            <w:tcBorders>
              <w:top w:val="nil"/>
              <w:left w:val="nil"/>
              <w:bottom w:val="nil"/>
              <w:right w:val="nil"/>
            </w:tcBorders>
            <w:shd w:val="clear" w:color="auto" w:fill="auto"/>
            <w:vAlign w:val="center"/>
          </w:tcPr>
          <w:p w14:paraId="0787EDF8" w14:textId="7593D8F9"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.311</w:t>
            </w:r>
          </w:p>
        </w:tc>
        <w:tc>
          <w:tcPr>
            <w:tcW w:w="1250" w:type="dxa"/>
            <w:tcBorders>
              <w:top w:val="nil"/>
              <w:left w:val="nil"/>
              <w:bottom w:val="nil"/>
              <w:right w:val="nil"/>
            </w:tcBorders>
            <w:shd w:val="clear" w:color="auto" w:fill="auto"/>
            <w:noWrap/>
            <w:vAlign w:val="center"/>
          </w:tcPr>
          <w:p w14:paraId="04C0F141" w14:textId="43F7B3E8"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.595</w:t>
            </w:r>
          </w:p>
        </w:tc>
        <w:tc>
          <w:tcPr>
            <w:tcW w:w="4829" w:type="dxa"/>
            <w:gridSpan w:val="3"/>
            <w:tcBorders>
              <w:top w:val="nil"/>
              <w:left w:val="nil"/>
              <w:bottom w:val="nil"/>
              <w:right w:val="nil"/>
            </w:tcBorders>
            <w:shd w:val="clear" w:color="auto" w:fill="auto"/>
            <w:vAlign w:val="center"/>
          </w:tcPr>
          <w:p w14:paraId="78F3F9E4" w14:textId="53720A98"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[-.775, .44</w:t>
            </w:r>
            <w:r w:rsidR="00382E2D" w:rsidRPr="00AA738D">
              <w:rPr>
                <w:rFonts w:ascii="Times New Roman" w:hAnsi="Times New Roman" w:cs="Times New Roman"/>
                <w:sz w:val="22"/>
                <w:szCs w:val="22"/>
                <w:lang w:val="en-US"/>
              </w:rPr>
              <w:t>5</w:t>
            </w:r>
            <w:r w:rsidRPr="00AA738D">
              <w:rPr>
                <w:rFonts w:ascii="Times New Roman" w:hAnsi="Times New Roman" w:cs="Times New Roman"/>
                <w:sz w:val="22"/>
                <w:szCs w:val="22"/>
                <w:lang w:val="en-US"/>
              </w:rPr>
              <w:t>]</w:t>
            </w:r>
          </w:p>
        </w:tc>
      </w:tr>
      <w:tr w:rsidR="00AA738D" w:rsidRPr="00AA738D" w14:paraId="713BD069" w14:textId="77777777" w:rsidTr="006D0CAD">
        <w:trPr>
          <w:trHeight w:val="316"/>
        </w:trPr>
        <w:tc>
          <w:tcPr>
            <w:tcW w:w="2018" w:type="dxa"/>
            <w:tcBorders>
              <w:top w:val="nil"/>
              <w:left w:val="nil"/>
              <w:bottom w:val="nil"/>
              <w:right w:val="nil"/>
            </w:tcBorders>
            <w:shd w:val="clear" w:color="auto" w:fill="auto"/>
            <w:vAlign w:val="center"/>
            <w:hideMark/>
          </w:tcPr>
          <w:p w14:paraId="56BFDE34" w14:textId="590D3A84"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 (</w:t>
            </w:r>
            <w:r w:rsidRPr="00AA738D">
              <w:rPr>
                <w:rFonts w:ascii="Times New Roman" w:hAnsi="Times New Roman" w:cs="Times New Roman"/>
                <w:i/>
                <w:iCs/>
                <w:sz w:val="22"/>
                <w:szCs w:val="22"/>
                <w:lang w:val="en-US"/>
              </w:rPr>
              <w:t>t</w:t>
            </w:r>
            <w:r w:rsidRPr="00AA738D">
              <w:rPr>
                <w:rFonts w:ascii="Times New Roman" w:hAnsi="Times New Roman" w:cs="Times New Roman"/>
                <w:sz w:val="22"/>
                <w:szCs w:val="22"/>
                <w:lang w:val="en-US"/>
              </w:rPr>
              <w:t>)</w:t>
            </w:r>
          </w:p>
        </w:tc>
        <w:tc>
          <w:tcPr>
            <w:tcW w:w="1101" w:type="dxa"/>
            <w:tcBorders>
              <w:top w:val="nil"/>
              <w:left w:val="nil"/>
              <w:bottom w:val="nil"/>
              <w:right w:val="nil"/>
            </w:tcBorders>
            <w:shd w:val="clear" w:color="auto" w:fill="auto"/>
            <w:vAlign w:val="center"/>
            <w:hideMark/>
          </w:tcPr>
          <w:p w14:paraId="19BC5E70" w14:textId="6B8AB6DD"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.471</w:t>
            </w:r>
          </w:p>
        </w:tc>
        <w:tc>
          <w:tcPr>
            <w:tcW w:w="1145" w:type="dxa"/>
            <w:tcBorders>
              <w:top w:val="nil"/>
              <w:left w:val="nil"/>
              <w:bottom w:val="nil"/>
              <w:right w:val="nil"/>
            </w:tcBorders>
            <w:shd w:val="clear" w:color="auto" w:fill="auto"/>
            <w:vAlign w:val="center"/>
            <w:hideMark/>
          </w:tcPr>
          <w:p w14:paraId="6A7FB797" w14:textId="43961F1E"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.087</w:t>
            </w:r>
          </w:p>
        </w:tc>
        <w:tc>
          <w:tcPr>
            <w:tcW w:w="1250" w:type="dxa"/>
            <w:tcBorders>
              <w:top w:val="nil"/>
              <w:left w:val="nil"/>
              <w:bottom w:val="nil"/>
              <w:right w:val="nil"/>
            </w:tcBorders>
            <w:shd w:val="clear" w:color="auto" w:fill="auto"/>
            <w:noWrap/>
            <w:vAlign w:val="center"/>
            <w:hideMark/>
          </w:tcPr>
          <w:p w14:paraId="40B311F1" w14:textId="5190C0BA"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w:t>
            </w:r>
            <w:r w:rsidR="00DC65F1">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hideMark/>
          </w:tcPr>
          <w:p w14:paraId="30C42E95" w14:textId="1FD0AC9A"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[.301, .640]</w:t>
            </w:r>
          </w:p>
        </w:tc>
      </w:tr>
      <w:tr w:rsidR="00AA738D" w:rsidRPr="00AA738D" w14:paraId="7E399A63" w14:textId="77777777" w:rsidTr="006D0CAD">
        <w:trPr>
          <w:trHeight w:val="316"/>
        </w:trPr>
        <w:tc>
          <w:tcPr>
            <w:tcW w:w="2018" w:type="dxa"/>
            <w:tcBorders>
              <w:top w:val="nil"/>
              <w:left w:val="nil"/>
              <w:bottom w:val="nil"/>
              <w:right w:val="nil"/>
            </w:tcBorders>
            <w:shd w:val="clear" w:color="auto" w:fill="auto"/>
            <w:vAlign w:val="center"/>
            <w:hideMark/>
          </w:tcPr>
          <w:p w14:paraId="1EB73486" w14:textId="246AF88E"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2</w:t>
            </w:r>
          </w:p>
        </w:tc>
        <w:tc>
          <w:tcPr>
            <w:tcW w:w="1101" w:type="dxa"/>
            <w:tcBorders>
              <w:top w:val="nil"/>
              <w:left w:val="nil"/>
              <w:bottom w:val="nil"/>
              <w:right w:val="nil"/>
            </w:tcBorders>
            <w:shd w:val="clear" w:color="auto" w:fill="auto"/>
            <w:vAlign w:val="center"/>
            <w:hideMark/>
          </w:tcPr>
          <w:p w14:paraId="7566AD34" w14:textId="36CE2738"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-.012</w:t>
            </w:r>
          </w:p>
        </w:tc>
        <w:tc>
          <w:tcPr>
            <w:tcW w:w="1145" w:type="dxa"/>
            <w:tcBorders>
              <w:top w:val="nil"/>
              <w:left w:val="nil"/>
              <w:bottom w:val="nil"/>
              <w:right w:val="nil"/>
            </w:tcBorders>
            <w:shd w:val="clear" w:color="auto" w:fill="auto"/>
            <w:vAlign w:val="center"/>
            <w:hideMark/>
          </w:tcPr>
          <w:p w14:paraId="7F0F8A64" w14:textId="1DC35BB3"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.004</w:t>
            </w:r>
          </w:p>
        </w:tc>
        <w:tc>
          <w:tcPr>
            <w:tcW w:w="1250" w:type="dxa"/>
            <w:tcBorders>
              <w:top w:val="nil"/>
              <w:left w:val="nil"/>
              <w:bottom w:val="nil"/>
              <w:right w:val="nil"/>
            </w:tcBorders>
            <w:shd w:val="clear" w:color="auto" w:fill="auto"/>
            <w:noWrap/>
            <w:vAlign w:val="center"/>
            <w:hideMark/>
          </w:tcPr>
          <w:p w14:paraId="123D0AC1" w14:textId="6AA1990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.001</w:t>
            </w:r>
          </w:p>
        </w:tc>
        <w:tc>
          <w:tcPr>
            <w:tcW w:w="4829" w:type="dxa"/>
            <w:gridSpan w:val="3"/>
            <w:tcBorders>
              <w:top w:val="nil"/>
              <w:left w:val="nil"/>
              <w:bottom w:val="nil"/>
              <w:right w:val="nil"/>
            </w:tcBorders>
            <w:shd w:val="clear" w:color="auto" w:fill="auto"/>
            <w:vAlign w:val="center"/>
            <w:hideMark/>
          </w:tcPr>
          <w:p w14:paraId="4AD23B4B" w14:textId="293F9D06"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[-.019, -.005]</w:t>
            </w:r>
          </w:p>
        </w:tc>
      </w:tr>
      <w:tr w:rsidR="00AA738D" w:rsidRPr="00AA738D" w14:paraId="7DDA3E0D" w14:textId="77777777" w:rsidTr="006D0CAD">
        <w:trPr>
          <w:trHeight w:val="316"/>
        </w:trPr>
        <w:tc>
          <w:tcPr>
            <w:tcW w:w="2018" w:type="dxa"/>
            <w:tcBorders>
              <w:top w:val="nil"/>
              <w:left w:val="nil"/>
              <w:bottom w:val="nil"/>
              <w:right w:val="nil"/>
            </w:tcBorders>
            <w:shd w:val="clear" w:color="auto" w:fill="auto"/>
            <w:vAlign w:val="center"/>
            <w:hideMark/>
          </w:tcPr>
          <w:p w14:paraId="02E4C89F" w14:textId="718DCE5B"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Age of onset</w:t>
            </w:r>
            <w:r w:rsidRPr="00AA738D">
              <w:rPr>
                <w:rFonts w:ascii="Times New Roman" w:hAnsi="Times New Roman" w:cs="Times New Roman"/>
                <w:sz w:val="22"/>
                <w:szCs w:val="22"/>
                <w:vertAlign w:val="superscript"/>
                <w:lang w:val="en-US"/>
              </w:rPr>
              <w:t>3</w:t>
            </w:r>
          </w:p>
        </w:tc>
        <w:tc>
          <w:tcPr>
            <w:tcW w:w="1101" w:type="dxa"/>
            <w:tcBorders>
              <w:top w:val="nil"/>
              <w:left w:val="nil"/>
              <w:bottom w:val="nil"/>
              <w:right w:val="nil"/>
            </w:tcBorders>
            <w:shd w:val="clear" w:color="auto" w:fill="auto"/>
            <w:vAlign w:val="center"/>
            <w:hideMark/>
          </w:tcPr>
          <w:p w14:paraId="1DF12A98" w14:textId="68326208"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145" w:type="dxa"/>
            <w:tcBorders>
              <w:top w:val="nil"/>
              <w:left w:val="nil"/>
              <w:bottom w:val="nil"/>
              <w:right w:val="nil"/>
            </w:tcBorders>
            <w:shd w:val="clear" w:color="auto" w:fill="auto"/>
            <w:vAlign w:val="center"/>
            <w:hideMark/>
          </w:tcPr>
          <w:p w14:paraId="47FBD0DA" w14:textId="6FE7B92D"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.000</w:t>
            </w:r>
          </w:p>
        </w:tc>
        <w:tc>
          <w:tcPr>
            <w:tcW w:w="1250" w:type="dxa"/>
            <w:tcBorders>
              <w:top w:val="nil"/>
              <w:left w:val="nil"/>
              <w:bottom w:val="nil"/>
              <w:right w:val="nil"/>
            </w:tcBorders>
            <w:shd w:val="clear" w:color="auto" w:fill="auto"/>
            <w:noWrap/>
            <w:vAlign w:val="center"/>
            <w:hideMark/>
          </w:tcPr>
          <w:p w14:paraId="22881E8D" w14:textId="27B7DF3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.023</w:t>
            </w:r>
          </w:p>
        </w:tc>
        <w:tc>
          <w:tcPr>
            <w:tcW w:w="4829" w:type="dxa"/>
            <w:gridSpan w:val="3"/>
            <w:tcBorders>
              <w:top w:val="nil"/>
              <w:left w:val="nil"/>
              <w:bottom w:val="nil"/>
              <w:right w:val="nil"/>
            </w:tcBorders>
            <w:shd w:val="clear" w:color="auto" w:fill="auto"/>
            <w:vAlign w:val="center"/>
            <w:hideMark/>
          </w:tcPr>
          <w:p w14:paraId="5B08DB84" w14:textId="0EBAC737"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[.000, .000]</w:t>
            </w:r>
          </w:p>
        </w:tc>
      </w:tr>
      <w:tr w:rsidR="00AA738D" w:rsidRPr="00AA738D" w14:paraId="7B376EC6" w14:textId="77777777" w:rsidTr="006D0CAD">
        <w:trPr>
          <w:trHeight w:val="316"/>
        </w:trPr>
        <w:tc>
          <w:tcPr>
            <w:tcW w:w="2018" w:type="dxa"/>
            <w:tcBorders>
              <w:top w:val="nil"/>
              <w:left w:val="nil"/>
              <w:bottom w:val="nil"/>
              <w:right w:val="nil"/>
            </w:tcBorders>
            <w:shd w:val="clear" w:color="auto" w:fill="auto"/>
            <w:vAlign w:val="center"/>
            <w:hideMark/>
          </w:tcPr>
          <w:p w14:paraId="388B7687" w14:textId="2E793E68"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Wave 2</w:t>
            </w:r>
          </w:p>
        </w:tc>
        <w:tc>
          <w:tcPr>
            <w:tcW w:w="1101" w:type="dxa"/>
            <w:tcBorders>
              <w:top w:val="nil"/>
              <w:left w:val="nil"/>
              <w:bottom w:val="nil"/>
              <w:right w:val="nil"/>
            </w:tcBorders>
            <w:shd w:val="clear" w:color="auto" w:fill="auto"/>
            <w:vAlign w:val="center"/>
            <w:hideMark/>
          </w:tcPr>
          <w:p w14:paraId="594EF1FB" w14:textId="7C5BE2CF"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-.401</w:t>
            </w:r>
          </w:p>
        </w:tc>
        <w:tc>
          <w:tcPr>
            <w:tcW w:w="1145" w:type="dxa"/>
            <w:tcBorders>
              <w:top w:val="nil"/>
              <w:left w:val="nil"/>
              <w:bottom w:val="nil"/>
              <w:right w:val="nil"/>
            </w:tcBorders>
            <w:shd w:val="clear" w:color="auto" w:fill="auto"/>
            <w:vAlign w:val="center"/>
            <w:hideMark/>
          </w:tcPr>
          <w:p w14:paraId="44A61B53" w14:textId="6C1926E4"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.085</w:t>
            </w:r>
          </w:p>
        </w:tc>
        <w:tc>
          <w:tcPr>
            <w:tcW w:w="1250" w:type="dxa"/>
            <w:tcBorders>
              <w:top w:val="nil"/>
              <w:left w:val="nil"/>
              <w:bottom w:val="nil"/>
              <w:right w:val="nil"/>
            </w:tcBorders>
            <w:shd w:val="clear" w:color="auto" w:fill="auto"/>
            <w:noWrap/>
            <w:vAlign w:val="center"/>
            <w:hideMark/>
          </w:tcPr>
          <w:p w14:paraId="337323A2" w14:textId="2D6AC385"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w:t>
            </w:r>
            <w:r w:rsidR="00DC65F1">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hideMark/>
          </w:tcPr>
          <w:p w14:paraId="632AC794" w14:textId="0130EEA7"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[-.568, -.234]</w:t>
            </w:r>
          </w:p>
        </w:tc>
      </w:tr>
      <w:tr w:rsidR="00AA738D" w:rsidRPr="00AA738D" w14:paraId="699AF232" w14:textId="77777777" w:rsidTr="006D0CAD">
        <w:trPr>
          <w:trHeight w:val="316"/>
        </w:trPr>
        <w:tc>
          <w:tcPr>
            <w:tcW w:w="2018" w:type="dxa"/>
            <w:tcBorders>
              <w:top w:val="nil"/>
              <w:left w:val="nil"/>
              <w:bottom w:val="nil"/>
              <w:right w:val="nil"/>
            </w:tcBorders>
            <w:shd w:val="clear" w:color="auto" w:fill="auto"/>
            <w:vAlign w:val="center"/>
          </w:tcPr>
          <w:p w14:paraId="18A1A55B" w14:textId="4D403DC8"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Sex (female)</w:t>
            </w:r>
          </w:p>
        </w:tc>
        <w:tc>
          <w:tcPr>
            <w:tcW w:w="1101" w:type="dxa"/>
            <w:tcBorders>
              <w:top w:val="nil"/>
              <w:left w:val="nil"/>
              <w:bottom w:val="nil"/>
              <w:right w:val="nil"/>
            </w:tcBorders>
            <w:shd w:val="clear" w:color="auto" w:fill="auto"/>
            <w:vAlign w:val="center"/>
          </w:tcPr>
          <w:p w14:paraId="0C515E9E" w14:textId="348EF594"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.690</w:t>
            </w:r>
          </w:p>
        </w:tc>
        <w:tc>
          <w:tcPr>
            <w:tcW w:w="1145" w:type="dxa"/>
            <w:tcBorders>
              <w:top w:val="nil"/>
              <w:left w:val="nil"/>
              <w:bottom w:val="nil"/>
              <w:right w:val="nil"/>
            </w:tcBorders>
            <w:shd w:val="clear" w:color="auto" w:fill="auto"/>
            <w:vAlign w:val="center"/>
          </w:tcPr>
          <w:p w14:paraId="28A77C9C" w14:textId="6B6FFE7D"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.125</w:t>
            </w:r>
          </w:p>
        </w:tc>
        <w:tc>
          <w:tcPr>
            <w:tcW w:w="1250" w:type="dxa"/>
            <w:tcBorders>
              <w:top w:val="nil"/>
              <w:left w:val="nil"/>
              <w:bottom w:val="nil"/>
              <w:right w:val="nil"/>
            </w:tcBorders>
            <w:shd w:val="clear" w:color="auto" w:fill="auto"/>
            <w:noWrap/>
            <w:vAlign w:val="center"/>
          </w:tcPr>
          <w:p w14:paraId="3C6442C4" w14:textId="49000F8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w:t>
            </w:r>
            <w:r w:rsidR="00DC65F1">
              <w:rPr>
                <w:rFonts w:ascii="Times New Roman" w:hAnsi="Times New Roman" w:cs="Times New Roman"/>
                <w:sz w:val="22"/>
                <w:szCs w:val="22"/>
                <w:lang w:val="en-US"/>
              </w:rPr>
              <w:t>1</w:t>
            </w:r>
          </w:p>
        </w:tc>
        <w:tc>
          <w:tcPr>
            <w:tcW w:w="4829" w:type="dxa"/>
            <w:gridSpan w:val="3"/>
            <w:tcBorders>
              <w:top w:val="nil"/>
              <w:left w:val="nil"/>
              <w:bottom w:val="nil"/>
              <w:right w:val="nil"/>
            </w:tcBorders>
            <w:shd w:val="clear" w:color="auto" w:fill="auto"/>
            <w:vAlign w:val="center"/>
          </w:tcPr>
          <w:p w14:paraId="6D6227BA" w14:textId="149C1321"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[.445, .935]</w:t>
            </w:r>
          </w:p>
        </w:tc>
      </w:tr>
      <w:tr w:rsidR="00AA738D" w:rsidRPr="00AA738D" w14:paraId="71FEA63B" w14:textId="77777777" w:rsidTr="006D0CAD">
        <w:trPr>
          <w:trHeight w:val="335"/>
        </w:trPr>
        <w:tc>
          <w:tcPr>
            <w:tcW w:w="2018" w:type="dxa"/>
            <w:tcBorders>
              <w:top w:val="nil"/>
              <w:left w:val="nil"/>
              <w:bottom w:val="single" w:sz="8" w:space="0" w:color="auto"/>
              <w:right w:val="nil"/>
            </w:tcBorders>
            <w:shd w:val="clear" w:color="auto" w:fill="auto"/>
            <w:vAlign w:val="center"/>
            <w:hideMark/>
          </w:tcPr>
          <w:p w14:paraId="784A4A18" w14:textId="42968951"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Fixed intercept</w:t>
            </w:r>
          </w:p>
        </w:tc>
        <w:tc>
          <w:tcPr>
            <w:tcW w:w="1101" w:type="dxa"/>
            <w:tcBorders>
              <w:top w:val="nil"/>
              <w:left w:val="nil"/>
              <w:bottom w:val="single" w:sz="8" w:space="0" w:color="auto"/>
              <w:right w:val="nil"/>
            </w:tcBorders>
            <w:shd w:val="clear" w:color="auto" w:fill="auto"/>
            <w:vAlign w:val="center"/>
            <w:hideMark/>
          </w:tcPr>
          <w:p w14:paraId="55096411" w14:textId="241EC85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-11.854</w:t>
            </w:r>
          </w:p>
        </w:tc>
        <w:tc>
          <w:tcPr>
            <w:tcW w:w="1145" w:type="dxa"/>
            <w:tcBorders>
              <w:top w:val="nil"/>
              <w:left w:val="nil"/>
              <w:bottom w:val="single" w:sz="8" w:space="0" w:color="auto"/>
              <w:right w:val="nil"/>
            </w:tcBorders>
            <w:shd w:val="clear" w:color="auto" w:fill="auto"/>
            <w:vAlign w:val="center"/>
            <w:hideMark/>
          </w:tcPr>
          <w:p w14:paraId="6450C900" w14:textId="4BF851E6"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.678</w:t>
            </w:r>
          </w:p>
        </w:tc>
        <w:tc>
          <w:tcPr>
            <w:tcW w:w="1250" w:type="dxa"/>
            <w:tcBorders>
              <w:top w:val="nil"/>
              <w:left w:val="nil"/>
              <w:bottom w:val="single" w:sz="8" w:space="0" w:color="auto"/>
              <w:right w:val="nil"/>
            </w:tcBorders>
            <w:shd w:val="clear" w:color="auto" w:fill="auto"/>
            <w:noWrap/>
            <w:vAlign w:val="center"/>
            <w:hideMark/>
          </w:tcPr>
          <w:p w14:paraId="0A3BE343" w14:textId="6980DAD8" w:rsidR="004F5A24" w:rsidRPr="00AA738D" w:rsidRDefault="004F5A24" w:rsidP="004F5A24">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&lt; .00</w:t>
            </w:r>
            <w:r w:rsidR="00DC65F1">
              <w:rPr>
                <w:rFonts w:ascii="Times New Roman" w:hAnsi="Times New Roman" w:cs="Times New Roman"/>
                <w:sz w:val="22"/>
                <w:szCs w:val="22"/>
                <w:lang w:val="en-US"/>
              </w:rPr>
              <w:t>1</w:t>
            </w:r>
          </w:p>
        </w:tc>
        <w:tc>
          <w:tcPr>
            <w:tcW w:w="4829" w:type="dxa"/>
            <w:gridSpan w:val="3"/>
            <w:tcBorders>
              <w:top w:val="nil"/>
              <w:left w:val="nil"/>
              <w:bottom w:val="single" w:sz="8" w:space="0" w:color="auto"/>
              <w:right w:val="nil"/>
            </w:tcBorders>
            <w:shd w:val="clear" w:color="auto" w:fill="auto"/>
            <w:vAlign w:val="center"/>
            <w:hideMark/>
          </w:tcPr>
          <w:p w14:paraId="368A4826" w14:textId="45C38101" w:rsidR="004F5A24" w:rsidRPr="00AA738D" w:rsidRDefault="004F5A24" w:rsidP="004F5A24">
            <w:pPr>
              <w:rPr>
                <w:rFonts w:ascii="Times New Roman" w:hAnsi="Times New Roman" w:cs="Times New Roman"/>
                <w:sz w:val="22"/>
                <w:szCs w:val="22"/>
                <w:lang w:val="en-US"/>
              </w:rPr>
            </w:pPr>
            <w:r w:rsidRPr="00AA738D">
              <w:rPr>
                <w:rFonts w:ascii="Times New Roman" w:hAnsi="Times New Roman" w:cs="Times New Roman"/>
                <w:sz w:val="22"/>
                <w:szCs w:val="22"/>
                <w:lang w:val="en-US"/>
              </w:rPr>
              <w:t>[-13.183, -10.52</w:t>
            </w:r>
            <w:r w:rsidR="009A2A2E">
              <w:rPr>
                <w:rFonts w:ascii="Times New Roman" w:hAnsi="Times New Roman" w:cs="Times New Roman"/>
                <w:sz w:val="22"/>
                <w:szCs w:val="22"/>
                <w:lang w:val="en-US"/>
              </w:rPr>
              <w:t>4</w:t>
            </w:r>
            <w:r w:rsidRPr="00AA738D">
              <w:rPr>
                <w:rFonts w:ascii="Times New Roman" w:hAnsi="Times New Roman" w:cs="Times New Roman"/>
                <w:sz w:val="22"/>
                <w:szCs w:val="22"/>
                <w:lang w:val="en-US"/>
              </w:rPr>
              <w:t>]</w:t>
            </w:r>
          </w:p>
        </w:tc>
      </w:tr>
      <w:tr w:rsidR="00AA738D" w:rsidRPr="00AA738D" w14:paraId="684A0989" w14:textId="77777777" w:rsidTr="006D0CAD">
        <w:trPr>
          <w:trHeight w:val="375"/>
        </w:trPr>
        <w:tc>
          <w:tcPr>
            <w:tcW w:w="2018" w:type="dxa"/>
            <w:tcBorders>
              <w:top w:val="nil"/>
              <w:left w:val="nil"/>
              <w:bottom w:val="single" w:sz="4" w:space="0" w:color="auto"/>
              <w:right w:val="nil"/>
            </w:tcBorders>
            <w:shd w:val="clear" w:color="auto" w:fill="auto"/>
            <w:vAlign w:val="center"/>
            <w:hideMark/>
          </w:tcPr>
          <w:p w14:paraId="513C09C3" w14:textId="77777777"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Random part</w:t>
            </w:r>
          </w:p>
        </w:tc>
        <w:tc>
          <w:tcPr>
            <w:tcW w:w="1101" w:type="dxa"/>
            <w:tcBorders>
              <w:top w:val="nil"/>
              <w:left w:val="nil"/>
              <w:bottom w:val="single" w:sz="4" w:space="0" w:color="auto"/>
              <w:right w:val="nil"/>
            </w:tcBorders>
            <w:shd w:val="clear" w:color="auto" w:fill="auto"/>
            <w:noWrap/>
            <w:vAlign w:val="center"/>
            <w:hideMark/>
          </w:tcPr>
          <w:p w14:paraId="074F6013"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145" w:type="dxa"/>
            <w:tcBorders>
              <w:top w:val="nil"/>
              <w:left w:val="nil"/>
              <w:bottom w:val="single" w:sz="4" w:space="0" w:color="auto"/>
              <w:right w:val="nil"/>
            </w:tcBorders>
            <w:shd w:val="clear" w:color="auto" w:fill="auto"/>
            <w:noWrap/>
            <w:vAlign w:val="center"/>
            <w:hideMark/>
          </w:tcPr>
          <w:p w14:paraId="0B257167"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0" w:type="dxa"/>
            <w:tcBorders>
              <w:top w:val="nil"/>
              <w:left w:val="nil"/>
              <w:bottom w:val="single" w:sz="4" w:space="0" w:color="auto"/>
              <w:right w:val="nil"/>
            </w:tcBorders>
            <w:shd w:val="clear" w:color="auto" w:fill="auto"/>
            <w:noWrap/>
            <w:vAlign w:val="bottom"/>
            <w:hideMark/>
          </w:tcPr>
          <w:p w14:paraId="367C2E3F"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2905" w:type="dxa"/>
            <w:tcBorders>
              <w:top w:val="nil"/>
              <w:left w:val="nil"/>
              <w:bottom w:val="single" w:sz="4" w:space="0" w:color="auto"/>
              <w:right w:val="nil"/>
            </w:tcBorders>
            <w:shd w:val="clear" w:color="auto" w:fill="auto"/>
            <w:noWrap/>
            <w:vAlign w:val="bottom"/>
            <w:hideMark/>
          </w:tcPr>
          <w:p w14:paraId="5506F8B5" w14:textId="77777777" w:rsidR="00335120" w:rsidRPr="00AA738D" w:rsidRDefault="00335120" w:rsidP="006D0CAD">
            <w:pPr>
              <w:jc w:val="center"/>
              <w:rPr>
                <w:rFonts w:ascii="Times New Roman" w:hAnsi="Times New Roman" w:cs="Times New Roman"/>
                <w:sz w:val="22"/>
                <w:szCs w:val="22"/>
                <w:lang w:val="en-US"/>
              </w:rPr>
            </w:pPr>
          </w:p>
        </w:tc>
        <w:tc>
          <w:tcPr>
            <w:tcW w:w="672" w:type="dxa"/>
            <w:tcBorders>
              <w:top w:val="nil"/>
              <w:left w:val="nil"/>
              <w:bottom w:val="single" w:sz="4" w:space="0" w:color="auto"/>
              <w:right w:val="nil"/>
            </w:tcBorders>
            <w:shd w:val="clear" w:color="auto" w:fill="auto"/>
            <w:noWrap/>
            <w:vAlign w:val="center"/>
            <w:hideMark/>
          </w:tcPr>
          <w:p w14:paraId="07801F15"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c>
          <w:tcPr>
            <w:tcW w:w="1252" w:type="dxa"/>
            <w:tcBorders>
              <w:top w:val="nil"/>
              <w:left w:val="nil"/>
              <w:bottom w:val="single" w:sz="4" w:space="0" w:color="auto"/>
              <w:right w:val="nil"/>
            </w:tcBorders>
            <w:shd w:val="clear" w:color="auto" w:fill="auto"/>
            <w:vAlign w:val="center"/>
            <w:hideMark/>
          </w:tcPr>
          <w:p w14:paraId="59352E9C" w14:textId="77777777"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 </w:t>
            </w:r>
          </w:p>
        </w:tc>
      </w:tr>
      <w:tr w:rsidR="00AA738D" w:rsidRPr="00AA738D" w14:paraId="5EE3F8D4" w14:textId="77777777" w:rsidTr="006D0CAD">
        <w:trPr>
          <w:trHeight w:val="316"/>
        </w:trPr>
        <w:tc>
          <w:tcPr>
            <w:tcW w:w="2018" w:type="dxa"/>
            <w:tcBorders>
              <w:top w:val="nil"/>
              <w:left w:val="nil"/>
              <w:bottom w:val="nil"/>
              <w:right w:val="nil"/>
            </w:tcBorders>
            <w:shd w:val="clear" w:color="auto" w:fill="auto"/>
            <w:vAlign w:val="center"/>
            <w:hideMark/>
          </w:tcPr>
          <w:p w14:paraId="7B5CB810"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A</m:t>
                    </m:r>
                  </m:sub>
                </m:sSub>
              </m:oMath>
            </m:oMathPara>
          </w:p>
        </w:tc>
        <w:tc>
          <w:tcPr>
            <w:tcW w:w="1101" w:type="dxa"/>
            <w:tcBorders>
              <w:top w:val="nil"/>
              <w:left w:val="nil"/>
              <w:bottom w:val="nil"/>
              <w:right w:val="nil"/>
            </w:tcBorders>
            <w:shd w:val="clear" w:color="auto" w:fill="auto"/>
            <w:vAlign w:val="center"/>
            <w:hideMark/>
          </w:tcPr>
          <w:p w14:paraId="2F0E4236" w14:textId="3F900D66"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1.526</w:t>
            </w:r>
          </w:p>
        </w:tc>
        <w:tc>
          <w:tcPr>
            <w:tcW w:w="1145" w:type="dxa"/>
            <w:tcBorders>
              <w:top w:val="nil"/>
              <w:left w:val="nil"/>
              <w:bottom w:val="nil"/>
              <w:right w:val="nil"/>
            </w:tcBorders>
            <w:shd w:val="clear" w:color="auto" w:fill="auto"/>
            <w:vAlign w:val="center"/>
            <w:hideMark/>
          </w:tcPr>
          <w:p w14:paraId="510EE9F5" w14:textId="145ECFC2"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.28</w:t>
            </w:r>
            <w:r w:rsidR="00983531" w:rsidRPr="00AA738D">
              <w:rPr>
                <w:rFonts w:ascii="Times New Roman" w:hAnsi="Times New Roman" w:cs="Times New Roman"/>
                <w:sz w:val="22"/>
                <w:szCs w:val="22"/>
                <w:lang w:val="en-US"/>
              </w:rPr>
              <w:t>9</w:t>
            </w:r>
          </w:p>
        </w:tc>
        <w:tc>
          <w:tcPr>
            <w:tcW w:w="1250" w:type="dxa"/>
            <w:tcBorders>
              <w:top w:val="nil"/>
              <w:left w:val="nil"/>
              <w:bottom w:val="nil"/>
              <w:right w:val="nil"/>
            </w:tcBorders>
            <w:shd w:val="clear" w:color="auto" w:fill="auto"/>
            <w:noWrap/>
            <w:vAlign w:val="bottom"/>
            <w:hideMark/>
          </w:tcPr>
          <w:p w14:paraId="44323BC3"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562B86EC" w14:textId="1CF34264"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[1.05</w:t>
            </w:r>
            <w:r w:rsidR="00382E2D" w:rsidRPr="00AA738D">
              <w:rPr>
                <w:rFonts w:ascii="Times New Roman" w:hAnsi="Times New Roman" w:cs="Times New Roman"/>
                <w:sz w:val="22"/>
                <w:szCs w:val="22"/>
                <w:lang w:val="en-US"/>
              </w:rPr>
              <w:t>4</w:t>
            </w:r>
            <w:r w:rsidRPr="00AA738D">
              <w:rPr>
                <w:rFonts w:ascii="Times New Roman" w:hAnsi="Times New Roman" w:cs="Times New Roman"/>
                <w:sz w:val="22"/>
                <w:szCs w:val="22"/>
                <w:lang w:val="en-US"/>
              </w:rPr>
              <w:t>, 2.211]</w:t>
            </w:r>
          </w:p>
        </w:tc>
      </w:tr>
      <w:tr w:rsidR="00335120" w:rsidRPr="00AA738D" w14:paraId="08AED599" w14:textId="77777777" w:rsidTr="006D0CAD">
        <w:trPr>
          <w:trHeight w:val="77"/>
        </w:trPr>
        <w:tc>
          <w:tcPr>
            <w:tcW w:w="2018" w:type="dxa"/>
            <w:tcBorders>
              <w:top w:val="nil"/>
              <w:left w:val="nil"/>
              <w:bottom w:val="nil"/>
              <w:right w:val="nil"/>
            </w:tcBorders>
            <w:shd w:val="clear" w:color="auto" w:fill="auto"/>
            <w:vAlign w:val="center"/>
            <w:hideMark/>
          </w:tcPr>
          <w:p w14:paraId="6ACDC8D6" w14:textId="77777777" w:rsidR="00335120" w:rsidRPr="00AA738D" w:rsidRDefault="00000000" w:rsidP="006D0CAD">
            <w:pPr>
              <w:rPr>
                <w:rFonts w:ascii="Times New Roman" w:hAnsi="Times New Roman" w:cs="Times New Roman"/>
                <w:sz w:val="22"/>
                <w:szCs w:val="22"/>
                <w:lang w:val="en-US"/>
              </w:rPr>
            </w:pPr>
            <m:oMathPara>
              <m:oMathParaPr>
                <m:jc m:val="left"/>
              </m:oMathParaPr>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σ</m:t>
                    </m:r>
                  </m:e>
                  <m:sub>
                    <m:r>
                      <m:rPr>
                        <m:sty m:val="p"/>
                      </m:rPr>
                      <w:rPr>
                        <w:rFonts w:ascii="Cambria Math" w:hAnsi="Cambria Math" w:cs="Times New Roman"/>
                        <w:sz w:val="22"/>
                        <w:szCs w:val="22"/>
                        <w:lang w:val="en-US"/>
                      </w:rPr>
                      <m:t>E</m:t>
                    </m:r>
                  </m:sub>
                </m:sSub>
              </m:oMath>
            </m:oMathPara>
          </w:p>
        </w:tc>
        <w:tc>
          <w:tcPr>
            <w:tcW w:w="1101" w:type="dxa"/>
            <w:tcBorders>
              <w:top w:val="nil"/>
              <w:left w:val="nil"/>
              <w:bottom w:val="nil"/>
              <w:right w:val="nil"/>
            </w:tcBorders>
            <w:shd w:val="clear" w:color="auto" w:fill="auto"/>
            <w:noWrap/>
            <w:vAlign w:val="center"/>
            <w:hideMark/>
          </w:tcPr>
          <w:p w14:paraId="739EA230" w14:textId="3B46AE3A"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1.191</w:t>
            </w:r>
          </w:p>
        </w:tc>
        <w:tc>
          <w:tcPr>
            <w:tcW w:w="1145" w:type="dxa"/>
            <w:tcBorders>
              <w:top w:val="nil"/>
              <w:left w:val="nil"/>
              <w:bottom w:val="nil"/>
              <w:right w:val="nil"/>
            </w:tcBorders>
            <w:shd w:val="clear" w:color="auto" w:fill="auto"/>
            <w:noWrap/>
            <w:vAlign w:val="center"/>
            <w:hideMark/>
          </w:tcPr>
          <w:p w14:paraId="27C113BC" w14:textId="2EBD1C85" w:rsidR="00335120" w:rsidRPr="00AA738D" w:rsidRDefault="00335120" w:rsidP="006D0CAD">
            <w:pPr>
              <w:jc w:val="center"/>
              <w:rPr>
                <w:rFonts w:ascii="Times New Roman" w:hAnsi="Times New Roman" w:cs="Times New Roman"/>
                <w:sz w:val="22"/>
                <w:szCs w:val="22"/>
                <w:lang w:val="en-US"/>
              </w:rPr>
            </w:pPr>
            <w:r w:rsidRPr="00AA738D">
              <w:rPr>
                <w:rFonts w:ascii="Times New Roman" w:hAnsi="Times New Roman" w:cs="Times New Roman"/>
                <w:sz w:val="22"/>
                <w:szCs w:val="22"/>
                <w:lang w:val="en-US"/>
              </w:rPr>
              <w:t>.29</w:t>
            </w:r>
            <w:r w:rsidR="00AB676E">
              <w:rPr>
                <w:rFonts w:ascii="Times New Roman" w:hAnsi="Times New Roman" w:cs="Times New Roman"/>
                <w:sz w:val="22"/>
                <w:szCs w:val="22"/>
                <w:lang w:val="en-US"/>
              </w:rPr>
              <w:t>8</w:t>
            </w:r>
          </w:p>
        </w:tc>
        <w:tc>
          <w:tcPr>
            <w:tcW w:w="1250" w:type="dxa"/>
            <w:tcBorders>
              <w:top w:val="nil"/>
              <w:left w:val="nil"/>
              <w:bottom w:val="nil"/>
              <w:right w:val="nil"/>
            </w:tcBorders>
            <w:shd w:val="clear" w:color="auto" w:fill="auto"/>
            <w:noWrap/>
            <w:vAlign w:val="bottom"/>
            <w:hideMark/>
          </w:tcPr>
          <w:p w14:paraId="351ED65C" w14:textId="77777777" w:rsidR="00335120" w:rsidRPr="00AA738D" w:rsidRDefault="00335120" w:rsidP="006D0CAD">
            <w:pPr>
              <w:jc w:val="center"/>
              <w:rPr>
                <w:rFonts w:ascii="Times New Roman" w:hAnsi="Times New Roman" w:cs="Times New Roman"/>
                <w:sz w:val="22"/>
                <w:szCs w:val="22"/>
                <w:lang w:val="en-US"/>
              </w:rPr>
            </w:pPr>
          </w:p>
        </w:tc>
        <w:tc>
          <w:tcPr>
            <w:tcW w:w="4829" w:type="dxa"/>
            <w:gridSpan w:val="3"/>
            <w:tcBorders>
              <w:top w:val="nil"/>
              <w:left w:val="nil"/>
              <w:bottom w:val="nil"/>
              <w:right w:val="nil"/>
            </w:tcBorders>
            <w:shd w:val="clear" w:color="auto" w:fill="auto"/>
            <w:vAlign w:val="center"/>
            <w:hideMark/>
          </w:tcPr>
          <w:p w14:paraId="7B1250B3" w14:textId="6B2874A5" w:rsidR="00335120" w:rsidRPr="00AA738D" w:rsidRDefault="00335120" w:rsidP="006D0CAD">
            <w:pPr>
              <w:rPr>
                <w:rFonts w:ascii="Times New Roman" w:hAnsi="Times New Roman" w:cs="Times New Roman"/>
                <w:sz w:val="22"/>
                <w:szCs w:val="22"/>
                <w:lang w:val="en-US"/>
              </w:rPr>
            </w:pPr>
            <w:r w:rsidRPr="00AA738D">
              <w:rPr>
                <w:rFonts w:ascii="Times New Roman" w:hAnsi="Times New Roman" w:cs="Times New Roman"/>
                <w:sz w:val="22"/>
                <w:szCs w:val="22"/>
                <w:lang w:val="en-US"/>
              </w:rPr>
              <w:t>[.729, 1.94</w:t>
            </w:r>
            <w:r w:rsidR="00382E2D" w:rsidRPr="00AA738D">
              <w:rPr>
                <w:rFonts w:ascii="Times New Roman" w:hAnsi="Times New Roman" w:cs="Times New Roman"/>
                <w:sz w:val="22"/>
                <w:szCs w:val="22"/>
                <w:lang w:val="en-US"/>
              </w:rPr>
              <w:t>7</w:t>
            </w:r>
            <w:r w:rsidRPr="00AA738D">
              <w:rPr>
                <w:rFonts w:ascii="Times New Roman" w:hAnsi="Times New Roman" w:cs="Times New Roman"/>
                <w:sz w:val="22"/>
                <w:szCs w:val="22"/>
                <w:lang w:val="en-US"/>
              </w:rPr>
              <w:t>]</w:t>
            </w:r>
          </w:p>
        </w:tc>
      </w:tr>
    </w:tbl>
    <w:p w14:paraId="3644F7B8" w14:textId="77777777" w:rsidR="00335120" w:rsidRPr="00AA738D" w:rsidRDefault="00335120" w:rsidP="00335120">
      <w:pPr>
        <w:rPr>
          <w:rFonts w:ascii="Times New Roman" w:hAnsi="Times New Roman" w:cs="Times New Roman"/>
          <w:i/>
          <w:iCs/>
          <w:sz w:val="22"/>
          <w:szCs w:val="22"/>
          <w:lang w:val="en-US"/>
        </w:rPr>
      </w:pPr>
    </w:p>
    <w:p w14:paraId="0EE01CF9" w14:textId="0A0FDC33" w:rsidR="00335120" w:rsidRPr="00AA738D" w:rsidRDefault="00335120" w:rsidP="00335120">
      <w:pPr>
        <w:rPr>
          <w:rFonts w:ascii="Times New Roman" w:hAnsi="Times New Roman" w:cs="Times New Roman"/>
          <w:sz w:val="22"/>
          <w:szCs w:val="22"/>
          <w:lang w:val="en-US"/>
        </w:rPr>
      </w:pPr>
      <w:r w:rsidRPr="00AA738D">
        <w:rPr>
          <w:rFonts w:ascii="Times New Roman" w:hAnsi="Times New Roman" w:cs="Times New Roman"/>
          <w:sz w:val="22"/>
          <w:szCs w:val="22"/>
          <w:lang w:val="en-US"/>
        </w:rPr>
        <w:t>AIC = 8895.793 (</w:t>
      </w:r>
      <w:proofErr w:type="spellStart"/>
      <w:r w:rsidRPr="00AA738D">
        <w:rPr>
          <w:rFonts w:ascii="Times New Roman" w:hAnsi="Times New Roman" w:cs="Times New Roman"/>
          <w:sz w:val="22"/>
          <w:szCs w:val="22"/>
          <w:lang w:val="en-US"/>
        </w:rPr>
        <w:t>df</w:t>
      </w:r>
      <w:proofErr w:type="spellEnd"/>
      <w:r w:rsidRPr="00AA738D">
        <w:rPr>
          <w:rFonts w:ascii="Times New Roman" w:hAnsi="Times New Roman" w:cs="Times New Roman"/>
          <w:sz w:val="22"/>
          <w:szCs w:val="22"/>
          <w:lang w:val="en-US"/>
        </w:rPr>
        <w:t xml:space="preserve"> = 11)</w:t>
      </w:r>
    </w:p>
    <w:p w14:paraId="46C428BD" w14:textId="77777777" w:rsidR="00335120" w:rsidRPr="00AA738D" w:rsidRDefault="00335120" w:rsidP="00335120">
      <w:pPr>
        <w:rPr>
          <w:rFonts w:ascii="Times New Roman" w:hAnsi="Times New Roman" w:cs="Times New Roman"/>
          <w:lang w:val="en-US"/>
        </w:rPr>
      </w:pPr>
    </w:p>
    <w:p w14:paraId="53C7F4F5" w14:textId="77777777" w:rsidR="00B424F9" w:rsidRPr="00AA738D" w:rsidRDefault="00B424F9" w:rsidP="00B424F9">
      <w:pPr>
        <w:spacing w:line="360" w:lineRule="auto"/>
        <w:rPr>
          <w:rFonts w:ascii="Times New Roman" w:hAnsi="Times New Roman" w:cs="Times New Roman"/>
          <w:sz w:val="22"/>
          <w:szCs w:val="22"/>
          <w:lang w:val="en-US"/>
        </w:rPr>
      </w:pPr>
      <w:proofErr w:type="spellStart"/>
      <w:r w:rsidRPr="00AA738D">
        <w:rPr>
          <w:rFonts w:ascii="Times New Roman" w:hAnsi="Times New Roman" w:cs="Times New Roman"/>
          <w:sz w:val="22"/>
          <w:szCs w:val="22"/>
          <w:vertAlign w:val="superscript"/>
          <w:lang w:val="en-US"/>
        </w:rPr>
        <w:t>a</w:t>
      </w:r>
      <w:r w:rsidRPr="00AA738D">
        <w:rPr>
          <w:rFonts w:ascii="Times New Roman" w:hAnsi="Times New Roman" w:cs="Times New Roman"/>
          <w:sz w:val="22"/>
          <w:szCs w:val="22"/>
          <w:lang w:val="en-US"/>
        </w:rPr>
        <w:t>Estimated</w:t>
      </w:r>
      <w:proofErr w:type="spellEnd"/>
      <w:r w:rsidRPr="00AA738D">
        <w:rPr>
          <w:rFonts w:ascii="Times New Roman" w:hAnsi="Times New Roman" w:cs="Times New Roman"/>
          <w:sz w:val="22"/>
          <w:szCs w:val="22"/>
          <w:lang w:val="en-US"/>
        </w:rPr>
        <w:t xml:space="preserve"> as single parameter.</w:t>
      </w:r>
    </w:p>
    <w:p w14:paraId="6E5BC1E9" w14:textId="77777777" w:rsidR="00335120" w:rsidRPr="00AA738D" w:rsidRDefault="00335120" w:rsidP="00335120">
      <w:pPr>
        <w:rPr>
          <w:lang w:val="en-US"/>
        </w:rPr>
      </w:pPr>
    </w:p>
    <w:p w14:paraId="512AED06" w14:textId="77777777" w:rsidR="00335120" w:rsidRPr="00AA738D" w:rsidRDefault="00335120" w:rsidP="00335120">
      <w:pPr>
        <w:spacing w:line="360" w:lineRule="auto"/>
        <w:rPr>
          <w:rFonts w:ascii="Times New Roman" w:hAnsi="Times New Roman" w:cs="Times New Roman"/>
          <w:lang w:val="en-US"/>
        </w:rPr>
      </w:pPr>
    </w:p>
    <w:p w14:paraId="76D3CFE0" w14:textId="6182E6DB" w:rsidR="00335120" w:rsidRPr="00AA738D" w:rsidRDefault="00335120" w:rsidP="00335120">
      <w:pPr>
        <w:spacing w:line="360" w:lineRule="auto"/>
        <w:rPr>
          <w:rFonts w:ascii="Times New Roman" w:hAnsi="Times New Roman" w:cs="Times New Roman"/>
          <w:lang w:val="en-US"/>
        </w:rPr>
      </w:pPr>
    </w:p>
    <w:p w14:paraId="75DF3799" w14:textId="712B7FE3" w:rsidR="00A87823" w:rsidRPr="00AA738D" w:rsidRDefault="00A87823" w:rsidP="00335120">
      <w:pPr>
        <w:spacing w:line="360" w:lineRule="auto"/>
        <w:rPr>
          <w:rFonts w:ascii="Times New Roman" w:hAnsi="Times New Roman" w:cs="Times New Roman"/>
          <w:lang w:val="en-US"/>
        </w:rPr>
      </w:pPr>
    </w:p>
    <w:p w14:paraId="2CD62CC4" w14:textId="2F801413" w:rsidR="00A87823" w:rsidRPr="00AA738D" w:rsidRDefault="00A87823" w:rsidP="00335120">
      <w:pPr>
        <w:spacing w:line="360" w:lineRule="auto"/>
        <w:rPr>
          <w:rFonts w:ascii="Times New Roman" w:hAnsi="Times New Roman" w:cs="Times New Roman"/>
          <w:lang w:val="en-US"/>
        </w:rPr>
      </w:pPr>
    </w:p>
    <w:p w14:paraId="5F8EF192" w14:textId="09D6519F" w:rsidR="00A87823" w:rsidRPr="00AA738D" w:rsidRDefault="00A87823" w:rsidP="00335120">
      <w:pPr>
        <w:spacing w:line="360" w:lineRule="auto"/>
        <w:rPr>
          <w:rFonts w:ascii="Times New Roman" w:hAnsi="Times New Roman" w:cs="Times New Roman"/>
          <w:lang w:val="en-US"/>
        </w:rPr>
      </w:pPr>
    </w:p>
    <w:p w14:paraId="7E060398" w14:textId="47C4DF52" w:rsidR="00A87823" w:rsidRPr="00AA738D" w:rsidRDefault="00A87823" w:rsidP="00335120">
      <w:pPr>
        <w:spacing w:line="360" w:lineRule="auto"/>
        <w:rPr>
          <w:rFonts w:ascii="Times New Roman" w:hAnsi="Times New Roman" w:cs="Times New Roman"/>
          <w:lang w:val="en-US"/>
        </w:rPr>
      </w:pPr>
    </w:p>
    <w:p w14:paraId="66B8256D" w14:textId="3C9B411F" w:rsidR="00A87823" w:rsidRPr="00AA738D" w:rsidRDefault="00A87823" w:rsidP="00335120">
      <w:pPr>
        <w:spacing w:line="360" w:lineRule="auto"/>
        <w:rPr>
          <w:rFonts w:ascii="Times New Roman" w:hAnsi="Times New Roman" w:cs="Times New Roman"/>
          <w:lang w:val="en-US"/>
        </w:rPr>
      </w:pPr>
    </w:p>
    <w:p w14:paraId="2B1E217F" w14:textId="3DF7D9CE" w:rsidR="00A87823" w:rsidRPr="00AA738D" w:rsidRDefault="00A87823" w:rsidP="00335120">
      <w:pPr>
        <w:spacing w:line="360" w:lineRule="auto"/>
        <w:rPr>
          <w:rFonts w:ascii="Times New Roman" w:hAnsi="Times New Roman" w:cs="Times New Roman"/>
          <w:lang w:val="en-US"/>
        </w:rPr>
      </w:pPr>
    </w:p>
    <w:p w14:paraId="686B976A" w14:textId="029CA6B6" w:rsidR="00A87823" w:rsidRPr="00AA738D" w:rsidRDefault="00A87823" w:rsidP="00335120">
      <w:pPr>
        <w:spacing w:line="360" w:lineRule="auto"/>
        <w:rPr>
          <w:rFonts w:ascii="Times New Roman" w:hAnsi="Times New Roman" w:cs="Times New Roman"/>
          <w:lang w:val="en-US"/>
        </w:rPr>
      </w:pPr>
    </w:p>
    <w:p w14:paraId="4EB4487E" w14:textId="7D110B26" w:rsidR="00A87823" w:rsidRPr="00AA738D" w:rsidRDefault="00A87823" w:rsidP="00335120">
      <w:pPr>
        <w:spacing w:line="360" w:lineRule="auto"/>
        <w:rPr>
          <w:rFonts w:ascii="Times New Roman" w:hAnsi="Times New Roman" w:cs="Times New Roman"/>
          <w:lang w:val="en-US"/>
        </w:rPr>
      </w:pPr>
    </w:p>
    <w:p w14:paraId="11E5A087" w14:textId="77777777" w:rsidR="00A87823" w:rsidRPr="00AA738D" w:rsidRDefault="00A87823" w:rsidP="00335120">
      <w:pPr>
        <w:spacing w:line="360" w:lineRule="auto"/>
        <w:rPr>
          <w:rFonts w:ascii="Times New Roman" w:hAnsi="Times New Roman" w:cs="Times New Roman"/>
          <w:lang w:val="en-US"/>
        </w:rPr>
      </w:pPr>
    </w:p>
    <w:p w14:paraId="36DAB644" w14:textId="77777777" w:rsidR="00335120" w:rsidRPr="00AA738D" w:rsidRDefault="00335120" w:rsidP="00335120">
      <w:pPr>
        <w:spacing w:line="360" w:lineRule="auto"/>
        <w:rPr>
          <w:rFonts w:ascii="Times New Roman" w:hAnsi="Times New Roman" w:cs="Times New Roman"/>
          <w:lang w:val="en-US"/>
        </w:rPr>
      </w:pPr>
    </w:p>
    <w:p w14:paraId="1EAEDDD3" w14:textId="77777777" w:rsidR="00A87823" w:rsidRPr="00AA738D" w:rsidRDefault="00A87823" w:rsidP="00335120">
      <w:pPr>
        <w:spacing w:line="360" w:lineRule="auto"/>
        <w:rPr>
          <w:rFonts w:ascii="Times New Roman" w:hAnsi="Times New Roman" w:cs="Times New Roman"/>
          <w:lang w:val="en-US"/>
        </w:rPr>
      </w:pPr>
    </w:p>
    <w:p w14:paraId="619DE07E" w14:textId="77777777" w:rsidR="00335120" w:rsidRPr="00AA738D" w:rsidRDefault="00335120" w:rsidP="005A09B3">
      <w:pPr>
        <w:spacing w:line="360" w:lineRule="auto"/>
        <w:rPr>
          <w:rFonts w:ascii="Times New Roman" w:hAnsi="Times New Roman" w:cs="Times New Roman"/>
          <w:b/>
          <w:bCs/>
          <w:lang w:val="en-US"/>
        </w:rPr>
      </w:pPr>
      <w:r w:rsidRPr="00AA738D">
        <w:rPr>
          <w:rFonts w:ascii="Times New Roman" w:hAnsi="Times New Roman" w:cs="Times New Roman"/>
          <w:b/>
          <w:bCs/>
          <w:lang w:val="en-US"/>
        </w:rPr>
        <w:lastRenderedPageBreak/>
        <w:t>Appendix B</w:t>
      </w:r>
    </w:p>
    <w:p w14:paraId="00BA365E" w14:textId="197C2119" w:rsidR="00335120" w:rsidRPr="00AA738D" w:rsidRDefault="00335120" w:rsidP="00335120">
      <w:pPr>
        <w:spacing w:line="360" w:lineRule="auto"/>
        <w:rPr>
          <w:rFonts w:ascii="Times New Roman" w:hAnsi="Times New Roman" w:cs="Times New Roman"/>
          <w:lang w:val="en-US"/>
        </w:rPr>
      </w:pPr>
      <w:r w:rsidRPr="00AA738D">
        <w:rPr>
          <w:rFonts w:ascii="Times New Roman" w:hAnsi="Times New Roman" w:cs="Times New Roman"/>
          <w:lang w:val="en-US"/>
        </w:rPr>
        <w:tab/>
        <w:t xml:space="preserve">Appendix B reports the results of descriptive analyses of the temporal relationship between SLE occurrence and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onset. A limitation of the current study is that SLE occurrence was only recorded to the nearest year. Previous research has shown that some SLEs may influence depression risk over a shorter time window such as months </w:t>
      </w:r>
      <w:r w:rsidRPr="00AA738D">
        <w:rPr>
          <w:rFonts w:ascii="Times New Roman" w:hAnsi="Times New Roman" w:cs="Times New Roman"/>
          <w:lang w:val="en-US"/>
        </w:rPr>
        <w:fldChar w:fldCharType="begin"/>
      </w:r>
      <w:r w:rsidR="002D7167">
        <w:rPr>
          <w:rFonts w:ascii="Times New Roman" w:hAnsi="Times New Roman" w:cs="Times New Roman"/>
          <w:lang w:val="en-US"/>
        </w:rPr>
        <w:instrText xml:space="preserve"> ADDIN ZOTERO_ITEM CSL_CITATION {"citationID":"1j8qWVgw","properties":{"formattedCitation":"(Kendler, Karkowski, &amp; Prescott, 1998, 1999)","plainCitation":"(Kendler, Karkowski, &amp; Prescott, 1998, 1999)","noteIndex":0},"citationItems":[{"id":157,"uris":["http://zotero.org/users/6479959/items/XHTAX87V"],"itemData":{"id":157,"type":"article-journal","abstract":"Although stressful life events (SLEs) play a major role in many etiologic theories of major depression (MD), important questions remain about the nature of their association with the onset of depressive episodes. We assessed over the last year, in female twins ascertained from a population based registry, the occurrence of 15 classes of SLEs and the onset of DSM-III-R MD and 2-week generalized anxiety disorder (GAD). The sample contained 24,648 person-months, 316 onsets of MD, and 239 onsets of GAD. SLEs were rated on long-term contextual threat and dependence. Discrete time-survival analyses were employed. The association between SLEs and depressive onsets was usually strongest in the month of occurrence but extended for \"difficulty-like\" events for up to 6 months. The depressogenic effect of SLEs was strongly predicted by contextual threat level, although some low threat events significantly increased risk for MD. The risk for a depressive onset given the number of reported SLEs within one month was: no event, 0.9%; one, 3.4%; two, 6.8%; and three, 23.8%. Although a few events were relatively specifically depressogenic or anxiogenic, most SLEs increased risk for both MD and GAD. The risk period produced by SLEs range from short-lived to relatively prolonged. High threat events encompass most but not all of the depressogenic effects of SLEs. Multiple SLEs in the same month substantially increase the risk for a depressive onset. The specificity of most SLEs for depressive versus anxiety syndromes is modest.","container-title":"The Journal of Nervous and Mental Disease","DOI":"10.1097/00005053-199811000-00001","ISSN":"0022-3018","issue":"11","language":"en-US","page":"661–669","source":"journals.lww.com","title":"Stressful life events and major depression: Risk period, long-term contextual threat, and diagnostic specificity","title-short":"Stressful Life Events and Major Depression","volume":"186","author":[{"family":"Kendler","given":"Kenneth S."},{"family":"Karkowski","given":"Laura M."},{"family":"Prescott","given":"Carol A."}],"issued":{"date-parts":[["1998",11]]}}},{"id":134,"uris":["http://zotero.org/users/6479959/items/Z2CSWRU9"],"itemData":{"id":134,"type":"article-journal","container-title":"American Journal of Psychiatry","DOI":"10.1176/ajp.156.6.837","issue":"6","language":"en","page":"837–841","title":"Causal relationship between stressful life events and the onset of major depression","volume":"156","author":[{"family":"Kendler","given":"Kenneth S."},{"family":"Karkowski","given":"Laura M."},{"family":"Prescott","given":"Carol A."}],"issued":{"date-parts":[["1999"]]}}}],"schema":"https://github.com/citation-style-language/schema/raw/master/csl-citation.json"} </w:instrText>
      </w:r>
      <w:r w:rsidRPr="00AA738D">
        <w:rPr>
          <w:rFonts w:ascii="Times New Roman" w:hAnsi="Times New Roman" w:cs="Times New Roman"/>
          <w:lang w:val="en-US"/>
        </w:rPr>
        <w:fldChar w:fldCharType="separate"/>
      </w:r>
      <w:r w:rsidR="002D7167">
        <w:rPr>
          <w:rFonts w:ascii="Times New Roman" w:hAnsi="Times New Roman" w:cs="Times New Roman"/>
          <w:noProof/>
          <w:lang w:val="en-US"/>
        </w:rPr>
        <w:t>(Kendler, Karkowski, &amp; Prescott, 1998, 1999)</w:t>
      </w:r>
      <w:r w:rsidRPr="00AA738D">
        <w:rPr>
          <w:rFonts w:ascii="Times New Roman" w:hAnsi="Times New Roman" w:cs="Times New Roman"/>
          <w:lang w:val="en-US"/>
        </w:rPr>
        <w:fldChar w:fldCharType="end"/>
      </w:r>
      <w:r w:rsidRPr="00AA738D">
        <w:rPr>
          <w:rFonts w:ascii="Times New Roman" w:hAnsi="Times New Roman" w:cs="Times New Roman"/>
          <w:lang w:val="en-US"/>
        </w:rPr>
        <w:t>.</w:t>
      </w:r>
    </w:p>
    <w:p w14:paraId="02C4598B" w14:textId="77777777" w:rsidR="00335120" w:rsidRPr="00AA738D" w:rsidRDefault="00335120" w:rsidP="00335120">
      <w:pPr>
        <w:spacing w:line="360" w:lineRule="auto"/>
        <w:rPr>
          <w:rFonts w:ascii="Times New Roman" w:hAnsi="Times New Roman" w:cs="Times New Roman"/>
          <w:lang w:val="en-US"/>
        </w:rPr>
      </w:pPr>
      <w:r w:rsidRPr="00AA738D">
        <w:rPr>
          <w:rFonts w:ascii="Times New Roman" w:hAnsi="Times New Roman" w:cs="Times New Roman"/>
          <w:lang w:val="en-US"/>
        </w:rPr>
        <w:tab/>
        <w:t xml:space="preserve">Figure B1 describes the frequency of time-censored SLEs occurring before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onset in years for both W1 and W2. As the plot shows, the frequency of SLE occurrence before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generally decreases with increasing years. This implies that fewer SLEs occur when the distance between the year of SLE occurrence and year of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onset increases. This is what would be expected </w:t>
      </w:r>
      <w:proofErr w:type="gramStart"/>
      <w:r w:rsidRPr="00AA738D">
        <w:rPr>
          <w:rFonts w:ascii="Times New Roman" w:hAnsi="Times New Roman" w:cs="Times New Roman"/>
          <w:lang w:val="en-US"/>
        </w:rPr>
        <w:t>in light of</w:t>
      </w:r>
      <w:proofErr w:type="gramEnd"/>
      <w:r w:rsidRPr="00AA738D">
        <w:rPr>
          <w:rFonts w:ascii="Times New Roman" w:hAnsi="Times New Roman" w:cs="Times New Roman"/>
          <w:lang w:val="en-US"/>
        </w:rPr>
        <w:t xml:space="preserve"> previous research, assuming that most SLEs primarily increase risk over a shorter time-period. </w:t>
      </w:r>
    </w:p>
    <w:p w14:paraId="41ABCF1D" w14:textId="297EAE3A" w:rsidR="00335120" w:rsidRPr="00AA738D" w:rsidRDefault="00335120" w:rsidP="00335120">
      <w:pPr>
        <w:spacing w:line="360" w:lineRule="auto"/>
        <w:rPr>
          <w:rFonts w:ascii="Times New Roman" w:hAnsi="Times New Roman" w:cs="Times New Roman"/>
          <w:lang w:val="en-US"/>
        </w:rPr>
      </w:pPr>
      <w:r w:rsidRPr="00AA738D">
        <w:rPr>
          <w:rFonts w:ascii="Times New Roman" w:hAnsi="Times New Roman" w:cs="Times New Roman"/>
          <w:lang w:val="en-US"/>
        </w:rPr>
        <w:tab/>
        <w:t xml:space="preserve">This trend of decreasing frequency of SLEs when the temporal distance between SLE occurrence and </w:t>
      </w:r>
      <w:proofErr w:type="spellStart"/>
      <w:r w:rsidRPr="00AA738D">
        <w:rPr>
          <w:rFonts w:ascii="Times New Roman" w:hAnsi="Times New Roman" w:cs="Times New Roman"/>
          <w:lang w:val="en-US"/>
        </w:rPr>
        <w:t>MDE</w:t>
      </w:r>
      <w:proofErr w:type="spellEnd"/>
      <w:r w:rsidRPr="00AA738D">
        <w:rPr>
          <w:rFonts w:ascii="Times New Roman" w:hAnsi="Times New Roman" w:cs="Times New Roman"/>
          <w:lang w:val="en-US"/>
        </w:rPr>
        <w:t xml:space="preserve"> onset is slightly less pronounced for violent relational SLEs. Although speculative, this could in part be explained by some violent SLEs, such as sexual abuse, which may increase depression risk over a lifetime </w:t>
      </w:r>
      <w:r w:rsidRPr="00AA738D">
        <w:rPr>
          <w:rFonts w:ascii="Times New Roman" w:hAnsi="Times New Roman" w:cs="Times New Roman"/>
          <w:lang w:val="en-US"/>
        </w:rPr>
        <w:fldChar w:fldCharType="begin"/>
      </w:r>
      <w:r w:rsidR="00491531" w:rsidRPr="00AA738D">
        <w:rPr>
          <w:rFonts w:ascii="Times New Roman" w:hAnsi="Times New Roman" w:cs="Times New Roman"/>
          <w:lang w:val="en-US"/>
        </w:rPr>
        <w:instrText xml:space="preserve"> ADDIN ZOTERO_ITEM CSL_CITATION {"citationID":"nZSZq0ET","properties":{"formattedCitation":"(Kendler et al., 2000; Kendler &amp; Gardner, 2017)","plainCitation":"(Kendler et al., 2000; Kendler &amp; Gardner, 2017)","noteIndex":0},"citationItems":[{"id":312,"uris":["http://zotero.org/users/6479959/items/AJLZNLR7"],"itemData":{"id":312,"type":"article-journal","abstract":"Women who report childhood sexual abuse (CSA) are at increased risk for developing psychiatric disorders in adulthood. What is the diagnostic specificity and cause of this association?In a population-based sample of 1411 female adult twins, 3 levels of CSA were assessed by self-report and cotwin report: nongenital, genital, and intercourse. Interviews with twins and parents assessed family background and diagnoses of psychiatric and substance dependence disorders. Odds ratios (ORs) were calculated by logistic regression.By self-report, 30.4% reported any CSA and 8.4% reported intercourse. Self-reported CSA was positively associated with all disorders, the highest ORs being seen with bulimia and alcohol and other drug dependence. The ORs were modest and often nonsignificant with nongenital CSA and increased with genital CSA and especially intercourse, where most ORs exceeded 3.0. A similar pattern of findings was seen with CSA as reported by the cotwin, although many ORs were smaller. Controlling for family background factors and parental psychopathology produced a small to modest reduction in ORs. In twin pairs discordant for CSA, the exposed twin was at consistently higher risk of illness.Women with CSA have a substantially increased risk for developing a wide range of psychopathology. Most of this association is due to more severe forms of CSA and cannot be explained by background familial factors. Although other biases cannot be ruled out, these results are consistent with the hypothesis that CSA is causally related to an increased risk for psychiatric and substance abuse disorders.Arch Gen Psychiatry. 2000;57:953-959--&gt;","container-title":"Archives of General Psychiatry","DOI":"10.1001/archpsyc.57.10.953","ISSN":"0003-990X","issue":"10","journalAbbreviation":"Archives of General Psychiatry","page":"953-959","source":"Silverchair","title":"Childhood sexual abuse and adult psychiatric and substance use disorders in women: an epidemiological and cotwin control analysis","title-short":"Childhood Sexual Abuse and Adult Psychiatric and Substance Use Disorders in Women","volume":"57","author":[{"family":"Kendler","given":"Kenneth S."},{"family":"Bulik","given":"Cynthia M."},{"family":"Silberg","given":"Judy"},{"family":"Hettema","given":"John M."},{"family":"Myers","given":"John"},{"family":"Prescott","given":"Carol A."}],"issued":{"date-parts":[["2000",10,1]]}}},{"id":311,"uris":["http://zotero.org/users/6479959/items/KCXWA6MS"],"itemData":{"id":311,"type":"article-journal","container-title":"Psychological Medicine","DOI":"10.1017/S0033291717000277","issue":"10","note":"publisher: Cambridge University Press","page":"1816–1824","source":"Google Scholar","title":"Genetic and environmental influences on last-year major depression in adulthood: a highly heritable stable liability but strong environmental effects on 1-year prevalence","title-short":"Genetic and environmental influences on last-year major depression in adulthood","volume":"47","author":[{"family":"Kendler","given":"Kenneth S."},{"family":"Gardner","given":"Charles O."}],"issued":{"date-parts":[["2017"]]}}}],"schema":"https://github.com/citation-style-language/schema/raw/master/csl-citation.json"} </w:instrText>
      </w:r>
      <w:r w:rsidRPr="00AA738D">
        <w:rPr>
          <w:rFonts w:ascii="Times New Roman" w:hAnsi="Times New Roman" w:cs="Times New Roman"/>
          <w:lang w:val="en-US"/>
        </w:rPr>
        <w:fldChar w:fldCharType="separate"/>
      </w:r>
      <w:r w:rsidR="002D7167">
        <w:rPr>
          <w:rFonts w:ascii="Times New Roman" w:hAnsi="Times New Roman" w:cs="Times New Roman"/>
          <w:noProof/>
          <w:lang w:val="en-US"/>
        </w:rPr>
        <w:t>(Kendler et al., 2000; Kendler &amp; Gardner, 2017)</w:t>
      </w:r>
      <w:r w:rsidRPr="00AA738D">
        <w:rPr>
          <w:rFonts w:ascii="Times New Roman" w:hAnsi="Times New Roman" w:cs="Times New Roman"/>
          <w:lang w:val="en-US"/>
        </w:rPr>
        <w:fldChar w:fldCharType="end"/>
      </w:r>
      <w:r w:rsidRPr="00AA738D">
        <w:rPr>
          <w:rFonts w:ascii="Times New Roman" w:hAnsi="Times New Roman" w:cs="Times New Roman"/>
          <w:lang w:val="en-US"/>
        </w:rPr>
        <w:t>.</w:t>
      </w:r>
    </w:p>
    <w:p w14:paraId="7735518D" w14:textId="77777777" w:rsidR="00335120" w:rsidRPr="00AA738D" w:rsidRDefault="00335120" w:rsidP="00335120">
      <w:pPr>
        <w:spacing w:line="360" w:lineRule="auto"/>
        <w:rPr>
          <w:rFonts w:ascii="Times New Roman" w:hAnsi="Times New Roman" w:cs="Times New Roman"/>
          <w:lang w:val="en-US"/>
        </w:rPr>
      </w:pPr>
    </w:p>
    <w:p w14:paraId="538680CA" w14:textId="03602F5F" w:rsidR="00335120" w:rsidRPr="00AA738D" w:rsidRDefault="00335120" w:rsidP="00335120">
      <w:pPr>
        <w:spacing w:line="360" w:lineRule="auto"/>
        <w:rPr>
          <w:rFonts w:ascii="Times New Roman" w:hAnsi="Times New Roman" w:cs="Times New Roman"/>
          <w:b/>
          <w:bCs/>
          <w:lang w:val="en-US"/>
        </w:rPr>
      </w:pPr>
      <w:r w:rsidRPr="00AA738D">
        <w:rPr>
          <w:rFonts w:ascii="Times New Roman" w:hAnsi="Times New Roman" w:cs="Times New Roman"/>
          <w:b/>
          <w:bCs/>
          <w:lang w:val="en-US"/>
        </w:rPr>
        <w:t>Figure B1.</w:t>
      </w:r>
    </w:p>
    <w:p w14:paraId="5ED38D56" w14:textId="54A506B9" w:rsidR="00335120" w:rsidRPr="00AA738D" w:rsidRDefault="00335120" w:rsidP="00335120">
      <w:pPr>
        <w:spacing w:line="360" w:lineRule="auto"/>
        <w:rPr>
          <w:rFonts w:ascii="Times New Roman" w:hAnsi="Times New Roman" w:cs="Times New Roman"/>
          <w:b/>
          <w:bCs/>
          <w:lang w:val="en-US"/>
        </w:rPr>
      </w:pPr>
      <w:r w:rsidRPr="00AA738D">
        <w:rPr>
          <w:rFonts w:ascii="Times New Roman" w:hAnsi="Times New Roman" w:cs="Times New Roman"/>
          <w:noProof/>
          <w:lang w:val="en-US"/>
        </w:rPr>
        <w:drawing>
          <wp:inline distT="0" distB="0" distL="0" distR="0" wp14:anchorId="1FB88946" wp14:editId="0D279C1D">
            <wp:extent cx="6596742" cy="329837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626414" cy="3313207"/>
                    </a:xfrm>
                    <a:prstGeom prst="rect">
                      <a:avLst/>
                    </a:prstGeom>
                  </pic:spPr>
                </pic:pic>
              </a:graphicData>
            </a:graphic>
          </wp:inline>
        </w:drawing>
      </w:r>
    </w:p>
    <w:p w14:paraId="59FFDABF" w14:textId="4777AEAC" w:rsidR="00CA693D" w:rsidRPr="00AA738D" w:rsidRDefault="00CA693D" w:rsidP="00335120">
      <w:pPr>
        <w:spacing w:line="360" w:lineRule="auto"/>
        <w:rPr>
          <w:rFonts w:ascii="Times New Roman" w:hAnsi="Times New Roman" w:cs="Times New Roman"/>
          <w:b/>
          <w:bCs/>
          <w:lang w:val="en-US"/>
        </w:rPr>
      </w:pPr>
    </w:p>
    <w:p w14:paraId="5574DBCB" w14:textId="7F20D661" w:rsidR="00CA693D" w:rsidRPr="00AA738D" w:rsidRDefault="00CA693D" w:rsidP="00335120">
      <w:pPr>
        <w:spacing w:line="360" w:lineRule="auto"/>
        <w:rPr>
          <w:rFonts w:ascii="Times New Roman" w:hAnsi="Times New Roman" w:cs="Times New Roman"/>
          <w:b/>
          <w:bCs/>
          <w:lang w:val="en-US"/>
        </w:rPr>
      </w:pPr>
    </w:p>
    <w:p w14:paraId="327A59A8" w14:textId="25A246F6" w:rsidR="00627B6E" w:rsidRPr="00AA738D" w:rsidRDefault="00627B6E" w:rsidP="00E77B94">
      <w:pPr>
        <w:spacing w:line="360" w:lineRule="auto"/>
        <w:rPr>
          <w:rFonts w:ascii="Times New Roman" w:hAnsi="Times New Roman" w:cs="Times New Roman"/>
          <w:b/>
          <w:bCs/>
          <w:lang w:val="en-US"/>
        </w:rPr>
      </w:pPr>
      <w:r w:rsidRPr="00AA738D">
        <w:rPr>
          <w:rFonts w:ascii="Times New Roman" w:hAnsi="Times New Roman" w:cs="Times New Roman"/>
          <w:b/>
          <w:bCs/>
          <w:lang w:val="en-US"/>
        </w:rPr>
        <w:lastRenderedPageBreak/>
        <w:t>Appendix C</w:t>
      </w:r>
    </w:p>
    <w:p w14:paraId="7A599F27" w14:textId="300AF1D5" w:rsidR="00E77B94" w:rsidRPr="00AA738D" w:rsidRDefault="00627B6E" w:rsidP="00627B6E">
      <w:pPr>
        <w:spacing w:line="360" w:lineRule="auto"/>
        <w:rPr>
          <w:rFonts w:ascii="Times New Roman" w:hAnsi="Times New Roman" w:cs="Times New Roman"/>
          <w:lang w:val="en-US"/>
        </w:rPr>
      </w:pPr>
      <w:r w:rsidRPr="00AA738D">
        <w:rPr>
          <w:rFonts w:ascii="Times New Roman" w:hAnsi="Times New Roman" w:cs="Times New Roman"/>
          <w:lang w:val="en-US"/>
        </w:rPr>
        <w:tab/>
        <w:t>Appendix C reports additional details on the characteristics of the sample.</w:t>
      </w:r>
      <w:r w:rsidR="00DE12CE" w:rsidRPr="00AA738D">
        <w:rPr>
          <w:rFonts w:ascii="Times New Roman" w:hAnsi="Times New Roman" w:cs="Times New Roman"/>
          <w:lang w:val="en-US"/>
        </w:rPr>
        <w:t xml:space="preserve"> These are based on the sample in the second wave of data collection.</w:t>
      </w:r>
      <w:r w:rsidRPr="00AA738D">
        <w:rPr>
          <w:rFonts w:ascii="Times New Roman" w:hAnsi="Times New Roman" w:cs="Times New Roman"/>
          <w:lang w:val="en-US"/>
        </w:rPr>
        <w:t xml:space="preserve"> </w:t>
      </w:r>
      <w:r w:rsidR="00DE12CE" w:rsidRPr="00AA738D">
        <w:rPr>
          <w:rFonts w:ascii="Times New Roman" w:hAnsi="Times New Roman" w:cs="Times New Roman"/>
          <w:lang w:val="en-US"/>
        </w:rPr>
        <w:t>We also describe previous studies which have examined the representativeness of the sample below.</w:t>
      </w:r>
    </w:p>
    <w:p w14:paraId="6E5E7369" w14:textId="77777777" w:rsidR="00755F59" w:rsidRPr="00AA738D" w:rsidRDefault="00755F59" w:rsidP="00627B6E">
      <w:pPr>
        <w:spacing w:line="360" w:lineRule="auto"/>
        <w:rPr>
          <w:rFonts w:ascii="Times New Roman" w:hAnsi="Times New Roman" w:cs="Times New Roman"/>
          <w:b/>
          <w:bCs/>
          <w:i/>
          <w:iCs/>
          <w:lang w:val="en-US"/>
        </w:rPr>
      </w:pPr>
    </w:p>
    <w:p w14:paraId="4630F7DC" w14:textId="58EBEFE1" w:rsidR="00F13590" w:rsidRPr="00AA738D" w:rsidRDefault="00F13590" w:rsidP="00627B6E">
      <w:pPr>
        <w:spacing w:line="360" w:lineRule="auto"/>
        <w:rPr>
          <w:rFonts w:ascii="Times New Roman" w:hAnsi="Times New Roman" w:cs="Times New Roman"/>
          <w:b/>
          <w:bCs/>
          <w:i/>
          <w:iCs/>
          <w:lang w:val="en-US"/>
        </w:rPr>
      </w:pPr>
      <w:r w:rsidRPr="00AA738D">
        <w:rPr>
          <w:rFonts w:ascii="Times New Roman" w:hAnsi="Times New Roman" w:cs="Times New Roman"/>
          <w:b/>
          <w:bCs/>
          <w:i/>
          <w:iCs/>
          <w:lang w:val="en-US"/>
        </w:rPr>
        <w:t>Education</w:t>
      </w:r>
    </w:p>
    <w:p w14:paraId="66C96158" w14:textId="77777777" w:rsidR="009A2E67" w:rsidRPr="00AA738D" w:rsidRDefault="009A2E67" w:rsidP="009A2E67">
      <w:pPr>
        <w:spacing w:line="480" w:lineRule="auto"/>
        <w:rPr>
          <w:rFonts w:ascii="Times New Roman" w:hAnsi="Times New Roman" w:cs="Times New Roman"/>
          <w:b/>
          <w:bCs/>
          <w:lang w:val="en-US"/>
        </w:rPr>
      </w:pPr>
      <w:r w:rsidRPr="00AA738D">
        <w:rPr>
          <w:rFonts w:ascii="Times New Roman" w:hAnsi="Times New Roman" w:cs="Times New Roman"/>
          <w:b/>
          <w:bCs/>
          <w:lang w:val="en-US"/>
        </w:rPr>
        <w:t>Table C1.</w:t>
      </w:r>
    </w:p>
    <w:p w14:paraId="1215BB91" w14:textId="0ECD3243" w:rsidR="009A2E67" w:rsidRPr="00AA738D" w:rsidRDefault="009A2E67" w:rsidP="009A2E67">
      <w:pPr>
        <w:spacing w:line="480" w:lineRule="auto"/>
        <w:rPr>
          <w:rFonts w:ascii="Times New Roman" w:hAnsi="Times New Roman" w:cs="Times New Roman"/>
          <w:lang w:val="en-US"/>
        </w:rPr>
      </w:pPr>
      <w:r w:rsidRPr="00AA738D">
        <w:rPr>
          <w:rFonts w:ascii="Times New Roman" w:hAnsi="Times New Roman" w:cs="Times New Roman"/>
          <w:i/>
          <w:iCs/>
          <w:lang w:val="en-US"/>
        </w:rPr>
        <w:t>Education Level in Sample</w:t>
      </w:r>
      <w:r w:rsidR="00B70730" w:rsidRPr="00AA738D">
        <w:rPr>
          <w:rFonts w:ascii="Times New Roman" w:hAnsi="Times New Roman" w:cs="Times New Roman"/>
          <w:lang w:val="en-US"/>
        </w:rPr>
        <w:t>.</w:t>
      </w:r>
    </w:p>
    <w:tbl>
      <w:tblPr>
        <w:tblW w:w="8900" w:type="dxa"/>
        <w:tblCellMar>
          <w:left w:w="70" w:type="dxa"/>
          <w:right w:w="70" w:type="dxa"/>
        </w:tblCellMar>
        <w:tblLook w:val="04A0" w:firstRow="1" w:lastRow="0" w:firstColumn="1" w:lastColumn="0" w:noHBand="0" w:noVBand="1"/>
      </w:tblPr>
      <w:tblGrid>
        <w:gridCol w:w="4395"/>
        <w:gridCol w:w="4505"/>
      </w:tblGrid>
      <w:tr w:rsidR="00AA738D" w:rsidRPr="00B55F1A" w14:paraId="418A6399" w14:textId="77777777" w:rsidTr="009A2E67">
        <w:trPr>
          <w:trHeight w:val="320"/>
        </w:trPr>
        <w:tc>
          <w:tcPr>
            <w:tcW w:w="4395" w:type="dxa"/>
            <w:tcBorders>
              <w:top w:val="nil"/>
              <w:left w:val="nil"/>
              <w:bottom w:val="single" w:sz="4" w:space="0" w:color="auto"/>
              <w:right w:val="nil"/>
            </w:tcBorders>
            <w:shd w:val="clear" w:color="auto" w:fill="auto"/>
            <w:noWrap/>
            <w:vAlign w:val="center"/>
            <w:hideMark/>
          </w:tcPr>
          <w:p w14:paraId="23CB07A5" w14:textId="77777777" w:rsidR="00F325F5" w:rsidRPr="00AA738D" w:rsidRDefault="00F325F5" w:rsidP="00F325F5">
            <w:pP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Highest achieved education level</w:t>
            </w:r>
          </w:p>
        </w:tc>
        <w:tc>
          <w:tcPr>
            <w:tcW w:w="4505" w:type="dxa"/>
            <w:tcBorders>
              <w:top w:val="nil"/>
              <w:left w:val="nil"/>
              <w:bottom w:val="single" w:sz="4" w:space="0" w:color="auto"/>
              <w:right w:val="nil"/>
            </w:tcBorders>
            <w:shd w:val="clear" w:color="auto" w:fill="auto"/>
            <w:noWrap/>
            <w:vAlign w:val="center"/>
            <w:hideMark/>
          </w:tcPr>
          <w:p w14:paraId="3EF1139E" w14:textId="77777777" w:rsidR="00F325F5" w:rsidRPr="00AA738D" w:rsidRDefault="00F325F5" w:rsidP="00F325F5">
            <w:pPr>
              <w:jc w:val="cente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N (% of total sample size 2288)</w:t>
            </w:r>
          </w:p>
        </w:tc>
      </w:tr>
      <w:tr w:rsidR="00AA738D" w:rsidRPr="00AA738D" w14:paraId="27F38E13" w14:textId="77777777" w:rsidTr="009A2E67">
        <w:trPr>
          <w:trHeight w:val="320"/>
        </w:trPr>
        <w:tc>
          <w:tcPr>
            <w:tcW w:w="4395" w:type="dxa"/>
            <w:tcBorders>
              <w:top w:val="nil"/>
              <w:left w:val="nil"/>
              <w:bottom w:val="nil"/>
              <w:right w:val="nil"/>
            </w:tcBorders>
            <w:shd w:val="clear" w:color="auto" w:fill="auto"/>
            <w:noWrap/>
            <w:vAlign w:val="bottom"/>
            <w:hideMark/>
          </w:tcPr>
          <w:p w14:paraId="751BBE31"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Primary or middle school, 9 years</w:t>
            </w:r>
          </w:p>
        </w:tc>
        <w:tc>
          <w:tcPr>
            <w:tcW w:w="4505" w:type="dxa"/>
            <w:tcBorders>
              <w:top w:val="nil"/>
              <w:left w:val="nil"/>
              <w:bottom w:val="nil"/>
              <w:right w:val="nil"/>
            </w:tcBorders>
            <w:shd w:val="clear" w:color="auto" w:fill="auto"/>
            <w:noWrap/>
            <w:vAlign w:val="bottom"/>
            <w:hideMark/>
          </w:tcPr>
          <w:p w14:paraId="445C674B" w14:textId="6DF217E5"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53 (2.3</w:t>
            </w:r>
            <w:r w:rsidR="00B55F1A">
              <w:rPr>
                <w:rFonts w:ascii="Times New Roman" w:eastAsia="Times New Roman" w:hAnsi="Times New Roman" w:cs="Times New Roman"/>
                <w:lang w:val="en-US" w:eastAsia="nb-NO"/>
              </w:rPr>
              <w:t>2</w:t>
            </w:r>
            <w:r w:rsidRPr="00AA738D">
              <w:rPr>
                <w:rFonts w:ascii="Times New Roman" w:eastAsia="Times New Roman" w:hAnsi="Times New Roman" w:cs="Times New Roman"/>
                <w:lang w:val="en-US" w:eastAsia="nb-NO"/>
              </w:rPr>
              <w:t>%)</w:t>
            </w:r>
          </w:p>
        </w:tc>
      </w:tr>
      <w:tr w:rsidR="00AA738D" w:rsidRPr="00AA738D" w14:paraId="2B641679" w14:textId="77777777" w:rsidTr="009A2E67">
        <w:trPr>
          <w:trHeight w:val="320"/>
        </w:trPr>
        <w:tc>
          <w:tcPr>
            <w:tcW w:w="4395" w:type="dxa"/>
            <w:tcBorders>
              <w:top w:val="nil"/>
              <w:left w:val="nil"/>
              <w:bottom w:val="nil"/>
              <w:right w:val="nil"/>
            </w:tcBorders>
            <w:shd w:val="clear" w:color="auto" w:fill="auto"/>
            <w:noWrap/>
            <w:vAlign w:val="bottom"/>
            <w:hideMark/>
          </w:tcPr>
          <w:p w14:paraId="459E42F9"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High school, 1-2 years</w:t>
            </w:r>
          </w:p>
        </w:tc>
        <w:tc>
          <w:tcPr>
            <w:tcW w:w="4505" w:type="dxa"/>
            <w:tcBorders>
              <w:top w:val="nil"/>
              <w:left w:val="nil"/>
              <w:bottom w:val="nil"/>
              <w:right w:val="nil"/>
            </w:tcBorders>
            <w:shd w:val="clear" w:color="auto" w:fill="auto"/>
            <w:noWrap/>
            <w:vAlign w:val="bottom"/>
            <w:hideMark/>
          </w:tcPr>
          <w:p w14:paraId="637C1CA7" w14:textId="77777777"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166 (7.26%)</w:t>
            </w:r>
          </w:p>
        </w:tc>
      </w:tr>
      <w:tr w:rsidR="00AA738D" w:rsidRPr="00AA738D" w14:paraId="76B2B51B" w14:textId="77777777" w:rsidTr="009A2E67">
        <w:trPr>
          <w:trHeight w:val="320"/>
        </w:trPr>
        <w:tc>
          <w:tcPr>
            <w:tcW w:w="4395" w:type="dxa"/>
            <w:tcBorders>
              <w:top w:val="nil"/>
              <w:left w:val="nil"/>
              <w:bottom w:val="nil"/>
              <w:right w:val="nil"/>
            </w:tcBorders>
            <w:shd w:val="clear" w:color="auto" w:fill="auto"/>
            <w:noWrap/>
            <w:vAlign w:val="bottom"/>
            <w:hideMark/>
          </w:tcPr>
          <w:p w14:paraId="39BEF7B3"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Vocational high school, 3 years</w:t>
            </w:r>
          </w:p>
        </w:tc>
        <w:tc>
          <w:tcPr>
            <w:tcW w:w="4505" w:type="dxa"/>
            <w:tcBorders>
              <w:top w:val="nil"/>
              <w:left w:val="nil"/>
              <w:bottom w:val="nil"/>
              <w:right w:val="nil"/>
            </w:tcBorders>
            <w:shd w:val="clear" w:color="auto" w:fill="auto"/>
            <w:noWrap/>
            <w:vAlign w:val="bottom"/>
            <w:hideMark/>
          </w:tcPr>
          <w:p w14:paraId="6E315C66" w14:textId="77777777"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305 (13.33%)</w:t>
            </w:r>
          </w:p>
        </w:tc>
      </w:tr>
      <w:tr w:rsidR="00AA738D" w:rsidRPr="00AA738D" w14:paraId="2A5CFF3F" w14:textId="77777777" w:rsidTr="009A2E67">
        <w:trPr>
          <w:trHeight w:val="320"/>
        </w:trPr>
        <w:tc>
          <w:tcPr>
            <w:tcW w:w="4395" w:type="dxa"/>
            <w:tcBorders>
              <w:top w:val="nil"/>
              <w:left w:val="nil"/>
              <w:bottom w:val="nil"/>
              <w:right w:val="nil"/>
            </w:tcBorders>
            <w:shd w:val="clear" w:color="auto" w:fill="auto"/>
            <w:noWrap/>
            <w:vAlign w:val="bottom"/>
            <w:hideMark/>
          </w:tcPr>
          <w:p w14:paraId="40DAB6FB"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General/economics high school, 3 years</w:t>
            </w:r>
          </w:p>
        </w:tc>
        <w:tc>
          <w:tcPr>
            <w:tcW w:w="4505" w:type="dxa"/>
            <w:tcBorders>
              <w:top w:val="nil"/>
              <w:left w:val="nil"/>
              <w:bottom w:val="nil"/>
              <w:right w:val="nil"/>
            </w:tcBorders>
            <w:shd w:val="clear" w:color="auto" w:fill="auto"/>
            <w:noWrap/>
            <w:vAlign w:val="bottom"/>
            <w:hideMark/>
          </w:tcPr>
          <w:p w14:paraId="21AAA3DC" w14:textId="77777777"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205 (8.96%)</w:t>
            </w:r>
          </w:p>
        </w:tc>
      </w:tr>
      <w:tr w:rsidR="00AA738D" w:rsidRPr="00AA738D" w14:paraId="12B3F5A9" w14:textId="77777777" w:rsidTr="009A2E67">
        <w:trPr>
          <w:trHeight w:val="320"/>
        </w:trPr>
        <w:tc>
          <w:tcPr>
            <w:tcW w:w="4395" w:type="dxa"/>
            <w:tcBorders>
              <w:top w:val="nil"/>
              <w:left w:val="nil"/>
              <w:bottom w:val="nil"/>
              <w:right w:val="nil"/>
            </w:tcBorders>
            <w:shd w:val="clear" w:color="auto" w:fill="auto"/>
            <w:noWrap/>
            <w:vAlign w:val="bottom"/>
            <w:hideMark/>
          </w:tcPr>
          <w:p w14:paraId="4CB8E2F0"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College or university, 4 years or less</w:t>
            </w:r>
          </w:p>
        </w:tc>
        <w:tc>
          <w:tcPr>
            <w:tcW w:w="4505" w:type="dxa"/>
            <w:tcBorders>
              <w:top w:val="nil"/>
              <w:left w:val="nil"/>
              <w:bottom w:val="nil"/>
              <w:right w:val="nil"/>
            </w:tcBorders>
            <w:shd w:val="clear" w:color="auto" w:fill="auto"/>
            <w:noWrap/>
            <w:vAlign w:val="bottom"/>
            <w:hideMark/>
          </w:tcPr>
          <w:p w14:paraId="6BE6DCDD" w14:textId="77777777"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761 (33.26%)</w:t>
            </w:r>
          </w:p>
        </w:tc>
      </w:tr>
      <w:tr w:rsidR="00AA738D" w:rsidRPr="00AA738D" w14:paraId="36516990" w14:textId="77777777" w:rsidTr="009A2E67">
        <w:trPr>
          <w:trHeight w:val="320"/>
        </w:trPr>
        <w:tc>
          <w:tcPr>
            <w:tcW w:w="4395" w:type="dxa"/>
            <w:tcBorders>
              <w:top w:val="nil"/>
              <w:left w:val="nil"/>
              <w:bottom w:val="nil"/>
              <w:right w:val="nil"/>
            </w:tcBorders>
            <w:shd w:val="clear" w:color="auto" w:fill="auto"/>
            <w:noWrap/>
            <w:vAlign w:val="bottom"/>
            <w:hideMark/>
          </w:tcPr>
          <w:p w14:paraId="1CE4131D" w14:textId="1C84F47E"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Col</w:t>
            </w:r>
            <w:r w:rsidR="000E6266" w:rsidRPr="00AA738D">
              <w:rPr>
                <w:rFonts w:ascii="Times New Roman" w:eastAsia="Times New Roman" w:hAnsi="Times New Roman" w:cs="Times New Roman"/>
                <w:lang w:val="en-US" w:eastAsia="nb-NO"/>
              </w:rPr>
              <w:t>l</w:t>
            </w:r>
            <w:r w:rsidRPr="00AA738D">
              <w:rPr>
                <w:rFonts w:ascii="Times New Roman" w:eastAsia="Times New Roman" w:hAnsi="Times New Roman" w:cs="Times New Roman"/>
                <w:lang w:val="en-US" w:eastAsia="nb-NO"/>
              </w:rPr>
              <w:t>ege or university, more than 4 years</w:t>
            </w:r>
          </w:p>
        </w:tc>
        <w:tc>
          <w:tcPr>
            <w:tcW w:w="4505" w:type="dxa"/>
            <w:tcBorders>
              <w:top w:val="nil"/>
              <w:left w:val="nil"/>
              <w:bottom w:val="nil"/>
              <w:right w:val="nil"/>
            </w:tcBorders>
            <w:shd w:val="clear" w:color="auto" w:fill="auto"/>
            <w:noWrap/>
            <w:vAlign w:val="bottom"/>
            <w:hideMark/>
          </w:tcPr>
          <w:p w14:paraId="74BDF448" w14:textId="77777777"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753 (32.91%)</w:t>
            </w:r>
          </w:p>
        </w:tc>
      </w:tr>
      <w:tr w:rsidR="00AA738D" w:rsidRPr="00AA738D" w14:paraId="6502A075" w14:textId="77777777" w:rsidTr="009A2E67">
        <w:trPr>
          <w:trHeight w:val="320"/>
        </w:trPr>
        <w:tc>
          <w:tcPr>
            <w:tcW w:w="4395" w:type="dxa"/>
            <w:tcBorders>
              <w:top w:val="nil"/>
              <w:left w:val="nil"/>
              <w:bottom w:val="nil"/>
              <w:right w:val="nil"/>
            </w:tcBorders>
            <w:shd w:val="clear" w:color="auto" w:fill="auto"/>
            <w:noWrap/>
            <w:vAlign w:val="bottom"/>
            <w:hideMark/>
          </w:tcPr>
          <w:p w14:paraId="6C4B9971" w14:textId="77777777" w:rsidR="00F325F5" w:rsidRPr="00AA738D" w:rsidRDefault="00F325F5" w:rsidP="00F325F5">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Doctoral degree</w:t>
            </w:r>
          </w:p>
        </w:tc>
        <w:tc>
          <w:tcPr>
            <w:tcW w:w="4505" w:type="dxa"/>
            <w:tcBorders>
              <w:top w:val="nil"/>
              <w:left w:val="nil"/>
              <w:bottom w:val="nil"/>
              <w:right w:val="nil"/>
            </w:tcBorders>
            <w:shd w:val="clear" w:color="auto" w:fill="auto"/>
            <w:noWrap/>
            <w:vAlign w:val="bottom"/>
            <w:hideMark/>
          </w:tcPr>
          <w:p w14:paraId="2B4A85FA" w14:textId="581EC2BC" w:rsidR="00F325F5" w:rsidRPr="00AA738D" w:rsidRDefault="00F325F5" w:rsidP="00F325F5">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45 (1.97%</w:t>
            </w:r>
            <w:r w:rsidR="00147F64" w:rsidRPr="00AA738D">
              <w:rPr>
                <w:rFonts w:ascii="Times New Roman" w:eastAsia="Times New Roman" w:hAnsi="Times New Roman" w:cs="Times New Roman"/>
                <w:lang w:val="en-US" w:eastAsia="nb-NO"/>
              </w:rPr>
              <w:t>)</w:t>
            </w:r>
          </w:p>
        </w:tc>
      </w:tr>
    </w:tbl>
    <w:p w14:paraId="38579391" w14:textId="07B81450" w:rsidR="00147F64" w:rsidRPr="00AA738D" w:rsidRDefault="003C2AD9" w:rsidP="00DE12CE">
      <w:pPr>
        <w:spacing w:line="360" w:lineRule="auto"/>
        <w:rPr>
          <w:rFonts w:ascii="Times New Roman" w:hAnsi="Times New Roman" w:cs="Times New Roman"/>
          <w:lang w:val="en-US"/>
        </w:rPr>
      </w:pPr>
      <w:r w:rsidRPr="00AA738D">
        <w:rPr>
          <w:rFonts w:ascii="Times New Roman" w:hAnsi="Times New Roman" w:cs="Times New Roman"/>
          <w:lang w:val="en-US"/>
        </w:rPr>
        <w:t xml:space="preserve"> </w:t>
      </w:r>
    </w:p>
    <w:p w14:paraId="4CE236B6" w14:textId="5739BAAE" w:rsidR="00F13590" w:rsidRPr="00AA738D" w:rsidRDefault="00B70730" w:rsidP="00627B6E">
      <w:pPr>
        <w:spacing w:line="360" w:lineRule="auto"/>
        <w:rPr>
          <w:rFonts w:ascii="Times New Roman" w:hAnsi="Times New Roman" w:cs="Times New Roman"/>
          <w:b/>
          <w:bCs/>
          <w:i/>
          <w:iCs/>
          <w:lang w:val="en-US"/>
        </w:rPr>
      </w:pPr>
      <w:r w:rsidRPr="00AA738D">
        <w:rPr>
          <w:rFonts w:ascii="Times New Roman" w:hAnsi="Times New Roman" w:cs="Times New Roman"/>
          <w:b/>
          <w:bCs/>
          <w:i/>
          <w:iCs/>
          <w:lang w:val="en-US"/>
        </w:rPr>
        <w:t>Income</w:t>
      </w:r>
    </w:p>
    <w:p w14:paraId="5CBB9261" w14:textId="78284588" w:rsidR="00B70730" w:rsidRPr="00AA738D" w:rsidRDefault="00B70730" w:rsidP="00627B6E">
      <w:pPr>
        <w:spacing w:line="360" w:lineRule="auto"/>
        <w:rPr>
          <w:rFonts w:ascii="Times New Roman" w:hAnsi="Times New Roman" w:cs="Times New Roman"/>
          <w:b/>
          <w:bCs/>
          <w:lang w:val="en-US"/>
        </w:rPr>
      </w:pPr>
      <w:r w:rsidRPr="00AA738D">
        <w:rPr>
          <w:rFonts w:ascii="Times New Roman" w:hAnsi="Times New Roman" w:cs="Times New Roman"/>
          <w:b/>
          <w:bCs/>
          <w:lang w:val="en-US"/>
        </w:rPr>
        <w:t>Table C2.</w:t>
      </w:r>
    </w:p>
    <w:p w14:paraId="3C006B7E" w14:textId="466FCA8D" w:rsidR="00B70730" w:rsidRPr="00AA738D" w:rsidRDefault="00B70730" w:rsidP="00627B6E">
      <w:pPr>
        <w:spacing w:line="360" w:lineRule="auto"/>
        <w:rPr>
          <w:rFonts w:ascii="Times New Roman" w:hAnsi="Times New Roman" w:cs="Times New Roman"/>
          <w:lang w:val="en-US"/>
        </w:rPr>
      </w:pPr>
      <w:r w:rsidRPr="00AA738D">
        <w:rPr>
          <w:rFonts w:ascii="Times New Roman" w:hAnsi="Times New Roman" w:cs="Times New Roman"/>
          <w:i/>
          <w:iCs/>
          <w:lang w:val="en-US"/>
        </w:rPr>
        <w:t>Income Level in Sample</w:t>
      </w:r>
      <w:r w:rsidRPr="00AA738D">
        <w:rPr>
          <w:rFonts w:ascii="Times New Roman" w:hAnsi="Times New Roman" w:cs="Times New Roman"/>
          <w:lang w:val="en-US"/>
        </w:rPr>
        <w:t>.</w:t>
      </w:r>
    </w:p>
    <w:tbl>
      <w:tblPr>
        <w:tblW w:w="8900" w:type="dxa"/>
        <w:tblCellMar>
          <w:left w:w="70" w:type="dxa"/>
          <w:right w:w="70" w:type="dxa"/>
        </w:tblCellMar>
        <w:tblLook w:val="04A0" w:firstRow="1" w:lastRow="0" w:firstColumn="1" w:lastColumn="0" w:noHBand="0" w:noVBand="1"/>
      </w:tblPr>
      <w:tblGrid>
        <w:gridCol w:w="5420"/>
        <w:gridCol w:w="3480"/>
      </w:tblGrid>
      <w:tr w:rsidR="00AA738D" w:rsidRPr="00B55F1A" w14:paraId="5F2E3872" w14:textId="77777777" w:rsidTr="00B70730">
        <w:trPr>
          <w:trHeight w:val="320"/>
        </w:trPr>
        <w:tc>
          <w:tcPr>
            <w:tcW w:w="5420" w:type="dxa"/>
            <w:tcBorders>
              <w:top w:val="nil"/>
              <w:left w:val="nil"/>
              <w:bottom w:val="single" w:sz="4" w:space="0" w:color="auto"/>
              <w:right w:val="nil"/>
            </w:tcBorders>
            <w:shd w:val="clear" w:color="auto" w:fill="auto"/>
            <w:noWrap/>
            <w:vAlign w:val="center"/>
            <w:hideMark/>
          </w:tcPr>
          <w:p w14:paraId="44FC8BFE" w14:textId="77777777" w:rsidR="00B70730" w:rsidRPr="00AA738D" w:rsidRDefault="00B70730" w:rsidP="00B70730">
            <w:pP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Income last year (including all income and benefits)</w:t>
            </w:r>
          </w:p>
        </w:tc>
        <w:tc>
          <w:tcPr>
            <w:tcW w:w="3480" w:type="dxa"/>
            <w:tcBorders>
              <w:top w:val="nil"/>
              <w:left w:val="nil"/>
              <w:bottom w:val="single" w:sz="4" w:space="0" w:color="auto"/>
              <w:right w:val="nil"/>
            </w:tcBorders>
            <w:shd w:val="clear" w:color="auto" w:fill="auto"/>
            <w:noWrap/>
            <w:vAlign w:val="center"/>
            <w:hideMark/>
          </w:tcPr>
          <w:p w14:paraId="2793764D" w14:textId="77777777" w:rsidR="00B70730" w:rsidRPr="00AA738D" w:rsidRDefault="00B70730" w:rsidP="00B70730">
            <w:pPr>
              <w:jc w:val="cente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N (% of total sample size 2269)</w:t>
            </w:r>
          </w:p>
        </w:tc>
      </w:tr>
      <w:tr w:rsidR="00AA738D" w:rsidRPr="00AA738D" w14:paraId="37ABDB51" w14:textId="77777777" w:rsidTr="00B70730">
        <w:trPr>
          <w:trHeight w:val="320"/>
        </w:trPr>
        <w:tc>
          <w:tcPr>
            <w:tcW w:w="5420" w:type="dxa"/>
            <w:tcBorders>
              <w:top w:val="nil"/>
              <w:left w:val="nil"/>
              <w:bottom w:val="nil"/>
              <w:right w:val="nil"/>
            </w:tcBorders>
            <w:shd w:val="clear" w:color="auto" w:fill="auto"/>
            <w:noWrap/>
            <w:vAlign w:val="center"/>
            <w:hideMark/>
          </w:tcPr>
          <w:p w14:paraId="0B384A67" w14:textId="7D701D56"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L</w:t>
            </w:r>
            <w:r w:rsidR="00BC3D68" w:rsidRPr="00AA738D">
              <w:rPr>
                <w:rFonts w:ascii="Times New Roman" w:eastAsia="Times New Roman" w:hAnsi="Times New Roman" w:cs="Times New Roman"/>
                <w:lang w:val="en-US" w:eastAsia="nb-NO"/>
              </w:rPr>
              <w:t>e</w:t>
            </w:r>
            <w:r w:rsidRPr="00AA738D">
              <w:rPr>
                <w:rFonts w:ascii="Times New Roman" w:eastAsia="Times New Roman" w:hAnsi="Times New Roman" w:cs="Times New Roman"/>
                <w:lang w:val="en-US" w:eastAsia="nb-NO"/>
              </w:rPr>
              <w:t>ss than 125.000</w:t>
            </w:r>
          </w:p>
        </w:tc>
        <w:tc>
          <w:tcPr>
            <w:tcW w:w="3480" w:type="dxa"/>
            <w:tcBorders>
              <w:top w:val="nil"/>
              <w:left w:val="nil"/>
              <w:bottom w:val="nil"/>
              <w:right w:val="nil"/>
            </w:tcBorders>
            <w:shd w:val="clear" w:color="auto" w:fill="auto"/>
            <w:noWrap/>
            <w:vAlign w:val="center"/>
            <w:hideMark/>
          </w:tcPr>
          <w:p w14:paraId="098B14DB"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65 (2.86%)</w:t>
            </w:r>
          </w:p>
        </w:tc>
      </w:tr>
      <w:tr w:rsidR="00AA738D" w:rsidRPr="00AA738D" w14:paraId="64BEA240" w14:textId="77777777" w:rsidTr="00B70730">
        <w:trPr>
          <w:trHeight w:val="320"/>
        </w:trPr>
        <w:tc>
          <w:tcPr>
            <w:tcW w:w="5420" w:type="dxa"/>
            <w:tcBorders>
              <w:top w:val="nil"/>
              <w:left w:val="nil"/>
              <w:bottom w:val="nil"/>
              <w:right w:val="nil"/>
            </w:tcBorders>
            <w:shd w:val="clear" w:color="auto" w:fill="auto"/>
            <w:noWrap/>
            <w:vAlign w:val="center"/>
            <w:hideMark/>
          </w:tcPr>
          <w:p w14:paraId="57099063"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125.000-200.000</w:t>
            </w:r>
          </w:p>
        </w:tc>
        <w:tc>
          <w:tcPr>
            <w:tcW w:w="3480" w:type="dxa"/>
            <w:tcBorders>
              <w:top w:val="nil"/>
              <w:left w:val="nil"/>
              <w:bottom w:val="nil"/>
              <w:right w:val="nil"/>
            </w:tcBorders>
            <w:shd w:val="clear" w:color="auto" w:fill="auto"/>
            <w:noWrap/>
            <w:vAlign w:val="center"/>
            <w:hideMark/>
          </w:tcPr>
          <w:p w14:paraId="24F4F744"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135 (5.95%)</w:t>
            </w:r>
          </w:p>
        </w:tc>
      </w:tr>
      <w:tr w:rsidR="00AA738D" w:rsidRPr="00AA738D" w14:paraId="1C651FD1" w14:textId="77777777" w:rsidTr="00B70730">
        <w:trPr>
          <w:trHeight w:val="320"/>
        </w:trPr>
        <w:tc>
          <w:tcPr>
            <w:tcW w:w="5420" w:type="dxa"/>
            <w:tcBorders>
              <w:top w:val="nil"/>
              <w:left w:val="nil"/>
              <w:bottom w:val="nil"/>
              <w:right w:val="nil"/>
            </w:tcBorders>
            <w:shd w:val="clear" w:color="auto" w:fill="auto"/>
            <w:noWrap/>
            <w:vAlign w:val="center"/>
            <w:hideMark/>
          </w:tcPr>
          <w:p w14:paraId="00635416"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200.001-300.000</w:t>
            </w:r>
          </w:p>
        </w:tc>
        <w:tc>
          <w:tcPr>
            <w:tcW w:w="3480" w:type="dxa"/>
            <w:tcBorders>
              <w:top w:val="nil"/>
              <w:left w:val="nil"/>
              <w:bottom w:val="nil"/>
              <w:right w:val="nil"/>
            </w:tcBorders>
            <w:shd w:val="clear" w:color="auto" w:fill="auto"/>
            <w:noWrap/>
            <w:vAlign w:val="center"/>
            <w:hideMark/>
          </w:tcPr>
          <w:p w14:paraId="7D9D7381"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214 (9.43%)</w:t>
            </w:r>
          </w:p>
        </w:tc>
      </w:tr>
      <w:tr w:rsidR="00AA738D" w:rsidRPr="00AA738D" w14:paraId="18148EF9" w14:textId="77777777" w:rsidTr="00B70730">
        <w:trPr>
          <w:trHeight w:val="320"/>
        </w:trPr>
        <w:tc>
          <w:tcPr>
            <w:tcW w:w="5420" w:type="dxa"/>
            <w:tcBorders>
              <w:top w:val="nil"/>
              <w:left w:val="nil"/>
              <w:bottom w:val="nil"/>
              <w:right w:val="nil"/>
            </w:tcBorders>
            <w:shd w:val="clear" w:color="auto" w:fill="auto"/>
            <w:noWrap/>
            <w:vAlign w:val="center"/>
            <w:hideMark/>
          </w:tcPr>
          <w:p w14:paraId="6E8251D7"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300.001-400.000</w:t>
            </w:r>
          </w:p>
        </w:tc>
        <w:tc>
          <w:tcPr>
            <w:tcW w:w="3480" w:type="dxa"/>
            <w:tcBorders>
              <w:top w:val="nil"/>
              <w:left w:val="nil"/>
              <w:bottom w:val="nil"/>
              <w:right w:val="nil"/>
            </w:tcBorders>
            <w:shd w:val="clear" w:color="auto" w:fill="auto"/>
            <w:noWrap/>
            <w:vAlign w:val="center"/>
            <w:hideMark/>
          </w:tcPr>
          <w:p w14:paraId="188A98CC"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625 (27.55%)</w:t>
            </w:r>
          </w:p>
        </w:tc>
      </w:tr>
      <w:tr w:rsidR="00AA738D" w:rsidRPr="00AA738D" w14:paraId="587B8E92" w14:textId="77777777" w:rsidTr="00B70730">
        <w:trPr>
          <w:trHeight w:val="320"/>
        </w:trPr>
        <w:tc>
          <w:tcPr>
            <w:tcW w:w="5420" w:type="dxa"/>
            <w:tcBorders>
              <w:top w:val="nil"/>
              <w:left w:val="nil"/>
              <w:bottom w:val="nil"/>
              <w:right w:val="nil"/>
            </w:tcBorders>
            <w:shd w:val="clear" w:color="auto" w:fill="auto"/>
            <w:noWrap/>
            <w:vAlign w:val="center"/>
            <w:hideMark/>
          </w:tcPr>
          <w:p w14:paraId="67BD9729"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400.001-550.000</w:t>
            </w:r>
          </w:p>
        </w:tc>
        <w:tc>
          <w:tcPr>
            <w:tcW w:w="3480" w:type="dxa"/>
            <w:tcBorders>
              <w:top w:val="nil"/>
              <w:left w:val="nil"/>
              <w:bottom w:val="nil"/>
              <w:right w:val="nil"/>
            </w:tcBorders>
            <w:shd w:val="clear" w:color="auto" w:fill="auto"/>
            <w:noWrap/>
            <w:vAlign w:val="center"/>
            <w:hideMark/>
          </w:tcPr>
          <w:p w14:paraId="6F5CDC47" w14:textId="0F497713"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 xml:space="preserve">730 </w:t>
            </w:r>
            <w:r w:rsidR="00D73792" w:rsidRPr="00AA738D">
              <w:rPr>
                <w:rFonts w:ascii="Times New Roman" w:eastAsia="Times New Roman" w:hAnsi="Times New Roman" w:cs="Times New Roman"/>
                <w:lang w:val="en-US" w:eastAsia="nb-NO"/>
              </w:rPr>
              <w:t>(</w:t>
            </w:r>
            <w:r w:rsidRPr="00AA738D">
              <w:rPr>
                <w:rFonts w:ascii="Times New Roman" w:eastAsia="Times New Roman" w:hAnsi="Times New Roman" w:cs="Times New Roman"/>
                <w:lang w:val="en-US" w:eastAsia="nb-NO"/>
              </w:rPr>
              <w:t>32.17%)</w:t>
            </w:r>
          </w:p>
        </w:tc>
      </w:tr>
      <w:tr w:rsidR="00AA738D" w:rsidRPr="00AA738D" w14:paraId="7D994FBA" w14:textId="77777777" w:rsidTr="00B70730">
        <w:trPr>
          <w:trHeight w:val="320"/>
        </w:trPr>
        <w:tc>
          <w:tcPr>
            <w:tcW w:w="5420" w:type="dxa"/>
            <w:tcBorders>
              <w:top w:val="nil"/>
              <w:left w:val="nil"/>
              <w:bottom w:val="nil"/>
              <w:right w:val="nil"/>
            </w:tcBorders>
            <w:shd w:val="clear" w:color="auto" w:fill="auto"/>
            <w:noWrap/>
            <w:vAlign w:val="center"/>
            <w:hideMark/>
          </w:tcPr>
          <w:p w14:paraId="17195DC5"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550.001-700.000</w:t>
            </w:r>
          </w:p>
        </w:tc>
        <w:tc>
          <w:tcPr>
            <w:tcW w:w="3480" w:type="dxa"/>
            <w:tcBorders>
              <w:top w:val="nil"/>
              <w:left w:val="nil"/>
              <w:bottom w:val="nil"/>
              <w:right w:val="nil"/>
            </w:tcBorders>
            <w:shd w:val="clear" w:color="auto" w:fill="auto"/>
            <w:noWrap/>
            <w:vAlign w:val="center"/>
            <w:hideMark/>
          </w:tcPr>
          <w:p w14:paraId="432F032B"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267 (11.77%)</w:t>
            </w:r>
          </w:p>
        </w:tc>
      </w:tr>
      <w:tr w:rsidR="00AA738D" w:rsidRPr="00AA738D" w14:paraId="15D4054B" w14:textId="77777777" w:rsidTr="00B70730">
        <w:trPr>
          <w:trHeight w:val="320"/>
        </w:trPr>
        <w:tc>
          <w:tcPr>
            <w:tcW w:w="5420" w:type="dxa"/>
            <w:tcBorders>
              <w:top w:val="nil"/>
              <w:left w:val="nil"/>
              <w:bottom w:val="nil"/>
              <w:right w:val="nil"/>
            </w:tcBorders>
            <w:shd w:val="clear" w:color="auto" w:fill="auto"/>
            <w:noWrap/>
            <w:vAlign w:val="center"/>
            <w:hideMark/>
          </w:tcPr>
          <w:p w14:paraId="7D947ADE" w14:textId="26610DB0" w:rsidR="00B70730" w:rsidRPr="00AA738D" w:rsidRDefault="00182C91" w:rsidP="00B70730">
            <w:pPr>
              <w:rPr>
                <w:rFonts w:ascii="Times New Roman" w:eastAsia="Times New Roman" w:hAnsi="Times New Roman" w:cs="Times New Roman"/>
                <w:lang w:val="en-US" w:eastAsia="nb-NO"/>
              </w:rPr>
            </w:pPr>
            <w:r>
              <w:rPr>
                <w:rFonts w:ascii="Times New Roman" w:eastAsia="Times New Roman" w:hAnsi="Times New Roman" w:cs="Times New Roman"/>
                <w:lang w:val="en-US" w:eastAsia="nb-NO"/>
              </w:rPr>
              <w:t>7</w:t>
            </w:r>
            <w:r w:rsidR="00B70730" w:rsidRPr="00AA738D">
              <w:rPr>
                <w:rFonts w:ascii="Times New Roman" w:eastAsia="Times New Roman" w:hAnsi="Times New Roman" w:cs="Times New Roman"/>
                <w:lang w:val="en-US" w:eastAsia="nb-NO"/>
              </w:rPr>
              <w:t>00.001-850.000</w:t>
            </w:r>
          </w:p>
        </w:tc>
        <w:tc>
          <w:tcPr>
            <w:tcW w:w="3480" w:type="dxa"/>
            <w:tcBorders>
              <w:top w:val="nil"/>
              <w:left w:val="nil"/>
              <w:bottom w:val="nil"/>
              <w:right w:val="nil"/>
            </w:tcBorders>
            <w:shd w:val="clear" w:color="auto" w:fill="auto"/>
            <w:noWrap/>
            <w:vAlign w:val="center"/>
            <w:hideMark/>
          </w:tcPr>
          <w:p w14:paraId="443A90DB"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119 (5.24%)</w:t>
            </w:r>
          </w:p>
        </w:tc>
      </w:tr>
      <w:tr w:rsidR="00AA738D" w:rsidRPr="00AA738D" w14:paraId="10242F5D" w14:textId="77777777" w:rsidTr="00B70730">
        <w:trPr>
          <w:trHeight w:val="320"/>
        </w:trPr>
        <w:tc>
          <w:tcPr>
            <w:tcW w:w="5420" w:type="dxa"/>
            <w:tcBorders>
              <w:top w:val="nil"/>
              <w:left w:val="nil"/>
              <w:bottom w:val="nil"/>
              <w:right w:val="nil"/>
            </w:tcBorders>
            <w:shd w:val="clear" w:color="auto" w:fill="auto"/>
            <w:noWrap/>
            <w:vAlign w:val="center"/>
            <w:hideMark/>
          </w:tcPr>
          <w:p w14:paraId="01DBB8A9" w14:textId="77777777" w:rsidR="00B70730" w:rsidRPr="00AA738D" w:rsidRDefault="00B70730" w:rsidP="00B70730">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More than 850.000</w:t>
            </w:r>
          </w:p>
        </w:tc>
        <w:tc>
          <w:tcPr>
            <w:tcW w:w="3480" w:type="dxa"/>
            <w:tcBorders>
              <w:top w:val="nil"/>
              <w:left w:val="nil"/>
              <w:bottom w:val="nil"/>
              <w:right w:val="nil"/>
            </w:tcBorders>
            <w:shd w:val="clear" w:color="auto" w:fill="auto"/>
            <w:noWrap/>
            <w:vAlign w:val="center"/>
            <w:hideMark/>
          </w:tcPr>
          <w:p w14:paraId="6547D786" w14:textId="77777777" w:rsidR="00B70730" w:rsidRPr="00AA738D" w:rsidRDefault="00B70730" w:rsidP="00B70730">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114 (5.02%)</w:t>
            </w:r>
          </w:p>
        </w:tc>
      </w:tr>
    </w:tbl>
    <w:p w14:paraId="4E244124" w14:textId="0A5B5DC7" w:rsidR="00241FF2" w:rsidRPr="00AA738D" w:rsidRDefault="00241FF2" w:rsidP="00627B6E">
      <w:pPr>
        <w:spacing w:line="360" w:lineRule="auto"/>
        <w:rPr>
          <w:rFonts w:ascii="Times New Roman" w:hAnsi="Times New Roman" w:cs="Times New Roman"/>
          <w:b/>
          <w:bCs/>
          <w:lang w:val="en-US"/>
        </w:rPr>
      </w:pPr>
    </w:p>
    <w:p w14:paraId="6E294147" w14:textId="3FBA4484" w:rsidR="00DE12CE" w:rsidRPr="00AA738D" w:rsidRDefault="00DE12CE" w:rsidP="00627B6E">
      <w:pPr>
        <w:spacing w:line="360" w:lineRule="auto"/>
        <w:rPr>
          <w:rFonts w:ascii="Times New Roman" w:hAnsi="Times New Roman" w:cs="Times New Roman"/>
          <w:b/>
          <w:bCs/>
          <w:lang w:val="en-US"/>
        </w:rPr>
      </w:pPr>
    </w:p>
    <w:p w14:paraId="67E36261" w14:textId="194208B2" w:rsidR="00DE12CE" w:rsidRPr="00AA738D" w:rsidRDefault="00DE12CE" w:rsidP="00627B6E">
      <w:pPr>
        <w:spacing w:line="360" w:lineRule="auto"/>
        <w:rPr>
          <w:rFonts w:ascii="Times New Roman" w:hAnsi="Times New Roman" w:cs="Times New Roman"/>
          <w:b/>
          <w:bCs/>
          <w:lang w:val="en-US"/>
        </w:rPr>
      </w:pPr>
    </w:p>
    <w:p w14:paraId="155445E5" w14:textId="41BC115A" w:rsidR="00DE12CE" w:rsidRPr="00AA738D" w:rsidRDefault="00DE12CE" w:rsidP="00627B6E">
      <w:pPr>
        <w:spacing w:line="360" w:lineRule="auto"/>
        <w:rPr>
          <w:rFonts w:ascii="Times New Roman" w:hAnsi="Times New Roman" w:cs="Times New Roman"/>
          <w:b/>
          <w:bCs/>
          <w:lang w:val="en-US"/>
        </w:rPr>
      </w:pPr>
    </w:p>
    <w:p w14:paraId="66F27B5D" w14:textId="7F739E89" w:rsidR="00D50BBF" w:rsidRPr="00AA738D" w:rsidRDefault="00D50BBF" w:rsidP="00627B6E">
      <w:pPr>
        <w:spacing w:line="360" w:lineRule="auto"/>
        <w:rPr>
          <w:rFonts w:ascii="Times New Roman" w:hAnsi="Times New Roman" w:cs="Times New Roman"/>
          <w:b/>
          <w:bCs/>
          <w:lang w:val="en-US"/>
        </w:rPr>
      </w:pPr>
    </w:p>
    <w:p w14:paraId="1195E25C" w14:textId="77777777" w:rsidR="00D50BBF" w:rsidRPr="00AA738D" w:rsidRDefault="00D50BBF" w:rsidP="00627B6E">
      <w:pPr>
        <w:spacing w:line="360" w:lineRule="auto"/>
        <w:rPr>
          <w:rFonts w:ascii="Times New Roman" w:hAnsi="Times New Roman" w:cs="Times New Roman"/>
          <w:b/>
          <w:bCs/>
          <w:lang w:val="en-US"/>
        </w:rPr>
      </w:pPr>
    </w:p>
    <w:p w14:paraId="58754166" w14:textId="77777777" w:rsidR="00DE12CE" w:rsidRPr="00AA738D" w:rsidRDefault="00DE12CE" w:rsidP="00627B6E">
      <w:pPr>
        <w:spacing w:line="360" w:lineRule="auto"/>
        <w:rPr>
          <w:rFonts w:ascii="Times New Roman" w:hAnsi="Times New Roman" w:cs="Times New Roman"/>
          <w:b/>
          <w:bCs/>
          <w:lang w:val="en-US"/>
        </w:rPr>
      </w:pPr>
    </w:p>
    <w:p w14:paraId="04D3AA69" w14:textId="09007BC8" w:rsidR="00627B6E" w:rsidRPr="00AA738D" w:rsidRDefault="00076811" w:rsidP="00627B6E">
      <w:pPr>
        <w:spacing w:line="360" w:lineRule="auto"/>
        <w:rPr>
          <w:rFonts w:ascii="Times New Roman" w:hAnsi="Times New Roman" w:cs="Times New Roman"/>
          <w:b/>
          <w:bCs/>
          <w:i/>
          <w:iCs/>
          <w:lang w:val="en-US"/>
        </w:rPr>
      </w:pPr>
      <w:r w:rsidRPr="00AA738D">
        <w:rPr>
          <w:rFonts w:ascii="Times New Roman" w:hAnsi="Times New Roman" w:cs="Times New Roman"/>
          <w:b/>
          <w:bCs/>
          <w:i/>
          <w:iCs/>
          <w:lang w:val="en-US"/>
        </w:rPr>
        <w:lastRenderedPageBreak/>
        <w:t>Marital status</w:t>
      </w:r>
    </w:p>
    <w:p w14:paraId="7299623F" w14:textId="0E1E4714" w:rsidR="00076811" w:rsidRPr="00AA738D" w:rsidRDefault="00076811" w:rsidP="000E6266">
      <w:pPr>
        <w:spacing w:line="480" w:lineRule="auto"/>
        <w:rPr>
          <w:rFonts w:ascii="Times New Roman" w:hAnsi="Times New Roman" w:cs="Times New Roman"/>
          <w:b/>
          <w:bCs/>
          <w:lang w:val="en-US"/>
        </w:rPr>
      </w:pPr>
      <w:r w:rsidRPr="00AA738D">
        <w:rPr>
          <w:rFonts w:ascii="Times New Roman" w:hAnsi="Times New Roman" w:cs="Times New Roman"/>
          <w:b/>
          <w:bCs/>
          <w:lang w:val="en-US"/>
        </w:rPr>
        <w:t>Table C3.</w:t>
      </w:r>
    </w:p>
    <w:p w14:paraId="3A9991AC" w14:textId="40C26709" w:rsidR="00076811" w:rsidRPr="00AA738D" w:rsidRDefault="00076811" w:rsidP="000E6266">
      <w:pPr>
        <w:spacing w:line="480" w:lineRule="auto"/>
        <w:rPr>
          <w:rFonts w:ascii="Times New Roman" w:hAnsi="Times New Roman" w:cs="Times New Roman"/>
          <w:lang w:val="en-US"/>
        </w:rPr>
      </w:pPr>
      <w:r w:rsidRPr="00AA738D">
        <w:rPr>
          <w:rFonts w:ascii="Times New Roman" w:hAnsi="Times New Roman" w:cs="Times New Roman"/>
          <w:i/>
          <w:iCs/>
          <w:lang w:val="en-US"/>
        </w:rPr>
        <w:t>Marital Status in Sample</w:t>
      </w:r>
      <w:r w:rsidRPr="00AA738D">
        <w:rPr>
          <w:rFonts w:ascii="Times New Roman" w:hAnsi="Times New Roman" w:cs="Times New Roman"/>
          <w:lang w:val="en-US"/>
        </w:rPr>
        <w:t>.</w:t>
      </w:r>
    </w:p>
    <w:tbl>
      <w:tblPr>
        <w:tblW w:w="8900" w:type="dxa"/>
        <w:tblCellMar>
          <w:left w:w="70" w:type="dxa"/>
          <w:right w:w="70" w:type="dxa"/>
        </w:tblCellMar>
        <w:tblLook w:val="04A0" w:firstRow="1" w:lastRow="0" w:firstColumn="1" w:lastColumn="0" w:noHBand="0" w:noVBand="1"/>
      </w:tblPr>
      <w:tblGrid>
        <w:gridCol w:w="5420"/>
        <w:gridCol w:w="3480"/>
      </w:tblGrid>
      <w:tr w:rsidR="00AA738D" w:rsidRPr="00B55F1A" w14:paraId="55618BD8" w14:textId="77777777" w:rsidTr="00076811">
        <w:trPr>
          <w:trHeight w:val="320"/>
        </w:trPr>
        <w:tc>
          <w:tcPr>
            <w:tcW w:w="5420" w:type="dxa"/>
            <w:tcBorders>
              <w:top w:val="nil"/>
              <w:left w:val="nil"/>
              <w:bottom w:val="single" w:sz="4" w:space="0" w:color="auto"/>
              <w:right w:val="nil"/>
            </w:tcBorders>
            <w:shd w:val="clear" w:color="auto" w:fill="auto"/>
            <w:noWrap/>
            <w:vAlign w:val="center"/>
            <w:hideMark/>
          </w:tcPr>
          <w:p w14:paraId="2C0A90D1" w14:textId="36522920" w:rsidR="00076811" w:rsidRPr="00AA738D" w:rsidRDefault="00076811" w:rsidP="00076811">
            <w:pP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Marital status</w:t>
            </w:r>
          </w:p>
        </w:tc>
        <w:tc>
          <w:tcPr>
            <w:tcW w:w="3480" w:type="dxa"/>
            <w:tcBorders>
              <w:top w:val="nil"/>
              <w:left w:val="nil"/>
              <w:bottom w:val="single" w:sz="4" w:space="0" w:color="auto"/>
              <w:right w:val="nil"/>
            </w:tcBorders>
            <w:shd w:val="clear" w:color="auto" w:fill="auto"/>
            <w:noWrap/>
            <w:vAlign w:val="center"/>
            <w:hideMark/>
          </w:tcPr>
          <w:p w14:paraId="2C62624A" w14:textId="77777777" w:rsidR="00076811" w:rsidRPr="00AA738D" w:rsidRDefault="00076811" w:rsidP="00076811">
            <w:pPr>
              <w:rPr>
                <w:rFonts w:ascii="Times New Roman" w:eastAsia="Times New Roman" w:hAnsi="Times New Roman" w:cs="Times New Roman"/>
                <w:b/>
                <w:bCs/>
                <w:lang w:val="en-US" w:eastAsia="nb-NO"/>
              </w:rPr>
            </w:pPr>
            <w:r w:rsidRPr="00AA738D">
              <w:rPr>
                <w:rFonts w:ascii="Times New Roman" w:eastAsia="Times New Roman" w:hAnsi="Times New Roman" w:cs="Times New Roman"/>
                <w:b/>
                <w:bCs/>
                <w:lang w:val="en-US" w:eastAsia="nb-NO"/>
              </w:rPr>
              <w:t>N (% of total sample size 2296)</w:t>
            </w:r>
          </w:p>
        </w:tc>
      </w:tr>
      <w:tr w:rsidR="00AA738D" w:rsidRPr="00AA738D" w14:paraId="69692C41" w14:textId="77777777" w:rsidTr="00076811">
        <w:trPr>
          <w:trHeight w:val="320"/>
        </w:trPr>
        <w:tc>
          <w:tcPr>
            <w:tcW w:w="5420" w:type="dxa"/>
            <w:tcBorders>
              <w:top w:val="nil"/>
              <w:left w:val="nil"/>
              <w:bottom w:val="nil"/>
              <w:right w:val="nil"/>
            </w:tcBorders>
            <w:shd w:val="clear" w:color="auto" w:fill="auto"/>
            <w:noWrap/>
            <w:vAlign w:val="center"/>
            <w:hideMark/>
          </w:tcPr>
          <w:p w14:paraId="1A3ECAF1" w14:textId="77777777" w:rsidR="00076811" w:rsidRPr="00AA738D" w:rsidRDefault="00076811"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Married</w:t>
            </w:r>
          </w:p>
        </w:tc>
        <w:tc>
          <w:tcPr>
            <w:tcW w:w="3480" w:type="dxa"/>
            <w:tcBorders>
              <w:top w:val="nil"/>
              <w:left w:val="nil"/>
              <w:bottom w:val="nil"/>
              <w:right w:val="nil"/>
            </w:tcBorders>
            <w:shd w:val="clear" w:color="auto" w:fill="auto"/>
            <w:noWrap/>
            <w:vAlign w:val="center"/>
            <w:hideMark/>
          </w:tcPr>
          <w:p w14:paraId="75FC417C"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1186 (51.66%)</w:t>
            </w:r>
          </w:p>
        </w:tc>
      </w:tr>
      <w:tr w:rsidR="00AA738D" w:rsidRPr="00AA738D" w14:paraId="65AA9085" w14:textId="77777777" w:rsidTr="00076811">
        <w:trPr>
          <w:trHeight w:val="320"/>
        </w:trPr>
        <w:tc>
          <w:tcPr>
            <w:tcW w:w="5420" w:type="dxa"/>
            <w:tcBorders>
              <w:top w:val="nil"/>
              <w:left w:val="nil"/>
              <w:bottom w:val="nil"/>
              <w:right w:val="nil"/>
            </w:tcBorders>
            <w:shd w:val="clear" w:color="auto" w:fill="auto"/>
            <w:noWrap/>
            <w:vAlign w:val="center"/>
            <w:hideMark/>
          </w:tcPr>
          <w:p w14:paraId="02D39D59" w14:textId="77777777" w:rsidR="00076811" w:rsidRPr="00AA738D" w:rsidRDefault="00076811"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Registered partnership</w:t>
            </w:r>
          </w:p>
        </w:tc>
        <w:tc>
          <w:tcPr>
            <w:tcW w:w="3480" w:type="dxa"/>
            <w:tcBorders>
              <w:top w:val="nil"/>
              <w:left w:val="nil"/>
              <w:bottom w:val="nil"/>
              <w:right w:val="nil"/>
            </w:tcBorders>
            <w:shd w:val="clear" w:color="auto" w:fill="auto"/>
            <w:noWrap/>
            <w:vAlign w:val="center"/>
            <w:hideMark/>
          </w:tcPr>
          <w:p w14:paraId="0B4809BF"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28 (1.22%)</w:t>
            </w:r>
          </w:p>
        </w:tc>
      </w:tr>
      <w:tr w:rsidR="00AA738D" w:rsidRPr="00AA738D" w14:paraId="0DBE424B" w14:textId="77777777" w:rsidTr="00076811">
        <w:trPr>
          <w:trHeight w:val="320"/>
        </w:trPr>
        <w:tc>
          <w:tcPr>
            <w:tcW w:w="5420" w:type="dxa"/>
            <w:tcBorders>
              <w:top w:val="nil"/>
              <w:left w:val="nil"/>
              <w:bottom w:val="nil"/>
              <w:right w:val="nil"/>
            </w:tcBorders>
            <w:shd w:val="clear" w:color="auto" w:fill="auto"/>
            <w:noWrap/>
            <w:vAlign w:val="center"/>
            <w:hideMark/>
          </w:tcPr>
          <w:p w14:paraId="5B772EA0" w14:textId="51AC58D5" w:rsidR="00076811" w:rsidRPr="00AA738D" w:rsidRDefault="00756197"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Cohab</w:t>
            </w:r>
            <w:r w:rsidR="00182C91">
              <w:rPr>
                <w:rFonts w:ascii="Times New Roman" w:eastAsia="Times New Roman" w:hAnsi="Times New Roman" w:cs="Times New Roman"/>
                <w:lang w:val="en-US" w:eastAsia="nb-NO"/>
              </w:rPr>
              <w:t>itant</w:t>
            </w:r>
          </w:p>
        </w:tc>
        <w:tc>
          <w:tcPr>
            <w:tcW w:w="3480" w:type="dxa"/>
            <w:tcBorders>
              <w:top w:val="nil"/>
              <w:left w:val="nil"/>
              <w:bottom w:val="nil"/>
              <w:right w:val="nil"/>
            </w:tcBorders>
            <w:shd w:val="clear" w:color="auto" w:fill="auto"/>
            <w:noWrap/>
            <w:vAlign w:val="center"/>
            <w:hideMark/>
          </w:tcPr>
          <w:p w14:paraId="06448566"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592 (25.78%)</w:t>
            </w:r>
          </w:p>
        </w:tc>
      </w:tr>
      <w:tr w:rsidR="00AA738D" w:rsidRPr="00AA738D" w14:paraId="1FD800D8" w14:textId="77777777" w:rsidTr="00076811">
        <w:trPr>
          <w:trHeight w:val="320"/>
        </w:trPr>
        <w:tc>
          <w:tcPr>
            <w:tcW w:w="5420" w:type="dxa"/>
            <w:tcBorders>
              <w:top w:val="nil"/>
              <w:left w:val="nil"/>
              <w:bottom w:val="nil"/>
              <w:right w:val="nil"/>
            </w:tcBorders>
            <w:shd w:val="clear" w:color="auto" w:fill="auto"/>
            <w:noWrap/>
            <w:vAlign w:val="center"/>
            <w:hideMark/>
          </w:tcPr>
          <w:p w14:paraId="5701FF7A" w14:textId="77777777" w:rsidR="00076811" w:rsidRPr="00AA738D" w:rsidRDefault="00076811"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Single</w:t>
            </w:r>
          </w:p>
        </w:tc>
        <w:tc>
          <w:tcPr>
            <w:tcW w:w="3480" w:type="dxa"/>
            <w:tcBorders>
              <w:top w:val="nil"/>
              <w:left w:val="nil"/>
              <w:bottom w:val="nil"/>
              <w:right w:val="nil"/>
            </w:tcBorders>
            <w:shd w:val="clear" w:color="auto" w:fill="auto"/>
            <w:noWrap/>
            <w:vAlign w:val="center"/>
            <w:hideMark/>
          </w:tcPr>
          <w:p w14:paraId="02B2C90F"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374 (16.29%)</w:t>
            </w:r>
          </w:p>
        </w:tc>
      </w:tr>
      <w:tr w:rsidR="00AA738D" w:rsidRPr="00AA738D" w14:paraId="2F58FBA8" w14:textId="77777777" w:rsidTr="00076811">
        <w:trPr>
          <w:trHeight w:val="320"/>
        </w:trPr>
        <w:tc>
          <w:tcPr>
            <w:tcW w:w="5420" w:type="dxa"/>
            <w:tcBorders>
              <w:top w:val="nil"/>
              <w:left w:val="nil"/>
              <w:bottom w:val="nil"/>
              <w:right w:val="nil"/>
            </w:tcBorders>
            <w:shd w:val="clear" w:color="auto" w:fill="auto"/>
            <w:noWrap/>
            <w:vAlign w:val="center"/>
            <w:hideMark/>
          </w:tcPr>
          <w:p w14:paraId="3CA52162" w14:textId="77777777" w:rsidR="00076811" w:rsidRPr="00AA738D" w:rsidRDefault="00076811"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Divorced/separated</w:t>
            </w:r>
          </w:p>
        </w:tc>
        <w:tc>
          <w:tcPr>
            <w:tcW w:w="3480" w:type="dxa"/>
            <w:tcBorders>
              <w:top w:val="nil"/>
              <w:left w:val="nil"/>
              <w:bottom w:val="nil"/>
              <w:right w:val="nil"/>
            </w:tcBorders>
            <w:shd w:val="clear" w:color="auto" w:fill="auto"/>
            <w:noWrap/>
            <w:vAlign w:val="center"/>
            <w:hideMark/>
          </w:tcPr>
          <w:p w14:paraId="25FE7EF3"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114 (4.97%)</w:t>
            </w:r>
          </w:p>
        </w:tc>
      </w:tr>
      <w:tr w:rsidR="00AA738D" w:rsidRPr="00AA738D" w14:paraId="1503670E" w14:textId="77777777" w:rsidTr="00076811">
        <w:trPr>
          <w:trHeight w:val="320"/>
        </w:trPr>
        <w:tc>
          <w:tcPr>
            <w:tcW w:w="5420" w:type="dxa"/>
            <w:tcBorders>
              <w:top w:val="nil"/>
              <w:left w:val="nil"/>
              <w:bottom w:val="nil"/>
              <w:right w:val="nil"/>
            </w:tcBorders>
            <w:shd w:val="clear" w:color="auto" w:fill="auto"/>
            <w:noWrap/>
            <w:vAlign w:val="center"/>
            <w:hideMark/>
          </w:tcPr>
          <w:p w14:paraId="03BB2B89" w14:textId="77777777" w:rsidR="00076811" w:rsidRPr="00AA738D" w:rsidRDefault="00076811" w:rsidP="00076811">
            <w:pP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Widowed</w:t>
            </w:r>
          </w:p>
        </w:tc>
        <w:tc>
          <w:tcPr>
            <w:tcW w:w="3480" w:type="dxa"/>
            <w:tcBorders>
              <w:top w:val="nil"/>
              <w:left w:val="nil"/>
              <w:bottom w:val="nil"/>
              <w:right w:val="nil"/>
            </w:tcBorders>
            <w:shd w:val="clear" w:color="auto" w:fill="auto"/>
            <w:noWrap/>
            <w:vAlign w:val="center"/>
            <w:hideMark/>
          </w:tcPr>
          <w:p w14:paraId="3E81CF88" w14:textId="77777777" w:rsidR="00076811" w:rsidRPr="00AA738D" w:rsidRDefault="00076811" w:rsidP="00076811">
            <w:pPr>
              <w:jc w:val="center"/>
              <w:rPr>
                <w:rFonts w:ascii="Times New Roman" w:eastAsia="Times New Roman" w:hAnsi="Times New Roman" w:cs="Times New Roman"/>
                <w:lang w:val="en-US" w:eastAsia="nb-NO"/>
              </w:rPr>
            </w:pPr>
            <w:r w:rsidRPr="00AA738D">
              <w:rPr>
                <w:rFonts w:ascii="Times New Roman" w:eastAsia="Times New Roman" w:hAnsi="Times New Roman" w:cs="Times New Roman"/>
                <w:lang w:val="en-US" w:eastAsia="nb-NO"/>
              </w:rPr>
              <w:t>2 (0.09%)</w:t>
            </w:r>
          </w:p>
        </w:tc>
      </w:tr>
    </w:tbl>
    <w:p w14:paraId="2D1D34F1" w14:textId="26EBF3FC" w:rsidR="00076811" w:rsidRPr="00AA738D" w:rsidRDefault="00076811" w:rsidP="00627B6E">
      <w:pPr>
        <w:spacing w:line="360" w:lineRule="auto"/>
        <w:rPr>
          <w:rFonts w:ascii="Times New Roman" w:hAnsi="Times New Roman" w:cs="Times New Roman"/>
          <w:lang w:val="en-US"/>
        </w:rPr>
      </w:pPr>
    </w:p>
    <w:p w14:paraId="12B0FF77" w14:textId="1DDA9195" w:rsidR="00FC0BED" w:rsidRPr="00AA738D" w:rsidRDefault="00E37C6B" w:rsidP="00627B6E">
      <w:pPr>
        <w:spacing w:line="360" w:lineRule="auto"/>
        <w:rPr>
          <w:rFonts w:ascii="Times New Roman" w:hAnsi="Times New Roman" w:cs="Times New Roman"/>
          <w:lang w:val="en-US"/>
        </w:rPr>
      </w:pPr>
      <w:r w:rsidRPr="00AA738D">
        <w:rPr>
          <w:rFonts w:ascii="Times New Roman" w:hAnsi="Times New Roman" w:cs="Times New Roman"/>
          <w:lang w:val="en-US"/>
        </w:rPr>
        <w:tab/>
        <w:t xml:space="preserve">Several studies have </w:t>
      </w:r>
      <w:r w:rsidR="00293509" w:rsidRPr="00AA738D">
        <w:rPr>
          <w:rFonts w:ascii="Times New Roman" w:hAnsi="Times New Roman" w:cs="Times New Roman"/>
          <w:lang w:val="en-US"/>
        </w:rPr>
        <w:t xml:space="preserve">described </w:t>
      </w:r>
      <w:r w:rsidR="00CC1F12" w:rsidRPr="00AA738D">
        <w:rPr>
          <w:rFonts w:ascii="Times New Roman" w:hAnsi="Times New Roman" w:cs="Times New Roman"/>
          <w:lang w:val="en-US"/>
        </w:rPr>
        <w:t xml:space="preserve">the characteristics of the sample used in the current study </w:t>
      </w:r>
      <w:r w:rsidR="00293509" w:rsidRPr="00AA738D">
        <w:rPr>
          <w:rFonts w:ascii="Times New Roman" w:hAnsi="Times New Roman" w:cs="Times New Roman"/>
          <w:lang w:val="en-US"/>
        </w:rPr>
        <w:fldChar w:fldCharType="begin"/>
      </w:r>
      <w:r w:rsidR="002D7167">
        <w:rPr>
          <w:rFonts w:ascii="Times New Roman" w:hAnsi="Times New Roman" w:cs="Times New Roman"/>
          <w:lang w:val="en-US"/>
        </w:rPr>
        <w:instrText xml:space="preserve"> ADDIN ZOTERO_ITEM CSL_CITATION {"citationID":"JVT4FWGA","properties":{"formattedCitation":"(Harris, Magnus, &amp; Tambs, 2002, 2006; Nilsen et al., 2013; Tambs et al., 2009)","plainCitation":"(Harris, Magnus, &amp; Tambs, 2002, 2006; Nilsen et al., 2013; Tambs et al., 2009)","noteIndex":0},"citationItems":[{"id":582,"uris":["http://zotero.org/users/6479959/items/FW8Q5B2D"],"itemData":{"id":582,"type":"article-journal","abstract":"The Norwegian Institute of Public Health in Oslo has an ongoing program of twin research using population-based cohorts of twins. The current database includes information on twins identified through the Medical Birth Registry of Norway and born from 1967–1979, altogether 15,370 twins. This is a longitudinal study with a cohort sequential design whereby new cohorts are recruited into the study at 5–6 year intervals. Sub-samples of these twins have participated in questionnaire studies and clinical assessment sub-projects. These projects include national and international collaborations. Our primary areas of interest include mental health and psychological well-being, obesity, asthma and allergies, health behaviors and health perceptions, comorbidity, and perinatal influences on health outcomes. This paper provides a brief overview of the data, sample, and the various research projects associated with this twin program of research.","container-title":"Twin Research and Human Genetics","DOI":"10.1375/twin.5.5.415","ISSN":"2053-6003, 1369-0523","issue":"5","language":"en","note":"publisher: Cambridge University Press","page":"415-423","source":"Cambridge University Press","title":"The Norwegian Institute of Public Health Twin Panel: A description of the sample and program of research","title-short":"The Norwegian Institute of Public Health Twin Panel","volume":"5","author":[{"family":"Harris","given":"Jennifer R."},{"family":"Magnus","given":"Per"},{"family":"Tambs","given":"Kristian"}],"issued":{"date-parts":[["2002",10]]}}},{"id":99,"uris":["http://zotero.org/users/6479959/items/F47GK4RC"],"itemData":{"id":99,"type":"article-journal","abstract":"The population-based twin program of research at the Norwegian Institute of Public Health (NIPH) was begun in 1992. It consists of a number of questionnaire and clinical interview projects exploring a broad array of mental and physical health outcomes. This article provides a brief update summarizing our research activities, some research highlights, new developments and potentials for further developing the program of twin research. In the most recent years a large effort has concentrated on completing a mental health interview study of Axis I psychiatric and substance use disorders and Axis II personality disorders. Although still in the early planning phases, one of the most significant developments is that an agreement is now in place to centralize the Norwegian twin data into a national Norwegian Twin Registry. This new registry will include twin cohorts born from 1905 onwards. Other resources for building twin projects are described. Nationally, there is great potential for linking the NIPH twin data with other health registries and with information in a number of Norway's large population-based biobank studies. Internationally, platforms such as those developed within GenomEUtwin, for data standards and data sharing and access are greatly facilitating international collaborations in twin research.","container-title":"Twin Research and Human Genetics","DOI":"10.1375/twin.9.6.858","ISSN":"1839-2628, 1832-4274","issue":"6","language":"en","note":"publisher: Cambridge University Press","page":"858-864","source":"Cambridge University Press","title":"The Norwegian Institute of Public Health Twin Program of Research: An update","title-short":"The Norwegian Institute of Public Health Twin Program of Research","volume":"9","author":[{"family":"Harris","given":"Jennifer R."},{"family":"Magnus","given":"Per"},{"family":"Tambs","given":"Kristian"}],"issued":{"date-parts":[["2006",12]]}}},{"id":394,"uris":["http://zotero.org/users/6479959/items/UMFTDGFG"],"itemData":{"id":394,"type":"article-journal","abstract":"We describe the importance of the Norwegian Twin Registry (NTR) for research in public health and provide examples from several programs of twin research at the Norwegian Institute of Public Health (NIPH), including the Nordic Twin Study of Cancer, our epigenetics platform, and our large program of research in mental health. The NTR has become an integral component of a national strategy for maximizing the research potential from Norwegian registries and biobank-based studies. The information provided herein builds upon and complements our recent report describing the establishment of the NTR and the cohorts comprising it. Although Norway has a long tradition in twin research, the centralization and administration of the twin data through a single register structure is fairly recent. The NTR was established in 2009 and currently includes 47,989 twins covering birth years 1895–1960 and 1967–1979; 31,440 of these twins have consented to participate in medical research (comprising 5,439 monozygotic pairs, 6,702 dizygotic same-sexed pairs, and 1,655 dizygotic opposite-sexed pairs). DNA from approximately 4,800 twins is banked at the NIPH biobank and new studies continuously add new data to the registry. The value of NTR data is greatly enhanced through record linkage possibilities offered by Norway's many nation-wide registries (medical, demographic, and socio-economic) and several studies are already taking advantage of these linkage opportunities for research.","container-title":"Twin Research and Human Genetics","DOI":"10.1017/thg.2012.117","ISSN":"1832-4274, 1839-2628","issue":"1","language":"en","note":"publisher: Cambridge University Press","page":"285-295","source":"Cambridge University Press","title":"The Norwegian Twin Registry from a public health perspective: A research update","title-short":"The Norwegian Twin Registry from a Public Health Perspective","volume":"16","author":[{"family":"Nilsen","given":"Thomas S."},{"family":"Knudsen","given":"Gun Peggy"},{"family":"Gervin","given":"Kristina"},{"family":"Brandt","given":"Ingunn"},{"family":"Røysamb","given":"Espen"},{"family":"Tambs","given":"Kristian"},{"family":"Ørstavik","given":"Ragnhild"},{"family":"Lyle","given":"Robert"},{"family":"Reichborn-Kjennerud","given":"Ted"},{"family":"Magnus","given":"Per"},{"family":"Harris","given":"Jennifer R."}],"issued":{"date-parts":[["2013",2]]}}},{"id":149,"uris":["http://zotero.org/users/6479959/items/DDC486CW"],"itemData":{"id":149,"type":"article-journal","abstract":"All Norwegian twin pairs born 1967–1974 and still living in Norway in 1992 were invited to a health questionnaire study (Q1). 2,570 pairs (65%) participated. These cohorts and the twin cohorts born 1967–1979 were invited to a new questionnaire study (Q2) in 1998. This time 3,334 pairs (53%) participated. Almost all pairs having participated in the 1998 study were invited to an interview study of mental health (MHS), taking place 1999–2004. 1,391 complete pairs (44%) participated. The questionnaire studies included extensive data on somatic health with fewer items on mental health and demography. Health-related and demographic information available from the Medical Birth Registry on all invited twins was applied to predict participation to the first study. A few registry variables indicating poor health predicted nonparticipation in Q1. Health information and demography from Q1 were tested as predictors of participation in the follow-up study (Q2). Monozygosity, female sex, being unmarried, having no children, and high education predicted participation, whereas few indicators of poor ment</w:instrText>
      </w:r>
      <w:r w:rsidR="002D7167" w:rsidRPr="00A72985">
        <w:rPr>
          <w:rFonts w:ascii="Times New Roman" w:hAnsi="Times New Roman" w:cs="Times New Roman"/>
        </w:rPr>
        <w:instrText xml:space="preserve">al and somatic health and unhealthy lifestyle moderately predicted nonparticipation in Q2. No health indicators reported in Q2 predicted further participation. Standard genetic twin analyses of indicators of various mental disorders from Q2, validated by diagnostic data from the MHS, did not indicate differences in genetic/environmental covariance structures between participants and nonparticipants in MHS. In general the results show a moderate selection towards good mental and somatic health. Attrition from Q2 to the MHS does not appear to affect twin analyses of mental health related variables.","container-title":"Twin Research and Human Genetics","DOI":"10.1375/twin.12.2.158","ISSN":"1839-2628, 1832-4274","issue":"2","language":"en","note":"publisher: Cambridge University Press","page":"158-168","source":"Cambridge University Press","title":"The Norwegian Institute of Public Health Twin Study of Mental Health: Examining recruitment and attrition bias","title-short":"The Norwegian Institute of Public Health Twin Study of Mental Health","volume":"12","author":[{"family":"Tambs","given":"Kristian"},{"family":"Rønning","given":"Torbjørn"},{"family":"Prescott","given":"Carol A."},{"family":"Kendler","given":"Kenneth S."},{"family":"Reichborn-Kjennerud","given":"Ted"},{"family":"Torgersen","given":"Svenn"},{"family":"Harris","given":"Jennifer R."}],"issued":{"date-parts":[["2009",4]]}}}],"schema":"https://github.com/citation-style-language/schema/raw/master/csl-citation.json"} </w:instrText>
      </w:r>
      <w:r w:rsidR="00293509" w:rsidRPr="00AA738D">
        <w:rPr>
          <w:rFonts w:ascii="Times New Roman" w:hAnsi="Times New Roman" w:cs="Times New Roman"/>
          <w:lang w:val="en-US"/>
        </w:rPr>
        <w:fldChar w:fldCharType="separate"/>
      </w:r>
      <w:r w:rsidR="002D7167">
        <w:rPr>
          <w:rFonts w:ascii="Times New Roman" w:hAnsi="Times New Roman" w:cs="Times New Roman"/>
          <w:noProof/>
        </w:rPr>
        <w:t>(Harris, Magnus, &amp; Tambs, 2002, 2006; Nilsen et al., 2013; Tambs et al., 2009)</w:t>
      </w:r>
      <w:r w:rsidR="00293509" w:rsidRPr="00AA738D">
        <w:rPr>
          <w:rFonts w:ascii="Times New Roman" w:hAnsi="Times New Roman" w:cs="Times New Roman"/>
          <w:lang w:val="en-US"/>
        </w:rPr>
        <w:fldChar w:fldCharType="end"/>
      </w:r>
      <w:r w:rsidRPr="00AA738D">
        <w:rPr>
          <w:rFonts w:ascii="Times New Roman" w:hAnsi="Times New Roman" w:cs="Times New Roman"/>
        </w:rPr>
        <w:t xml:space="preserve">. </w:t>
      </w:r>
      <w:r w:rsidRPr="00A72985">
        <w:rPr>
          <w:rFonts w:ascii="Times New Roman" w:hAnsi="Times New Roman" w:cs="Times New Roman"/>
        </w:rPr>
        <w:t xml:space="preserve">Tambs et al. </w:t>
      </w:r>
      <w:r w:rsidR="00293509" w:rsidRPr="00AA738D">
        <w:rPr>
          <w:rFonts w:ascii="Times New Roman" w:hAnsi="Times New Roman" w:cs="Times New Roman"/>
          <w:lang w:val="en-US"/>
        </w:rPr>
        <w:fldChar w:fldCharType="begin"/>
      </w:r>
      <w:r w:rsidR="00293509" w:rsidRPr="00A72985">
        <w:rPr>
          <w:rFonts w:ascii="Times New Roman" w:hAnsi="Times New Roman" w:cs="Times New Roman"/>
        </w:rPr>
        <w:instrText xml:space="preserve"> ADDIN ZOTERO_ITEM CSL_CITATION {"citationID":"9neKAl7Y","properties":{"formattedCitation":"(2009)","plainCitation":"(2009)","noteIndex":0},"citationItems":[{"id":149,"uris":["http://zotero.org/users/6479959/items/DDC486CW"],"itemData":{"id":149,"type":"article-journal","abstract":"All Norwegian twin pairs born 1967–1974 and still living in Norway in 1992 were invited to a health questionnaire study (Q1). 2,570 pairs (65%) participated. These cohorts and the twin cohorts born 1967–1979 were invited to a new questionnaire study (Q2) in 1998. This time 3,334 pairs (53%) participated. Almost all pairs having participated in the 1998 study were invited to an interview study of mental health (MHS), taking place 1999–2004. 1,391 complete pairs (44%) participated. The questionnaire studies included extensive data on somatic health with fewer items on mental health and demography. Health-related and demographic information available from the Medical Birth Registry on all invited twins was applied to predict participation to the first study. A few registry variables indicating poor health predicted nonparticipation in Q1. Health information and demography from Q1 were tested as predictors of participation in the follow-up study (Q2). Monozygosity, female sex, being unmarried, having no children, and high education predicted participation, whereas few indicators of poor mental and somatic health a</w:instrText>
      </w:r>
      <w:r w:rsidR="00293509" w:rsidRPr="00B55F1A">
        <w:rPr>
          <w:rFonts w:ascii="Times New Roman" w:hAnsi="Times New Roman" w:cs="Times New Roman"/>
          <w:lang w:val="en-US"/>
        </w:rPr>
        <w:instrText>nd unhealthy lifestyle moderately predicted nonparticipation in Q2. No healt</w:instrText>
      </w:r>
      <w:r w:rsidR="00293509" w:rsidRPr="00AA738D">
        <w:rPr>
          <w:rFonts w:ascii="Times New Roman" w:hAnsi="Times New Roman" w:cs="Times New Roman"/>
          <w:lang w:val="en-US"/>
        </w:rPr>
        <w:instrText xml:space="preserve">h indicators reported in Q2 predicted further participation. Standard genetic twin analyses of indicators of various mental disorders from Q2, validated by diagnostic data from the MHS, did not indicate differences in genetic/environmental covariance structures between participants and nonparticipants in MHS. In general the results show a moderate selection towards good mental and somatic health. Attrition from Q2 to the MHS does not appear to affect twin analyses of mental health related variables.","container-title":"Twin Research and Human Genetics","DOI":"10.1375/twin.12.2.158","ISSN":"1839-2628, 1832-4274","issue":"2","language":"en","note":"publisher: Cambridge University Press","page":"158-168","source":"Cambridge University Press","title":"The Norwegian Institute of Public Health Twin Study of Mental Health: Examining recruitment and attrition bias","title-short":"The Norwegian Institute of Public Health Twin Study of Mental Health","volume":"12","author":[{"family":"Tambs","given":"Kristian"},{"family":"Rønning","given":"Torbjørn"},{"family":"Prescott","given":"Carol A."},{"family":"Kendler","given":"Kenneth S."},{"family":"Reichborn-Kjennerud","given":"Ted"},{"family":"Torgersen","given":"Svenn"},{"family":"Harris","given":"Jennifer R."}],"issued":{"date-parts":[["2009",4]]}},"suppress-author":true}],"schema":"https://github.com/citation-style-language/schema/raw/master/csl-citation.json"} </w:instrText>
      </w:r>
      <w:r w:rsidR="00293509" w:rsidRPr="00AA738D">
        <w:rPr>
          <w:rFonts w:ascii="Times New Roman" w:hAnsi="Times New Roman" w:cs="Times New Roman"/>
          <w:lang w:val="en-US"/>
        </w:rPr>
        <w:fldChar w:fldCharType="separate"/>
      </w:r>
      <w:r w:rsidR="002D7167">
        <w:rPr>
          <w:rFonts w:ascii="Times New Roman" w:hAnsi="Times New Roman" w:cs="Times New Roman"/>
          <w:noProof/>
          <w:lang w:val="en-US"/>
        </w:rPr>
        <w:t>(2009)</w:t>
      </w:r>
      <w:r w:rsidR="00293509" w:rsidRPr="00AA738D">
        <w:rPr>
          <w:rFonts w:ascii="Times New Roman" w:hAnsi="Times New Roman" w:cs="Times New Roman"/>
          <w:lang w:val="en-US"/>
        </w:rPr>
        <w:fldChar w:fldCharType="end"/>
      </w:r>
      <w:r w:rsidRPr="00AA738D">
        <w:rPr>
          <w:rFonts w:ascii="Times New Roman" w:hAnsi="Times New Roman" w:cs="Times New Roman"/>
          <w:lang w:val="en-US"/>
        </w:rPr>
        <w:t xml:space="preserve"> </w:t>
      </w:r>
      <w:r w:rsidR="00A629B8" w:rsidRPr="00AA738D">
        <w:rPr>
          <w:rFonts w:ascii="Times New Roman" w:hAnsi="Times New Roman" w:cs="Times New Roman"/>
          <w:lang w:val="en-US"/>
        </w:rPr>
        <w:t xml:space="preserve">examined selection effects and found that participation in the study was associated with being female, having achieved a higher education level and zygosity. Few health-related variables were significant predictors. Furthermore, there were no indications that variables which could influence similarities between twins had significant influence. </w:t>
      </w:r>
      <w:proofErr w:type="spellStart"/>
      <w:r w:rsidR="00A629B8" w:rsidRPr="00AA738D">
        <w:rPr>
          <w:rFonts w:ascii="Times New Roman" w:hAnsi="Times New Roman" w:cs="Times New Roman"/>
          <w:lang w:val="en-US"/>
        </w:rPr>
        <w:t>Tambs</w:t>
      </w:r>
      <w:proofErr w:type="spellEnd"/>
      <w:r w:rsidR="00A629B8" w:rsidRPr="00AA738D">
        <w:rPr>
          <w:rFonts w:ascii="Times New Roman" w:hAnsi="Times New Roman" w:cs="Times New Roman"/>
          <w:lang w:val="en-US"/>
        </w:rPr>
        <w:t xml:space="preserve"> et al. </w:t>
      </w:r>
      <w:r w:rsidR="00293509" w:rsidRPr="00AA738D">
        <w:rPr>
          <w:rFonts w:ascii="Times New Roman" w:hAnsi="Times New Roman" w:cs="Times New Roman"/>
          <w:lang w:val="en-US"/>
        </w:rPr>
        <w:fldChar w:fldCharType="begin"/>
      </w:r>
      <w:r w:rsidR="00293509" w:rsidRPr="00AA738D">
        <w:rPr>
          <w:rFonts w:ascii="Times New Roman" w:hAnsi="Times New Roman" w:cs="Times New Roman"/>
          <w:lang w:val="en-US"/>
        </w:rPr>
        <w:instrText xml:space="preserve"> ADDIN ZOTERO_ITEM CSL_CITATION {"citationID":"2kqwROoh","properties":{"formattedCitation":"(2009)","plainCitation":"(2009)","noteIndex":0},"citationItems":[{"id":149,"uris":["http://zotero.org/users/6479959/items/DDC486CW"],"itemData":{"id":149,"type":"article-journal","abstract":"All Norwegian twin pairs born 1967–1974 and still living in Norway in 1992 were invited to a health questionnaire study (Q1). 2,570 pairs (65%) participated. These cohorts and the twin cohorts born 1967–1979 were invited to a new questionnaire study (Q2) in 1998. This time 3,334 pairs (53%) participated. Almost all pairs having participated in the 1998 study were invited to an interview study of mental health (MHS), taking place 1999–2004. 1,391 complete pairs (44%) participated. The questionnaire studies included extensive data on somatic health with fewer items on mental health and demography. Health-related and demographic information available from the Medical Birth Registry on all invited twins was applied to predict participation to the first study. A few registry variables indicating poor health predicted nonparticipation in Q1. Health information and demography from Q1 were tested as predictors of participation in the follow-up study (Q2). Monozygosity, female sex, being unmarried, having no children, and high education predicted participation, whereas few indicators of poor mental and somatic health and unhealthy lifestyle moderately predicted nonparticipation in Q2. No health indicators reported in Q2 predicted further participation. Standard genetic twin analyses of indicators of various mental disorders from Q2, validated by diagnostic data from the MHS, did not indicate differences in genetic/environmental covariance structures between participants and nonparticipants in MHS. In general the results show a moderate selection towards good mental and somatic health. Attrition from Q2 to the MHS does not appear to affect twin analyses of mental health related variables.","container-title":"Twin Research and Human Genetics","DOI":"10.1375/twin.12.2.158","ISSN":"1839-2628, 1832-4274","issue":"2","language":"en","note":"publisher: Cambridge University Press","page":"158-168","source":"Cambridge University Press","title":"The Norwegian Institute of Public Health Twin Study of Mental Health: Examining recruitment and attrition bias","title-short":"The Norwegian Institute of Public Health Twin Study of Mental Health","volume":"12","author":[{"family":"Tambs","given":"Kristian"},{"family":"Rønning","given":"Torbjørn"},{"family":"Prescott","given":"Carol A."},{"family":"Kendler","given":"Kenneth S."},{"family":"Reichborn-Kjennerud","given":"Ted"},{"family":"Torgersen","given":"Svenn"},{"family":"Harris","given":"Jennifer R."}],"issued":{"date-parts":[["2009",4]]}},"suppress-author":true}],"schema":"https://github.com/citation-style-language/schema/raw/master/csl-citation.json"} </w:instrText>
      </w:r>
      <w:r w:rsidR="00293509" w:rsidRPr="00AA738D">
        <w:rPr>
          <w:rFonts w:ascii="Times New Roman" w:hAnsi="Times New Roman" w:cs="Times New Roman"/>
          <w:lang w:val="en-US"/>
        </w:rPr>
        <w:fldChar w:fldCharType="separate"/>
      </w:r>
      <w:r w:rsidR="002D7167">
        <w:rPr>
          <w:rFonts w:ascii="Times New Roman" w:hAnsi="Times New Roman" w:cs="Times New Roman"/>
          <w:noProof/>
          <w:lang w:val="en-US"/>
        </w:rPr>
        <w:t>(2009)</w:t>
      </w:r>
      <w:r w:rsidR="00293509" w:rsidRPr="00AA738D">
        <w:rPr>
          <w:rFonts w:ascii="Times New Roman" w:hAnsi="Times New Roman" w:cs="Times New Roman"/>
          <w:lang w:val="en-US"/>
        </w:rPr>
        <w:fldChar w:fldCharType="end"/>
      </w:r>
      <w:r w:rsidR="00293509" w:rsidRPr="00AA738D">
        <w:rPr>
          <w:rFonts w:ascii="Times New Roman" w:hAnsi="Times New Roman" w:cs="Times New Roman"/>
          <w:lang w:val="en-US"/>
        </w:rPr>
        <w:t xml:space="preserve"> </w:t>
      </w:r>
      <w:r w:rsidR="00A629B8" w:rsidRPr="00AA738D">
        <w:rPr>
          <w:rFonts w:ascii="Times New Roman" w:hAnsi="Times New Roman" w:cs="Times New Roman"/>
          <w:lang w:val="en-US"/>
        </w:rPr>
        <w:t>conclude that it is unlikely that recruitment bias, or attrition bias, strongly influenced the sample.</w:t>
      </w:r>
      <w:r w:rsidR="00293509" w:rsidRPr="00AA738D">
        <w:rPr>
          <w:rFonts w:ascii="Times New Roman" w:hAnsi="Times New Roman" w:cs="Times New Roman"/>
          <w:lang w:val="en-US"/>
        </w:rPr>
        <w:t xml:space="preserve"> The sample characteristics and rationale for the second wave of data collection is </w:t>
      </w:r>
      <w:r w:rsidR="001B3F1E" w:rsidRPr="00AA738D">
        <w:rPr>
          <w:rFonts w:ascii="Times New Roman" w:hAnsi="Times New Roman" w:cs="Times New Roman"/>
          <w:lang w:val="en-US"/>
        </w:rPr>
        <w:t>als</w:t>
      </w:r>
      <w:r w:rsidR="00A15A8D" w:rsidRPr="00AA738D">
        <w:rPr>
          <w:rFonts w:ascii="Times New Roman" w:hAnsi="Times New Roman" w:cs="Times New Roman"/>
          <w:lang w:val="en-US"/>
        </w:rPr>
        <w:t xml:space="preserve">o </w:t>
      </w:r>
      <w:r w:rsidR="00293509" w:rsidRPr="00AA738D">
        <w:rPr>
          <w:rFonts w:ascii="Times New Roman" w:hAnsi="Times New Roman" w:cs="Times New Roman"/>
          <w:lang w:val="en-US"/>
        </w:rPr>
        <w:t xml:space="preserve">further described by Nilsen et al. </w:t>
      </w:r>
      <w:r w:rsidR="00293509" w:rsidRPr="00AA738D">
        <w:rPr>
          <w:rFonts w:ascii="Times New Roman" w:hAnsi="Times New Roman" w:cs="Times New Roman"/>
          <w:lang w:val="en-US"/>
        </w:rPr>
        <w:fldChar w:fldCharType="begin"/>
      </w:r>
      <w:r w:rsidR="00293509" w:rsidRPr="00AA738D">
        <w:rPr>
          <w:rFonts w:ascii="Times New Roman" w:hAnsi="Times New Roman" w:cs="Times New Roman"/>
          <w:lang w:val="en-US"/>
        </w:rPr>
        <w:instrText xml:space="preserve"> ADDIN ZOTERO_ITEM CSL_CITATION {"citationID":"MTBHP1UT","properties":{"formattedCitation":"(2013)","plainCitation":"(2013)","noteIndex":0},"citationItems":[{"id":394,"uris":["http://zotero.org/users/6479959/items/UMFTDGFG"],"itemData":{"id":394,"type":"article-journal","abstract":"We describe the importance of the Norwegian Twin Registry (NTR) for research in public health and provide examples from several programs of twin research at the Norwegian Institute of Public Health (NIPH), including the Nordic Twin Study of Cancer, our epigenetics platform, and our large program of research in mental health. The NTR has become an integral component of a national strategy for maximizing the research potential from Norwegian registries and biobank-based studies. The information provided herein builds upon and complements our recent report describing the establishment of the NTR and the cohorts comprising it. Although Norway has a long tradition in twin research, the centralization and administration of the twin data through a single register structure is fairly recent. The NTR was established in 2009 and currently includes 47,989 twins covering birth years 1895–1960 and 1967–1979; 31,440 of these twins have consented to participate in medical research (comprising 5,439 monozygotic pairs, 6,702 dizygotic same-sexed pairs, and 1,655 dizygotic opposite-sexed pairs). DNA from approximately 4,800 twins is banked at the NIPH biobank and new studies continuously add new data to the registry. The value of NTR data is greatly enhanced through record linkage possibilities offered by Norway's many nation-wide registries (medical, demographic, and socio-economic) and several studies are already taking advantage of these linkage opportunities for research.","container-title":"Twin Research and Human Genetics","DOI":"10.1017/thg.2012.117","ISSN":"1832-4274, 1839-2628","issue":"1","language":"en","note":"publisher: Cambridge University Press","page":"285-295","source":"Cambridge University Press","title":"The Norwegian Twin Registry from a public health perspective: A research update","title-short":"The Norwegian Twin Registry from a Public Health Perspective","volume":"16","author":[{"family":"Nilsen","given":"Thomas S."},{"family":"Knudsen","given":"Gun Peggy"},{"family":"Gervin","given":"Kristina"},{"family":"Brandt","given":"Ingunn"},{"family":"Røysamb","given":"Espen"},{"family":"Tambs","given":"Kristian"},{"family":"Ørstavik","given":"Ragnhild"},{"family":"Lyle","given":"Robert"},{"family":"Reichborn-Kjennerud","given":"Ted"},{"family":"Magnus","given":"Per"},{"family":"Harris","given":"Jennifer R."}],"issued":{"date-parts":[["2013",2]]}},"suppress-author":true}],"schema":"https://github.com/citation-style-language/schema/raw/master/csl-citation.json"} </w:instrText>
      </w:r>
      <w:r w:rsidR="00293509" w:rsidRPr="00AA738D">
        <w:rPr>
          <w:rFonts w:ascii="Times New Roman" w:hAnsi="Times New Roman" w:cs="Times New Roman"/>
          <w:lang w:val="en-US"/>
        </w:rPr>
        <w:fldChar w:fldCharType="separate"/>
      </w:r>
      <w:r w:rsidR="002D7167">
        <w:rPr>
          <w:rFonts w:ascii="Times New Roman" w:hAnsi="Times New Roman" w:cs="Times New Roman"/>
          <w:noProof/>
          <w:lang w:val="en-US"/>
        </w:rPr>
        <w:t>(2013)</w:t>
      </w:r>
      <w:r w:rsidR="00293509" w:rsidRPr="00AA738D">
        <w:rPr>
          <w:rFonts w:ascii="Times New Roman" w:hAnsi="Times New Roman" w:cs="Times New Roman"/>
          <w:lang w:val="en-US"/>
        </w:rPr>
        <w:fldChar w:fldCharType="end"/>
      </w:r>
      <w:r w:rsidR="00293509" w:rsidRPr="00AA738D">
        <w:rPr>
          <w:rFonts w:ascii="Times New Roman" w:hAnsi="Times New Roman" w:cs="Times New Roman"/>
          <w:lang w:val="en-US"/>
        </w:rPr>
        <w:t>.</w:t>
      </w:r>
    </w:p>
    <w:p w14:paraId="2646F0AB" w14:textId="0A8B9549" w:rsidR="00DE12CE" w:rsidRPr="00AA738D" w:rsidRDefault="00DE12CE" w:rsidP="00627B6E">
      <w:pPr>
        <w:spacing w:line="360" w:lineRule="auto"/>
        <w:rPr>
          <w:rFonts w:ascii="Times New Roman" w:hAnsi="Times New Roman" w:cs="Times New Roman"/>
          <w:lang w:val="en-US"/>
        </w:rPr>
      </w:pPr>
    </w:p>
    <w:p w14:paraId="27EAB7BC" w14:textId="72977332" w:rsidR="00DE12CE" w:rsidRPr="00AA738D" w:rsidRDefault="00DE12CE" w:rsidP="00627B6E">
      <w:pPr>
        <w:spacing w:line="360" w:lineRule="auto"/>
        <w:rPr>
          <w:rFonts w:ascii="Times New Roman" w:hAnsi="Times New Roman" w:cs="Times New Roman"/>
          <w:lang w:val="en-US"/>
        </w:rPr>
      </w:pPr>
    </w:p>
    <w:p w14:paraId="372B4571" w14:textId="1213D8B2" w:rsidR="00DE12CE" w:rsidRPr="00AA738D" w:rsidRDefault="00DE12CE" w:rsidP="00627B6E">
      <w:pPr>
        <w:spacing w:line="360" w:lineRule="auto"/>
        <w:rPr>
          <w:rFonts w:ascii="Times New Roman" w:hAnsi="Times New Roman" w:cs="Times New Roman"/>
          <w:lang w:val="en-US"/>
        </w:rPr>
      </w:pPr>
    </w:p>
    <w:p w14:paraId="1E6CD392" w14:textId="4C864EA9" w:rsidR="00DE12CE" w:rsidRPr="00AA738D" w:rsidRDefault="00DE12CE" w:rsidP="00627B6E">
      <w:pPr>
        <w:spacing w:line="360" w:lineRule="auto"/>
        <w:rPr>
          <w:rFonts w:ascii="Times New Roman" w:hAnsi="Times New Roman" w:cs="Times New Roman"/>
          <w:lang w:val="en-US"/>
        </w:rPr>
      </w:pPr>
    </w:p>
    <w:p w14:paraId="57848927" w14:textId="5A3098EA" w:rsidR="00343AE6" w:rsidRPr="00AA738D" w:rsidRDefault="00343AE6" w:rsidP="00627B6E">
      <w:pPr>
        <w:spacing w:line="360" w:lineRule="auto"/>
        <w:rPr>
          <w:rFonts w:ascii="Times New Roman" w:hAnsi="Times New Roman" w:cs="Times New Roman"/>
          <w:lang w:val="en-US"/>
        </w:rPr>
      </w:pPr>
    </w:p>
    <w:p w14:paraId="156731FC" w14:textId="32F55662" w:rsidR="00343AE6" w:rsidRPr="00AA738D" w:rsidRDefault="00343AE6" w:rsidP="00627B6E">
      <w:pPr>
        <w:spacing w:line="360" w:lineRule="auto"/>
        <w:rPr>
          <w:rFonts w:ascii="Times New Roman" w:hAnsi="Times New Roman" w:cs="Times New Roman"/>
          <w:lang w:val="en-US"/>
        </w:rPr>
      </w:pPr>
    </w:p>
    <w:p w14:paraId="08FFAC2C" w14:textId="537CBACC" w:rsidR="00343AE6" w:rsidRPr="00AA738D" w:rsidRDefault="00343AE6" w:rsidP="00627B6E">
      <w:pPr>
        <w:spacing w:line="360" w:lineRule="auto"/>
        <w:rPr>
          <w:rFonts w:ascii="Times New Roman" w:hAnsi="Times New Roman" w:cs="Times New Roman"/>
          <w:lang w:val="en-US"/>
        </w:rPr>
      </w:pPr>
    </w:p>
    <w:p w14:paraId="73170164" w14:textId="1937E0ED" w:rsidR="00343AE6" w:rsidRPr="00AA738D" w:rsidRDefault="00343AE6" w:rsidP="00627B6E">
      <w:pPr>
        <w:spacing w:line="360" w:lineRule="auto"/>
        <w:rPr>
          <w:rFonts w:ascii="Times New Roman" w:hAnsi="Times New Roman" w:cs="Times New Roman"/>
          <w:lang w:val="en-US"/>
        </w:rPr>
      </w:pPr>
    </w:p>
    <w:p w14:paraId="0FBCAC08" w14:textId="542070C4" w:rsidR="00343AE6" w:rsidRPr="00AA738D" w:rsidRDefault="00343AE6" w:rsidP="00627B6E">
      <w:pPr>
        <w:spacing w:line="360" w:lineRule="auto"/>
        <w:rPr>
          <w:rFonts w:ascii="Times New Roman" w:hAnsi="Times New Roman" w:cs="Times New Roman"/>
          <w:lang w:val="en-US"/>
        </w:rPr>
      </w:pPr>
    </w:p>
    <w:p w14:paraId="7B930271" w14:textId="51D190D3" w:rsidR="00343AE6" w:rsidRPr="00AA738D" w:rsidRDefault="00343AE6" w:rsidP="00627B6E">
      <w:pPr>
        <w:spacing w:line="360" w:lineRule="auto"/>
        <w:rPr>
          <w:rFonts w:ascii="Times New Roman" w:hAnsi="Times New Roman" w:cs="Times New Roman"/>
          <w:lang w:val="en-US"/>
        </w:rPr>
      </w:pPr>
    </w:p>
    <w:p w14:paraId="6FADDE85" w14:textId="77777777" w:rsidR="00343AE6" w:rsidRPr="00AA738D" w:rsidRDefault="00343AE6" w:rsidP="00627B6E">
      <w:pPr>
        <w:spacing w:line="360" w:lineRule="auto"/>
        <w:rPr>
          <w:rFonts w:ascii="Times New Roman" w:hAnsi="Times New Roman" w:cs="Times New Roman"/>
          <w:lang w:val="en-US"/>
        </w:rPr>
      </w:pPr>
    </w:p>
    <w:p w14:paraId="44F199CF" w14:textId="03A677F0" w:rsidR="00DE12CE" w:rsidRPr="00AA738D" w:rsidRDefault="00DE12CE" w:rsidP="00627B6E">
      <w:pPr>
        <w:spacing w:line="360" w:lineRule="auto"/>
        <w:rPr>
          <w:rFonts w:ascii="Times New Roman" w:hAnsi="Times New Roman" w:cs="Times New Roman"/>
          <w:lang w:val="en-US"/>
        </w:rPr>
      </w:pPr>
    </w:p>
    <w:p w14:paraId="2453EE95" w14:textId="42F48D0A" w:rsidR="00DE12CE" w:rsidRPr="00AA738D" w:rsidRDefault="00DE12CE" w:rsidP="00627B6E">
      <w:pPr>
        <w:spacing w:line="360" w:lineRule="auto"/>
        <w:rPr>
          <w:rFonts w:ascii="Times New Roman" w:hAnsi="Times New Roman" w:cs="Times New Roman"/>
          <w:lang w:val="en-US"/>
        </w:rPr>
      </w:pPr>
    </w:p>
    <w:p w14:paraId="614C6AE6" w14:textId="77777777" w:rsidR="00293509" w:rsidRPr="00AA738D" w:rsidRDefault="00293509" w:rsidP="00627B6E">
      <w:pPr>
        <w:spacing w:line="360" w:lineRule="auto"/>
        <w:rPr>
          <w:rFonts w:ascii="Times New Roman" w:hAnsi="Times New Roman" w:cs="Times New Roman"/>
          <w:lang w:val="en-US"/>
        </w:rPr>
      </w:pPr>
    </w:p>
    <w:p w14:paraId="773CD395" w14:textId="666C3C26" w:rsidR="00FC0BED" w:rsidRPr="00AA738D" w:rsidRDefault="00FC0BED" w:rsidP="00627B6E">
      <w:pPr>
        <w:spacing w:line="360" w:lineRule="auto"/>
        <w:rPr>
          <w:rFonts w:ascii="Times New Roman" w:hAnsi="Times New Roman" w:cs="Times New Roman"/>
          <w:b/>
          <w:bCs/>
          <w:lang w:val="en-US"/>
        </w:rPr>
      </w:pPr>
      <w:r w:rsidRPr="00AA738D">
        <w:rPr>
          <w:rFonts w:ascii="Times New Roman" w:hAnsi="Times New Roman" w:cs="Times New Roman"/>
          <w:b/>
          <w:bCs/>
          <w:lang w:val="en-US"/>
        </w:rPr>
        <w:lastRenderedPageBreak/>
        <w:t>Appendix D</w:t>
      </w:r>
    </w:p>
    <w:p w14:paraId="14AA21D2" w14:textId="5FECAE30" w:rsidR="00FC0BED" w:rsidRPr="00AA738D" w:rsidRDefault="00FC0BED" w:rsidP="00627B6E">
      <w:pPr>
        <w:spacing w:line="360" w:lineRule="auto"/>
        <w:rPr>
          <w:rFonts w:ascii="Times New Roman" w:hAnsi="Times New Roman" w:cs="Times New Roman"/>
          <w:lang w:val="en-GB"/>
        </w:rPr>
      </w:pPr>
      <w:r w:rsidRPr="00AA738D">
        <w:rPr>
          <w:rFonts w:ascii="Times New Roman" w:hAnsi="Times New Roman" w:cs="Times New Roman"/>
          <w:lang w:val="en-US"/>
        </w:rPr>
        <w:tab/>
      </w:r>
      <w:r w:rsidR="00D86128" w:rsidRPr="00AA738D">
        <w:rPr>
          <w:rFonts w:ascii="Times New Roman" w:hAnsi="Times New Roman" w:cs="Times New Roman"/>
          <w:lang w:val="en-GB"/>
        </w:rPr>
        <w:t>Table D1</w:t>
      </w:r>
      <w:r w:rsidRPr="00AA738D">
        <w:rPr>
          <w:rFonts w:ascii="Times New Roman" w:hAnsi="Times New Roman" w:cs="Times New Roman"/>
          <w:lang w:val="en-GB"/>
        </w:rPr>
        <w:t xml:space="preserve"> reports the total frequency of SLE occurrences in the sample and the number of participants concordant and discordant for </w:t>
      </w:r>
      <w:proofErr w:type="gramStart"/>
      <w:r w:rsidRPr="00AA738D">
        <w:rPr>
          <w:rFonts w:ascii="Times New Roman" w:hAnsi="Times New Roman" w:cs="Times New Roman"/>
          <w:lang w:val="en-GB"/>
        </w:rPr>
        <w:t>time-censored</w:t>
      </w:r>
      <w:proofErr w:type="gramEnd"/>
      <w:r w:rsidRPr="00AA738D">
        <w:rPr>
          <w:rFonts w:ascii="Times New Roman" w:hAnsi="Times New Roman" w:cs="Times New Roman"/>
          <w:lang w:val="en-GB"/>
        </w:rPr>
        <w:t xml:space="preserve"> SLE exposure.</w:t>
      </w:r>
    </w:p>
    <w:p w14:paraId="361B7A07" w14:textId="77777777" w:rsidR="00FC0BED" w:rsidRPr="00AA738D" w:rsidRDefault="00FC0BED" w:rsidP="00627B6E">
      <w:pPr>
        <w:spacing w:line="360" w:lineRule="auto"/>
        <w:rPr>
          <w:rFonts w:ascii="Times New Roman" w:hAnsi="Times New Roman" w:cs="Times New Roman"/>
          <w:lang w:val="en-GB"/>
        </w:rPr>
      </w:pPr>
    </w:p>
    <w:p w14:paraId="6B0E18F1" w14:textId="2879E583" w:rsidR="00FC0BED" w:rsidRPr="00A440AD" w:rsidRDefault="00FC0BED" w:rsidP="00FC0BED">
      <w:pPr>
        <w:spacing w:line="360" w:lineRule="auto"/>
        <w:rPr>
          <w:rFonts w:ascii="Times New Roman" w:hAnsi="Times New Roman" w:cs="Times New Roman"/>
          <w:b/>
          <w:bCs/>
          <w:lang w:val="en-GB"/>
        </w:rPr>
      </w:pPr>
      <w:r w:rsidRPr="00A440AD">
        <w:rPr>
          <w:rFonts w:ascii="Times New Roman" w:hAnsi="Times New Roman" w:cs="Times New Roman"/>
          <w:b/>
          <w:bCs/>
          <w:lang w:val="en-GB"/>
        </w:rPr>
        <w:t>Table D1.</w:t>
      </w:r>
    </w:p>
    <w:p w14:paraId="16DFD12F" w14:textId="77777777" w:rsidR="00FC0BED" w:rsidRPr="00A440AD" w:rsidRDefault="00FC0BED" w:rsidP="00FC0BED">
      <w:pPr>
        <w:spacing w:line="480" w:lineRule="auto"/>
        <w:rPr>
          <w:rFonts w:ascii="Times New Roman" w:hAnsi="Times New Roman" w:cs="Times New Roman"/>
          <w:i/>
          <w:iCs/>
          <w:sz w:val="28"/>
          <w:szCs w:val="28"/>
          <w:lang w:val="en-GB"/>
        </w:rPr>
      </w:pPr>
      <w:r w:rsidRPr="00A440AD">
        <w:rPr>
          <w:rFonts w:ascii="Times New Roman" w:hAnsi="Times New Roman" w:cs="Times New Roman"/>
          <w:i/>
          <w:iCs/>
          <w:lang w:val="en-GB"/>
        </w:rPr>
        <w:t xml:space="preserve">Frequencies of Stressful Life Events   </w:t>
      </w:r>
    </w:p>
    <w:tbl>
      <w:tblPr>
        <w:tblW w:w="9763" w:type="dxa"/>
        <w:tblLook w:val="04A0" w:firstRow="1" w:lastRow="0" w:firstColumn="1" w:lastColumn="0" w:noHBand="0" w:noVBand="1"/>
      </w:tblPr>
      <w:tblGrid>
        <w:gridCol w:w="2947"/>
        <w:gridCol w:w="2426"/>
        <w:gridCol w:w="2287"/>
        <w:gridCol w:w="2103"/>
      </w:tblGrid>
      <w:tr w:rsidR="00AA738D" w:rsidRPr="00AA738D" w14:paraId="46A9EBA7" w14:textId="77777777" w:rsidTr="00C453E2">
        <w:trPr>
          <w:trHeight w:val="422"/>
        </w:trPr>
        <w:tc>
          <w:tcPr>
            <w:tcW w:w="2947" w:type="dxa"/>
            <w:tcBorders>
              <w:top w:val="single" w:sz="4" w:space="0" w:color="auto"/>
              <w:left w:val="nil"/>
              <w:bottom w:val="single" w:sz="4" w:space="0" w:color="auto"/>
              <w:right w:val="nil"/>
            </w:tcBorders>
            <w:shd w:val="clear" w:color="auto" w:fill="auto"/>
            <w:noWrap/>
            <w:vAlign w:val="bottom"/>
            <w:hideMark/>
          </w:tcPr>
          <w:p w14:paraId="2368C6D3"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Stressful life events (SLEs)</w:t>
            </w:r>
          </w:p>
          <w:p w14:paraId="05A062D3" w14:textId="77777777" w:rsidR="00FC0BED" w:rsidRPr="00AA738D" w:rsidRDefault="00FC0BED" w:rsidP="00C453E2">
            <w:pPr>
              <w:spacing w:line="276" w:lineRule="auto"/>
              <w:rPr>
                <w:rFonts w:ascii="Times New Roman" w:hAnsi="Times New Roman" w:cs="Times New Roman"/>
                <w:sz w:val="22"/>
                <w:szCs w:val="22"/>
                <w:lang w:val="en-GB"/>
              </w:rPr>
            </w:pPr>
          </w:p>
          <w:p w14:paraId="74FBE7C8" w14:textId="77777777" w:rsidR="00FC0BED" w:rsidRPr="00AA738D" w:rsidRDefault="00FC0BED" w:rsidP="00C453E2">
            <w:pPr>
              <w:spacing w:line="276" w:lineRule="auto"/>
              <w:rPr>
                <w:rFonts w:ascii="Times New Roman" w:hAnsi="Times New Roman" w:cs="Times New Roman"/>
                <w:sz w:val="22"/>
                <w:szCs w:val="22"/>
                <w:lang w:val="en-GB"/>
              </w:rPr>
            </w:pPr>
          </w:p>
        </w:tc>
        <w:tc>
          <w:tcPr>
            <w:tcW w:w="2426" w:type="dxa"/>
            <w:tcBorders>
              <w:top w:val="single" w:sz="4" w:space="0" w:color="auto"/>
              <w:left w:val="nil"/>
              <w:bottom w:val="single" w:sz="4" w:space="0" w:color="auto"/>
              <w:right w:val="nil"/>
            </w:tcBorders>
            <w:shd w:val="clear" w:color="auto" w:fill="auto"/>
            <w:noWrap/>
            <w:vAlign w:val="bottom"/>
            <w:hideMark/>
          </w:tcPr>
          <w:p w14:paraId="7EF7C728"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Frequency in full sample</w:t>
            </w:r>
          </w:p>
          <w:p w14:paraId="02A05221" w14:textId="77777777" w:rsidR="00FC0BED" w:rsidRPr="00AA738D" w:rsidRDefault="00FC0BED" w:rsidP="00C453E2">
            <w:pPr>
              <w:spacing w:line="276" w:lineRule="auto"/>
              <w:rPr>
                <w:rFonts w:ascii="Times New Roman" w:hAnsi="Times New Roman" w:cs="Times New Roman"/>
                <w:sz w:val="22"/>
                <w:szCs w:val="22"/>
                <w:lang w:val="en-GB"/>
              </w:rPr>
            </w:pPr>
          </w:p>
          <w:p w14:paraId="5B7B748F" w14:textId="77777777" w:rsidR="00FC0BED" w:rsidRPr="00AA738D" w:rsidRDefault="00FC0BED" w:rsidP="00C453E2">
            <w:pPr>
              <w:spacing w:line="276" w:lineRule="auto"/>
              <w:rPr>
                <w:rFonts w:ascii="Times New Roman" w:hAnsi="Times New Roman" w:cs="Times New Roman"/>
                <w:sz w:val="22"/>
                <w:szCs w:val="22"/>
                <w:lang w:val="en-GB"/>
              </w:rPr>
            </w:pPr>
          </w:p>
        </w:tc>
        <w:tc>
          <w:tcPr>
            <w:tcW w:w="2287" w:type="dxa"/>
            <w:tcBorders>
              <w:top w:val="single" w:sz="4" w:space="0" w:color="auto"/>
              <w:left w:val="nil"/>
              <w:bottom w:val="single" w:sz="4" w:space="0" w:color="auto"/>
              <w:right w:val="nil"/>
            </w:tcBorders>
            <w:shd w:val="clear" w:color="auto" w:fill="auto"/>
            <w:noWrap/>
            <w:vAlign w:val="bottom"/>
            <w:hideMark/>
          </w:tcPr>
          <w:p w14:paraId="128723E1" w14:textId="57DB3E7E" w:rsidR="00FC0BED" w:rsidRPr="00AA738D" w:rsidRDefault="004C15F2"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Discordant </w:t>
            </w:r>
            <w:proofErr w:type="spellStart"/>
            <w:r w:rsidRPr="00AA738D">
              <w:rPr>
                <w:rFonts w:ascii="Times New Roman" w:hAnsi="Times New Roman" w:cs="Times New Roman"/>
                <w:sz w:val="22"/>
                <w:szCs w:val="22"/>
                <w:lang w:val="en-GB"/>
              </w:rPr>
              <w:t>MZ</w:t>
            </w:r>
            <w:proofErr w:type="spellEnd"/>
            <w:r w:rsidRPr="00AA738D">
              <w:rPr>
                <w:rFonts w:ascii="Times New Roman" w:hAnsi="Times New Roman" w:cs="Times New Roman"/>
                <w:sz w:val="22"/>
                <w:szCs w:val="22"/>
                <w:lang w:val="en-GB"/>
              </w:rPr>
              <w:t xml:space="preserve"> twin pairs</w:t>
            </w:r>
          </w:p>
          <w:p w14:paraId="65782702" w14:textId="77777777" w:rsidR="00FC0BED" w:rsidRPr="00AA738D" w:rsidRDefault="00FC0BED" w:rsidP="00C453E2">
            <w:pPr>
              <w:spacing w:line="276" w:lineRule="auto"/>
              <w:jc w:val="center"/>
              <w:rPr>
                <w:rFonts w:ascii="Times New Roman" w:hAnsi="Times New Roman" w:cs="Times New Roman"/>
                <w:sz w:val="22"/>
                <w:szCs w:val="22"/>
                <w:lang w:val="en-GB"/>
              </w:rPr>
            </w:pPr>
          </w:p>
        </w:tc>
        <w:tc>
          <w:tcPr>
            <w:tcW w:w="2103" w:type="dxa"/>
            <w:tcBorders>
              <w:top w:val="single" w:sz="4" w:space="0" w:color="auto"/>
              <w:left w:val="nil"/>
              <w:bottom w:val="single" w:sz="4" w:space="0" w:color="auto"/>
              <w:right w:val="nil"/>
            </w:tcBorders>
            <w:shd w:val="clear" w:color="auto" w:fill="auto"/>
            <w:noWrap/>
            <w:vAlign w:val="bottom"/>
            <w:hideMark/>
          </w:tcPr>
          <w:p w14:paraId="4D7D6160" w14:textId="34C2477E" w:rsidR="00FC0BED" w:rsidRPr="00AA738D" w:rsidRDefault="004C15F2"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Discordant </w:t>
            </w:r>
            <w:proofErr w:type="spellStart"/>
            <w:r w:rsidRPr="00AA738D">
              <w:rPr>
                <w:rFonts w:ascii="Times New Roman" w:hAnsi="Times New Roman" w:cs="Times New Roman"/>
                <w:sz w:val="22"/>
                <w:szCs w:val="22"/>
                <w:lang w:val="en-GB"/>
              </w:rPr>
              <w:t>DZ</w:t>
            </w:r>
            <w:proofErr w:type="spellEnd"/>
            <w:r w:rsidRPr="00AA738D">
              <w:rPr>
                <w:rFonts w:ascii="Times New Roman" w:hAnsi="Times New Roman" w:cs="Times New Roman"/>
                <w:sz w:val="22"/>
                <w:szCs w:val="22"/>
                <w:lang w:val="en-GB"/>
              </w:rPr>
              <w:t xml:space="preserve"> twin pairs</w:t>
            </w:r>
          </w:p>
          <w:p w14:paraId="5E0D7E0F" w14:textId="77777777" w:rsidR="00FC0BED" w:rsidRPr="00AA738D" w:rsidRDefault="00FC0BED" w:rsidP="00C453E2">
            <w:pPr>
              <w:spacing w:line="276" w:lineRule="auto"/>
              <w:rPr>
                <w:rFonts w:ascii="Times New Roman" w:hAnsi="Times New Roman" w:cs="Times New Roman"/>
                <w:sz w:val="22"/>
                <w:szCs w:val="22"/>
                <w:lang w:val="en-GB"/>
              </w:rPr>
            </w:pPr>
          </w:p>
        </w:tc>
      </w:tr>
      <w:tr w:rsidR="00AA738D" w:rsidRPr="00AA738D" w14:paraId="1D5BF7DC" w14:textId="77777777" w:rsidTr="00C453E2">
        <w:trPr>
          <w:trHeight w:val="294"/>
        </w:trPr>
        <w:tc>
          <w:tcPr>
            <w:tcW w:w="2947" w:type="dxa"/>
            <w:tcBorders>
              <w:top w:val="nil"/>
              <w:left w:val="nil"/>
              <w:bottom w:val="nil"/>
              <w:right w:val="nil"/>
            </w:tcBorders>
            <w:shd w:val="clear" w:color="auto" w:fill="auto"/>
            <w:vAlign w:val="center"/>
            <w:hideMark/>
          </w:tcPr>
          <w:p w14:paraId="7FC23636"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Life-threatening illness</w:t>
            </w:r>
          </w:p>
        </w:tc>
        <w:tc>
          <w:tcPr>
            <w:tcW w:w="2426" w:type="dxa"/>
            <w:tcBorders>
              <w:top w:val="single" w:sz="8" w:space="0" w:color="auto"/>
              <w:left w:val="nil"/>
              <w:bottom w:val="nil"/>
              <w:right w:val="nil"/>
            </w:tcBorders>
            <w:shd w:val="clear" w:color="auto" w:fill="auto"/>
            <w:vAlign w:val="center"/>
            <w:hideMark/>
          </w:tcPr>
          <w:p w14:paraId="58A6BFEF"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125</w:t>
            </w:r>
          </w:p>
        </w:tc>
        <w:tc>
          <w:tcPr>
            <w:tcW w:w="2287" w:type="dxa"/>
            <w:tcBorders>
              <w:top w:val="single" w:sz="8" w:space="0" w:color="auto"/>
              <w:left w:val="nil"/>
              <w:bottom w:val="nil"/>
              <w:right w:val="nil"/>
            </w:tcBorders>
            <w:shd w:val="clear" w:color="auto" w:fill="auto"/>
            <w:vAlign w:val="center"/>
            <w:hideMark/>
          </w:tcPr>
          <w:p w14:paraId="101E19A8" w14:textId="47741D3E" w:rsidR="00FC0BED" w:rsidRPr="00AA738D" w:rsidRDefault="00B52063"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54</w:t>
            </w:r>
          </w:p>
        </w:tc>
        <w:tc>
          <w:tcPr>
            <w:tcW w:w="2103" w:type="dxa"/>
            <w:tcBorders>
              <w:top w:val="single" w:sz="8" w:space="0" w:color="auto"/>
              <w:left w:val="nil"/>
              <w:bottom w:val="nil"/>
              <w:right w:val="nil"/>
            </w:tcBorders>
            <w:shd w:val="clear" w:color="auto" w:fill="auto"/>
            <w:vAlign w:val="center"/>
            <w:hideMark/>
          </w:tcPr>
          <w:p w14:paraId="6DCAEFBC" w14:textId="033CF122" w:rsidR="00FC0BED" w:rsidRPr="00AA738D" w:rsidRDefault="00B52063"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32</w:t>
            </w:r>
          </w:p>
        </w:tc>
      </w:tr>
      <w:tr w:rsidR="00AA738D" w:rsidRPr="00AA738D" w14:paraId="720E8D5C" w14:textId="77777777" w:rsidTr="00C453E2">
        <w:trPr>
          <w:trHeight w:val="407"/>
        </w:trPr>
        <w:tc>
          <w:tcPr>
            <w:tcW w:w="2947" w:type="dxa"/>
            <w:tcBorders>
              <w:top w:val="nil"/>
              <w:left w:val="nil"/>
              <w:bottom w:val="nil"/>
              <w:right w:val="nil"/>
            </w:tcBorders>
            <w:shd w:val="clear" w:color="auto" w:fill="auto"/>
            <w:vAlign w:val="center"/>
            <w:hideMark/>
          </w:tcPr>
          <w:p w14:paraId="6C407070"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Life-threatening accident</w:t>
            </w:r>
          </w:p>
        </w:tc>
        <w:tc>
          <w:tcPr>
            <w:tcW w:w="2426" w:type="dxa"/>
            <w:tcBorders>
              <w:top w:val="nil"/>
              <w:left w:val="nil"/>
              <w:bottom w:val="nil"/>
              <w:right w:val="nil"/>
            </w:tcBorders>
            <w:shd w:val="clear" w:color="auto" w:fill="auto"/>
            <w:vAlign w:val="center"/>
            <w:hideMark/>
          </w:tcPr>
          <w:p w14:paraId="7F265765"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151</w:t>
            </w:r>
          </w:p>
        </w:tc>
        <w:tc>
          <w:tcPr>
            <w:tcW w:w="2287" w:type="dxa"/>
            <w:tcBorders>
              <w:top w:val="nil"/>
              <w:left w:val="nil"/>
              <w:bottom w:val="nil"/>
              <w:right w:val="nil"/>
            </w:tcBorders>
            <w:shd w:val="clear" w:color="auto" w:fill="auto"/>
            <w:vAlign w:val="center"/>
            <w:hideMark/>
          </w:tcPr>
          <w:p w14:paraId="7CF3AE4E" w14:textId="717A5575" w:rsidR="00FC0BED" w:rsidRPr="00AA738D" w:rsidRDefault="007D52E3"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55</w:t>
            </w:r>
          </w:p>
        </w:tc>
        <w:tc>
          <w:tcPr>
            <w:tcW w:w="2103" w:type="dxa"/>
            <w:tcBorders>
              <w:top w:val="nil"/>
              <w:left w:val="nil"/>
              <w:bottom w:val="nil"/>
              <w:right w:val="nil"/>
            </w:tcBorders>
            <w:shd w:val="clear" w:color="auto" w:fill="auto"/>
            <w:vAlign w:val="center"/>
            <w:hideMark/>
          </w:tcPr>
          <w:p w14:paraId="2B72E6D7" w14:textId="20A887CA" w:rsidR="00FC0BED" w:rsidRPr="00AA738D" w:rsidRDefault="007D52E3"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43</w:t>
            </w:r>
          </w:p>
        </w:tc>
      </w:tr>
      <w:tr w:rsidR="00AA738D" w:rsidRPr="00AA738D" w14:paraId="3E5F8FBA" w14:textId="77777777" w:rsidTr="00C453E2">
        <w:trPr>
          <w:trHeight w:val="407"/>
        </w:trPr>
        <w:tc>
          <w:tcPr>
            <w:tcW w:w="2947" w:type="dxa"/>
            <w:tcBorders>
              <w:top w:val="nil"/>
              <w:left w:val="nil"/>
              <w:bottom w:val="nil"/>
              <w:right w:val="nil"/>
            </w:tcBorders>
            <w:shd w:val="clear" w:color="auto" w:fill="auto"/>
            <w:vAlign w:val="center"/>
            <w:hideMark/>
          </w:tcPr>
          <w:p w14:paraId="3351F8A9"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Actively participated in war/combat</w:t>
            </w:r>
          </w:p>
        </w:tc>
        <w:tc>
          <w:tcPr>
            <w:tcW w:w="2426" w:type="dxa"/>
            <w:tcBorders>
              <w:top w:val="nil"/>
              <w:left w:val="nil"/>
              <w:bottom w:val="nil"/>
              <w:right w:val="nil"/>
            </w:tcBorders>
            <w:shd w:val="clear" w:color="auto" w:fill="auto"/>
            <w:vAlign w:val="center"/>
            <w:hideMark/>
          </w:tcPr>
          <w:p w14:paraId="6ABD3725"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31</w:t>
            </w:r>
          </w:p>
        </w:tc>
        <w:tc>
          <w:tcPr>
            <w:tcW w:w="2287" w:type="dxa"/>
            <w:tcBorders>
              <w:top w:val="nil"/>
              <w:left w:val="nil"/>
              <w:bottom w:val="nil"/>
              <w:right w:val="nil"/>
            </w:tcBorders>
            <w:shd w:val="clear" w:color="auto" w:fill="auto"/>
            <w:vAlign w:val="center"/>
            <w:hideMark/>
          </w:tcPr>
          <w:p w14:paraId="77F978C7" w14:textId="0B44FA45" w:rsidR="00FC0BED" w:rsidRPr="00AA738D" w:rsidRDefault="00F51BC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w:t>
            </w:r>
          </w:p>
        </w:tc>
        <w:tc>
          <w:tcPr>
            <w:tcW w:w="2103" w:type="dxa"/>
            <w:tcBorders>
              <w:top w:val="nil"/>
              <w:left w:val="nil"/>
              <w:bottom w:val="nil"/>
              <w:right w:val="nil"/>
            </w:tcBorders>
            <w:shd w:val="clear" w:color="auto" w:fill="auto"/>
            <w:vAlign w:val="center"/>
            <w:hideMark/>
          </w:tcPr>
          <w:p w14:paraId="389B718A" w14:textId="7E5C19A2" w:rsidR="00FC0BED" w:rsidRPr="00AA738D" w:rsidRDefault="00F51BC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12</w:t>
            </w:r>
          </w:p>
        </w:tc>
      </w:tr>
      <w:tr w:rsidR="00AA738D" w:rsidRPr="00AA738D" w14:paraId="69CDD9F6" w14:textId="77777777" w:rsidTr="00C453E2">
        <w:trPr>
          <w:trHeight w:val="407"/>
        </w:trPr>
        <w:tc>
          <w:tcPr>
            <w:tcW w:w="2947" w:type="dxa"/>
            <w:tcBorders>
              <w:top w:val="nil"/>
              <w:left w:val="nil"/>
              <w:bottom w:val="nil"/>
              <w:right w:val="nil"/>
            </w:tcBorders>
            <w:shd w:val="clear" w:color="auto" w:fill="auto"/>
            <w:vAlign w:val="center"/>
            <w:hideMark/>
          </w:tcPr>
          <w:p w14:paraId="7319AF2E"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Witnessed anyone be badly injured or killed </w:t>
            </w:r>
          </w:p>
        </w:tc>
        <w:tc>
          <w:tcPr>
            <w:tcW w:w="2426" w:type="dxa"/>
            <w:tcBorders>
              <w:top w:val="nil"/>
              <w:left w:val="nil"/>
              <w:bottom w:val="nil"/>
              <w:right w:val="nil"/>
            </w:tcBorders>
            <w:shd w:val="clear" w:color="auto" w:fill="auto"/>
            <w:vAlign w:val="center"/>
            <w:hideMark/>
          </w:tcPr>
          <w:p w14:paraId="3B626508"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229</w:t>
            </w:r>
          </w:p>
        </w:tc>
        <w:tc>
          <w:tcPr>
            <w:tcW w:w="2287" w:type="dxa"/>
            <w:tcBorders>
              <w:top w:val="nil"/>
              <w:left w:val="nil"/>
              <w:bottom w:val="nil"/>
              <w:right w:val="nil"/>
            </w:tcBorders>
            <w:shd w:val="clear" w:color="auto" w:fill="auto"/>
            <w:vAlign w:val="center"/>
            <w:hideMark/>
          </w:tcPr>
          <w:p w14:paraId="48CABE58" w14:textId="5522FC76" w:rsidR="00FC0BED" w:rsidRPr="00AA738D" w:rsidRDefault="009271B9"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63</w:t>
            </w:r>
          </w:p>
        </w:tc>
        <w:tc>
          <w:tcPr>
            <w:tcW w:w="2103" w:type="dxa"/>
            <w:tcBorders>
              <w:top w:val="nil"/>
              <w:left w:val="nil"/>
              <w:bottom w:val="nil"/>
              <w:right w:val="nil"/>
            </w:tcBorders>
            <w:shd w:val="clear" w:color="auto" w:fill="auto"/>
            <w:vAlign w:val="center"/>
            <w:hideMark/>
          </w:tcPr>
          <w:p w14:paraId="24F51907" w14:textId="28E89649" w:rsidR="00FC0BED" w:rsidRPr="00AA738D" w:rsidRDefault="009271B9"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80</w:t>
            </w:r>
          </w:p>
        </w:tc>
      </w:tr>
      <w:tr w:rsidR="00AA738D" w:rsidRPr="00AA738D" w14:paraId="321D1676" w14:textId="77777777" w:rsidTr="00C453E2">
        <w:trPr>
          <w:trHeight w:val="611"/>
        </w:trPr>
        <w:tc>
          <w:tcPr>
            <w:tcW w:w="2947" w:type="dxa"/>
            <w:tcBorders>
              <w:top w:val="nil"/>
              <w:left w:val="nil"/>
              <w:bottom w:val="nil"/>
              <w:right w:val="nil"/>
            </w:tcBorders>
            <w:shd w:val="clear" w:color="auto" w:fill="auto"/>
            <w:vAlign w:val="center"/>
            <w:hideMark/>
          </w:tcPr>
          <w:p w14:paraId="192FA9F5"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Threatened with a weapon, held </w:t>
            </w:r>
            <w:proofErr w:type="gramStart"/>
            <w:r w:rsidRPr="00AA738D">
              <w:rPr>
                <w:rFonts w:ascii="Times New Roman" w:hAnsi="Times New Roman" w:cs="Times New Roman"/>
                <w:sz w:val="22"/>
                <w:szCs w:val="22"/>
                <w:lang w:val="en-GB"/>
              </w:rPr>
              <w:t>captive</w:t>
            </w:r>
            <w:proofErr w:type="gramEnd"/>
            <w:r w:rsidRPr="00AA738D">
              <w:rPr>
                <w:rFonts w:ascii="Times New Roman" w:hAnsi="Times New Roman" w:cs="Times New Roman"/>
                <w:sz w:val="22"/>
                <w:szCs w:val="22"/>
                <w:lang w:val="en-GB"/>
              </w:rPr>
              <w:t xml:space="preserve"> or kidnapped</w:t>
            </w:r>
          </w:p>
        </w:tc>
        <w:tc>
          <w:tcPr>
            <w:tcW w:w="2426" w:type="dxa"/>
            <w:tcBorders>
              <w:top w:val="nil"/>
              <w:left w:val="nil"/>
              <w:bottom w:val="nil"/>
              <w:right w:val="nil"/>
            </w:tcBorders>
            <w:shd w:val="clear" w:color="auto" w:fill="auto"/>
            <w:vAlign w:val="center"/>
            <w:hideMark/>
          </w:tcPr>
          <w:p w14:paraId="5497CB95"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153</w:t>
            </w:r>
          </w:p>
        </w:tc>
        <w:tc>
          <w:tcPr>
            <w:tcW w:w="2287" w:type="dxa"/>
            <w:tcBorders>
              <w:top w:val="nil"/>
              <w:left w:val="nil"/>
              <w:bottom w:val="nil"/>
              <w:right w:val="nil"/>
            </w:tcBorders>
            <w:shd w:val="clear" w:color="auto" w:fill="auto"/>
            <w:vAlign w:val="center"/>
            <w:hideMark/>
          </w:tcPr>
          <w:p w14:paraId="5E69FA14" w14:textId="421C189E"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41</w:t>
            </w:r>
          </w:p>
        </w:tc>
        <w:tc>
          <w:tcPr>
            <w:tcW w:w="2103" w:type="dxa"/>
            <w:tcBorders>
              <w:top w:val="nil"/>
              <w:left w:val="nil"/>
              <w:bottom w:val="nil"/>
              <w:right w:val="nil"/>
            </w:tcBorders>
            <w:shd w:val="clear" w:color="auto" w:fill="auto"/>
            <w:vAlign w:val="center"/>
            <w:hideMark/>
          </w:tcPr>
          <w:p w14:paraId="22ABC123" w14:textId="327614E6"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44</w:t>
            </w:r>
          </w:p>
        </w:tc>
      </w:tr>
      <w:tr w:rsidR="00AA738D" w:rsidRPr="00AA738D" w14:paraId="4C785B4B" w14:textId="77777777" w:rsidTr="00C453E2">
        <w:trPr>
          <w:trHeight w:val="457"/>
        </w:trPr>
        <w:tc>
          <w:tcPr>
            <w:tcW w:w="2947" w:type="dxa"/>
            <w:tcBorders>
              <w:top w:val="nil"/>
              <w:left w:val="nil"/>
              <w:bottom w:val="nil"/>
              <w:right w:val="nil"/>
            </w:tcBorders>
            <w:shd w:val="clear" w:color="auto" w:fill="auto"/>
            <w:vAlign w:val="center"/>
            <w:hideMark/>
          </w:tcPr>
          <w:p w14:paraId="20F36FEE"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Experienced fire, </w:t>
            </w:r>
            <w:proofErr w:type="gramStart"/>
            <w:r w:rsidRPr="00AA738D">
              <w:rPr>
                <w:rFonts w:ascii="Times New Roman" w:hAnsi="Times New Roman" w:cs="Times New Roman"/>
                <w:sz w:val="22"/>
                <w:szCs w:val="22"/>
                <w:lang w:val="en-GB"/>
              </w:rPr>
              <w:t>flooding</w:t>
            </w:r>
            <w:proofErr w:type="gramEnd"/>
            <w:r w:rsidRPr="00AA738D">
              <w:rPr>
                <w:rFonts w:ascii="Times New Roman" w:hAnsi="Times New Roman" w:cs="Times New Roman"/>
                <w:sz w:val="22"/>
                <w:szCs w:val="22"/>
                <w:lang w:val="en-GB"/>
              </w:rPr>
              <w:t xml:space="preserve"> or natural disaster</w:t>
            </w:r>
          </w:p>
        </w:tc>
        <w:tc>
          <w:tcPr>
            <w:tcW w:w="2426" w:type="dxa"/>
            <w:tcBorders>
              <w:top w:val="nil"/>
              <w:left w:val="nil"/>
              <w:bottom w:val="nil"/>
              <w:right w:val="nil"/>
            </w:tcBorders>
            <w:shd w:val="clear" w:color="auto" w:fill="auto"/>
            <w:vAlign w:val="center"/>
            <w:hideMark/>
          </w:tcPr>
          <w:p w14:paraId="3619C6BE"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133</w:t>
            </w:r>
          </w:p>
        </w:tc>
        <w:tc>
          <w:tcPr>
            <w:tcW w:w="2287" w:type="dxa"/>
            <w:tcBorders>
              <w:top w:val="nil"/>
              <w:left w:val="nil"/>
              <w:bottom w:val="nil"/>
              <w:right w:val="nil"/>
            </w:tcBorders>
            <w:shd w:val="clear" w:color="auto" w:fill="auto"/>
            <w:vAlign w:val="center"/>
            <w:hideMark/>
          </w:tcPr>
          <w:p w14:paraId="15EA333A" w14:textId="598EC266"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43</w:t>
            </w:r>
          </w:p>
        </w:tc>
        <w:tc>
          <w:tcPr>
            <w:tcW w:w="2103" w:type="dxa"/>
            <w:tcBorders>
              <w:top w:val="nil"/>
              <w:left w:val="nil"/>
              <w:bottom w:val="nil"/>
              <w:right w:val="nil"/>
            </w:tcBorders>
            <w:shd w:val="clear" w:color="auto" w:fill="auto"/>
            <w:vAlign w:val="center"/>
            <w:hideMark/>
          </w:tcPr>
          <w:p w14:paraId="54BC077E" w14:textId="52D538E5"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42</w:t>
            </w:r>
          </w:p>
        </w:tc>
      </w:tr>
      <w:tr w:rsidR="00AA738D" w:rsidRPr="00AA738D" w14:paraId="6686C287" w14:textId="77777777" w:rsidTr="00C453E2">
        <w:trPr>
          <w:trHeight w:val="295"/>
        </w:trPr>
        <w:tc>
          <w:tcPr>
            <w:tcW w:w="2947" w:type="dxa"/>
            <w:tcBorders>
              <w:top w:val="nil"/>
              <w:left w:val="nil"/>
              <w:bottom w:val="nil"/>
              <w:right w:val="nil"/>
            </w:tcBorders>
            <w:shd w:val="clear" w:color="auto" w:fill="auto"/>
            <w:vAlign w:val="center"/>
            <w:hideMark/>
          </w:tcPr>
          <w:p w14:paraId="40532303"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Rape</w:t>
            </w:r>
          </w:p>
        </w:tc>
        <w:tc>
          <w:tcPr>
            <w:tcW w:w="2426" w:type="dxa"/>
            <w:tcBorders>
              <w:top w:val="nil"/>
              <w:left w:val="nil"/>
              <w:bottom w:val="nil"/>
              <w:right w:val="nil"/>
            </w:tcBorders>
            <w:shd w:val="clear" w:color="auto" w:fill="auto"/>
            <w:vAlign w:val="center"/>
            <w:hideMark/>
          </w:tcPr>
          <w:p w14:paraId="507310F7"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91</w:t>
            </w:r>
          </w:p>
        </w:tc>
        <w:tc>
          <w:tcPr>
            <w:tcW w:w="2287" w:type="dxa"/>
            <w:tcBorders>
              <w:top w:val="nil"/>
              <w:left w:val="nil"/>
              <w:bottom w:val="nil"/>
              <w:right w:val="nil"/>
            </w:tcBorders>
            <w:shd w:val="clear" w:color="auto" w:fill="auto"/>
            <w:vAlign w:val="center"/>
            <w:hideMark/>
          </w:tcPr>
          <w:p w14:paraId="695EBCA1" w14:textId="009854B0"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33</w:t>
            </w:r>
          </w:p>
        </w:tc>
        <w:tc>
          <w:tcPr>
            <w:tcW w:w="2103" w:type="dxa"/>
            <w:tcBorders>
              <w:top w:val="nil"/>
              <w:left w:val="nil"/>
              <w:bottom w:val="nil"/>
              <w:right w:val="nil"/>
            </w:tcBorders>
            <w:shd w:val="clear" w:color="auto" w:fill="auto"/>
            <w:vAlign w:val="center"/>
            <w:hideMark/>
          </w:tcPr>
          <w:p w14:paraId="727751B7" w14:textId="495850AD" w:rsidR="00FC0BED" w:rsidRPr="00AA738D" w:rsidRDefault="0002535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29</w:t>
            </w:r>
          </w:p>
        </w:tc>
      </w:tr>
      <w:tr w:rsidR="00AA738D" w:rsidRPr="00AA738D" w14:paraId="5DD4ECAA" w14:textId="77777777" w:rsidTr="00C453E2">
        <w:trPr>
          <w:trHeight w:val="215"/>
        </w:trPr>
        <w:tc>
          <w:tcPr>
            <w:tcW w:w="2947" w:type="dxa"/>
            <w:tcBorders>
              <w:top w:val="nil"/>
              <w:left w:val="nil"/>
              <w:bottom w:val="nil"/>
              <w:right w:val="nil"/>
            </w:tcBorders>
            <w:shd w:val="clear" w:color="auto" w:fill="auto"/>
            <w:vAlign w:val="center"/>
            <w:hideMark/>
          </w:tcPr>
          <w:p w14:paraId="5AE1A85B"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Sexual abuse</w:t>
            </w:r>
          </w:p>
        </w:tc>
        <w:tc>
          <w:tcPr>
            <w:tcW w:w="2426" w:type="dxa"/>
            <w:tcBorders>
              <w:top w:val="nil"/>
              <w:left w:val="nil"/>
              <w:bottom w:val="nil"/>
              <w:right w:val="nil"/>
            </w:tcBorders>
            <w:shd w:val="clear" w:color="auto" w:fill="auto"/>
            <w:vAlign w:val="center"/>
            <w:hideMark/>
          </w:tcPr>
          <w:p w14:paraId="1E0499CE"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176</w:t>
            </w:r>
          </w:p>
        </w:tc>
        <w:tc>
          <w:tcPr>
            <w:tcW w:w="2287" w:type="dxa"/>
            <w:tcBorders>
              <w:top w:val="nil"/>
              <w:left w:val="nil"/>
              <w:bottom w:val="nil"/>
              <w:right w:val="nil"/>
            </w:tcBorders>
            <w:shd w:val="clear" w:color="auto" w:fill="auto"/>
            <w:vAlign w:val="center"/>
            <w:hideMark/>
          </w:tcPr>
          <w:p w14:paraId="318D3925" w14:textId="70250DE8" w:rsidR="00FC0BED" w:rsidRPr="00AA738D" w:rsidRDefault="008069F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51</w:t>
            </w:r>
          </w:p>
        </w:tc>
        <w:tc>
          <w:tcPr>
            <w:tcW w:w="2103" w:type="dxa"/>
            <w:tcBorders>
              <w:top w:val="nil"/>
              <w:left w:val="nil"/>
              <w:bottom w:val="nil"/>
              <w:right w:val="nil"/>
            </w:tcBorders>
            <w:shd w:val="clear" w:color="auto" w:fill="auto"/>
            <w:vAlign w:val="center"/>
            <w:hideMark/>
          </w:tcPr>
          <w:p w14:paraId="11D61AF5" w14:textId="488C8B4E" w:rsidR="00FC0BED" w:rsidRPr="00AA738D" w:rsidRDefault="008069F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48</w:t>
            </w:r>
          </w:p>
        </w:tc>
      </w:tr>
      <w:tr w:rsidR="00AA738D" w:rsidRPr="00AA738D" w14:paraId="3A38DAAB" w14:textId="77777777" w:rsidTr="00C453E2">
        <w:trPr>
          <w:trHeight w:val="407"/>
        </w:trPr>
        <w:tc>
          <w:tcPr>
            <w:tcW w:w="2947" w:type="dxa"/>
            <w:tcBorders>
              <w:top w:val="nil"/>
              <w:left w:val="nil"/>
              <w:bottom w:val="nil"/>
              <w:right w:val="nil"/>
            </w:tcBorders>
            <w:shd w:val="clear" w:color="auto" w:fill="auto"/>
            <w:vAlign w:val="center"/>
            <w:hideMark/>
          </w:tcPr>
          <w:p w14:paraId="4C88106C"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Otherwise physically attacked or assaulted</w:t>
            </w:r>
          </w:p>
        </w:tc>
        <w:tc>
          <w:tcPr>
            <w:tcW w:w="2426" w:type="dxa"/>
            <w:tcBorders>
              <w:top w:val="nil"/>
              <w:left w:val="nil"/>
              <w:bottom w:val="nil"/>
              <w:right w:val="nil"/>
            </w:tcBorders>
            <w:shd w:val="clear" w:color="auto" w:fill="auto"/>
            <w:vAlign w:val="center"/>
            <w:hideMark/>
          </w:tcPr>
          <w:p w14:paraId="1AEAD0D5"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303</w:t>
            </w:r>
          </w:p>
        </w:tc>
        <w:tc>
          <w:tcPr>
            <w:tcW w:w="2287" w:type="dxa"/>
            <w:tcBorders>
              <w:top w:val="nil"/>
              <w:left w:val="nil"/>
              <w:bottom w:val="nil"/>
              <w:right w:val="nil"/>
            </w:tcBorders>
            <w:shd w:val="clear" w:color="auto" w:fill="auto"/>
            <w:vAlign w:val="center"/>
            <w:hideMark/>
          </w:tcPr>
          <w:p w14:paraId="3D5A4DCD" w14:textId="3AAF81C4" w:rsidR="00FC0BED" w:rsidRPr="00AA738D" w:rsidRDefault="007F02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93</w:t>
            </w:r>
          </w:p>
        </w:tc>
        <w:tc>
          <w:tcPr>
            <w:tcW w:w="2103" w:type="dxa"/>
            <w:tcBorders>
              <w:top w:val="nil"/>
              <w:left w:val="nil"/>
              <w:bottom w:val="nil"/>
              <w:right w:val="nil"/>
            </w:tcBorders>
            <w:shd w:val="clear" w:color="auto" w:fill="auto"/>
            <w:vAlign w:val="center"/>
            <w:hideMark/>
          </w:tcPr>
          <w:p w14:paraId="4C6783D2" w14:textId="45470B96" w:rsidR="00FC0BED" w:rsidRPr="00AA738D" w:rsidRDefault="007F02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80</w:t>
            </w:r>
          </w:p>
        </w:tc>
      </w:tr>
      <w:tr w:rsidR="00AA738D" w:rsidRPr="00AA738D" w14:paraId="4F95AA9D" w14:textId="77777777" w:rsidTr="00C453E2">
        <w:trPr>
          <w:trHeight w:val="407"/>
        </w:trPr>
        <w:tc>
          <w:tcPr>
            <w:tcW w:w="2947" w:type="dxa"/>
            <w:tcBorders>
              <w:top w:val="nil"/>
              <w:left w:val="nil"/>
              <w:bottom w:val="nil"/>
              <w:right w:val="nil"/>
            </w:tcBorders>
            <w:shd w:val="clear" w:color="auto" w:fill="auto"/>
            <w:vAlign w:val="center"/>
            <w:hideMark/>
          </w:tcPr>
          <w:p w14:paraId="3229A19F"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Otherwise physically abused as a child</w:t>
            </w:r>
          </w:p>
        </w:tc>
        <w:tc>
          <w:tcPr>
            <w:tcW w:w="2426" w:type="dxa"/>
            <w:tcBorders>
              <w:top w:val="nil"/>
              <w:left w:val="nil"/>
              <w:bottom w:val="nil"/>
              <w:right w:val="nil"/>
            </w:tcBorders>
            <w:shd w:val="clear" w:color="auto" w:fill="auto"/>
            <w:vAlign w:val="center"/>
            <w:hideMark/>
          </w:tcPr>
          <w:p w14:paraId="022A1FE4"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76</w:t>
            </w:r>
          </w:p>
        </w:tc>
        <w:tc>
          <w:tcPr>
            <w:tcW w:w="2287" w:type="dxa"/>
            <w:tcBorders>
              <w:top w:val="nil"/>
              <w:left w:val="nil"/>
              <w:bottom w:val="nil"/>
              <w:right w:val="nil"/>
            </w:tcBorders>
            <w:shd w:val="clear" w:color="auto" w:fill="auto"/>
            <w:vAlign w:val="center"/>
            <w:hideMark/>
          </w:tcPr>
          <w:p w14:paraId="25161A1D" w14:textId="311A7B32" w:rsidR="00FC0BED" w:rsidRPr="00AA738D" w:rsidRDefault="007F7412"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20</w:t>
            </w:r>
          </w:p>
        </w:tc>
        <w:tc>
          <w:tcPr>
            <w:tcW w:w="2103" w:type="dxa"/>
            <w:tcBorders>
              <w:top w:val="nil"/>
              <w:left w:val="nil"/>
              <w:bottom w:val="nil"/>
              <w:right w:val="nil"/>
            </w:tcBorders>
            <w:shd w:val="clear" w:color="auto" w:fill="auto"/>
            <w:vAlign w:val="center"/>
            <w:hideMark/>
          </w:tcPr>
          <w:p w14:paraId="5BF48B6D" w14:textId="067E5118" w:rsidR="00FC0BED" w:rsidRPr="00AA738D" w:rsidRDefault="007F7412"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17</w:t>
            </w:r>
          </w:p>
        </w:tc>
      </w:tr>
      <w:tr w:rsidR="00AA738D" w:rsidRPr="00AA738D" w14:paraId="0AC95E78" w14:textId="77777777" w:rsidTr="00C453E2">
        <w:trPr>
          <w:trHeight w:val="407"/>
        </w:trPr>
        <w:tc>
          <w:tcPr>
            <w:tcW w:w="2947" w:type="dxa"/>
            <w:tcBorders>
              <w:top w:val="nil"/>
              <w:left w:val="nil"/>
              <w:bottom w:val="nil"/>
              <w:right w:val="nil"/>
            </w:tcBorders>
            <w:shd w:val="clear" w:color="auto" w:fill="auto"/>
            <w:vAlign w:val="center"/>
            <w:hideMark/>
          </w:tcPr>
          <w:p w14:paraId="3BBF36F5"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Otherwise mistreated as a child</w:t>
            </w:r>
          </w:p>
        </w:tc>
        <w:tc>
          <w:tcPr>
            <w:tcW w:w="2426" w:type="dxa"/>
            <w:tcBorders>
              <w:top w:val="nil"/>
              <w:left w:val="nil"/>
              <w:bottom w:val="nil"/>
              <w:right w:val="nil"/>
            </w:tcBorders>
            <w:shd w:val="clear" w:color="auto" w:fill="auto"/>
            <w:vAlign w:val="center"/>
            <w:hideMark/>
          </w:tcPr>
          <w:p w14:paraId="31AC1A64"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68</w:t>
            </w:r>
          </w:p>
        </w:tc>
        <w:tc>
          <w:tcPr>
            <w:tcW w:w="2287" w:type="dxa"/>
            <w:tcBorders>
              <w:top w:val="nil"/>
              <w:left w:val="nil"/>
              <w:bottom w:val="nil"/>
              <w:right w:val="nil"/>
            </w:tcBorders>
            <w:shd w:val="clear" w:color="auto" w:fill="auto"/>
            <w:vAlign w:val="center"/>
            <w:hideMark/>
          </w:tcPr>
          <w:p w14:paraId="327D2973" w14:textId="29F6F3B9"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13</w:t>
            </w:r>
          </w:p>
        </w:tc>
        <w:tc>
          <w:tcPr>
            <w:tcW w:w="2103" w:type="dxa"/>
            <w:tcBorders>
              <w:top w:val="nil"/>
              <w:left w:val="nil"/>
              <w:bottom w:val="nil"/>
              <w:right w:val="nil"/>
            </w:tcBorders>
            <w:shd w:val="clear" w:color="auto" w:fill="auto"/>
            <w:vAlign w:val="center"/>
            <w:hideMark/>
          </w:tcPr>
          <w:p w14:paraId="06ABE052" w14:textId="63CF0104"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17</w:t>
            </w:r>
          </w:p>
        </w:tc>
      </w:tr>
      <w:tr w:rsidR="00AA738D" w:rsidRPr="00AA738D" w14:paraId="68E16B75" w14:textId="77777777" w:rsidTr="00C453E2">
        <w:trPr>
          <w:trHeight w:val="611"/>
        </w:trPr>
        <w:tc>
          <w:tcPr>
            <w:tcW w:w="2947" w:type="dxa"/>
            <w:tcBorders>
              <w:top w:val="nil"/>
              <w:left w:val="nil"/>
              <w:bottom w:val="nil"/>
              <w:right w:val="nil"/>
            </w:tcBorders>
            <w:shd w:val="clear" w:color="auto" w:fill="auto"/>
            <w:vAlign w:val="center"/>
            <w:hideMark/>
          </w:tcPr>
          <w:p w14:paraId="6A39C94E"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Parental mental illness or alcohol problems as a child</w:t>
            </w:r>
          </w:p>
        </w:tc>
        <w:tc>
          <w:tcPr>
            <w:tcW w:w="2426" w:type="dxa"/>
            <w:tcBorders>
              <w:top w:val="nil"/>
              <w:left w:val="nil"/>
              <w:bottom w:val="nil"/>
              <w:right w:val="nil"/>
            </w:tcBorders>
            <w:shd w:val="clear" w:color="auto" w:fill="auto"/>
            <w:vAlign w:val="center"/>
            <w:hideMark/>
          </w:tcPr>
          <w:p w14:paraId="45EC9984"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395</w:t>
            </w:r>
          </w:p>
        </w:tc>
        <w:tc>
          <w:tcPr>
            <w:tcW w:w="2287" w:type="dxa"/>
            <w:tcBorders>
              <w:top w:val="nil"/>
              <w:left w:val="nil"/>
              <w:bottom w:val="nil"/>
              <w:right w:val="nil"/>
            </w:tcBorders>
            <w:shd w:val="clear" w:color="auto" w:fill="auto"/>
            <w:vAlign w:val="center"/>
            <w:hideMark/>
          </w:tcPr>
          <w:p w14:paraId="20CA312D" w14:textId="18E3DDC5"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48</w:t>
            </w:r>
          </w:p>
        </w:tc>
        <w:tc>
          <w:tcPr>
            <w:tcW w:w="2103" w:type="dxa"/>
            <w:tcBorders>
              <w:top w:val="nil"/>
              <w:left w:val="nil"/>
              <w:bottom w:val="nil"/>
              <w:right w:val="nil"/>
            </w:tcBorders>
            <w:shd w:val="clear" w:color="auto" w:fill="auto"/>
            <w:vAlign w:val="center"/>
            <w:hideMark/>
          </w:tcPr>
          <w:p w14:paraId="07CD451F" w14:textId="6B3262B7"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50</w:t>
            </w:r>
          </w:p>
        </w:tc>
      </w:tr>
      <w:tr w:rsidR="00AA738D" w:rsidRPr="00AA738D" w14:paraId="5C57A7D3" w14:textId="77777777" w:rsidTr="00C453E2">
        <w:trPr>
          <w:trHeight w:val="407"/>
        </w:trPr>
        <w:tc>
          <w:tcPr>
            <w:tcW w:w="2947" w:type="dxa"/>
            <w:tcBorders>
              <w:top w:val="nil"/>
              <w:left w:val="nil"/>
              <w:bottom w:val="nil"/>
              <w:right w:val="nil"/>
            </w:tcBorders>
            <w:shd w:val="clear" w:color="auto" w:fill="auto"/>
            <w:vAlign w:val="center"/>
            <w:hideMark/>
          </w:tcPr>
          <w:p w14:paraId="2AE4665C"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Parental divorce or separation as a child</w:t>
            </w:r>
          </w:p>
        </w:tc>
        <w:tc>
          <w:tcPr>
            <w:tcW w:w="2426" w:type="dxa"/>
            <w:tcBorders>
              <w:top w:val="nil"/>
              <w:left w:val="nil"/>
              <w:bottom w:val="nil"/>
              <w:right w:val="nil"/>
            </w:tcBorders>
            <w:shd w:val="clear" w:color="auto" w:fill="auto"/>
            <w:vAlign w:val="center"/>
            <w:hideMark/>
          </w:tcPr>
          <w:p w14:paraId="17379EC2"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451</w:t>
            </w:r>
          </w:p>
        </w:tc>
        <w:tc>
          <w:tcPr>
            <w:tcW w:w="2287" w:type="dxa"/>
            <w:tcBorders>
              <w:top w:val="nil"/>
              <w:left w:val="nil"/>
              <w:bottom w:val="nil"/>
              <w:right w:val="nil"/>
            </w:tcBorders>
            <w:shd w:val="clear" w:color="auto" w:fill="auto"/>
            <w:vAlign w:val="center"/>
            <w:hideMark/>
          </w:tcPr>
          <w:p w14:paraId="4BD228F4" w14:textId="0E68386A"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33</w:t>
            </w:r>
          </w:p>
        </w:tc>
        <w:tc>
          <w:tcPr>
            <w:tcW w:w="2103" w:type="dxa"/>
            <w:tcBorders>
              <w:top w:val="nil"/>
              <w:left w:val="nil"/>
              <w:bottom w:val="nil"/>
              <w:right w:val="nil"/>
            </w:tcBorders>
            <w:shd w:val="clear" w:color="auto" w:fill="auto"/>
            <w:vAlign w:val="center"/>
            <w:hideMark/>
          </w:tcPr>
          <w:p w14:paraId="587A067C" w14:textId="185724D2"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14</w:t>
            </w:r>
          </w:p>
        </w:tc>
      </w:tr>
      <w:tr w:rsidR="00AA738D" w:rsidRPr="00AA738D" w14:paraId="414B0F93" w14:textId="77777777" w:rsidTr="00C453E2">
        <w:trPr>
          <w:trHeight w:val="407"/>
        </w:trPr>
        <w:tc>
          <w:tcPr>
            <w:tcW w:w="2947" w:type="dxa"/>
            <w:tcBorders>
              <w:top w:val="nil"/>
              <w:left w:val="nil"/>
              <w:bottom w:val="nil"/>
              <w:right w:val="nil"/>
            </w:tcBorders>
            <w:shd w:val="clear" w:color="auto" w:fill="auto"/>
            <w:vAlign w:val="center"/>
            <w:hideMark/>
          </w:tcPr>
          <w:p w14:paraId="29CE2F42"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Having divorced or separated</w:t>
            </w:r>
          </w:p>
        </w:tc>
        <w:tc>
          <w:tcPr>
            <w:tcW w:w="2426" w:type="dxa"/>
            <w:tcBorders>
              <w:top w:val="nil"/>
              <w:left w:val="nil"/>
              <w:bottom w:val="nil"/>
              <w:right w:val="nil"/>
            </w:tcBorders>
            <w:shd w:val="clear" w:color="auto" w:fill="auto"/>
            <w:vAlign w:val="center"/>
            <w:hideMark/>
          </w:tcPr>
          <w:p w14:paraId="65F7B624"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709</w:t>
            </w:r>
          </w:p>
        </w:tc>
        <w:tc>
          <w:tcPr>
            <w:tcW w:w="2287" w:type="dxa"/>
            <w:tcBorders>
              <w:top w:val="nil"/>
              <w:left w:val="nil"/>
              <w:bottom w:val="nil"/>
              <w:right w:val="nil"/>
            </w:tcBorders>
            <w:shd w:val="clear" w:color="auto" w:fill="auto"/>
            <w:vAlign w:val="center"/>
            <w:hideMark/>
          </w:tcPr>
          <w:p w14:paraId="6B1361A3" w14:textId="67EE402D"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163</w:t>
            </w:r>
          </w:p>
        </w:tc>
        <w:tc>
          <w:tcPr>
            <w:tcW w:w="2103" w:type="dxa"/>
            <w:tcBorders>
              <w:top w:val="nil"/>
              <w:left w:val="nil"/>
              <w:bottom w:val="nil"/>
              <w:right w:val="nil"/>
            </w:tcBorders>
            <w:shd w:val="clear" w:color="auto" w:fill="auto"/>
            <w:vAlign w:val="center"/>
            <w:hideMark/>
          </w:tcPr>
          <w:p w14:paraId="61958CE5" w14:textId="4B3F4BFE" w:rsidR="00FC0BED" w:rsidRPr="00AA738D" w:rsidRDefault="00FD04E5"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161</w:t>
            </w:r>
          </w:p>
        </w:tc>
      </w:tr>
      <w:tr w:rsidR="00AA738D" w:rsidRPr="00AA738D" w14:paraId="643B9B05" w14:textId="77777777" w:rsidTr="00C453E2">
        <w:trPr>
          <w:trHeight w:val="407"/>
        </w:trPr>
        <w:tc>
          <w:tcPr>
            <w:tcW w:w="2947" w:type="dxa"/>
            <w:tcBorders>
              <w:top w:val="nil"/>
              <w:left w:val="nil"/>
              <w:bottom w:val="nil"/>
              <w:right w:val="nil"/>
            </w:tcBorders>
            <w:shd w:val="clear" w:color="auto" w:fill="auto"/>
            <w:vAlign w:val="center"/>
            <w:hideMark/>
          </w:tcPr>
          <w:p w14:paraId="77A140D5"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Long-term financial difficulties</w:t>
            </w:r>
          </w:p>
        </w:tc>
        <w:tc>
          <w:tcPr>
            <w:tcW w:w="2426" w:type="dxa"/>
            <w:tcBorders>
              <w:top w:val="nil"/>
              <w:left w:val="nil"/>
              <w:bottom w:val="nil"/>
              <w:right w:val="nil"/>
            </w:tcBorders>
            <w:shd w:val="clear" w:color="auto" w:fill="auto"/>
            <w:vAlign w:val="center"/>
            <w:hideMark/>
          </w:tcPr>
          <w:p w14:paraId="004121B2"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164</w:t>
            </w:r>
          </w:p>
        </w:tc>
        <w:tc>
          <w:tcPr>
            <w:tcW w:w="2287" w:type="dxa"/>
            <w:tcBorders>
              <w:top w:val="nil"/>
              <w:left w:val="nil"/>
              <w:bottom w:val="nil"/>
              <w:right w:val="nil"/>
            </w:tcBorders>
            <w:shd w:val="clear" w:color="auto" w:fill="auto"/>
            <w:vAlign w:val="center"/>
            <w:hideMark/>
          </w:tcPr>
          <w:p w14:paraId="5DB655F2" w14:textId="54FDF31E" w:rsidR="00FC0BED" w:rsidRPr="00AA738D" w:rsidRDefault="00A00CE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44</w:t>
            </w:r>
          </w:p>
        </w:tc>
        <w:tc>
          <w:tcPr>
            <w:tcW w:w="2103" w:type="dxa"/>
            <w:tcBorders>
              <w:top w:val="nil"/>
              <w:left w:val="nil"/>
              <w:bottom w:val="nil"/>
              <w:right w:val="nil"/>
            </w:tcBorders>
            <w:shd w:val="clear" w:color="auto" w:fill="auto"/>
            <w:vAlign w:val="center"/>
            <w:hideMark/>
          </w:tcPr>
          <w:p w14:paraId="370C0C2B" w14:textId="611299D0" w:rsidR="00FC0BED" w:rsidRPr="00AA738D" w:rsidRDefault="00A00CE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40</w:t>
            </w:r>
          </w:p>
        </w:tc>
      </w:tr>
      <w:tr w:rsidR="00AA738D" w:rsidRPr="00AA738D" w14:paraId="4D7542C7" w14:textId="77777777" w:rsidTr="00C453E2">
        <w:trPr>
          <w:trHeight w:val="407"/>
        </w:trPr>
        <w:tc>
          <w:tcPr>
            <w:tcW w:w="2947" w:type="dxa"/>
            <w:tcBorders>
              <w:top w:val="nil"/>
              <w:left w:val="nil"/>
              <w:bottom w:val="nil"/>
              <w:right w:val="nil"/>
            </w:tcBorders>
            <w:shd w:val="clear" w:color="auto" w:fill="auto"/>
            <w:vAlign w:val="center"/>
            <w:hideMark/>
          </w:tcPr>
          <w:p w14:paraId="5DB70101"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Unemployment for more than six months</w:t>
            </w:r>
          </w:p>
        </w:tc>
        <w:tc>
          <w:tcPr>
            <w:tcW w:w="2426" w:type="dxa"/>
            <w:tcBorders>
              <w:top w:val="nil"/>
              <w:left w:val="nil"/>
              <w:bottom w:val="nil"/>
              <w:right w:val="nil"/>
            </w:tcBorders>
            <w:shd w:val="clear" w:color="auto" w:fill="auto"/>
            <w:vAlign w:val="center"/>
            <w:hideMark/>
          </w:tcPr>
          <w:p w14:paraId="50AE7CAC"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236</w:t>
            </w:r>
          </w:p>
        </w:tc>
        <w:tc>
          <w:tcPr>
            <w:tcW w:w="2287" w:type="dxa"/>
            <w:tcBorders>
              <w:top w:val="nil"/>
              <w:left w:val="nil"/>
              <w:bottom w:val="nil"/>
              <w:right w:val="nil"/>
            </w:tcBorders>
            <w:shd w:val="clear" w:color="auto" w:fill="auto"/>
            <w:vAlign w:val="center"/>
            <w:hideMark/>
          </w:tcPr>
          <w:p w14:paraId="50F1AF3F" w14:textId="7BCA7106" w:rsidR="00FC0BED" w:rsidRPr="00AA738D" w:rsidRDefault="00A00CE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60</w:t>
            </w:r>
          </w:p>
        </w:tc>
        <w:tc>
          <w:tcPr>
            <w:tcW w:w="2103" w:type="dxa"/>
            <w:tcBorders>
              <w:top w:val="nil"/>
              <w:left w:val="nil"/>
              <w:bottom w:val="nil"/>
              <w:right w:val="nil"/>
            </w:tcBorders>
            <w:shd w:val="clear" w:color="auto" w:fill="auto"/>
            <w:vAlign w:val="center"/>
            <w:hideMark/>
          </w:tcPr>
          <w:p w14:paraId="62DCD8C7" w14:textId="7755AD13" w:rsidR="00FC0BED" w:rsidRPr="00AA738D" w:rsidRDefault="00A00CEC"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64</w:t>
            </w:r>
          </w:p>
        </w:tc>
      </w:tr>
      <w:tr w:rsidR="00AA738D" w:rsidRPr="00AA738D" w14:paraId="75D72516" w14:textId="77777777" w:rsidTr="00C453E2">
        <w:trPr>
          <w:trHeight w:val="407"/>
        </w:trPr>
        <w:tc>
          <w:tcPr>
            <w:tcW w:w="2947" w:type="dxa"/>
            <w:tcBorders>
              <w:top w:val="nil"/>
              <w:left w:val="nil"/>
              <w:right w:val="nil"/>
            </w:tcBorders>
            <w:shd w:val="clear" w:color="auto" w:fill="auto"/>
            <w:vAlign w:val="center"/>
            <w:hideMark/>
          </w:tcPr>
          <w:p w14:paraId="268FA922"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 xml:space="preserve">Major and lasting conflict with close person </w:t>
            </w:r>
          </w:p>
        </w:tc>
        <w:tc>
          <w:tcPr>
            <w:tcW w:w="2426" w:type="dxa"/>
            <w:tcBorders>
              <w:top w:val="nil"/>
              <w:left w:val="nil"/>
              <w:right w:val="nil"/>
            </w:tcBorders>
            <w:shd w:val="clear" w:color="auto" w:fill="auto"/>
            <w:vAlign w:val="center"/>
            <w:hideMark/>
          </w:tcPr>
          <w:p w14:paraId="705832D9"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269</w:t>
            </w:r>
          </w:p>
        </w:tc>
        <w:tc>
          <w:tcPr>
            <w:tcW w:w="2287" w:type="dxa"/>
            <w:tcBorders>
              <w:top w:val="nil"/>
              <w:left w:val="nil"/>
              <w:right w:val="nil"/>
            </w:tcBorders>
            <w:shd w:val="clear" w:color="auto" w:fill="auto"/>
            <w:vAlign w:val="center"/>
            <w:hideMark/>
          </w:tcPr>
          <w:p w14:paraId="02A3A333" w14:textId="4799B026" w:rsidR="00FC0BED" w:rsidRPr="00AA738D" w:rsidRDefault="00D861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66</w:t>
            </w:r>
          </w:p>
        </w:tc>
        <w:tc>
          <w:tcPr>
            <w:tcW w:w="2103" w:type="dxa"/>
            <w:tcBorders>
              <w:top w:val="nil"/>
              <w:left w:val="nil"/>
              <w:right w:val="nil"/>
            </w:tcBorders>
            <w:shd w:val="clear" w:color="auto" w:fill="auto"/>
            <w:vAlign w:val="center"/>
            <w:hideMark/>
          </w:tcPr>
          <w:p w14:paraId="5AB89273" w14:textId="145B4BF9" w:rsidR="00FC0BED" w:rsidRPr="00AA738D" w:rsidRDefault="00D861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55</w:t>
            </w:r>
          </w:p>
        </w:tc>
      </w:tr>
      <w:tr w:rsidR="00FC0BED" w:rsidRPr="00AA738D" w14:paraId="2AC43D23" w14:textId="77777777" w:rsidTr="00C453E2">
        <w:trPr>
          <w:trHeight w:val="95"/>
        </w:trPr>
        <w:tc>
          <w:tcPr>
            <w:tcW w:w="2947" w:type="dxa"/>
            <w:tcBorders>
              <w:top w:val="nil"/>
              <w:left w:val="nil"/>
              <w:bottom w:val="single" w:sz="4" w:space="0" w:color="auto"/>
              <w:right w:val="nil"/>
            </w:tcBorders>
            <w:shd w:val="clear" w:color="auto" w:fill="auto"/>
            <w:vAlign w:val="center"/>
            <w:hideMark/>
          </w:tcPr>
          <w:p w14:paraId="59B6AFA2" w14:textId="77777777" w:rsidR="00FC0BED" w:rsidRPr="00AA738D" w:rsidRDefault="00FC0BED" w:rsidP="00C453E2">
            <w:pPr>
              <w:spacing w:line="276" w:lineRule="auto"/>
              <w:rPr>
                <w:rFonts w:ascii="Times New Roman" w:hAnsi="Times New Roman" w:cs="Times New Roman"/>
                <w:sz w:val="22"/>
                <w:szCs w:val="22"/>
                <w:lang w:val="en-GB"/>
              </w:rPr>
            </w:pPr>
            <w:r w:rsidRPr="00AA738D">
              <w:rPr>
                <w:rFonts w:ascii="Times New Roman" w:hAnsi="Times New Roman" w:cs="Times New Roman"/>
                <w:sz w:val="22"/>
                <w:szCs w:val="22"/>
                <w:lang w:val="en-GB"/>
              </w:rPr>
              <w:t>Other serious life event</w:t>
            </w:r>
          </w:p>
        </w:tc>
        <w:tc>
          <w:tcPr>
            <w:tcW w:w="2426" w:type="dxa"/>
            <w:tcBorders>
              <w:top w:val="nil"/>
              <w:left w:val="nil"/>
              <w:bottom w:val="single" w:sz="4" w:space="0" w:color="auto"/>
              <w:right w:val="nil"/>
            </w:tcBorders>
            <w:shd w:val="clear" w:color="auto" w:fill="auto"/>
            <w:vAlign w:val="center"/>
            <w:hideMark/>
          </w:tcPr>
          <w:p w14:paraId="507CB065" w14:textId="77777777" w:rsidR="00FC0BED" w:rsidRPr="00AA738D" w:rsidRDefault="00FC0BED"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441</w:t>
            </w:r>
          </w:p>
        </w:tc>
        <w:tc>
          <w:tcPr>
            <w:tcW w:w="2287" w:type="dxa"/>
            <w:tcBorders>
              <w:top w:val="nil"/>
              <w:left w:val="nil"/>
              <w:bottom w:val="single" w:sz="4" w:space="0" w:color="auto"/>
              <w:right w:val="nil"/>
            </w:tcBorders>
            <w:shd w:val="clear" w:color="auto" w:fill="auto"/>
            <w:vAlign w:val="center"/>
            <w:hideMark/>
          </w:tcPr>
          <w:p w14:paraId="5A87E4A9" w14:textId="6E034537" w:rsidR="00FC0BED" w:rsidRPr="00AA738D" w:rsidRDefault="00D861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134</w:t>
            </w:r>
          </w:p>
        </w:tc>
        <w:tc>
          <w:tcPr>
            <w:tcW w:w="2103" w:type="dxa"/>
            <w:tcBorders>
              <w:top w:val="nil"/>
              <w:left w:val="nil"/>
              <w:bottom w:val="single" w:sz="4" w:space="0" w:color="auto"/>
              <w:right w:val="nil"/>
            </w:tcBorders>
            <w:shd w:val="clear" w:color="auto" w:fill="auto"/>
            <w:vAlign w:val="center"/>
            <w:hideMark/>
          </w:tcPr>
          <w:p w14:paraId="2A5C1CA9" w14:textId="4C123527" w:rsidR="00FC0BED" w:rsidRPr="00AA738D" w:rsidRDefault="00D86128" w:rsidP="00C453E2">
            <w:pPr>
              <w:spacing w:line="276" w:lineRule="auto"/>
              <w:jc w:val="center"/>
              <w:rPr>
                <w:rFonts w:ascii="Times New Roman" w:hAnsi="Times New Roman" w:cs="Times New Roman"/>
                <w:sz w:val="22"/>
                <w:szCs w:val="22"/>
                <w:lang w:val="en-GB"/>
              </w:rPr>
            </w:pPr>
            <w:r w:rsidRPr="00AA738D">
              <w:rPr>
                <w:rFonts w:ascii="Times New Roman" w:hAnsi="Times New Roman" w:cs="Times New Roman"/>
                <w:sz w:val="22"/>
                <w:szCs w:val="22"/>
                <w:lang w:val="en-GB"/>
              </w:rPr>
              <w:t>100</w:t>
            </w:r>
          </w:p>
        </w:tc>
      </w:tr>
    </w:tbl>
    <w:p w14:paraId="456A34F7" w14:textId="77777777" w:rsidR="00FC0BED" w:rsidRPr="00AA738D" w:rsidRDefault="00FC0BED" w:rsidP="00FC0BED">
      <w:pPr>
        <w:spacing w:line="360" w:lineRule="auto"/>
        <w:rPr>
          <w:rFonts w:ascii="Times New Roman" w:hAnsi="Times New Roman" w:cs="Times New Roman"/>
          <w:i/>
          <w:iCs/>
          <w:sz w:val="21"/>
          <w:szCs w:val="21"/>
          <w:lang w:val="en-GB"/>
        </w:rPr>
      </w:pPr>
    </w:p>
    <w:p w14:paraId="19645DBD" w14:textId="77777777" w:rsidR="00FC0BED" w:rsidRPr="00AA738D" w:rsidRDefault="00FC0BED" w:rsidP="00FC0BED">
      <w:pPr>
        <w:jc w:val="center"/>
        <w:rPr>
          <w:b/>
          <w:bCs/>
          <w:lang w:val="en-GB"/>
        </w:rPr>
      </w:pPr>
    </w:p>
    <w:p w14:paraId="60836EAA" w14:textId="77777777" w:rsidR="00FC0BED" w:rsidRPr="00AA738D" w:rsidRDefault="00FC0BED" w:rsidP="00627B6E">
      <w:pPr>
        <w:spacing w:line="360" w:lineRule="auto"/>
        <w:rPr>
          <w:rFonts w:ascii="Times New Roman" w:hAnsi="Times New Roman" w:cs="Times New Roman"/>
          <w:lang w:val="en-GB"/>
        </w:rPr>
      </w:pPr>
    </w:p>
    <w:p w14:paraId="75F5963B" w14:textId="77777777" w:rsidR="00627B6E" w:rsidRPr="00AA738D" w:rsidRDefault="00627B6E" w:rsidP="00126CF8">
      <w:pPr>
        <w:spacing w:line="360" w:lineRule="auto"/>
        <w:rPr>
          <w:rFonts w:ascii="Times New Roman" w:hAnsi="Times New Roman" w:cs="Times New Roman"/>
          <w:b/>
          <w:bCs/>
          <w:lang w:val="en-GB"/>
        </w:rPr>
      </w:pPr>
    </w:p>
    <w:p w14:paraId="29CD4D10" w14:textId="1ACE4339" w:rsidR="00CA693D" w:rsidRPr="00AA738D" w:rsidRDefault="00CA693D" w:rsidP="00CA693D">
      <w:pPr>
        <w:spacing w:line="360" w:lineRule="auto"/>
        <w:jc w:val="center"/>
        <w:rPr>
          <w:rFonts w:ascii="Times New Roman" w:hAnsi="Times New Roman" w:cs="Times New Roman"/>
          <w:b/>
          <w:bCs/>
          <w:lang w:val="en-GB"/>
        </w:rPr>
      </w:pPr>
      <w:r w:rsidRPr="00AA738D">
        <w:rPr>
          <w:rFonts w:ascii="Times New Roman" w:hAnsi="Times New Roman" w:cs="Times New Roman"/>
          <w:b/>
          <w:bCs/>
          <w:lang w:val="en-GB"/>
        </w:rPr>
        <w:lastRenderedPageBreak/>
        <w:t>References</w:t>
      </w:r>
    </w:p>
    <w:p w14:paraId="4117A8E6" w14:textId="77777777" w:rsidR="002D7167" w:rsidRPr="002D7167" w:rsidRDefault="00CA693D" w:rsidP="002D7167">
      <w:pPr>
        <w:pStyle w:val="Bibliografi2"/>
        <w:jc w:val="left"/>
        <w:rPr>
          <w:b w:val="0"/>
          <w:bCs w:val="0"/>
        </w:rPr>
      </w:pPr>
      <w:r w:rsidRPr="002D7167">
        <w:rPr>
          <w:b w:val="0"/>
          <w:bCs w:val="0"/>
          <w:lang w:val="en-GB"/>
        </w:rPr>
        <w:fldChar w:fldCharType="begin"/>
      </w:r>
      <w:r w:rsidR="002D7167" w:rsidRPr="002D7167">
        <w:rPr>
          <w:b w:val="0"/>
          <w:bCs w:val="0"/>
        </w:rPr>
        <w:instrText xml:space="preserve"> ADDIN ZOTERO_BIBL {"uncited":[],"omitted":[],"custom":[]} CSL_BIBLIOGRAPHY </w:instrText>
      </w:r>
      <w:r w:rsidRPr="002D7167">
        <w:rPr>
          <w:b w:val="0"/>
          <w:bCs w:val="0"/>
          <w:lang w:val="en-GB"/>
        </w:rPr>
        <w:fldChar w:fldCharType="separate"/>
      </w:r>
      <w:r w:rsidR="002D7167" w:rsidRPr="002D7167">
        <w:rPr>
          <w:b w:val="0"/>
          <w:bCs w:val="0"/>
        </w:rPr>
        <w:t xml:space="preserve">Harris, J. R., Magnus, P., &amp; Tambs, K. (2002). The Norwegian Institute of Public Health Twin Panel: A description of the sample and program of research. </w:t>
      </w:r>
      <w:r w:rsidR="002D7167" w:rsidRPr="002D7167">
        <w:rPr>
          <w:b w:val="0"/>
          <w:bCs w:val="0"/>
          <w:i/>
          <w:iCs/>
        </w:rPr>
        <w:t>Twin Research and Human Genetics</w:t>
      </w:r>
      <w:r w:rsidR="002D7167" w:rsidRPr="002D7167">
        <w:rPr>
          <w:b w:val="0"/>
          <w:bCs w:val="0"/>
        </w:rPr>
        <w:t xml:space="preserve">, </w:t>
      </w:r>
      <w:r w:rsidR="002D7167" w:rsidRPr="002D7167">
        <w:rPr>
          <w:b w:val="0"/>
          <w:bCs w:val="0"/>
          <w:i/>
          <w:iCs/>
        </w:rPr>
        <w:t>5</w:t>
      </w:r>
      <w:r w:rsidR="002D7167" w:rsidRPr="002D7167">
        <w:rPr>
          <w:b w:val="0"/>
          <w:bCs w:val="0"/>
        </w:rPr>
        <w:t>(5), 415–423. https://doi.org/10.1375/twin.5.5.415</w:t>
      </w:r>
    </w:p>
    <w:p w14:paraId="43B746BD" w14:textId="77777777" w:rsidR="002D7167" w:rsidRPr="002D7167" w:rsidRDefault="002D7167" w:rsidP="002D7167">
      <w:pPr>
        <w:pStyle w:val="Bibliografi2"/>
        <w:jc w:val="left"/>
        <w:rPr>
          <w:b w:val="0"/>
          <w:bCs w:val="0"/>
        </w:rPr>
      </w:pPr>
      <w:r w:rsidRPr="002D7167">
        <w:rPr>
          <w:b w:val="0"/>
          <w:bCs w:val="0"/>
        </w:rPr>
        <w:t xml:space="preserve">Harris, J. R., Magnus, P., &amp; Tambs, K. (2006). The Norwegian Institute of Public Health Twin Program of Research: An update. </w:t>
      </w:r>
      <w:r w:rsidRPr="002D7167">
        <w:rPr>
          <w:b w:val="0"/>
          <w:bCs w:val="0"/>
          <w:i/>
          <w:iCs/>
        </w:rPr>
        <w:t>Twin Research and Human Genetics</w:t>
      </w:r>
      <w:r w:rsidRPr="002D7167">
        <w:rPr>
          <w:b w:val="0"/>
          <w:bCs w:val="0"/>
        </w:rPr>
        <w:t xml:space="preserve">, </w:t>
      </w:r>
      <w:r w:rsidRPr="002D7167">
        <w:rPr>
          <w:b w:val="0"/>
          <w:bCs w:val="0"/>
          <w:i/>
          <w:iCs/>
        </w:rPr>
        <w:t>9</w:t>
      </w:r>
      <w:r w:rsidRPr="002D7167">
        <w:rPr>
          <w:b w:val="0"/>
          <w:bCs w:val="0"/>
        </w:rPr>
        <w:t>(6), 858–864. https://doi.org/10.1375/twin.9.6.858</w:t>
      </w:r>
    </w:p>
    <w:p w14:paraId="69218990" w14:textId="77777777" w:rsidR="002D7167" w:rsidRPr="002D7167" w:rsidRDefault="002D7167" w:rsidP="002D7167">
      <w:pPr>
        <w:pStyle w:val="Bibliografi2"/>
        <w:jc w:val="left"/>
        <w:rPr>
          <w:b w:val="0"/>
          <w:bCs w:val="0"/>
        </w:rPr>
      </w:pPr>
      <w:r w:rsidRPr="002D7167">
        <w:rPr>
          <w:b w:val="0"/>
          <w:bCs w:val="0"/>
        </w:rPr>
        <w:t xml:space="preserve">Kendler, K. S., Bulik, C. M., Silberg, J., Hettema, J. M., Myers, J., &amp; Prescott, C. A. (2000). Childhood sexual abuse and adult psychiatric and substance use disorders in women: An epidemiological and cotwin control analysis. </w:t>
      </w:r>
      <w:r w:rsidRPr="002D7167">
        <w:rPr>
          <w:b w:val="0"/>
          <w:bCs w:val="0"/>
          <w:i/>
          <w:iCs/>
        </w:rPr>
        <w:t>Archives of General Psychiatry</w:t>
      </w:r>
      <w:r w:rsidRPr="002D7167">
        <w:rPr>
          <w:b w:val="0"/>
          <w:bCs w:val="0"/>
        </w:rPr>
        <w:t xml:space="preserve">, </w:t>
      </w:r>
      <w:r w:rsidRPr="002D7167">
        <w:rPr>
          <w:b w:val="0"/>
          <w:bCs w:val="0"/>
          <w:i/>
          <w:iCs/>
        </w:rPr>
        <w:t>57</w:t>
      </w:r>
      <w:r w:rsidRPr="002D7167">
        <w:rPr>
          <w:b w:val="0"/>
          <w:bCs w:val="0"/>
        </w:rPr>
        <w:t>(10), 953–959. https://doi.org/10.1001/archpsyc.57.10.953</w:t>
      </w:r>
    </w:p>
    <w:p w14:paraId="46A74F66" w14:textId="77777777" w:rsidR="002D7167" w:rsidRPr="002D7167" w:rsidRDefault="002D7167" w:rsidP="002D7167">
      <w:pPr>
        <w:pStyle w:val="Bibliografi2"/>
        <w:jc w:val="left"/>
        <w:rPr>
          <w:b w:val="0"/>
          <w:bCs w:val="0"/>
        </w:rPr>
      </w:pPr>
      <w:r w:rsidRPr="002D7167">
        <w:rPr>
          <w:b w:val="0"/>
          <w:bCs w:val="0"/>
        </w:rPr>
        <w:t xml:space="preserve">Kendler, K. S., &amp; Gardner, C. O. (2017). Genetic and environmental influences on last-year major depression in adulthood: A highly heritable stable liability but strong environmental effects on 1-year prevalence. </w:t>
      </w:r>
      <w:r w:rsidRPr="002D7167">
        <w:rPr>
          <w:b w:val="0"/>
          <w:bCs w:val="0"/>
          <w:i/>
          <w:iCs/>
        </w:rPr>
        <w:t>Psychological Medicine</w:t>
      </w:r>
      <w:r w:rsidRPr="002D7167">
        <w:rPr>
          <w:b w:val="0"/>
          <w:bCs w:val="0"/>
        </w:rPr>
        <w:t xml:space="preserve">, </w:t>
      </w:r>
      <w:r w:rsidRPr="002D7167">
        <w:rPr>
          <w:b w:val="0"/>
          <w:bCs w:val="0"/>
          <w:i/>
          <w:iCs/>
        </w:rPr>
        <w:t>47</w:t>
      </w:r>
      <w:r w:rsidRPr="002D7167">
        <w:rPr>
          <w:b w:val="0"/>
          <w:bCs w:val="0"/>
        </w:rPr>
        <w:t>(10), 1816–1824. https://doi.org/10.1017/S0033291717000277</w:t>
      </w:r>
    </w:p>
    <w:p w14:paraId="1B9DE016" w14:textId="77777777" w:rsidR="002D7167" w:rsidRPr="002D7167" w:rsidRDefault="002D7167" w:rsidP="002D7167">
      <w:pPr>
        <w:pStyle w:val="Bibliografi2"/>
        <w:jc w:val="left"/>
        <w:rPr>
          <w:b w:val="0"/>
          <w:bCs w:val="0"/>
        </w:rPr>
      </w:pPr>
      <w:r w:rsidRPr="002D7167">
        <w:rPr>
          <w:b w:val="0"/>
          <w:bCs w:val="0"/>
        </w:rPr>
        <w:t xml:space="preserve">Kendler, K. S., Karkowski, L. M., &amp; Prescott, C. A. (1998). Stressful life events and major depression: Risk period, long-term contextual threat, and diagnostic specificity. </w:t>
      </w:r>
      <w:r w:rsidRPr="002D7167">
        <w:rPr>
          <w:b w:val="0"/>
          <w:bCs w:val="0"/>
          <w:i/>
          <w:iCs/>
        </w:rPr>
        <w:t>The Journal of Nervous and Mental Disease</w:t>
      </w:r>
      <w:r w:rsidRPr="002D7167">
        <w:rPr>
          <w:b w:val="0"/>
          <w:bCs w:val="0"/>
        </w:rPr>
        <w:t xml:space="preserve">, </w:t>
      </w:r>
      <w:r w:rsidRPr="002D7167">
        <w:rPr>
          <w:b w:val="0"/>
          <w:bCs w:val="0"/>
          <w:i/>
          <w:iCs/>
        </w:rPr>
        <w:t>186</w:t>
      </w:r>
      <w:r w:rsidRPr="002D7167">
        <w:rPr>
          <w:b w:val="0"/>
          <w:bCs w:val="0"/>
        </w:rPr>
        <w:t>(11), 661–669. https://doi.org/10.1097/00005053-199811000-00001</w:t>
      </w:r>
    </w:p>
    <w:p w14:paraId="12AA7247" w14:textId="77777777" w:rsidR="002D7167" w:rsidRPr="002D7167" w:rsidRDefault="002D7167" w:rsidP="002D7167">
      <w:pPr>
        <w:pStyle w:val="Bibliografi2"/>
        <w:jc w:val="left"/>
        <w:rPr>
          <w:b w:val="0"/>
          <w:bCs w:val="0"/>
        </w:rPr>
      </w:pPr>
      <w:r w:rsidRPr="002D7167">
        <w:rPr>
          <w:b w:val="0"/>
          <w:bCs w:val="0"/>
          <w:lang w:val="nb-NO"/>
        </w:rPr>
        <w:t xml:space="preserve">Kendler, K. S., Karkowski, L. M., &amp; Prescott, C. A. (1999). </w:t>
      </w:r>
      <w:r w:rsidRPr="002D7167">
        <w:rPr>
          <w:b w:val="0"/>
          <w:bCs w:val="0"/>
        </w:rPr>
        <w:t xml:space="preserve">Causal relationship between stressful life events and the onset of major depression. </w:t>
      </w:r>
      <w:r w:rsidRPr="002D7167">
        <w:rPr>
          <w:b w:val="0"/>
          <w:bCs w:val="0"/>
          <w:i/>
          <w:iCs/>
        </w:rPr>
        <w:t>American Journal of Psychiatry</w:t>
      </w:r>
      <w:r w:rsidRPr="002D7167">
        <w:rPr>
          <w:b w:val="0"/>
          <w:bCs w:val="0"/>
        </w:rPr>
        <w:t xml:space="preserve">, </w:t>
      </w:r>
      <w:r w:rsidRPr="002D7167">
        <w:rPr>
          <w:b w:val="0"/>
          <w:bCs w:val="0"/>
          <w:i/>
          <w:iCs/>
        </w:rPr>
        <w:t>156</w:t>
      </w:r>
      <w:r w:rsidRPr="002D7167">
        <w:rPr>
          <w:b w:val="0"/>
          <w:bCs w:val="0"/>
        </w:rPr>
        <w:t>(6), 837–841. https://doi.org/10.1176/ajp.156.6.837</w:t>
      </w:r>
    </w:p>
    <w:p w14:paraId="2FEECFCE" w14:textId="77777777" w:rsidR="002D7167" w:rsidRPr="002D7167" w:rsidRDefault="002D7167" w:rsidP="002D7167">
      <w:pPr>
        <w:pStyle w:val="Bibliografi2"/>
        <w:jc w:val="left"/>
        <w:rPr>
          <w:b w:val="0"/>
          <w:bCs w:val="0"/>
        </w:rPr>
      </w:pPr>
      <w:r w:rsidRPr="002D7167">
        <w:rPr>
          <w:b w:val="0"/>
          <w:bCs w:val="0"/>
        </w:rPr>
        <w:t xml:space="preserve">Nilsen, T. S., Knudsen, G. P., Gervin, K., Brandt, I., Røysamb, E., Tambs, K., … Harris, J. R. (2013). The Norwegian Twin Registry from a public health perspective: A research update. </w:t>
      </w:r>
      <w:r w:rsidRPr="002D7167">
        <w:rPr>
          <w:b w:val="0"/>
          <w:bCs w:val="0"/>
          <w:i/>
          <w:iCs/>
        </w:rPr>
        <w:t>Twin Research and Human Genetics</w:t>
      </w:r>
      <w:r w:rsidRPr="002D7167">
        <w:rPr>
          <w:b w:val="0"/>
          <w:bCs w:val="0"/>
        </w:rPr>
        <w:t xml:space="preserve">, </w:t>
      </w:r>
      <w:r w:rsidRPr="002D7167">
        <w:rPr>
          <w:b w:val="0"/>
          <w:bCs w:val="0"/>
          <w:i/>
          <w:iCs/>
        </w:rPr>
        <w:t>16</w:t>
      </w:r>
      <w:r w:rsidRPr="002D7167">
        <w:rPr>
          <w:b w:val="0"/>
          <w:bCs w:val="0"/>
        </w:rPr>
        <w:t>(1), 285–295. https://doi.org/10.1017/thg.2012.117</w:t>
      </w:r>
    </w:p>
    <w:p w14:paraId="77A6ECA5" w14:textId="77777777" w:rsidR="002D7167" w:rsidRPr="002D7167" w:rsidRDefault="002D7167" w:rsidP="002D7167">
      <w:pPr>
        <w:pStyle w:val="Bibliografi2"/>
        <w:jc w:val="left"/>
        <w:rPr>
          <w:b w:val="0"/>
          <w:bCs w:val="0"/>
        </w:rPr>
      </w:pPr>
      <w:r w:rsidRPr="002D7167">
        <w:rPr>
          <w:b w:val="0"/>
          <w:bCs w:val="0"/>
        </w:rPr>
        <w:lastRenderedPageBreak/>
        <w:t xml:space="preserve">Tambs, K., Rønning, T., Prescott, C. A., Kendler, K. S., Reichborn-Kjennerud, T., Torgersen, S., &amp; Harris, J. R. (2009). The Norwegian Institute of Public Health Twin Study of Mental Health: Examining recruitment and attrition bias. </w:t>
      </w:r>
      <w:r w:rsidRPr="002D7167">
        <w:rPr>
          <w:b w:val="0"/>
          <w:bCs w:val="0"/>
          <w:i/>
          <w:iCs/>
        </w:rPr>
        <w:t>Twin Research and Human Genetics</w:t>
      </w:r>
      <w:r w:rsidRPr="002D7167">
        <w:rPr>
          <w:b w:val="0"/>
          <w:bCs w:val="0"/>
        </w:rPr>
        <w:t xml:space="preserve">, </w:t>
      </w:r>
      <w:r w:rsidRPr="002D7167">
        <w:rPr>
          <w:b w:val="0"/>
          <w:bCs w:val="0"/>
          <w:i/>
          <w:iCs/>
        </w:rPr>
        <w:t>12</w:t>
      </w:r>
      <w:r w:rsidRPr="002D7167">
        <w:rPr>
          <w:b w:val="0"/>
          <w:bCs w:val="0"/>
        </w:rPr>
        <w:t>(2), 158–168. https://doi.org/10.1375/twin.12.2.158</w:t>
      </w:r>
    </w:p>
    <w:p w14:paraId="27446D0D" w14:textId="0E2C3585" w:rsidR="00CA693D" w:rsidRPr="002D7167" w:rsidRDefault="00CA693D" w:rsidP="002D7167">
      <w:pPr>
        <w:spacing w:line="360" w:lineRule="auto"/>
        <w:rPr>
          <w:rFonts w:ascii="Times New Roman" w:hAnsi="Times New Roman" w:cs="Times New Roman"/>
          <w:lang w:val="en-GB"/>
        </w:rPr>
      </w:pPr>
      <w:r w:rsidRPr="002D7167">
        <w:rPr>
          <w:rFonts w:ascii="Times New Roman" w:hAnsi="Times New Roman" w:cs="Times New Roman"/>
          <w:lang w:val="en-GB"/>
        </w:rPr>
        <w:fldChar w:fldCharType="end"/>
      </w:r>
    </w:p>
    <w:sectPr w:rsidR="00CA693D" w:rsidRPr="002D7167" w:rsidSect="00C315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691"/>
    <w:multiLevelType w:val="hybridMultilevel"/>
    <w:tmpl w:val="990A82F6"/>
    <w:lvl w:ilvl="0" w:tplc="C3763384">
      <w:start w:val="4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591591"/>
    <w:multiLevelType w:val="hybridMultilevel"/>
    <w:tmpl w:val="97229C36"/>
    <w:lvl w:ilvl="0" w:tplc="00E6BFF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51222885">
    <w:abstractNumId w:val="0"/>
  </w:num>
  <w:num w:numId="2" w16cid:durableId="201198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20"/>
    <w:rsid w:val="00005E06"/>
    <w:rsid w:val="00006EFE"/>
    <w:rsid w:val="00007104"/>
    <w:rsid w:val="000153C4"/>
    <w:rsid w:val="0002085E"/>
    <w:rsid w:val="0002535D"/>
    <w:rsid w:val="00027D1D"/>
    <w:rsid w:val="000460FD"/>
    <w:rsid w:val="00054BCF"/>
    <w:rsid w:val="00056D34"/>
    <w:rsid w:val="00074CAD"/>
    <w:rsid w:val="00076811"/>
    <w:rsid w:val="00083D1D"/>
    <w:rsid w:val="00092DB6"/>
    <w:rsid w:val="000A7E7A"/>
    <w:rsid w:val="000B4227"/>
    <w:rsid w:val="000B4386"/>
    <w:rsid w:val="000C3757"/>
    <w:rsid w:val="000C4ED1"/>
    <w:rsid w:val="000D0835"/>
    <w:rsid w:val="000D7F95"/>
    <w:rsid w:val="000E3E77"/>
    <w:rsid w:val="000E417B"/>
    <w:rsid w:val="000E6266"/>
    <w:rsid w:val="000E6D85"/>
    <w:rsid w:val="000E7158"/>
    <w:rsid w:val="000F45F5"/>
    <w:rsid w:val="00105751"/>
    <w:rsid w:val="0011573C"/>
    <w:rsid w:val="00125C7F"/>
    <w:rsid w:val="00126CF8"/>
    <w:rsid w:val="0013061C"/>
    <w:rsid w:val="00133F91"/>
    <w:rsid w:val="00135862"/>
    <w:rsid w:val="00137497"/>
    <w:rsid w:val="0014376E"/>
    <w:rsid w:val="00147F64"/>
    <w:rsid w:val="00150DD5"/>
    <w:rsid w:val="001512C8"/>
    <w:rsid w:val="00157486"/>
    <w:rsid w:val="00164928"/>
    <w:rsid w:val="00170092"/>
    <w:rsid w:val="00171C17"/>
    <w:rsid w:val="00180580"/>
    <w:rsid w:val="00182C91"/>
    <w:rsid w:val="0019046D"/>
    <w:rsid w:val="001976CD"/>
    <w:rsid w:val="001A218B"/>
    <w:rsid w:val="001B08BE"/>
    <w:rsid w:val="001B13D2"/>
    <w:rsid w:val="001B3F1E"/>
    <w:rsid w:val="001B4412"/>
    <w:rsid w:val="001C4357"/>
    <w:rsid w:val="001D49D1"/>
    <w:rsid w:val="001E1147"/>
    <w:rsid w:val="001E4A0C"/>
    <w:rsid w:val="001E739A"/>
    <w:rsid w:val="001F4625"/>
    <w:rsid w:val="001F689C"/>
    <w:rsid w:val="002027C8"/>
    <w:rsid w:val="00204074"/>
    <w:rsid w:val="00204E9D"/>
    <w:rsid w:val="0020618E"/>
    <w:rsid w:val="002076BD"/>
    <w:rsid w:val="00213325"/>
    <w:rsid w:val="00217F38"/>
    <w:rsid w:val="00221240"/>
    <w:rsid w:val="00230198"/>
    <w:rsid w:val="00236D45"/>
    <w:rsid w:val="00241FF2"/>
    <w:rsid w:val="0025749A"/>
    <w:rsid w:val="0025784C"/>
    <w:rsid w:val="002668BD"/>
    <w:rsid w:val="00272492"/>
    <w:rsid w:val="00284BBC"/>
    <w:rsid w:val="002860F5"/>
    <w:rsid w:val="002918A1"/>
    <w:rsid w:val="00293509"/>
    <w:rsid w:val="0029605C"/>
    <w:rsid w:val="002970AE"/>
    <w:rsid w:val="002A30A7"/>
    <w:rsid w:val="002B1F84"/>
    <w:rsid w:val="002B2AE4"/>
    <w:rsid w:val="002B2B6B"/>
    <w:rsid w:val="002C0298"/>
    <w:rsid w:val="002C3F7F"/>
    <w:rsid w:val="002D31D9"/>
    <w:rsid w:val="002D7167"/>
    <w:rsid w:val="002E2230"/>
    <w:rsid w:val="002E29AE"/>
    <w:rsid w:val="002F095F"/>
    <w:rsid w:val="002F466D"/>
    <w:rsid w:val="003015C9"/>
    <w:rsid w:val="00302D6A"/>
    <w:rsid w:val="00314966"/>
    <w:rsid w:val="0031689B"/>
    <w:rsid w:val="00316E3A"/>
    <w:rsid w:val="00327930"/>
    <w:rsid w:val="00335120"/>
    <w:rsid w:val="00343AE6"/>
    <w:rsid w:val="0035797D"/>
    <w:rsid w:val="00366842"/>
    <w:rsid w:val="003678F4"/>
    <w:rsid w:val="00371375"/>
    <w:rsid w:val="00382211"/>
    <w:rsid w:val="00382E2D"/>
    <w:rsid w:val="00391939"/>
    <w:rsid w:val="0039226A"/>
    <w:rsid w:val="0039605A"/>
    <w:rsid w:val="003B22D9"/>
    <w:rsid w:val="003B4EAD"/>
    <w:rsid w:val="003B7543"/>
    <w:rsid w:val="003C0273"/>
    <w:rsid w:val="003C2AD9"/>
    <w:rsid w:val="003C63BE"/>
    <w:rsid w:val="003D72A2"/>
    <w:rsid w:val="003E02FF"/>
    <w:rsid w:val="003E030B"/>
    <w:rsid w:val="003E467B"/>
    <w:rsid w:val="003F45DC"/>
    <w:rsid w:val="003F6F5D"/>
    <w:rsid w:val="00411320"/>
    <w:rsid w:val="004142A9"/>
    <w:rsid w:val="00416337"/>
    <w:rsid w:val="00425F33"/>
    <w:rsid w:val="004312B6"/>
    <w:rsid w:val="0043255D"/>
    <w:rsid w:val="004333E8"/>
    <w:rsid w:val="0043412E"/>
    <w:rsid w:val="004359F5"/>
    <w:rsid w:val="004406CC"/>
    <w:rsid w:val="004607E2"/>
    <w:rsid w:val="00472800"/>
    <w:rsid w:val="00472DEA"/>
    <w:rsid w:val="00480C78"/>
    <w:rsid w:val="00480CC2"/>
    <w:rsid w:val="00491531"/>
    <w:rsid w:val="00492CCA"/>
    <w:rsid w:val="00494D16"/>
    <w:rsid w:val="004A2233"/>
    <w:rsid w:val="004A4015"/>
    <w:rsid w:val="004A4EF3"/>
    <w:rsid w:val="004B3C98"/>
    <w:rsid w:val="004C15F2"/>
    <w:rsid w:val="004C578B"/>
    <w:rsid w:val="004D0968"/>
    <w:rsid w:val="004D5BB2"/>
    <w:rsid w:val="004D7869"/>
    <w:rsid w:val="004E353A"/>
    <w:rsid w:val="004E45BA"/>
    <w:rsid w:val="004E4ECA"/>
    <w:rsid w:val="004F483F"/>
    <w:rsid w:val="004F5A24"/>
    <w:rsid w:val="004F7616"/>
    <w:rsid w:val="005118EF"/>
    <w:rsid w:val="005120F2"/>
    <w:rsid w:val="00515D6E"/>
    <w:rsid w:val="00516E02"/>
    <w:rsid w:val="00521459"/>
    <w:rsid w:val="00523A38"/>
    <w:rsid w:val="0052530F"/>
    <w:rsid w:val="00525CC0"/>
    <w:rsid w:val="00527AF4"/>
    <w:rsid w:val="00540B9D"/>
    <w:rsid w:val="00544F11"/>
    <w:rsid w:val="00545352"/>
    <w:rsid w:val="00551B2C"/>
    <w:rsid w:val="005632D5"/>
    <w:rsid w:val="0057389A"/>
    <w:rsid w:val="00575E1D"/>
    <w:rsid w:val="00576335"/>
    <w:rsid w:val="0058031F"/>
    <w:rsid w:val="00581728"/>
    <w:rsid w:val="00581B9E"/>
    <w:rsid w:val="005821AF"/>
    <w:rsid w:val="005A09B3"/>
    <w:rsid w:val="005A4AA9"/>
    <w:rsid w:val="005A7D8D"/>
    <w:rsid w:val="005B0669"/>
    <w:rsid w:val="005B2198"/>
    <w:rsid w:val="005B2BEA"/>
    <w:rsid w:val="005C2A9D"/>
    <w:rsid w:val="005C33C9"/>
    <w:rsid w:val="005C560B"/>
    <w:rsid w:val="005D1D2D"/>
    <w:rsid w:val="005D268B"/>
    <w:rsid w:val="005D41D7"/>
    <w:rsid w:val="005D6E23"/>
    <w:rsid w:val="005E4D43"/>
    <w:rsid w:val="005F33CB"/>
    <w:rsid w:val="00610098"/>
    <w:rsid w:val="006108FA"/>
    <w:rsid w:val="00615203"/>
    <w:rsid w:val="006154E9"/>
    <w:rsid w:val="00617E79"/>
    <w:rsid w:val="00627B6E"/>
    <w:rsid w:val="00630F02"/>
    <w:rsid w:val="006340D5"/>
    <w:rsid w:val="0063479C"/>
    <w:rsid w:val="00634CBF"/>
    <w:rsid w:val="00635FE9"/>
    <w:rsid w:val="00636A98"/>
    <w:rsid w:val="00643CD3"/>
    <w:rsid w:val="00646764"/>
    <w:rsid w:val="00650F31"/>
    <w:rsid w:val="006768CF"/>
    <w:rsid w:val="00677699"/>
    <w:rsid w:val="00680EB1"/>
    <w:rsid w:val="00682B7D"/>
    <w:rsid w:val="006831A2"/>
    <w:rsid w:val="00683524"/>
    <w:rsid w:val="00684F8F"/>
    <w:rsid w:val="0069081E"/>
    <w:rsid w:val="00693497"/>
    <w:rsid w:val="00693C23"/>
    <w:rsid w:val="006A10DC"/>
    <w:rsid w:val="006A5D8B"/>
    <w:rsid w:val="006B29DA"/>
    <w:rsid w:val="006C2C52"/>
    <w:rsid w:val="006D3840"/>
    <w:rsid w:val="006D5248"/>
    <w:rsid w:val="006D661C"/>
    <w:rsid w:val="006D6D66"/>
    <w:rsid w:val="006F2DB3"/>
    <w:rsid w:val="006F47F8"/>
    <w:rsid w:val="00712A0F"/>
    <w:rsid w:val="00712BF8"/>
    <w:rsid w:val="007137BD"/>
    <w:rsid w:val="007162F7"/>
    <w:rsid w:val="00717E4F"/>
    <w:rsid w:val="00740F67"/>
    <w:rsid w:val="00741AB9"/>
    <w:rsid w:val="007453C2"/>
    <w:rsid w:val="007471A3"/>
    <w:rsid w:val="007530D6"/>
    <w:rsid w:val="00753B60"/>
    <w:rsid w:val="00753FA3"/>
    <w:rsid w:val="00755F59"/>
    <w:rsid w:val="00756197"/>
    <w:rsid w:val="007773DD"/>
    <w:rsid w:val="00786DEA"/>
    <w:rsid w:val="0079400A"/>
    <w:rsid w:val="007A0178"/>
    <w:rsid w:val="007C47E6"/>
    <w:rsid w:val="007C69DF"/>
    <w:rsid w:val="007D3D39"/>
    <w:rsid w:val="007D3FC9"/>
    <w:rsid w:val="007D52E3"/>
    <w:rsid w:val="007E428B"/>
    <w:rsid w:val="007E4636"/>
    <w:rsid w:val="007E7904"/>
    <w:rsid w:val="007F0228"/>
    <w:rsid w:val="007F36C1"/>
    <w:rsid w:val="007F7412"/>
    <w:rsid w:val="008009E8"/>
    <w:rsid w:val="00803782"/>
    <w:rsid w:val="008069FC"/>
    <w:rsid w:val="0082450C"/>
    <w:rsid w:val="00834282"/>
    <w:rsid w:val="008342A9"/>
    <w:rsid w:val="00834448"/>
    <w:rsid w:val="00840602"/>
    <w:rsid w:val="00861D99"/>
    <w:rsid w:val="00863313"/>
    <w:rsid w:val="0086367D"/>
    <w:rsid w:val="00866DF5"/>
    <w:rsid w:val="00870897"/>
    <w:rsid w:val="008715A1"/>
    <w:rsid w:val="008716CF"/>
    <w:rsid w:val="00871E43"/>
    <w:rsid w:val="008965C1"/>
    <w:rsid w:val="008A3AA8"/>
    <w:rsid w:val="008A79BA"/>
    <w:rsid w:val="008B285F"/>
    <w:rsid w:val="008B376D"/>
    <w:rsid w:val="008B5DD5"/>
    <w:rsid w:val="008C7141"/>
    <w:rsid w:val="008C784B"/>
    <w:rsid w:val="008D178F"/>
    <w:rsid w:val="008D3F70"/>
    <w:rsid w:val="008E31E3"/>
    <w:rsid w:val="008F71CF"/>
    <w:rsid w:val="008F77F0"/>
    <w:rsid w:val="00901733"/>
    <w:rsid w:val="00917CF2"/>
    <w:rsid w:val="0092542F"/>
    <w:rsid w:val="00926090"/>
    <w:rsid w:val="009271B9"/>
    <w:rsid w:val="00941DBD"/>
    <w:rsid w:val="00942150"/>
    <w:rsid w:val="00944EFB"/>
    <w:rsid w:val="00950604"/>
    <w:rsid w:val="0095770B"/>
    <w:rsid w:val="0095789A"/>
    <w:rsid w:val="00960551"/>
    <w:rsid w:val="00961E56"/>
    <w:rsid w:val="00972E1F"/>
    <w:rsid w:val="00972FAE"/>
    <w:rsid w:val="009753B2"/>
    <w:rsid w:val="00980069"/>
    <w:rsid w:val="00983531"/>
    <w:rsid w:val="009A1661"/>
    <w:rsid w:val="009A2A2E"/>
    <w:rsid w:val="009A2E67"/>
    <w:rsid w:val="009A5DC2"/>
    <w:rsid w:val="009A63C3"/>
    <w:rsid w:val="009B3BF9"/>
    <w:rsid w:val="009B61DE"/>
    <w:rsid w:val="009B742F"/>
    <w:rsid w:val="009C0AF8"/>
    <w:rsid w:val="009E0D45"/>
    <w:rsid w:val="009F524D"/>
    <w:rsid w:val="00A00CEC"/>
    <w:rsid w:val="00A15A8D"/>
    <w:rsid w:val="00A36EEE"/>
    <w:rsid w:val="00A42615"/>
    <w:rsid w:val="00A440AD"/>
    <w:rsid w:val="00A465BC"/>
    <w:rsid w:val="00A6077D"/>
    <w:rsid w:val="00A629B8"/>
    <w:rsid w:val="00A62CF5"/>
    <w:rsid w:val="00A638D7"/>
    <w:rsid w:val="00A66649"/>
    <w:rsid w:val="00A67EB3"/>
    <w:rsid w:val="00A72985"/>
    <w:rsid w:val="00A816EA"/>
    <w:rsid w:val="00A82D61"/>
    <w:rsid w:val="00A87823"/>
    <w:rsid w:val="00A93F8C"/>
    <w:rsid w:val="00AA322D"/>
    <w:rsid w:val="00AA46C4"/>
    <w:rsid w:val="00AA738D"/>
    <w:rsid w:val="00AB676E"/>
    <w:rsid w:val="00AC380E"/>
    <w:rsid w:val="00AC5303"/>
    <w:rsid w:val="00AD1EE3"/>
    <w:rsid w:val="00AF0F66"/>
    <w:rsid w:val="00AF3E96"/>
    <w:rsid w:val="00AF5023"/>
    <w:rsid w:val="00B00274"/>
    <w:rsid w:val="00B00BE6"/>
    <w:rsid w:val="00B124DE"/>
    <w:rsid w:val="00B24ECA"/>
    <w:rsid w:val="00B30D0B"/>
    <w:rsid w:val="00B31E14"/>
    <w:rsid w:val="00B32977"/>
    <w:rsid w:val="00B3529D"/>
    <w:rsid w:val="00B424F9"/>
    <w:rsid w:val="00B44A55"/>
    <w:rsid w:val="00B52063"/>
    <w:rsid w:val="00B55F1A"/>
    <w:rsid w:val="00B56AC3"/>
    <w:rsid w:val="00B63D58"/>
    <w:rsid w:val="00B656E5"/>
    <w:rsid w:val="00B65E7E"/>
    <w:rsid w:val="00B70730"/>
    <w:rsid w:val="00B70AE4"/>
    <w:rsid w:val="00B76E40"/>
    <w:rsid w:val="00B77940"/>
    <w:rsid w:val="00B77A29"/>
    <w:rsid w:val="00B84983"/>
    <w:rsid w:val="00B94504"/>
    <w:rsid w:val="00BA0F1B"/>
    <w:rsid w:val="00BA43EA"/>
    <w:rsid w:val="00BA6405"/>
    <w:rsid w:val="00BB14FD"/>
    <w:rsid w:val="00BB5277"/>
    <w:rsid w:val="00BC15DC"/>
    <w:rsid w:val="00BC3D68"/>
    <w:rsid w:val="00BC59C0"/>
    <w:rsid w:val="00BC5AA7"/>
    <w:rsid w:val="00BE4928"/>
    <w:rsid w:val="00BE5778"/>
    <w:rsid w:val="00BE6412"/>
    <w:rsid w:val="00BF1388"/>
    <w:rsid w:val="00BF2EE4"/>
    <w:rsid w:val="00BF580C"/>
    <w:rsid w:val="00C01E7D"/>
    <w:rsid w:val="00C033D8"/>
    <w:rsid w:val="00C10786"/>
    <w:rsid w:val="00C11E1E"/>
    <w:rsid w:val="00C11E2A"/>
    <w:rsid w:val="00C11FEC"/>
    <w:rsid w:val="00C16777"/>
    <w:rsid w:val="00C216C7"/>
    <w:rsid w:val="00C25907"/>
    <w:rsid w:val="00C315A4"/>
    <w:rsid w:val="00C45BE6"/>
    <w:rsid w:val="00C7424A"/>
    <w:rsid w:val="00C75991"/>
    <w:rsid w:val="00C94462"/>
    <w:rsid w:val="00CA153C"/>
    <w:rsid w:val="00CA693D"/>
    <w:rsid w:val="00CB34B6"/>
    <w:rsid w:val="00CB799D"/>
    <w:rsid w:val="00CC1F12"/>
    <w:rsid w:val="00CC3C17"/>
    <w:rsid w:val="00CC567A"/>
    <w:rsid w:val="00CD4883"/>
    <w:rsid w:val="00CD67E5"/>
    <w:rsid w:val="00CE02EB"/>
    <w:rsid w:val="00CE44A5"/>
    <w:rsid w:val="00D15E4B"/>
    <w:rsid w:val="00D25080"/>
    <w:rsid w:val="00D33F2E"/>
    <w:rsid w:val="00D43D58"/>
    <w:rsid w:val="00D44838"/>
    <w:rsid w:val="00D451D7"/>
    <w:rsid w:val="00D50BBF"/>
    <w:rsid w:val="00D63749"/>
    <w:rsid w:val="00D67164"/>
    <w:rsid w:val="00D708ED"/>
    <w:rsid w:val="00D73792"/>
    <w:rsid w:val="00D8267B"/>
    <w:rsid w:val="00D86128"/>
    <w:rsid w:val="00D900EE"/>
    <w:rsid w:val="00D931AD"/>
    <w:rsid w:val="00D9761F"/>
    <w:rsid w:val="00DB32B7"/>
    <w:rsid w:val="00DC5DE5"/>
    <w:rsid w:val="00DC65F1"/>
    <w:rsid w:val="00DD35FC"/>
    <w:rsid w:val="00DE12CE"/>
    <w:rsid w:val="00DE6931"/>
    <w:rsid w:val="00E06934"/>
    <w:rsid w:val="00E15486"/>
    <w:rsid w:val="00E17D5E"/>
    <w:rsid w:val="00E35B84"/>
    <w:rsid w:val="00E36D58"/>
    <w:rsid w:val="00E37C6B"/>
    <w:rsid w:val="00E46088"/>
    <w:rsid w:val="00E559E8"/>
    <w:rsid w:val="00E723F3"/>
    <w:rsid w:val="00E7327B"/>
    <w:rsid w:val="00E73869"/>
    <w:rsid w:val="00E76831"/>
    <w:rsid w:val="00E77B94"/>
    <w:rsid w:val="00E827B0"/>
    <w:rsid w:val="00E90C88"/>
    <w:rsid w:val="00EA1561"/>
    <w:rsid w:val="00EA52A3"/>
    <w:rsid w:val="00EA731E"/>
    <w:rsid w:val="00EC65D6"/>
    <w:rsid w:val="00ED3FCD"/>
    <w:rsid w:val="00ED6D10"/>
    <w:rsid w:val="00EE250B"/>
    <w:rsid w:val="00EE7E54"/>
    <w:rsid w:val="00EF569C"/>
    <w:rsid w:val="00EF6F5E"/>
    <w:rsid w:val="00F025E7"/>
    <w:rsid w:val="00F03969"/>
    <w:rsid w:val="00F05080"/>
    <w:rsid w:val="00F10945"/>
    <w:rsid w:val="00F13590"/>
    <w:rsid w:val="00F1725A"/>
    <w:rsid w:val="00F17F0F"/>
    <w:rsid w:val="00F233B3"/>
    <w:rsid w:val="00F26557"/>
    <w:rsid w:val="00F2785E"/>
    <w:rsid w:val="00F307F6"/>
    <w:rsid w:val="00F3259F"/>
    <w:rsid w:val="00F325F5"/>
    <w:rsid w:val="00F36DC5"/>
    <w:rsid w:val="00F51BCD"/>
    <w:rsid w:val="00F63060"/>
    <w:rsid w:val="00F65EFC"/>
    <w:rsid w:val="00F70194"/>
    <w:rsid w:val="00F7065F"/>
    <w:rsid w:val="00F7069B"/>
    <w:rsid w:val="00F72DF5"/>
    <w:rsid w:val="00F755D2"/>
    <w:rsid w:val="00F75EBA"/>
    <w:rsid w:val="00F81B21"/>
    <w:rsid w:val="00FA1029"/>
    <w:rsid w:val="00FA1D51"/>
    <w:rsid w:val="00FA2004"/>
    <w:rsid w:val="00FB3BE8"/>
    <w:rsid w:val="00FB7256"/>
    <w:rsid w:val="00FC0BED"/>
    <w:rsid w:val="00FC3805"/>
    <w:rsid w:val="00FD04E5"/>
    <w:rsid w:val="00FD536F"/>
    <w:rsid w:val="00FE0B40"/>
    <w:rsid w:val="00FE16E0"/>
    <w:rsid w:val="00FE1FE7"/>
    <w:rsid w:val="00FE3A4E"/>
    <w:rsid w:val="00FE5DC0"/>
    <w:rsid w:val="00FE6A09"/>
    <w:rsid w:val="00FF0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B164371"/>
  <w15:chartTrackingRefBased/>
  <w15:docId w15:val="{CF9462FB-A469-9D46-B2D2-23A4675D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bliografi">
    <w:name w:val="Bibliography"/>
    <w:basedOn w:val="Normal"/>
    <w:next w:val="Normal"/>
    <w:uiPriority w:val="37"/>
    <w:unhideWhenUsed/>
    <w:rsid w:val="00CA693D"/>
    <w:pPr>
      <w:spacing w:line="480" w:lineRule="auto"/>
      <w:ind w:left="720" w:hanging="720"/>
    </w:pPr>
  </w:style>
  <w:style w:type="paragraph" w:styleId="Revisjon">
    <w:name w:val="Revision"/>
    <w:hidden/>
    <w:uiPriority w:val="99"/>
    <w:semiHidden/>
    <w:rsid w:val="00CC3C17"/>
  </w:style>
  <w:style w:type="character" w:styleId="Hyperkobling">
    <w:name w:val="Hyperlink"/>
    <w:basedOn w:val="Standardskriftforavsnitt"/>
    <w:uiPriority w:val="99"/>
    <w:unhideWhenUsed/>
    <w:rsid w:val="00241FF2"/>
    <w:rPr>
      <w:color w:val="0563C1" w:themeColor="hyperlink"/>
      <w:u w:val="single"/>
    </w:rPr>
  </w:style>
  <w:style w:type="character" w:styleId="Ulstomtale">
    <w:name w:val="Unresolved Mention"/>
    <w:basedOn w:val="Standardskriftforavsnitt"/>
    <w:uiPriority w:val="99"/>
    <w:semiHidden/>
    <w:unhideWhenUsed/>
    <w:rsid w:val="00241FF2"/>
    <w:rPr>
      <w:color w:val="605E5C"/>
      <w:shd w:val="clear" w:color="auto" w:fill="E1DFDD"/>
    </w:rPr>
  </w:style>
  <w:style w:type="character" w:styleId="Fulgthyperkobling">
    <w:name w:val="FollowedHyperlink"/>
    <w:basedOn w:val="Standardskriftforavsnitt"/>
    <w:uiPriority w:val="99"/>
    <w:semiHidden/>
    <w:unhideWhenUsed/>
    <w:rsid w:val="00BA0F1B"/>
    <w:rPr>
      <w:color w:val="954F72" w:themeColor="followedHyperlink"/>
      <w:u w:val="single"/>
    </w:rPr>
  </w:style>
  <w:style w:type="paragraph" w:styleId="Listeavsnitt">
    <w:name w:val="List Paragraph"/>
    <w:basedOn w:val="Normal"/>
    <w:uiPriority w:val="34"/>
    <w:qFormat/>
    <w:rsid w:val="003C2AD9"/>
    <w:pPr>
      <w:ind w:left="720"/>
      <w:contextualSpacing/>
    </w:pPr>
  </w:style>
  <w:style w:type="character" w:styleId="Merknadsreferanse">
    <w:name w:val="annotation reference"/>
    <w:basedOn w:val="Standardskriftforavsnitt"/>
    <w:uiPriority w:val="99"/>
    <w:semiHidden/>
    <w:unhideWhenUsed/>
    <w:rsid w:val="003C2AD9"/>
    <w:rPr>
      <w:sz w:val="16"/>
      <w:szCs w:val="16"/>
    </w:rPr>
  </w:style>
  <w:style w:type="paragraph" w:styleId="Merknadstekst">
    <w:name w:val="annotation text"/>
    <w:basedOn w:val="Normal"/>
    <w:link w:val="MerknadstekstTegn"/>
    <w:uiPriority w:val="99"/>
    <w:semiHidden/>
    <w:unhideWhenUsed/>
    <w:rsid w:val="003C2AD9"/>
    <w:rPr>
      <w:sz w:val="20"/>
      <w:szCs w:val="20"/>
    </w:rPr>
  </w:style>
  <w:style w:type="character" w:customStyle="1" w:styleId="MerknadstekstTegn">
    <w:name w:val="Merknadstekst Tegn"/>
    <w:basedOn w:val="Standardskriftforavsnitt"/>
    <w:link w:val="Merknadstekst"/>
    <w:uiPriority w:val="99"/>
    <w:semiHidden/>
    <w:rsid w:val="003C2AD9"/>
    <w:rPr>
      <w:sz w:val="20"/>
      <w:szCs w:val="20"/>
    </w:rPr>
  </w:style>
  <w:style w:type="paragraph" w:styleId="Kommentaremne">
    <w:name w:val="annotation subject"/>
    <w:basedOn w:val="Merknadstekst"/>
    <w:next w:val="Merknadstekst"/>
    <w:link w:val="KommentaremneTegn"/>
    <w:uiPriority w:val="99"/>
    <w:semiHidden/>
    <w:unhideWhenUsed/>
    <w:rsid w:val="003C2AD9"/>
    <w:rPr>
      <w:b/>
      <w:bCs/>
    </w:rPr>
  </w:style>
  <w:style w:type="character" w:customStyle="1" w:styleId="KommentaremneTegn">
    <w:name w:val="Kommentaremne Tegn"/>
    <w:basedOn w:val="MerknadstekstTegn"/>
    <w:link w:val="Kommentaremne"/>
    <w:uiPriority w:val="99"/>
    <w:semiHidden/>
    <w:rsid w:val="003C2AD9"/>
    <w:rPr>
      <w:b/>
      <w:bCs/>
      <w:sz w:val="20"/>
      <w:szCs w:val="20"/>
    </w:rPr>
  </w:style>
  <w:style w:type="paragraph" w:customStyle="1" w:styleId="Bibliografi1">
    <w:name w:val="Bibliografi1"/>
    <w:basedOn w:val="Normal"/>
    <w:link w:val="BibliographyTegn"/>
    <w:rsid w:val="00491531"/>
    <w:pPr>
      <w:spacing w:line="480" w:lineRule="auto"/>
      <w:ind w:left="720" w:hanging="720"/>
      <w:jc w:val="center"/>
    </w:pPr>
    <w:rPr>
      <w:rFonts w:ascii="Times New Roman" w:hAnsi="Times New Roman" w:cs="Times New Roman"/>
      <w:b/>
      <w:bCs/>
      <w:lang w:val="en-US"/>
    </w:rPr>
  </w:style>
  <w:style w:type="character" w:customStyle="1" w:styleId="BibliographyTegn">
    <w:name w:val="Bibliography Tegn"/>
    <w:basedOn w:val="Standardskriftforavsnitt"/>
    <w:link w:val="Bibliografi1"/>
    <w:rsid w:val="00491531"/>
    <w:rPr>
      <w:rFonts w:ascii="Times New Roman" w:hAnsi="Times New Roman" w:cs="Times New Roman"/>
      <w:b/>
      <w:bCs/>
      <w:lang w:val="en-US"/>
    </w:rPr>
  </w:style>
  <w:style w:type="paragraph" w:customStyle="1" w:styleId="Bibliografi2">
    <w:name w:val="Bibliografi2"/>
    <w:basedOn w:val="Normal"/>
    <w:link w:val="BibliographyTegn1"/>
    <w:rsid w:val="002D7167"/>
    <w:pPr>
      <w:spacing w:line="480" w:lineRule="auto"/>
      <w:ind w:left="720" w:hanging="720"/>
      <w:jc w:val="center"/>
    </w:pPr>
    <w:rPr>
      <w:rFonts w:ascii="Times New Roman" w:hAnsi="Times New Roman" w:cs="Times New Roman"/>
      <w:b/>
      <w:bCs/>
      <w:lang w:val="en-US"/>
    </w:rPr>
  </w:style>
  <w:style w:type="character" w:customStyle="1" w:styleId="BibliographyTegn1">
    <w:name w:val="Bibliography Tegn1"/>
    <w:basedOn w:val="Standardskriftforavsnitt"/>
    <w:link w:val="Bibliografi2"/>
    <w:rsid w:val="002D7167"/>
    <w:rPr>
      <w:rFonts w:ascii="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45">
      <w:bodyDiv w:val="1"/>
      <w:marLeft w:val="0"/>
      <w:marRight w:val="0"/>
      <w:marTop w:val="0"/>
      <w:marBottom w:val="0"/>
      <w:divBdr>
        <w:top w:val="none" w:sz="0" w:space="0" w:color="auto"/>
        <w:left w:val="none" w:sz="0" w:space="0" w:color="auto"/>
        <w:bottom w:val="none" w:sz="0" w:space="0" w:color="auto"/>
        <w:right w:val="none" w:sz="0" w:space="0" w:color="auto"/>
      </w:divBdr>
    </w:div>
    <w:div w:id="333579383">
      <w:bodyDiv w:val="1"/>
      <w:marLeft w:val="0"/>
      <w:marRight w:val="0"/>
      <w:marTop w:val="0"/>
      <w:marBottom w:val="0"/>
      <w:divBdr>
        <w:top w:val="none" w:sz="0" w:space="0" w:color="auto"/>
        <w:left w:val="none" w:sz="0" w:space="0" w:color="auto"/>
        <w:bottom w:val="none" w:sz="0" w:space="0" w:color="auto"/>
        <w:right w:val="none" w:sz="0" w:space="0" w:color="auto"/>
      </w:divBdr>
    </w:div>
    <w:div w:id="12954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5550</Words>
  <Characters>29417</Characters>
  <Application>Microsoft Office Word</Application>
  <DocSecurity>0</DocSecurity>
  <Lines>245</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Ludvig Daae Bjørndal</dc:creator>
  <cp:keywords/>
  <dc:description/>
  <cp:lastModifiedBy>Ludvig Daae Bjørndal</cp:lastModifiedBy>
  <cp:revision>81</cp:revision>
  <dcterms:created xsi:type="dcterms:W3CDTF">2021-12-21T14:31:00Z</dcterms:created>
  <dcterms:modified xsi:type="dcterms:W3CDTF">2022-06-29T10:35:00Z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id="DDU1w61G"/&gt;&lt;style id="http://www.zotero.org/styles/apa-6th-edition" locale="en-GB"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