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959" w:rsidRDefault="000C4959" w:rsidP="001C5074">
      <w:pPr>
        <w:widowControl/>
        <w:spacing w:beforeLines="50" w:before="156" w:afterLines="50" w:after="156" w:line="360" w:lineRule="auto"/>
        <w:ind w:firstLineChars="3400" w:firstLine="8160"/>
        <w:jc w:val="left"/>
        <w:rPr>
          <w:rFonts w:cs="Times New Roman"/>
          <w:b/>
          <w:sz w:val="28"/>
        </w:rPr>
      </w:pPr>
      <w:r>
        <w:rPr>
          <w:rFonts w:cs="Times New Roman"/>
          <w:b/>
          <w:sz w:val="24"/>
          <w:szCs w:val="24"/>
        </w:rPr>
        <w:t xml:space="preserve"> </w:t>
      </w:r>
      <w:r w:rsidRPr="008E2DCC">
        <w:rPr>
          <w:rFonts w:cs="Times New Roman"/>
          <w:b/>
          <w:sz w:val="24"/>
          <w:szCs w:val="24"/>
        </w:rPr>
        <w:t>Online</w:t>
      </w:r>
      <w:r>
        <w:rPr>
          <w:rFonts w:cs="Times New Roman"/>
          <w:b/>
          <w:sz w:val="24"/>
          <w:szCs w:val="24"/>
        </w:rPr>
        <w:t xml:space="preserve"> </w:t>
      </w:r>
      <w:r w:rsidRPr="008E2DCC">
        <w:rPr>
          <w:rFonts w:cs="Times New Roman" w:hint="eastAsia"/>
          <w:b/>
          <w:sz w:val="24"/>
          <w:szCs w:val="24"/>
        </w:rPr>
        <w:t>Supp</w:t>
      </w:r>
      <w:r w:rsidRPr="008E2DCC">
        <w:rPr>
          <w:rFonts w:cs="Times New Roman"/>
          <w:b/>
          <w:sz w:val="24"/>
          <w:szCs w:val="24"/>
        </w:rPr>
        <w:t xml:space="preserve">lementary </w:t>
      </w:r>
      <w:r>
        <w:rPr>
          <w:rFonts w:cs="Times New Roman"/>
          <w:b/>
          <w:sz w:val="24"/>
          <w:szCs w:val="24"/>
        </w:rPr>
        <w:t>Material</w:t>
      </w:r>
    </w:p>
    <w:p w:rsidR="000C4959" w:rsidRDefault="000C4959" w:rsidP="001C5074">
      <w:pPr>
        <w:spacing w:line="360" w:lineRule="auto"/>
        <w:jc w:val="center"/>
        <w:rPr>
          <w:rFonts w:cs="Times New Roman"/>
          <w:b/>
          <w:sz w:val="28"/>
        </w:rPr>
      </w:pPr>
      <w:r w:rsidRPr="00772712">
        <w:rPr>
          <w:rFonts w:cs="Times New Roman"/>
          <w:b/>
          <w:sz w:val="28"/>
        </w:rPr>
        <w:t xml:space="preserve">Neurofunctional mapping of reward anticipation and outcome for major depressive disorder: </w:t>
      </w:r>
      <w:r>
        <w:rPr>
          <w:rFonts w:cs="Times New Roman" w:hint="eastAsia"/>
          <w:b/>
          <w:sz w:val="28"/>
        </w:rPr>
        <w:t>A</w:t>
      </w:r>
      <w:r w:rsidRPr="00772712">
        <w:rPr>
          <w:rFonts w:cs="Times New Roman"/>
          <w:b/>
          <w:sz w:val="28"/>
        </w:rPr>
        <w:t xml:space="preserve"> voxel-based meta-analysis</w:t>
      </w:r>
    </w:p>
    <w:p w:rsidR="000C4959" w:rsidRDefault="000C4959" w:rsidP="001C5074">
      <w:pPr>
        <w:spacing w:line="360" w:lineRule="auto"/>
        <w:rPr>
          <w:b/>
          <w:sz w:val="24"/>
          <w:szCs w:val="24"/>
        </w:rPr>
      </w:pPr>
    </w:p>
    <w:p w:rsidR="000C4959" w:rsidRPr="0085797D" w:rsidRDefault="000C4959" w:rsidP="001C5074">
      <w:pPr>
        <w:spacing w:line="360" w:lineRule="auto"/>
        <w:rPr>
          <w:b/>
          <w:sz w:val="24"/>
          <w:szCs w:val="24"/>
        </w:rPr>
      </w:pPr>
      <w:r w:rsidRPr="0085797D">
        <w:rPr>
          <w:rFonts w:hint="eastAsia"/>
          <w:b/>
          <w:sz w:val="24"/>
          <w:szCs w:val="24"/>
        </w:rPr>
        <w:t>S</w:t>
      </w:r>
      <w:r w:rsidRPr="0085797D">
        <w:rPr>
          <w:b/>
          <w:sz w:val="24"/>
          <w:szCs w:val="24"/>
        </w:rPr>
        <w:t>upplement</w:t>
      </w:r>
      <w:r w:rsidRPr="0085797D">
        <w:rPr>
          <w:rFonts w:hint="eastAsia"/>
          <w:b/>
          <w:sz w:val="24"/>
          <w:szCs w:val="24"/>
        </w:rPr>
        <w:t>ary</w:t>
      </w:r>
      <w:r w:rsidRPr="0085797D">
        <w:rPr>
          <w:b/>
          <w:sz w:val="24"/>
          <w:szCs w:val="24"/>
        </w:rPr>
        <w:t xml:space="preserve"> </w:t>
      </w:r>
      <w:r w:rsidRPr="0085797D">
        <w:rPr>
          <w:b/>
          <w:color w:val="000000" w:themeColor="text1"/>
          <w:sz w:val="24"/>
          <w:szCs w:val="24"/>
        </w:rPr>
        <w:t>Methods</w:t>
      </w:r>
    </w:p>
    <w:p w:rsidR="000C4959" w:rsidRPr="00A90F6A" w:rsidRDefault="000C4959" w:rsidP="001C5074">
      <w:pPr>
        <w:spacing w:line="360" w:lineRule="auto"/>
        <w:ind w:leftChars="100" w:left="210"/>
        <w:rPr>
          <w:i/>
          <w:sz w:val="24"/>
          <w:szCs w:val="24"/>
        </w:rPr>
      </w:pPr>
      <w:r w:rsidRPr="00A90F6A">
        <w:rPr>
          <w:i/>
          <w:sz w:val="24"/>
          <w:szCs w:val="24"/>
        </w:rPr>
        <w:t>Further details on SDM</w:t>
      </w:r>
    </w:p>
    <w:p w:rsidR="000C4959" w:rsidRPr="00A90F6A" w:rsidRDefault="000C4959" w:rsidP="001C5074">
      <w:pPr>
        <w:spacing w:line="360" w:lineRule="auto"/>
        <w:ind w:leftChars="100" w:left="210"/>
        <w:rPr>
          <w:i/>
          <w:sz w:val="24"/>
          <w:szCs w:val="24"/>
        </w:rPr>
      </w:pPr>
      <w:r w:rsidRPr="00A90F6A">
        <w:rPr>
          <w:i/>
          <w:sz w:val="24"/>
          <w:szCs w:val="24"/>
        </w:rPr>
        <w:t>Sensitivity analyses</w:t>
      </w:r>
    </w:p>
    <w:p w:rsidR="000C4959" w:rsidRPr="00A90F6A" w:rsidRDefault="000C4959" w:rsidP="001C5074">
      <w:pPr>
        <w:spacing w:line="360" w:lineRule="auto"/>
        <w:ind w:leftChars="100" w:left="210"/>
        <w:rPr>
          <w:i/>
          <w:sz w:val="24"/>
          <w:szCs w:val="24"/>
        </w:rPr>
      </w:pPr>
      <w:r w:rsidRPr="00A90F6A">
        <w:rPr>
          <w:i/>
          <w:sz w:val="24"/>
          <w:szCs w:val="24"/>
        </w:rPr>
        <w:t>Subgroup analyses</w:t>
      </w:r>
    </w:p>
    <w:p w:rsidR="000C4959" w:rsidRPr="00A90F6A" w:rsidRDefault="000C4959" w:rsidP="001C5074">
      <w:pPr>
        <w:spacing w:line="360" w:lineRule="auto"/>
        <w:ind w:leftChars="100" w:left="210"/>
        <w:rPr>
          <w:i/>
          <w:sz w:val="24"/>
          <w:szCs w:val="24"/>
        </w:rPr>
      </w:pPr>
      <w:r w:rsidRPr="00A90F6A">
        <w:rPr>
          <w:i/>
          <w:sz w:val="24"/>
          <w:szCs w:val="24"/>
        </w:rPr>
        <w:t>Meta-regression analyses</w:t>
      </w:r>
    </w:p>
    <w:p w:rsidR="000C4959" w:rsidRPr="0085797D" w:rsidRDefault="000C4959" w:rsidP="001C5074">
      <w:pPr>
        <w:spacing w:line="360" w:lineRule="auto"/>
        <w:rPr>
          <w:b/>
          <w:sz w:val="24"/>
          <w:szCs w:val="24"/>
        </w:rPr>
      </w:pPr>
      <w:r w:rsidRPr="0085797D">
        <w:rPr>
          <w:rFonts w:hint="eastAsia"/>
          <w:b/>
          <w:sz w:val="24"/>
          <w:szCs w:val="24"/>
        </w:rPr>
        <w:t>S</w:t>
      </w:r>
      <w:r w:rsidRPr="0085797D">
        <w:rPr>
          <w:b/>
          <w:sz w:val="24"/>
          <w:szCs w:val="24"/>
        </w:rPr>
        <w:t>upplementary Results</w:t>
      </w:r>
    </w:p>
    <w:p w:rsidR="000C4959" w:rsidRPr="00A90F6A" w:rsidRDefault="000C4959" w:rsidP="001C5074">
      <w:pPr>
        <w:spacing w:line="360" w:lineRule="auto"/>
        <w:ind w:leftChars="100" w:left="210"/>
        <w:rPr>
          <w:i/>
          <w:sz w:val="24"/>
          <w:szCs w:val="24"/>
        </w:rPr>
      </w:pPr>
      <w:r w:rsidRPr="00A90F6A">
        <w:rPr>
          <w:i/>
          <w:sz w:val="24"/>
          <w:szCs w:val="24"/>
        </w:rPr>
        <w:t>Sensitivity analyses</w:t>
      </w:r>
    </w:p>
    <w:p w:rsidR="000C4959" w:rsidRPr="00A90F6A" w:rsidRDefault="000C4959" w:rsidP="001C5074">
      <w:pPr>
        <w:spacing w:line="360" w:lineRule="auto"/>
        <w:ind w:leftChars="100" w:left="210"/>
        <w:rPr>
          <w:i/>
          <w:sz w:val="24"/>
          <w:szCs w:val="24"/>
        </w:rPr>
      </w:pPr>
      <w:r w:rsidRPr="00A90F6A">
        <w:rPr>
          <w:i/>
          <w:sz w:val="24"/>
          <w:szCs w:val="24"/>
        </w:rPr>
        <w:t>Subgroup analyses</w:t>
      </w:r>
    </w:p>
    <w:p w:rsidR="000C4959" w:rsidRPr="00A90F6A" w:rsidRDefault="000C4959" w:rsidP="001C5074">
      <w:pPr>
        <w:spacing w:line="360" w:lineRule="auto"/>
        <w:ind w:leftChars="100" w:left="210"/>
        <w:rPr>
          <w:i/>
          <w:sz w:val="24"/>
          <w:szCs w:val="24"/>
        </w:rPr>
      </w:pPr>
      <w:r w:rsidRPr="00A90F6A">
        <w:rPr>
          <w:i/>
          <w:sz w:val="24"/>
          <w:szCs w:val="24"/>
        </w:rPr>
        <w:t>Meta-regression analyses</w:t>
      </w:r>
    </w:p>
    <w:p w:rsidR="000C4959" w:rsidRPr="0085797D" w:rsidRDefault="000C4959" w:rsidP="001C5074">
      <w:pPr>
        <w:spacing w:line="360" w:lineRule="auto"/>
        <w:rPr>
          <w:b/>
          <w:sz w:val="24"/>
          <w:szCs w:val="24"/>
        </w:rPr>
      </w:pPr>
      <w:r w:rsidRPr="0085797D">
        <w:rPr>
          <w:rFonts w:hint="eastAsia"/>
          <w:b/>
          <w:sz w:val="24"/>
          <w:szCs w:val="24"/>
        </w:rPr>
        <w:t>S</w:t>
      </w:r>
      <w:r w:rsidRPr="0085797D">
        <w:rPr>
          <w:b/>
          <w:sz w:val="24"/>
          <w:szCs w:val="24"/>
        </w:rPr>
        <w:t>upplementary Discussion</w:t>
      </w:r>
    </w:p>
    <w:p w:rsidR="000C4959" w:rsidRPr="00A90F6A" w:rsidRDefault="000C4959" w:rsidP="001C5074">
      <w:pPr>
        <w:spacing w:line="360" w:lineRule="auto"/>
        <w:ind w:leftChars="100" w:left="210"/>
        <w:rPr>
          <w:i/>
          <w:color w:val="000000" w:themeColor="text1"/>
          <w:sz w:val="24"/>
          <w:szCs w:val="24"/>
        </w:rPr>
      </w:pPr>
      <w:r w:rsidRPr="00A90F6A">
        <w:rPr>
          <w:i/>
          <w:color w:val="000000" w:themeColor="text1"/>
          <w:sz w:val="24"/>
          <w:szCs w:val="24"/>
        </w:rPr>
        <w:t xml:space="preserve">The relationship between distinct reward processes and subjective anhedonia </w:t>
      </w:r>
    </w:p>
    <w:p w:rsidR="000C4959" w:rsidRPr="00A90F6A" w:rsidRDefault="000C4959" w:rsidP="001C5074">
      <w:pPr>
        <w:spacing w:line="360" w:lineRule="auto"/>
        <w:ind w:leftChars="100" w:left="210"/>
        <w:rPr>
          <w:i/>
          <w:color w:val="000000" w:themeColor="text1"/>
          <w:sz w:val="24"/>
          <w:szCs w:val="24"/>
        </w:rPr>
      </w:pPr>
      <w:r w:rsidRPr="00A90F6A">
        <w:rPr>
          <w:i/>
          <w:color w:val="000000" w:themeColor="text1"/>
          <w:sz w:val="24"/>
          <w:szCs w:val="24"/>
        </w:rPr>
        <w:t>The effect of anxiety comorbidity</w:t>
      </w:r>
    </w:p>
    <w:p w:rsidR="000C4959" w:rsidRPr="00A90F6A" w:rsidRDefault="000C4959" w:rsidP="001C5074">
      <w:pPr>
        <w:spacing w:line="360" w:lineRule="auto"/>
        <w:ind w:leftChars="100" w:left="210"/>
        <w:rPr>
          <w:i/>
          <w:color w:val="000000" w:themeColor="text1"/>
          <w:sz w:val="24"/>
          <w:szCs w:val="24"/>
        </w:rPr>
      </w:pPr>
      <w:r w:rsidRPr="00A90F6A">
        <w:rPr>
          <w:i/>
          <w:color w:val="000000" w:themeColor="text1"/>
          <w:sz w:val="24"/>
          <w:szCs w:val="24"/>
        </w:rPr>
        <w:t>The effect of medication</w:t>
      </w:r>
    </w:p>
    <w:p w:rsidR="000C4959" w:rsidRPr="008524C3" w:rsidRDefault="000C4959" w:rsidP="001C5074">
      <w:pPr>
        <w:spacing w:line="360" w:lineRule="auto"/>
        <w:rPr>
          <w:sz w:val="24"/>
          <w:szCs w:val="24"/>
        </w:rPr>
      </w:pPr>
      <w:r w:rsidRPr="00772E0F">
        <w:rPr>
          <w:rFonts w:hint="eastAsia"/>
          <w:b/>
          <w:sz w:val="24"/>
          <w:szCs w:val="24"/>
        </w:rPr>
        <w:t>S</w:t>
      </w:r>
      <w:r w:rsidRPr="00772E0F">
        <w:rPr>
          <w:b/>
          <w:sz w:val="24"/>
          <w:szCs w:val="24"/>
        </w:rPr>
        <w:t>upplement</w:t>
      </w:r>
      <w:r>
        <w:rPr>
          <w:b/>
          <w:sz w:val="24"/>
          <w:szCs w:val="24"/>
        </w:rPr>
        <w:t>ary</w:t>
      </w:r>
      <w:r w:rsidRPr="00772E0F">
        <w:rPr>
          <w:b/>
          <w:sz w:val="24"/>
          <w:szCs w:val="24"/>
        </w:rPr>
        <w:t xml:space="preserve"> References</w:t>
      </w:r>
    </w:p>
    <w:p w:rsidR="000C4959" w:rsidRPr="00F3461B" w:rsidRDefault="000C4959" w:rsidP="001C5074">
      <w:pPr>
        <w:spacing w:line="360" w:lineRule="auto"/>
        <w:rPr>
          <w:sz w:val="24"/>
          <w:szCs w:val="24"/>
        </w:rPr>
      </w:pPr>
      <w:r w:rsidRPr="00772E0F">
        <w:rPr>
          <w:rFonts w:hint="eastAsia"/>
          <w:b/>
          <w:sz w:val="24"/>
          <w:szCs w:val="24"/>
        </w:rPr>
        <w:t>S</w:t>
      </w:r>
      <w:r w:rsidRPr="00772E0F">
        <w:rPr>
          <w:b/>
          <w:sz w:val="24"/>
          <w:szCs w:val="24"/>
        </w:rPr>
        <w:t>upplement</w:t>
      </w:r>
      <w:r>
        <w:rPr>
          <w:b/>
          <w:sz w:val="24"/>
          <w:szCs w:val="24"/>
        </w:rPr>
        <w:t>ary</w:t>
      </w:r>
      <w:r w:rsidRPr="00772E0F">
        <w:rPr>
          <w:b/>
          <w:sz w:val="24"/>
          <w:szCs w:val="24"/>
        </w:rPr>
        <w:t xml:space="preserve"> Fig</w:t>
      </w:r>
      <w:r>
        <w:rPr>
          <w:b/>
          <w:sz w:val="24"/>
          <w:szCs w:val="24"/>
        </w:rPr>
        <w:t>.</w:t>
      </w:r>
      <w:r w:rsidRPr="00772E0F">
        <w:rPr>
          <w:rFonts w:hint="eastAsia"/>
          <w:b/>
          <w:sz w:val="24"/>
          <w:szCs w:val="24"/>
        </w:rPr>
        <w:t xml:space="preserve"> </w:t>
      </w:r>
      <w:r w:rsidRPr="00772E0F">
        <w:rPr>
          <w:b/>
          <w:sz w:val="24"/>
          <w:szCs w:val="24"/>
        </w:rPr>
        <w:t>1.</w:t>
      </w:r>
      <w:r>
        <w:rPr>
          <w:sz w:val="24"/>
          <w:szCs w:val="24"/>
        </w:rPr>
        <w:t xml:space="preserve"> </w:t>
      </w:r>
      <w:r w:rsidRPr="00F3461B">
        <w:rPr>
          <w:sz w:val="24"/>
          <w:szCs w:val="24"/>
        </w:rPr>
        <w:t xml:space="preserve">Flowchart of </w:t>
      </w:r>
      <w:r>
        <w:rPr>
          <w:sz w:val="24"/>
          <w:szCs w:val="24"/>
        </w:rPr>
        <w:t xml:space="preserve">the </w:t>
      </w:r>
      <w:r w:rsidRPr="00F3461B">
        <w:rPr>
          <w:sz w:val="24"/>
          <w:szCs w:val="24"/>
        </w:rPr>
        <w:t>article selection process</w:t>
      </w:r>
    </w:p>
    <w:p w:rsidR="000C4959" w:rsidRPr="000D19AD" w:rsidRDefault="000C4959" w:rsidP="001C5074">
      <w:pPr>
        <w:spacing w:line="360" w:lineRule="auto"/>
        <w:rPr>
          <w:color w:val="000000" w:themeColor="text1"/>
          <w:sz w:val="24"/>
          <w:szCs w:val="24"/>
        </w:rPr>
      </w:pPr>
      <w:r w:rsidRPr="00772E0F">
        <w:rPr>
          <w:rFonts w:hint="eastAsia"/>
          <w:b/>
          <w:sz w:val="24"/>
          <w:szCs w:val="24"/>
        </w:rPr>
        <w:t>S</w:t>
      </w:r>
      <w:r w:rsidRPr="00772E0F">
        <w:rPr>
          <w:b/>
          <w:sz w:val="24"/>
          <w:szCs w:val="24"/>
        </w:rPr>
        <w:t>upplement</w:t>
      </w:r>
      <w:r>
        <w:rPr>
          <w:b/>
          <w:sz w:val="24"/>
          <w:szCs w:val="24"/>
        </w:rPr>
        <w:t>ary</w:t>
      </w:r>
      <w:r w:rsidRPr="00772E0F">
        <w:rPr>
          <w:b/>
          <w:sz w:val="24"/>
          <w:szCs w:val="24"/>
        </w:rPr>
        <w:t xml:space="preserve"> Table 1.</w:t>
      </w:r>
      <w:r>
        <w:rPr>
          <w:sz w:val="24"/>
          <w:szCs w:val="24"/>
        </w:rPr>
        <w:t xml:space="preserve"> </w:t>
      </w:r>
      <w:r w:rsidRPr="00F3461B">
        <w:rPr>
          <w:sz w:val="24"/>
          <w:szCs w:val="24"/>
        </w:rPr>
        <w:t xml:space="preserve">Subgroup and </w:t>
      </w:r>
      <w:r w:rsidRPr="000D19AD">
        <w:rPr>
          <w:color w:val="000000" w:themeColor="text1"/>
          <w:sz w:val="24"/>
          <w:szCs w:val="24"/>
        </w:rPr>
        <w:t>jack-knife</w:t>
      </w:r>
      <w:r w:rsidRPr="00F3461B">
        <w:rPr>
          <w:sz w:val="24"/>
          <w:szCs w:val="24"/>
        </w:rPr>
        <w:t xml:space="preserve"> sensitivity</w:t>
      </w:r>
      <w:r w:rsidRPr="000D19AD">
        <w:rPr>
          <w:color w:val="000000" w:themeColor="text1"/>
          <w:sz w:val="24"/>
          <w:szCs w:val="24"/>
        </w:rPr>
        <w:t xml:space="preserve"> analyses of brain activation differences between MDD patients and HC during the anticipation phase</w:t>
      </w:r>
    </w:p>
    <w:p w:rsidR="000C4959" w:rsidRPr="000D19AD" w:rsidRDefault="000C4959" w:rsidP="001C5074">
      <w:pPr>
        <w:spacing w:line="360" w:lineRule="auto"/>
        <w:rPr>
          <w:color w:val="000000" w:themeColor="text1"/>
          <w:sz w:val="24"/>
          <w:szCs w:val="24"/>
        </w:rPr>
      </w:pPr>
      <w:r w:rsidRPr="000D19AD">
        <w:rPr>
          <w:rFonts w:hint="eastAsia"/>
          <w:b/>
          <w:color w:val="000000" w:themeColor="text1"/>
          <w:sz w:val="24"/>
          <w:szCs w:val="24"/>
        </w:rPr>
        <w:t>S</w:t>
      </w:r>
      <w:r w:rsidRPr="000D19AD">
        <w:rPr>
          <w:b/>
          <w:color w:val="000000" w:themeColor="text1"/>
          <w:sz w:val="24"/>
          <w:szCs w:val="24"/>
        </w:rPr>
        <w:t>upplementary Table 2.</w:t>
      </w:r>
      <w:r w:rsidRPr="000D19AD">
        <w:rPr>
          <w:color w:val="000000" w:themeColor="text1"/>
          <w:sz w:val="24"/>
          <w:szCs w:val="24"/>
        </w:rPr>
        <w:t xml:space="preserve"> Subgroup and jack-knife sensitivity analyses of brain activation differences between MDD patients and HC during the outcome phase</w:t>
      </w:r>
    </w:p>
    <w:p w:rsidR="000C4959" w:rsidRPr="00F62773" w:rsidRDefault="000C4959" w:rsidP="001C5074">
      <w:pPr>
        <w:widowControl/>
        <w:spacing w:line="360" w:lineRule="auto"/>
        <w:jc w:val="left"/>
        <w:rPr>
          <w:b/>
          <w:sz w:val="22"/>
        </w:rPr>
      </w:pPr>
      <w:bookmarkStart w:id="0" w:name="_Hlk99307338"/>
      <w:r>
        <w:rPr>
          <w:b/>
          <w:sz w:val="22"/>
        </w:rPr>
        <w:br w:type="page"/>
      </w:r>
    </w:p>
    <w:bookmarkEnd w:id="0"/>
    <w:p w:rsidR="000C4959" w:rsidRPr="00094AB4" w:rsidRDefault="000C4959" w:rsidP="00D35E7F">
      <w:pPr>
        <w:kinsoku w:val="0"/>
        <w:snapToGrid w:val="0"/>
        <w:spacing w:line="360" w:lineRule="auto"/>
        <w:rPr>
          <w:b/>
          <w:sz w:val="24"/>
          <w:szCs w:val="24"/>
        </w:rPr>
      </w:pPr>
      <w:r w:rsidRPr="0085797D">
        <w:rPr>
          <w:rFonts w:hint="eastAsia"/>
          <w:b/>
          <w:sz w:val="24"/>
          <w:szCs w:val="24"/>
        </w:rPr>
        <w:lastRenderedPageBreak/>
        <w:t>S</w:t>
      </w:r>
      <w:r w:rsidRPr="0085797D">
        <w:rPr>
          <w:b/>
          <w:sz w:val="24"/>
          <w:szCs w:val="24"/>
        </w:rPr>
        <w:t>upplement</w:t>
      </w:r>
      <w:r w:rsidRPr="0085797D">
        <w:rPr>
          <w:rFonts w:hint="eastAsia"/>
          <w:b/>
          <w:sz w:val="24"/>
          <w:szCs w:val="24"/>
        </w:rPr>
        <w:t>ary</w:t>
      </w:r>
      <w:r w:rsidRPr="0085797D">
        <w:rPr>
          <w:b/>
          <w:sz w:val="24"/>
          <w:szCs w:val="24"/>
        </w:rPr>
        <w:t xml:space="preserve"> </w:t>
      </w:r>
      <w:r w:rsidRPr="0085797D">
        <w:rPr>
          <w:b/>
          <w:color w:val="000000" w:themeColor="text1"/>
          <w:sz w:val="24"/>
          <w:szCs w:val="24"/>
        </w:rPr>
        <w:t>Methods</w:t>
      </w:r>
    </w:p>
    <w:p w:rsidR="000C4959" w:rsidRPr="00A90F6A" w:rsidRDefault="000C4959" w:rsidP="00D35E7F">
      <w:pPr>
        <w:kinsoku w:val="0"/>
        <w:snapToGrid w:val="0"/>
        <w:spacing w:line="360" w:lineRule="auto"/>
        <w:rPr>
          <w:b/>
          <w:i/>
          <w:sz w:val="22"/>
        </w:rPr>
      </w:pPr>
      <w:r w:rsidRPr="00A90F6A">
        <w:rPr>
          <w:b/>
          <w:i/>
          <w:sz w:val="22"/>
        </w:rPr>
        <w:t>Further details on SDM</w:t>
      </w:r>
    </w:p>
    <w:p w:rsidR="000C4959" w:rsidRPr="003A3CAB" w:rsidRDefault="000C4959" w:rsidP="00AF27F2">
      <w:pPr>
        <w:kinsoku w:val="0"/>
        <w:snapToGrid w:val="0"/>
        <w:spacing w:line="360" w:lineRule="auto"/>
        <w:rPr>
          <w:rFonts w:cs="Times New Roman"/>
          <w:sz w:val="22"/>
        </w:rPr>
      </w:pPr>
      <w:bookmarkStart w:id="1" w:name="_Hlk103004014"/>
      <w:bookmarkStart w:id="2" w:name="_Hlk104230830"/>
      <w:r w:rsidRPr="003A3CAB">
        <w:rPr>
          <w:rFonts w:cs="Times New Roman" w:hint="eastAsia"/>
          <w:sz w:val="22"/>
        </w:rPr>
        <w:t>Se</w:t>
      </w:r>
      <w:r w:rsidRPr="003A3CAB">
        <w:rPr>
          <w:rFonts w:cs="Times New Roman"/>
          <w:sz w:val="22"/>
        </w:rPr>
        <w:t xml:space="preserve">ed-based d mapping (SDM) incorporates and combines the various positive features of activation likelihood estimation (ALE) and multilevel kernel density analysis (MKDA) </w:t>
      </w:r>
      <w:r>
        <w:rPr>
          <w:noProof/>
          <w:sz w:val="22"/>
        </w:rPr>
        <w:t>(Radua &amp; Mataix-Cols, 2009)</w:t>
      </w:r>
      <w:r w:rsidRPr="003A3CAB">
        <w:rPr>
          <w:rFonts w:cs="Times New Roman"/>
          <w:sz w:val="22"/>
        </w:rPr>
        <w:t xml:space="preserve">. This software is based and improves upon the many positive features of existing peak probability methods. It enables investigators to combine peak coordinates with statistical parametric maps and uses standard effect size and variance-based meta-analytic calculations </w:t>
      </w:r>
      <w:r>
        <w:rPr>
          <w:rFonts w:cs="Times New Roman"/>
          <w:noProof/>
          <w:sz w:val="22"/>
        </w:rPr>
        <w:t>(Radua et al., 2012b)</w:t>
      </w:r>
      <w:r w:rsidRPr="003A3CAB">
        <w:rPr>
          <w:rFonts w:cs="Times New Roman"/>
          <w:sz w:val="22"/>
        </w:rPr>
        <w:t>. Compared with ALE, the advantages of SDM are listed below: First, for the selection of studies, statistical parametric maps ca</w:t>
      </w:r>
      <w:r w:rsidRPr="003A3CAB">
        <w:rPr>
          <w:bCs/>
          <w:sz w:val="22"/>
        </w:rPr>
        <w:t xml:space="preserve">n be included in SDM </w:t>
      </w:r>
      <w:r w:rsidRPr="003A3CAB">
        <w:rPr>
          <w:rFonts w:cs="Times New Roman"/>
          <w:sz w:val="22"/>
        </w:rPr>
        <w:t>algorithms, constitutes an improvement over</w:t>
      </w:r>
      <w:r w:rsidRPr="003A3CAB">
        <w:rPr>
          <w:bCs/>
          <w:sz w:val="22"/>
        </w:rPr>
        <w:t xml:space="preserve"> ALE.</w:t>
      </w:r>
      <w:r w:rsidRPr="003A3CAB">
        <w:rPr>
          <w:rFonts w:cs="Times New Roman"/>
          <w:sz w:val="22"/>
        </w:rPr>
        <w:t xml:space="preserve"> Second, to describe the effect sizes, SDM aims to estimate the effect size rather than the peak likelihood in ALE </w:t>
      </w:r>
      <w:r>
        <w:rPr>
          <w:rFonts w:cs="Times New Roman"/>
          <w:noProof/>
          <w:sz w:val="22"/>
        </w:rPr>
        <w:t>(Radua et al., 2014)</w:t>
      </w:r>
      <w:r w:rsidRPr="003A3CAB">
        <w:rPr>
          <w:rFonts w:cs="Times New Roman"/>
          <w:sz w:val="22"/>
        </w:rPr>
        <w:t>. Third, for reduction of the heterogeneity, SDM address</w:t>
      </w:r>
      <w:r>
        <w:rPr>
          <w:rFonts w:cs="Times New Roman"/>
          <w:sz w:val="22"/>
        </w:rPr>
        <w:t>es</w:t>
      </w:r>
      <w:r w:rsidRPr="003A3CAB">
        <w:rPr>
          <w:rFonts w:cs="Times New Roman"/>
          <w:sz w:val="22"/>
        </w:rPr>
        <w:t xml:space="preserve"> between-study heterogeneity by reconstructing positive and negative maps in the same image, thus counteracting the effects of studies reporting findings in opposite directions </w:t>
      </w:r>
      <w:r>
        <w:rPr>
          <w:rFonts w:cs="Times New Roman"/>
          <w:noProof/>
          <w:sz w:val="22"/>
        </w:rPr>
        <w:t>(Radua &amp; Mataix-Cols, 2009, 2012)</w:t>
      </w:r>
      <w:r w:rsidRPr="003A3CAB">
        <w:rPr>
          <w:rFonts w:cs="Times New Roman"/>
          <w:sz w:val="22"/>
        </w:rPr>
        <w:t>. While ALE is not controlled the residual heterogeneity, and increases and decreases are not counteracted, potentially leading to voxels being detected as increased and decrease</w:t>
      </w:r>
      <w:r w:rsidRPr="003A3CAB">
        <w:rPr>
          <w:rFonts w:cs="Times New Roman" w:hint="eastAsia"/>
          <w:sz w:val="22"/>
        </w:rPr>
        <w:t>d</w:t>
      </w:r>
      <w:r w:rsidRPr="003A3CAB">
        <w:rPr>
          <w:rFonts w:cs="Times New Roman"/>
          <w:sz w:val="22"/>
        </w:rPr>
        <w:t xml:space="preserve">. Fourth, for the weighting studies, SDM implements random-effects models in which each study is weighted by the inverse of the sum of its variance and the calculated between-study variance </w:t>
      </w:r>
      <w:r>
        <w:rPr>
          <w:rFonts w:cs="Times New Roman"/>
          <w:noProof/>
          <w:sz w:val="22"/>
        </w:rPr>
        <w:t>(Radua et al., 2012b)</w:t>
      </w:r>
      <w:r w:rsidRPr="003A3CAB">
        <w:rPr>
          <w:rFonts w:cs="Times New Roman"/>
          <w:sz w:val="22"/>
        </w:rPr>
        <w:t>. Finally, complementary analyses in SDM, such as jack-knife, subgroup, and meta-regression analyses are useful to assess the reliability and robustness of the findings.</w:t>
      </w:r>
      <w:bookmarkEnd w:id="1"/>
    </w:p>
    <w:bookmarkEnd w:id="2"/>
    <w:p w:rsidR="000C4959" w:rsidRPr="002E117D" w:rsidRDefault="000C4959" w:rsidP="00D35E7F">
      <w:pPr>
        <w:widowControl/>
        <w:shd w:val="clear" w:color="auto" w:fill="FFFFFF"/>
        <w:kinsoku w:val="0"/>
        <w:snapToGrid w:val="0"/>
        <w:spacing w:line="360" w:lineRule="auto"/>
        <w:ind w:firstLineChars="200" w:firstLine="440"/>
        <w:rPr>
          <w:rFonts w:cs="Times New Roman"/>
          <w:sz w:val="22"/>
        </w:rPr>
      </w:pPr>
      <w:r w:rsidRPr="003A3CAB">
        <w:rPr>
          <w:rFonts w:cs="Times New Roman"/>
          <w:sz w:val="22"/>
        </w:rPr>
        <w:t>Here, we briefly described the steps of this study. First, peak coordinates and measurements (</w:t>
      </w:r>
      <w:r w:rsidRPr="003A3CAB">
        <w:rPr>
          <w:rFonts w:cs="Times New Roman"/>
          <w:i/>
          <w:sz w:val="22"/>
        </w:rPr>
        <w:t>z</w:t>
      </w:r>
      <w:r w:rsidRPr="003A3CAB">
        <w:rPr>
          <w:rFonts w:cs="Times New Roman"/>
          <w:sz w:val="22"/>
        </w:rPr>
        <w:t xml:space="preserve"> values, </w:t>
      </w:r>
      <w:r w:rsidRPr="003A3CAB">
        <w:rPr>
          <w:rFonts w:cs="Times New Roman"/>
          <w:i/>
          <w:sz w:val="22"/>
        </w:rPr>
        <w:t>p</w:t>
      </w:r>
      <w:r w:rsidRPr="003A3CAB">
        <w:rPr>
          <w:rFonts w:cs="Times New Roman"/>
          <w:sz w:val="22"/>
        </w:rPr>
        <w:t xml:space="preserve"> values, </w:t>
      </w:r>
      <w:r w:rsidRPr="003A3CAB">
        <w:rPr>
          <w:rFonts w:cs="Times New Roman"/>
          <w:i/>
          <w:sz w:val="22"/>
        </w:rPr>
        <w:t>t</w:t>
      </w:r>
      <w:r w:rsidRPr="003A3CAB">
        <w:rPr>
          <w:rFonts w:cs="Times New Roman"/>
          <w:sz w:val="22"/>
        </w:rPr>
        <w:t xml:space="preserve"> values) of brain activity differences were extracted at the whole-brain level, and </w:t>
      </w:r>
      <w:r w:rsidRPr="003A3CAB">
        <w:rPr>
          <w:rFonts w:cs="Times New Roman"/>
          <w:i/>
          <w:sz w:val="22"/>
        </w:rPr>
        <w:t>p</w:t>
      </w:r>
      <w:r w:rsidRPr="003A3CAB">
        <w:rPr>
          <w:rFonts w:cs="Times New Roman"/>
          <w:sz w:val="22"/>
        </w:rPr>
        <w:t xml:space="preserve"> values or </w:t>
      </w:r>
      <w:r w:rsidRPr="003A3CAB">
        <w:rPr>
          <w:rFonts w:cs="Times New Roman"/>
          <w:i/>
          <w:sz w:val="22"/>
        </w:rPr>
        <w:t>z</w:t>
      </w:r>
      <w:r w:rsidRPr="003A3CAB">
        <w:rPr>
          <w:rFonts w:cs="Times New Roman"/>
          <w:sz w:val="22"/>
        </w:rPr>
        <w:t xml:space="preserve"> values were converted to </w:t>
      </w:r>
      <w:r w:rsidRPr="003A3CAB">
        <w:rPr>
          <w:rFonts w:cs="Times New Roman"/>
          <w:i/>
          <w:sz w:val="22"/>
        </w:rPr>
        <w:t>t</w:t>
      </w:r>
      <w:r w:rsidRPr="003A3CAB">
        <w:rPr>
          <w:rFonts w:cs="Times New Roman"/>
          <w:sz w:val="22"/>
        </w:rPr>
        <w:t xml:space="preserve"> values online. Second, we performed the pre-processing step to recreate the effect-size brain maps of each original study independently, and positive and negative coordinates were reconstructed on the same map. Monte Carlo brain maps were created to facilitate the estimation of the null distributions for the subsequent analyses </w:t>
      </w:r>
      <w:r>
        <w:rPr>
          <w:rFonts w:cs="Times New Roman"/>
          <w:noProof/>
          <w:sz w:val="22"/>
        </w:rPr>
        <w:t>(Radua et al., 2012b)</w:t>
      </w:r>
      <w:r w:rsidRPr="002E117D">
        <w:rPr>
          <w:rFonts w:cs="Times New Roman"/>
          <w:sz w:val="22"/>
        </w:rPr>
        <w:t>.</w:t>
      </w:r>
      <w:r w:rsidRPr="003A3CAB">
        <w:rPr>
          <w:rFonts w:cs="Times New Roman"/>
          <w:sz w:val="22"/>
        </w:rPr>
        <w:t xml:space="preserve"> Third, an effect size map was computed for every study. From these single-study maps, a mean map weighted by the square root of the sample size of each study and the inverse of its variance plus the between-study variance accounting for interstudy heterogeneity was calculated. Default SDM kernel size and thresholds (full-width at half-maximum = 20 mm, voxel </w:t>
      </w:r>
      <w:r w:rsidRPr="003A3CAB">
        <w:rPr>
          <w:rFonts w:cs="Times New Roman"/>
          <w:i/>
          <w:sz w:val="22"/>
        </w:rPr>
        <w:t>p</w:t>
      </w:r>
      <w:r w:rsidRPr="003A3CAB">
        <w:rPr>
          <w:rFonts w:cs="Times New Roman"/>
          <w:sz w:val="22"/>
        </w:rPr>
        <w:t xml:space="preserve"> = 0.005, peak height </w:t>
      </w:r>
      <w:r w:rsidRPr="003A3CAB">
        <w:rPr>
          <w:rFonts w:cs="Times New Roman"/>
          <w:i/>
          <w:sz w:val="22"/>
        </w:rPr>
        <w:t>Z</w:t>
      </w:r>
      <w:r w:rsidRPr="003A3CAB">
        <w:rPr>
          <w:rFonts w:cs="Times New Roman"/>
          <w:sz w:val="22"/>
        </w:rPr>
        <w:t xml:space="preserve"> = 1, cluster extent = 10 voxels) were used</w:t>
      </w:r>
      <w:r w:rsidRPr="003A3CAB">
        <w:rPr>
          <w:rFonts w:cs="Times New Roman" w:hint="eastAsia"/>
          <w:sz w:val="22"/>
        </w:rPr>
        <w:t xml:space="preserve">, </w:t>
      </w:r>
      <w:r w:rsidRPr="003A3CAB">
        <w:rPr>
          <w:rFonts w:cs="Times New Roman"/>
          <w:sz w:val="22"/>
        </w:rPr>
        <w:t xml:space="preserve">which have been reported to optimally balance sensitivity and specificity </w:t>
      </w:r>
      <w:r w:rsidRPr="002E117D">
        <w:rPr>
          <w:rFonts w:cs="Times New Roman"/>
          <w:noProof/>
          <w:sz w:val="22"/>
        </w:rPr>
        <w:t>(Radua et al., 2012a; Radua et al., 2012b)</w:t>
      </w:r>
      <w:r w:rsidRPr="002E117D">
        <w:rPr>
          <w:rFonts w:cs="Times New Roman"/>
          <w:sz w:val="22"/>
        </w:rPr>
        <w:t xml:space="preserve">. </w:t>
      </w:r>
      <w:r w:rsidRPr="002E117D">
        <w:rPr>
          <w:sz w:val="22"/>
        </w:rPr>
        <w:t>In addition, to assess the robustness of the findings, complementary analyses were performed, including jack-knife sensitivity analyses, subgroup analyses and meta-regression analyses.</w:t>
      </w:r>
    </w:p>
    <w:p w:rsidR="000C4959" w:rsidRDefault="000C4959" w:rsidP="00D35E7F">
      <w:pPr>
        <w:kinsoku w:val="0"/>
        <w:snapToGrid w:val="0"/>
        <w:spacing w:line="360" w:lineRule="auto"/>
        <w:rPr>
          <w:b/>
          <w:i/>
          <w:sz w:val="22"/>
        </w:rPr>
      </w:pPr>
    </w:p>
    <w:p w:rsidR="000C4959" w:rsidRDefault="000C4959" w:rsidP="00D35E7F">
      <w:pPr>
        <w:kinsoku w:val="0"/>
        <w:snapToGrid w:val="0"/>
        <w:spacing w:line="360" w:lineRule="auto"/>
        <w:rPr>
          <w:b/>
          <w:i/>
          <w:sz w:val="22"/>
        </w:rPr>
      </w:pPr>
    </w:p>
    <w:p w:rsidR="000C4959" w:rsidRPr="00A90F6A" w:rsidRDefault="000C4959" w:rsidP="00D35E7F">
      <w:pPr>
        <w:kinsoku w:val="0"/>
        <w:snapToGrid w:val="0"/>
        <w:spacing w:line="360" w:lineRule="auto"/>
        <w:rPr>
          <w:b/>
          <w:i/>
          <w:sz w:val="22"/>
        </w:rPr>
      </w:pPr>
      <w:r w:rsidRPr="00A90F6A">
        <w:rPr>
          <w:b/>
          <w:i/>
          <w:sz w:val="22"/>
        </w:rPr>
        <w:lastRenderedPageBreak/>
        <w:t>Sensitivity analyses</w:t>
      </w:r>
    </w:p>
    <w:p w:rsidR="000C4959" w:rsidRPr="000136B1" w:rsidRDefault="000C4959" w:rsidP="00D35E7F">
      <w:pPr>
        <w:kinsoku w:val="0"/>
        <w:snapToGrid w:val="0"/>
        <w:spacing w:line="360" w:lineRule="auto"/>
        <w:rPr>
          <w:rFonts w:cs="Times New Roman"/>
          <w:sz w:val="22"/>
        </w:rPr>
      </w:pPr>
      <w:r w:rsidRPr="002E117D">
        <w:rPr>
          <w:rFonts w:cs="Times New Roman"/>
          <w:sz w:val="22"/>
        </w:rPr>
        <w:t xml:space="preserve">The robustness and publication bias of the results were assessed using jack-knife sensitivity analyses. The reliability analysis of the pooled analysis results consisted of repeating the main statistical analysis several times, and discarding one different study each time from the analysis </w:t>
      </w:r>
      <w:r w:rsidRPr="00236973">
        <w:rPr>
          <w:rFonts w:cs="Times New Roman"/>
          <w:noProof/>
          <w:sz w:val="22"/>
        </w:rPr>
        <w:t>(Radua et al., 2012b)</w:t>
      </w:r>
      <w:r w:rsidRPr="00236973">
        <w:rPr>
          <w:rFonts w:cs="Times New Roman" w:hint="eastAsia"/>
          <w:sz w:val="22"/>
        </w:rPr>
        <w:t>.</w:t>
      </w:r>
      <w:r w:rsidRPr="002E117D">
        <w:rPr>
          <w:rFonts w:cs="Times New Roman"/>
          <w:sz w:val="22"/>
        </w:rPr>
        <w:t xml:space="preserve"> Regions resulting from many different combinations of studies are regarded as highly replica</w:t>
      </w:r>
      <w:r w:rsidRPr="00C94DCC">
        <w:rPr>
          <w:rFonts w:cs="Times New Roman"/>
          <w:sz w:val="22"/>
        </w:rPr>
        <w:t>ble,</w:t>
      </w:r>
      <w:r>
        <w:rPr>
          <w:rFonts w:cs="Times New Roman"/>
          <w:sz w:val="22"/>
        </w:rPr>
        <w:t xml:space="preserve"> </w:t>
      </w:r>
      <w:r w:rsidRPr="00C94DCC">
        <w:rPr>
          <w:rFonts w:cs="Times New Roman"/>
          <w:sz w:val="22"/>
        </w:rPr>
        <w:t>whereas</w:t>
      </w:r>
      <w:r>
        <w:rPr>
          <w:rFonts w:cs="Times New Roman"/>
          <w:sz w:val="22"/>
        </w:rPr>
        <w:t xml:space="preserve"> </w:t>
      </w:r>
      <w:r w:rsidRPr="00C94DCC">
        <w:rPr>
          <w:rFonts w:cs="Times New Roman"/>
          <w:sz w:val="22"/>
        </w:rPr>
        <w:t>outlier</w:t>
      </w:r>
      <w:r>
        <w:rPr>
          <w:rFonts w:cs="Times New Roman"/>
          <w:sz w:val="22"/>
        </w:rPr>
        <w:t xml:space="preserve"> </w:t>
      </w:r>
      <w:r w:rsidRPr="00C94DCC">
        <w:rPr>
          <w:rFonts w:cs="Times New Roman"/>
          <w:sz w:val="22"/>
        </w:rPr>
        <w:t>results</w:t>
      </w:r>
      <w:r>
        <w:rPr>
          <w:rFonts w:cs="Times New Roman"/>
          <w:sz w:val="22"/>
        </w:rPr>
        <w:t xml:space="preserve"> </w:t>
      </w:r>
      <w:r w:rsidRPr="00C94DCC">
        <w:rPr>
          <w:rFonts w:cs="Times New Roman"/>
          <w:sz w:val="22"/>
        </w:rPr>
        <w:t>disappear</w:t>
      </w:r>
      <w:r>
        <w:rPr>
          <w:rFonts w:cs="Times New Roman"/>
          <w:sz w:val="22"/>
        </w:rPr>
        <w:t xml:space="preserve"> </w:t>
      </w:r>
      <w:r w:rsidRPr="00C94DCC">
        <w:rPr>
          <w:rFonts w:cs="Times New Roman"/>
          <w:sz w:val="22"/>
        </w:rPr>
        <w:t>as</w:t>
      </w:r>
      <w:r>
        <w:rPr>
          <w:rFonts w:cs="Times New Roman"/>
          <w:sz w:val="22"/>
        </w:rPr>
        <w:t xml:space="preserve"> </w:t>
      </w:r>
      <w:r w:rsidRPr="00C94DCC">
        <w:rPr>
          <w:rFonts w:cs="Times New Roman"/>
          <w:sz w:val="22"/>
        </w:rPr>
        <w:t>soon</w:t>
      </w:r>
      <w:r>
        <w:rPr>
          <w:rFonts w:cs="Times New Roman"/>
          <w:sz w:val="22"/>
        </w:rPr>
        <w:t xml:space="preserve"> </w:t>
      </w:r>
      <w:r w:rsidRPr="00C94DCC">
        <w:rPr>
          <w:rFonts w:cs="Times New Roman"/>
          <w:sz w:val="22"/>
        </w:rPr>
        <w:t>as</w:t>
      </w:r>
      <w:r>
        <w:rPr>
          <w:rFonts w:cs="Times New Roman"/>
          <w:sz w:val="22"/>
        </w:rPr>
        <w:t xml:space="preserve"> </w:t>
      </w:r>
      <w:r w:rsidRPr="00C94DCC">
        <w:rPr>
          <w:rFonts w:cs="Times New Roman"/>
          <w:sz w:val="22"/>
        </w:rPr>
        <w:t>one</w:t>
      </w:r>
      <w:r>
        <w:rPr>
          <w:rFonts w:cs="Times New Roman"/>
          <w:sz w:val="22"/>
        </w:rPr>
        <w:t xml:space="preserve"> </w:t>
      </w:r>
      <w:r w:rsidRPr="00C94DCC">
        <w:rPr>
          <w:rFonts w:cs="Times New Roman"/>
          <w:sz w:val="22"/>
        </w:rPr>
        <w:t>study</w:t>
      </w:r>
      <w:r>
        <w:rPr>
          <w:rFonts w:cs="Times New Roman"/>
          <w:sz w:val="22"/>
        </w:rPr>
        <w:t xml:space="preserve"> </w:t>
      </w:r>
      <w:r w:rsidRPr="00C94DCC">
        <w:rPr>
          <w:rFonts w:cs="Times New Roman"/>
          <w:sz w:val="22"/>
        </w:rPr>
        <w:t>is</w:t>
      </w:r>
      <w:r>
        <w:rPr>
          <w:rFonts w:cs="Times New Roman"/>
          <w:sz w:val="22"/>
        </w:rPr>
        <w:t xml:space="preserve"> </w:t>
      </w:r>
      <w:r w:rsidRPr="00C94DCC">
        <w:rPr>
          <w:rFonts w:cs="Times New Roman"/>
          <w:sz w:val="22"/>
        </w:rPr>
        <w:t>removed</w:t>
      </w:r>
      <w:r>
        <w:rPr>
          <w:rFonts w:cs="Times New Roman"/>
          <w:sz w:val="22"/>
        </w:rPr>
        <w:t xml:space="preserve"> </w:t>
      </w:r>
      <w:r w:rsidRPr="00C94DCC">
        <w:rPr>
          <w:rFonts w:cs="Times New Roman"/>
          <w:sz w:val="22"/>
        </w:rPr>
        <w:t>from</w:t>
      </w:r>
      <w:r>
        <w:rPr>
          <w:rFonts w:cs="Times New Roman"/>
          <w:sz w:val="22"/>
        </w:rPr>
        <w:t xml:space="preserve"> </w:t>
      </w:r>
      <w:r w:rsidRPr="00C94DCC">
        <w:rPr>
          <w:rFonts w:cs="Times New Roman"/>
          <w:sz w:val="22"/>
        </w:rPr>
        <w:t>the</w:t>
      </w:r>
      <w:r>
        <w:rPr>
          <w:rFonts w:cs="Times New Roman"/>
          <w:sz w:val="22"/>
        </w:rPr>
        <w:t xml:space="preserve"> </w:t>
      </w:r>
      <w:r w:rsidRPr="00C94DCC">
        <w:rPr>
          <w:rFonts w:cs="Times New Roman"/>
          <w:sz w:val="22"/>
        </w:rPr>
        <w:t>analysis,</w:t>
      </w:r>
      <w:r>
        <w:rPr>
          <w:rFonts w:cs="Times New Roman"/>
          <w:sz w:val="22"/>
        </w:rPr>
        <w:t xml:space="preserve"> </w:t>
      </w:r>
      <w:r w:rsidRPr="00C94DCC">
        <w:rPr>
          <w:rFonts w:cs="Times New Roman"/>
          <w:sz w:val="22"/>
        </w:rPr>
        <w:t>indicating</w:t>
      </w:r>
      <w:r>
        <w:rPr>
          <w:rFonts w:cs="Times New Roman"/>
          <w:sz w:val="22"/>
        </w:rPr>
        <w:t xml:space="preserve"> </w:t>
      </w:r>
      <w:r w:rsidRPr="00C94DCC">
        <w:rPr>
          <w:rFonts w:cs="Times New Roman"/>
          <w:sz w:val="22"/>
        </w:rPr>
        <w:t>a</w:t>
      </w:r>
      <w:r>
        <w:rPr>
          <w:rFonts w:cs="Times New Roman"/>
          <w:sz w:val="22"/>
        </w:rPr>
        <w:t xml:space="preserve"> </w:t>
      </w:r>
      <w:r w:rsidRPr="00C94DCC">
        <w:rPr>
          <w:rFonts w:cs="Times New Roman"/>
          <w:sz w:val="22"/>
        </w:rPr>
        <w:t>lack</w:t>
      </w:r>
      <w:r>
        <w:rPr>
          <w:rFonts w:cs="Times New Roman"/>
          <w:sz w:val="22"/>
        </w:rPr>
        <w:t xml:space="preserve"> </w:t>
      </w:r>
      <w:r w:rsidRPr="00C94DCC">
        <w:rPr>
          <w:rFonts w:cs="Times New Roman"/>
          <w:sz w:val="22"/>
        </w:rPr>
        <w:t>of</w:t>
      </w:r>
      <w:r>
        <w:rPr>
          <w:rFonts w:cs="Times New Roman"/>
          <w:sz w:val="22"/>
        </w:rPr>
        <w:t xml:space="preserve"> </w:t>
      </w:r>
      <w:r w:rsidRPr="00C94DCC">
        <w:rPr>
          <w:rFonts w:cs="Times New Roman"/>
          <w:sz w:val="22"/>
        </w:rPr>
        <w:t>interstudy</w:t>
      </w:r>
      <w:r>
        <w:rPr>
          <w:rFonts w:cs="Times New Roman"/>
          <w:sz w:val="22"/>
        </w:rPr>
        <w:t xml:space="preserve"> </w:t>
      </w:r>
      <w:r w:rsidRPr="00C94DCC">
        <w:rPr>
          <w:rFonts w:cs="Times New Roman"/>
          <w:sz w:val="22"/>
        </w:rPr>
        <w:t>consistency.</w:t>
      </w:r>
    </w:p>
    <w:p w:rsidR="000C4959" w:rsidRDefault="000C4959" w:rsidP="00D35E7F">
      <w:pPr>
        <w:kinsoku w:val="0"/>
        <w:snapToGrid w:val="0"/>
        <w:spacing w:line="360" w:lineRule="auto"/>
        <w:rPr>
          <w:b/>
          <w:i/>
          <w:sz w:val="22"/>
        </w:rPr>
      </w:pPr>
      <w:bookmarkStart w:id="3" w:name="_Hlk99307383"/>
    </w:p>
    <w:p w:rsidR="000C4959" w:rsidRPr="00A90F6A" w:rsidRDefault="000C4959" w:rsidP="00D35E7F">
      <w:pPr>
        <w:kinsoku w:val="0"/>
        <w:snapToGrid w:val="0"/>
        <w:spacing w:line="360" w:lineRule="auto"/>
        <w:rPr>
          <w:b/>
          <w:i/>
          <w:sz w:val="22"/>
        </w:rPr>
      </w:pPr>
      <w:r w:rsidRPr="00A90F6A">
        <w:rPr>
          <w:b/>
          <w:i/>
          <w:sz w:val="22"/>
        </w:rPr>
        <w:t>Subgroup analyses</w:t>
      </w:r>
      <w:bookmarkEnd w:id="3"/>
    </w:p>
    <w:p w:rsidR="000C4959" w:rsidRPr="003A3CAB" w:rsidRDefault="000C4959" w:rsidP="00D35E7F">
      <w:pPr>
        <w:kinsoku w:val="0"/>
        <w:snapToGrid w:val="0"/>
        <w:spacing w:line="360" w:lineRule="auto"/>
        <w:rPr>
          <w:rFonts w:cs="Times New Roman"/>
          <w:sz w:val="22"/>
        </w:rPr>
      </w:pPr>
      <w:bookmarkStart w:id="4" w:name="_Hlk104231561"/>
      <w:r w:rsidRPr="00551269">
        <w:rPr>
          <w:rFonts w:cs="Times New Roman"/>
          <w:sz w:val="22"/>
        </w:rPr>
        <w:t>To</w:t>
      </w:r>
      <w:r>
        <w:rPr>
          <w:rFonts w:cs="Times New Roman"/>
          <w:sz w:val="22"/>
        </w:rPr>
        <w:t xml:space="preserve"> </w:t>
      </w:r>
      <w:r w:rsidRPr="00551269">
        <w:rPr>
          <w:rFonts w:cs="Times New Roman"/>
          <w:sz w:val="22"/>
        </w:rPr>
        <w:t>control</w:t>
      </w:r>
      <w:r>
        <w:rPr>
          <w:rFonts w:cs="Times New Roman"/>
          <w:sz w:val="22"/>
        </w:rPr>
        <w:t xml:space="preserve"> </w:t>
      </w:r>
      <w:r w:rsidRPr="00551269">
        <w:rPr>
          <w:rFonts w:cs="Times New Roman"/>
          <w:sz w:val="22"/>
        </w:rPr>
        <w:t>for</w:t>
      </w:r>
      <w:r>
        <w:rPr>
          <w:rFonts w:cs="Times New Roman"/>
          <w:sz w:val="22"/>
        </w:rPr>
        <w:t xml:space="preserve"> </w:t>
      </w:r>
      <w:r w:rsidRPr="00551269">
        <w:rPr>
          <w:rFonts w:cs="Times New Roman"/>
          <w:sz w:val="22"/>
        </w:rPr>
        <w:t>any</w:t>
      </w:r>
      <w:r>
        <w:rPr>
          <w:rFonts w:cs="Times New Roman"/>
          <w:sz w:val="22"/>
        </w:rPr>
        <w:t xml:space="preserve"> </w:t>
      </w:r>
      <w:r w:rsidRPr="00551269">
        <w:rPr>
          <w:rFonts w:cs="Times New Roman"/>
          <w:sz w:val="22"/>
        </w:rPr>
        <w:t>possible</w:t>
      </w:r>
      <w:r>
        <w:rPr>
          <w:rFonts w:cs="Times New Roman"/>
          <w:sz w:val="22"/>
        </w:rPr>
        <w:t xml:space="preserve"> </w:t>
      </w:r>
      <w:r w:rsidRPr="00551269">
        <w:rPr>
          <w:rFonts w:cs="Times New Roman"/>
          <w:sz w:val="22"/>
        </w:rPr>
        <w:t>sample</w:t>
      </w:r>
      <w:r>
        <w:rPr>
          <w:rFonts w:cs="Times New Roman"/>
          <w:sz w:val="22"/>
        </w:rPr>
        <w:t xml:space="preserve"> </w:t>
      </w:r>
      <w:r w:rsidRPr="00551269">
        <w:rPr>
          <w:rFonts w:cs="Times New Roman"/>
          <w:sz w:val="22"/>
        </w:rPr>
        <w:t>and</w:t>
      </w:r>
      <w:r>
        <w:rPr>
          <w:rFonts w:cs="Times New Roman"/>
          <w:sz w:val="22"/>
        </w:rPr>
        <w:t xml:space="preserve"> </w:t>
      </w:r>
      <w:r w:rsidRPr="00551269">
        <w:rPr>
          <w:rFonts w:cs="Times New Roman"/>
          <w:sz w:val="22"/>
        </w:rPr>
        <w:t>methodological</w:t>
      </w:r>
      <w:r>
        <w:rPr>
          <w:rFonts w:cs="Times New Roman"/>
          <w:sz w:val="22"/>
        </w:rPr>
        <w:t xml:space="preserve"> </w:t>
      </w:r>
      <w:r w:rsidRPr="00551269">
        <w:rPr>
          <w:rFonts w:cs="Times New Roman"/>
          <w:sz w:val="22"/>
        </w:rPr>
        <w:t>differences</w:t>
      </w:r>
      <w:r>
        <w:rPr>
          <w:rFonts w:cs="Times New Roman"/>
          <w:sz w:val="22"/>
        </w:rPr>
        <w:t xml:space="preserve"> </w:t>
      </w:r>
      <w:r w:rsidRPr="00551269">
        <w:rPr>
          <w:rFonts w:cs="Times New Roman"/>
          <w:sz w:val="22"/>
        </w:rPr>
        <w:t>observed</w:t>
      </w:r>
      <w:r>
        <w:rPr>
          <w:rFonts w:cs="Times New Roman"/>
          <w:sz w:val="22"/>
        </w:rPr>
        <w:t xml:space="preserve"> </w:t>
      </w:r>
      <w:r w:rsidRPr="00551269">
        <w:rPr>
          <w:rFonts w:cs="Times New Roman"/>
          <w:sz w:val="22"/>
        </w:rPr>
        <w:t>among</w:t>
      </w:r>
      <w:r>
        <w:rPr>
          <w:rFonts w:cs="Times New Roman"/>
          <w:sz w:val="22"/>
        </w:rPr>
        <w:t xml:space="preserve"> </w:t>
      </w:r>
      <w:r w:rsidRPr="00551269">
        <w:rPr>
          <w:rFonts w:cs="Times New Roman"/>
          <w:sz w:val="22"/>
        </w:rPr>
        <w:t>the</w:t>
      </w:r>
      <w:r>
        <w:rPr>
          <w:rFonts w:cs="Times New Roman"/>
          <w:sz w:val="22"/>
        </w:rPr>
        <w:t xml:space="preserve"> </w:t>
      </w:r>
      <w:r w:rsidRPr="00551269">
        <w:rPr>
          <w:rFonts w:cs="Times New Roman"/>
          <w:sz w:val="22"/>
        </w:rPr>
        <w:t>studies,</w:t>
      </w:r>
      <w:r>
        <w:rPr>
          <w:rFonts w:cs="Times New Roman"/>
          <w:sz w:val="22"/>
        </w:rPr>
        <w:t xml:space="preserve"> s</w:t>
      </w:r>
      <w:r w:rsidRPr="004F2FD0">
        <w:rPr>
          <w:rFonts w:cs="Times New Roman"/>
          <w:sz w:val="22"/>
        </w:rPr>
        <w:t>everal</w:t>
      </w:r>
      <w:r>
        <w:rPr>
          <w:rFonts w:cs="Times New Roman"/>
          <w:sz w:val="22"/>
        </w:rPr>
        <w:t xml:space="preserve"> </w:t>
      </w:r>
      <w:r w:rsidRPr="004F2FD0">
        <w:rPr>
          <w:rFonts w:cs="Times New Roman"/>
          <w:sz w:val="22"/>
        </w:rPr>
        <w:t>subgroup</w:t>
      </w:r>
      <w:r>
        <w:rPr>
          <w:rFonts w:cs="Times New Roman"/>
          <w:sz w:val="22"/>
        </w:rPr>
        <w:t xml:space="preserve"> </w:t>
      </w:r>
      <w:r w:rsidRPr="004F2FD0">
        <w:rPr>
          <w:rFonts w:cs="Times New Roman"/>
          <w:sz w:val="22"/>
        </w:rPr>
        <w:t>meta-analys</w:t>
      </w:r>
      <w:r>
        <w:rPr>
          <w:rFonts w:cs="Times New Roman"/>
          <w:sz w:val="22"/>
        </w:rPr>
        <w:t>e</w:t>
      </w:r>
      <w:r w:rsidRPr="004F2FD0">
        <w:rPr>
          <w:rFonts w:cs="Times New Roman"/>
          <w:sz w:val="22"/>
        </w:rPr>
        <w:t>s</w:t>
      </w:r>
      <w:r>
        <w:rPr>
          <w:rFonts w:cs="Times New Roman"/>
          <w:sz w:val="22"/>
        </w:rPr>
        <w:t xml:space="preserve"> </w:t>
      </w:r>
      <w:r w:rsidRPr="004F2FD0">
        <w:rPr>
          <w:rFonts w:cs="Times New Roman"/>
          <w:sz w:val="22"/>
        </w:rPr>
        <w:t>were</w:t>
      </w:r>
      <w:r>
        <w:rPr>
          <w:rFonts w:cs="Times New Roman"/>
          <w:sz w:val="22"/>
        </w:rPr>
        <w:t xml:space="preserve"> </w:t>
      </w:r>
      <w:r w:rsidRPr="004F2FD0">
        <w:rPr>
          <w:rFonts w:cs="Times New Roman"/>
          <w:sz w:val="22"/>
        </w:rPr>
        <w:t>conducted</w:t>
      </w:r>
      <w:r>
        <w:rPr>
          <w:rFonts w:cs="Times New Roman"/>
          <w:sz w:val="22"/>
        </w:rPr>
        <w:t xml:space="preserve"> </w:t>
      </w:r>
      <w:r w:rsidRPr="004F2FD0">
        <w:rPr>
          <w:rFonts w:cs="Times New Roman"/>
          <w:sz w:val="22"/>
        </w:rPr>
        <w:t>to</w:t>
      </w:r>
      <w:r>
        <w:rPr>
          <w:rFonts w:cs="Times New Roman"/>
          <w:sz w:val="22"/>
        </w:rPr>
        <w:t xml:space="preserve"> </w:t>
      </w:r>
      <w:r w:rsidRPr="004F2FD0">
        <w:rPr>
          <w:rFonts w:cs="Times New Roman"/>
          <w:sz w:val="22"/>
        </w:rPr>
        <w:t>assess</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reliability</w:t>
      </w:r>
      <w:r>
        <w:rPr>
          <w:rFonts w:cs="Times New Roman"/>
          <w:sz w:val="22"/>
        </w:rPr>
        <w:t xml:space="preserve"> </w:t>
      </w:r>
      <w:r w:rsidRPr="004F2FD0">
        <w:rPr>
          <w:rFonts w:cs="Times New Roman"/>
          <w:sz w:val="22"/>
        </w:rPr>
        <w:t>of</w:t>
      </w:r>
      <w:r>
        <w:rPr>
          <w:rFonts w:cs="Times New Roman"/>
          <w:sz w:val="22"/>
        </w:rPr>
        <w:t xml:space="preserve"> </w:t>
      </w:r>
      <w:r w:rsidRPr="004F2FD0">
        <w:rPr>
          <w:rFonts w:cs="Times New Roman"/>
          <w:sz w:val="22"/>
        </w:rPr>
        <w:t>our</w:t>
      </w:r>
      <w:r>
        <w:rPr>
          <w:rFonts w:cs="Times New Roman"/>
          <w:sz w:val="22"/>
        </w:rPr>
        <w:t xml:space="preserve"> </w:t>
      </w:r>
      <w:r w:rsidRPr="004F2FD0">
        <w:rPr>
          <w:rFonts w:cs="Times New Roman"/>
          <w:sz w:val="22"/>
        </w:rPr>
        <w:t>results</w:t>
      </w:r>
      <w:r>
        <w:rPr>
          <w:rFonts w:cs="Times New Roman"/>
          <w:sz w:val="22"/>
        </w:rPr>
        <w:t xml:space="preserve"> </w:t>
      </w:r>
      <w:r w:rsidRPr="004F2FD0">
        <w:rPr>
          <w:rFonts w:cs="Times New Roman"/>
          <w:sz w:val="22"/>
        </w:rPr>
        <w:t>during</w:t>
      </w:r>
      <w:r>
        <w:rPr>
          <w:rFonts w:cs="Times New Roman"/>
          <w:sz w:val="22"/>
        </w:rPr>
        <w:t xml:space="preserve"> the </w:t>
      </w:r>
      <w:r w:rsidRPr="004F2FD0">
        <w:rPr>
          <w:rFonts w:cs="Times New Roman"/>
          <w:sz w:val="22"/>
        </w:rPr>
        <w:t>two</w:t>
      </w:r>
      <w:r>
        <w:rPr>
          <w:rFonts w:cs="Times New Roman"/>
          <w:sz w:val="22"/>
        </w:rPr>
        <w:t xml:space="preserve"> </w:t>
      </w:r>
      <w:r w:rsidRPr="004F2FD0">
        <w:rPr>
          <w:rFonts w:cs="Times New Roman"/>
          <w:sz w:val="22"/>
        </w:rPr>
        <w:t>stages</w:t>
      </w:r>
      <w:r>
        <w:rPr>
          <w:rFonts w:cs="Times New Roman"/>
          <w:sz w:val="22"/>
        </w:rPr>
        <w:t xml:space="preserve"> </w:t>
      </w:r>
      <w:r w:rsidRPr="004F2FD0">
        <w:rPr>
          <w:rFonts w:cs="Times New Roman"/>
          <w:sz w:val="22"/>
        </w:rPr>
        <w:t>separate</w:t>
      </w:r>
      <w:r w:rsidRPr="003A3CAB">
        <w:rPr>
          <w:rFonts w:cs="Times New Roman"/>
          <w:sz w:val="22"/>
        </w:rPr>
        <w:t>ly</w:t>
      </w:r>
      <w:bookmarkStart w:id="5" w:name="_Hlk99304942"/>
      <w:bookmarkStart w:id="6" w:name="_Hlk103033281"/>
      <w:r w:rsidRPr="003A3CAB">
        <w:rPr>
          <w:rFonts w:cs="Times New Roman"/>
          <w:szCs w:val="21"/>
        </w:rPr>
        <w:t>.</w:t>
      </w:r>
      <w:r w:rsidRPr="003A3CAB">
        <w:rPr>
          <w:rFonts w:cs="Times New Roman"/>
          <w:sz w:val="22"/>
        </w:rPr>
        <w:t xml:space="preserve"> </w:t>
      </w:r>
      <w:bookmarkEnd w:id="5"/>
      <w:r w:rsidRPr="003A3CAB">
        <w:rPr>
          <w:rFonts w:cs="Times New Roman"/>
          <w:sz w:val="22"/>
        </w:rPr>
        <w:t xml:space="preserve">In order to control for any possible differences observed between the studies, the analyses were repeated several times to include only those studies that were methodologically homogenous. Therefore, the analyses were repeated for studies of patients with comorbid anxiety, and for studies using 3.0 T </w:t>
      </w:r>
      <w:r w:rsidRPr="00415729">
        <w:rPr>
          <w:rFonts w:cs="Times New Roman"/>
          <w:sz w:val="22"/>
        </w:rPr>
        <w:t xml:space="preserve">magnetic resonance imaging </w:t>
      </w:r>
      <w:r>
        <w:rPr>
          <w:rFonts w:cs="Times New Roman"/>
          <w:sz w:val="22"/>
        </w:rPr>
        <w:t>(</w:t>
      </w:r>
      <w:r w:rsidRPr="003A3CAB">
        <w:rPr>
          <w:rFonts w:cs="Times New Roman"/>
          <w:sz w:val="22"/>
        </w:rPr>
        <w:t>MR</w:t>
      </w:r>
      <w:r w:rsidRPr="003A3CAB">
        <w:rPr>
          <w:rFonts w:cs="Times New Roman" w:hint="eastAsia"/>
          <w:sz w:val="22"/>
        </w:rPr>
        <w:t>I</w:t>
      </w:r>
      <w:r>
        <w:rPr>
          <w:rFonts w:cs="Times New Roman"/>
          <w:sz w:val="22"/>
        </w:rPr>
        <w:t>)</w:t>
      </w:r>
      <w:r w:rsidRPr="003A3CAB">
        <w:rPr>
          <w:rFonts w:cs="Times New Roman"/>
          <w:sz w:val="22"/>
        </w:rPr>
        <w:t xml:space="preserve"> scanner. To observe the potential effect of medication on </w:t>
      </w:r>
      <w:bookmarkStart w:id="7" w:name="_Hlk103201291"/>
      <w:r w:rsidRPr="003A3CAB">
        <w:rPr>
          <w:rFonts w:cs="Times New Roman"/>
          <w:sz w:val="22"/>
        </w:rPr>
        <w:t xml:space="preserve">the </w:t>
      </w:r>
      <w:r w:rsidRPr="003A3CAB">
        <w:rPr>
          <w:rFonts w:cs="Times New Roman" w:hint="eastAsia"/>
          <w:sz w:val="22"/>
        </w:rPr>
        <w:t>monetary</w:t>
      </w:r>
      <w:r w:rsidRPr="003A3CAB">
        <w:rPr>
          <w:rFonts w:cs="Times New Roman"/>
          <w:sz w:val="22"/>
        </w:rPr>
        <w:t xml:space="preserve"> </w:t>
      </w:r>
      <w:r w:rsidRPr="003A3CAB">
        <w:rPr>
          <w:rFonts w:cs="Times New Roman" w:hint="eastAsia"/>
          <w:sz w:val="22"/>
        </w:rPr>
        <w:t>incentive</w:t>
      </w:r>
      <w:r w:rsidRPr="003A3CAB">
        <w:rPr>
          <w:rFonts w:cs="Times New Roman"/>
          <w:sz w:val="22"/>
        </w:rPr>
        <w:t xml:space="preserve"> </w:t>
      </w:r>
      <w:r w:rsidRPr="003A3CAB">
        <w:rPr>
          <w:rFonts w:cs="Times New Roman" w:hint="eastAsia"/>
          <w:sz w:val="22"/>
        </w:rPr>
        <w:t>delay</w:t>
      </w:r>
      <w:r w:rsidRPr="003A3CAB">
        <w:rPr>
          <w:rFonts w:cs="Times New Roman"/>
          <w:sz w:val="22"/>
        </w:rPr>
        <w:t xml:space="preserve"> </w:t>
      </w:r>
      <w:r w:rsidRPr="003A3CAB">
        <w:rPr>
          <w:rFonts w:cs="Times New Roman" w:hint="eastAsia"/>
          <w:sz w:val="22"/>
        </w:rPr>
        <w:t>task</w:t>
      </w:r>
      <w:bookmarkEnd w:id="7"/>
      <w:r w:rsidRPr="003A3CAB">
        <w:rPr>
          <w:rFonts w:cs="Times New Roman"/>
          <w:sz w:val="22"/>
        </w:rPr>
        <w:t xml:space="preserve"> (MID) related to brain changes, it is better to compare treated patients directly to treatment-naïve individuals, compare pre-treatment and post-treatment results, or compare treatment and placebo conditions. We compared these results with a subgroup analysis of </w:t>
      </w:r>
      <w:r w:rsidRPr="008C22E4">
        <w:rPr>
          <w:rFonts w:cs="Times New Roman"/>
          <w:sz w:val="22"/>
        </w:rPr>
        <w:t>major depressive disorder</w:t>
      </w:r>
      <w:r w:rsidRPr="003A3CAB">
        <w:rPr>
          <w:rFonts w:cs="Times New Roman"/>
          <w:sz w:val="22"/>
        </w:rPr>
        <w:t xml:space="preserve"> </w:t>
      </w:r>
      <w:r>
        <w:rPr>
          <w:rFonts w:cs="Times New Roman"/>
          <w:sz w:val="22"/>
        </w:rPr>
        <w:t>(</w:t>
      </w:r>
      <w:r w:rsidRPr="003A3CAB">
        <w:rPr>
          <w:rFonts w:cs="Times New Roman"/>
          <w:sz w:val="22"/>
        </w:rPr>
        <w:t>MDD</w:t>
      </w:r>
      <w:r w:rsidRPr="008C22E4">
        <w:rPr>
          <w:rFonts w:cs="Times New Roman"/>
          <w:sz w:val="22"/>
        </w:rPr>
        <w:t xml:space="preserve">) </w:t>
      </w:r>
      <w:r w:rsidRPr="003A3CAB">
        <w:rPr>
          <w:rFonts w:cs="Times New Roman"/>
          <w:sz w:val="22"/>
        </w:rPr>
        <w:t>patients who underwent a wash-out period before MRI scanning, given that there were insufficient data to perform the above medication-related comparisons.</w:t>
      </w:r>
      <w:bookmarkEnd w:id="6"/>
    </w:p>
    <w:bookmarkEnd w:id="4"/>
    <w:p w:rsidR="000C4959" w:rsidRDefault="000C4959" w:rsidP="00D35E7F">
      <w:pPr>
        <w:kinsoku w:val="0"/>
        <w:snapToGrid w:val="0"/>
        <w:spacing w:line="360" w:lineRule="auto"/>
        <w:rPr>
          <w:b/>
          <w:i/>
          <w:sz w:val="22"/>
        </w:rPr>
      </w:pPr>
    </w:p>
    <w:p w:rsidR="000C4959" w:rsidRPr="00FA3AFE" w:rsidRDefault="000C4959" w:rsidP="00D35E7F">
      <w:pPr>
        <w:kinsoku w:val="0"/>
        <w:snapToGrid w:val="0"/>
        <w:spacing w:line="360" w:lineRule="auto"/>
        <w:rPr>
          <w:rFonts w:cs="Times New Roman"/>
          <w:sz w:val="22"/>
        </w:rPr>
      </w:pPr>
      <w:r w:rsidRPr="00A90F6A">
        <w:rPr>
          <w:b/>
          <w:i/>
          <w:sz w:val="22"/>
        </w:rPr>
        <w:t>Meta-regression analyses</w:t>
      </w:r>
    </w:p>
    <w:p w:rsidR="000C4959" w:rsidRPr="004F2FD0" w:rsidRDefault="000C4959" w:rsidP="00D35E7F">
      <w:pPr>
        <w:kinsoku w:val="0"/>
        <w:snapToGrid w:val="0"/>
        <w:spacing w:line="360" w:lineRule="auto"/>
        <w:rPr>
          <w:rFonts w:cs="Times New Roman"/>
          <w:sz w:val="22"/>
        </w:rPr>
      </w:pPr>
      <w:r>
        <w:rPr>
          <w:rFonts w:cs="Times New Roman"/>
          <w:sz w:val="22"/>
        </w:rPr>
        <w:t>M</w:t>
      </w:r>
      <w:r w:rsidRPr="004F2FD0">
        <w:rPr>
          <w:rFonts w:cs="Times New Roman"/>
          <w:sz w:val="22"/>
        </w:rPr>
        <w:t>eta-regression</w:t>
      </w:r>
      <w:r>
        <w:rPr>
          <w:rFonts w:cs="Times New Roman"/>
          <w:sz w:val="22"/>
        </w:rPr>
        <w:t xml:space="preserve"> </w:t>
      </w:r>
      <w:r w:rsidRPr="004F2FD0">
        <w:rPr>
          <w:rFonts w:cs="Times New Roman"/>
          <w:sz w:val="22"/>
        </w:rPr>
        <w:t>analyses</w:t>
      </w:r>
      <w:r>
        <w:rPr>
          <w:rFonts w:cs="Times New Roman"/>
          <w:sz w:val="22"/>
        </w:rPr>
        <w:t xml:space="preserve"> </w:t>
      </w:r>
      <w:r w:rsidRPr="004F2FD0">
        <w:rPr>
          <w:rFonts w:cs="Times New Roman"/>
          <w:sz w:val="22"/>
        </w:rPr>
        <w:t>were</w:t>
      </w:r>
      <w:r>
        <w:rPr>
          <w:rFonts w:cs="Times New Roman"/>
          <w:sz w:val="22"/>
        </w:rPr>
        <w:t xml:space="preserve"> </w:t>
      </w:r>
      <w:r w:rsidRPr="004F2FD0">
        <w:rPr>
          <w:rFonts w:cs="Times New Roman"/>
          <w:sz w:val="22"/>
        </w:rPr>
        <w:t>conducted</w:t>
      </w:r>
      <w:r>
        <w:rPr>
          <w:rFonts w:cs="Times New Roman"/>
          <w:sz w:val="22"/>
        </w:rPr>
        <w:t xml:space="preserve"> </w:t>
      </w:r>
      <w:r w:rsidRPr="004F2FD0">
        <w:rPr>
          <w:rFonts w:cs="Times New Roman"/>
          <w:sz w:val="22"/>
        </w:rPr>
        <w:t>to</w:t>
      </w:r>
      <w:r>
        <w:rPr>
          <w:rFonts w:cs="Times New Roman"/>
          <w:sz w:val="22"/>
        </w:rPr>
        <w:t xml:space="preserve"> </w:t>
      </w:r>
      <w:r w:rsidRPr="004F2FD0">
        <w:rPr>
          <w:rFonts w:cs="Times New Roman"/>
          <w:sz w:val="22"/>
        </w:rPr>
        <w:t>examine</w:t>
      </w:r>
      <w:r>
        <w:rPr>
          <w:rFonts w:cs="Times New Roman"/>
          <w:sz w:val="22"/>
        </w:rPr>
        <w:t xml:space="preserve"> </w:t>
      </w:r>
      <w:r w:rsidRPr="004F2FD0">
        <w:rPr>
          <w:rFonts w:cs="Times New Roman"/>
          <w:sz w:val="22"/>
        </w:rPr>
        <w:t>the</w:t>
      </w:r>
      <w:r>
        <w:rPr>
          <w:rFonts w:cs="Times New Roman"/>
          <w:sz w:val="22"/>
        </w:rPr>
        <w:t xml:space="preserve"> potential </w:t>
      </w:r>
      <w:r w:rsidRPr="004F2FD0">
        <w:rPr>
          <w:rFonts w:cs="Times New Roman"/>
          <w:sz w:val="22"/>
        </w:rPr>
        <w:t>variables</w:t>
      </w:r>
      <w:r>
        <w:rPr>
          <w:rFonts w:cs="Times New Roman"/>
          <w:sz w:val="22"/>
        </w:rPr>
        <w:t xml:space="preserve"> </w:t>
      </w:r>
      <w:r w:rsidRPr="004F2FD0">
        <w:rPr>
          <w:rFonts w:cs="Times New Roman"/>
          <w:sz w:val="22"/>
        </w:rPr>
        <w:t>contributing</w:t>
      </w:r>
      <w:r>
        <w:rPr>
          <w:rFonts w:cs="Times New Roman"/>
          <w:sz w:val="22"/>
        </w:rPr>
        <w:t xml:space="preserve"> </w:t>
      </w:r>
      <w:r w:rsidRPr="004F2FD0">
        <w:rPr>
          <w:rFonts w:cs="Times New Roman"/>
          <w:sz w:val="22"/>
        </w:rPr>
        <w:t>to</w:t>
      </w:r>
      <w:r>
        <w:rPr>
          <w:rFonts w:cs="Times New Roman"/>
          <w:sz w:val="22"/>
        </w:rPr>
        <w:t xml:space="preserve"> the </w:t>
      </w:r>
      <w:r w:rsidRPr="004F2FD0">
        <w:rPr>
          <w:rFonts w:cs="Times New Roman"/>
          <w:sz w:val="22"/>
        </w:rPr>
        <w:t>heterogeneity</w:t>
      </w:r>
      <w:r>
        <w:rPr>
          <w:rFonts w:cs="Times New Roman"/>
          <w:sz w:val="22"/>
        </w:rPr>
        <w:t xml:space="preserve"> </w:t>
      </w:r>
      <w:r w:rsidRPr="004F2FD0">
        <w:rPr>
          <w:rFonts w:cs="Times New Roman"/>
          <w:sz w:val="22"/>
        </w:rPr>
        <w:t>of</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findings.</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regression</w:t>
      </w:r>
      <w:r>
        <w:rPr>
          <w:rFonts w:cs="Times New Roman"/>
          <w:sz w:val="22"/>
        </w:rPr>
        <w:t xml:space="preserve"> </w:t>
      </w:r>
      <w:r w:rsidRPr="004F2FD0">
        <w:rPr>
          <w:rFonts w:cs="Times New Roman"/>
          <w:sz w:val="22"/>
        </w:rPr>
        <w:t>needed</w:t>
      </w:r>
      <w:r>
        <w:rPr>
          <w:rFonts w:cs="Times New Roman"/>
          <w:sz w:val="22"/>
        </w:rPr>
        <w:t xml:space="preserve"> </w:t>
      </w:r>
      <w:r w:rsidRPr="004F2FD0">
        <w:rPr>
          <w:rFonts w:cs="Times New Roman"/>
          <w:sz w:val="22"/>
        </w:rPr>
        <w:t>to</w:t>
      </w:r>
      <w:r>
        <w:rPr>
          <w:rFonts w:cs="Times New Roman"/>
          <w:sz w:val="22"/>
        </w:rPr>
        <w:t xml:space="preserve"> </w:t>
      </w:r>
      <w:r w:rsidRPr="004F2FD0">
        <w:rPr>
          <w:rFonts w:cs="Times New Roman"/>
          <w:sz w:val="22"/>
        </w:rPr>
        <w:t>be</w:t>
      </w:r>
      <w:r>
        <w:rPr>
          <w:rFonts w:cs="Times New Roman"/>
          <w:sz w:val="22"/>
        </w:rPr>
        <w:t xml:space="preserve"> </w:t>
      </w:r>
      <w:r w:rsidRPr="004F2FD0">
        <w:rPr>
          <w:rFonts w:cs="Times New Roman"/>
          <w:sz w:val="22"/>
        </w:rPr>
        <w:t>detected</w:t>
      </w:r>
      <w:r>
        <w:rPr>
          <w:rFonts w:cs="Times New Roman"/>
          <w:sz w:val="22"/>
        </w:rPr>
        <w:t xml:space="preserve"> </w:t>
      </w:r>
      <w:r w:rsidRPr="004F2FD0">
        <w:rPr>
          <w:rFonts w:cs="Times New Roman"/>
          <w:sz w:val="22"/>
        </w:rPr>
        <w:t>both</w:t>
      </w:r>
      <w:r>
        <w:rPr>
          <w:rFonts w:cs="Times New Roman"/>
          <w:sz w:val="22"/>
        </w:rPr>
        <w:t xml:space="preserve"> </w:t>
      </w:r>
      <w:r w:rsidRPr="004F2FD0">
        <w:rPr>
          <w:rFonts w:cs="Times New Roman"/>
          <w:sz w:val="22"/>
        </w:rPr>
        <w:t>in</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slope</w:t>
      </w:r>
      <w:r>
        <w:rPr>
          <w:rFonts w:cs="Times New Roman"/>
          <w:sz w:val="22"/>
        </w:rPr>
        <w:t xml:space="preserve"> </w:t>
      </w:r>
      <w:r w:rsidRPr="004F2FD0">
        <w:rPr>
          <w:rFonts w:cs="Times New Roman"/>
          <w:sz w:val="22"/>
        </w:rPr>
        <w:t>and</w:t>
      </w:r>
      <w:r>
        <w:rPr>
          <w:rFonts w:cs="Times New Roman"/>
          <w:sz w:val="22"/>
        </w:rPr>
        <w:t xml:space="preserve"> </w:t>
      </w:r>
      <w:r w:rsidRPr="004F2FD0">
        <w:rPr>
          <w:rFonts w:cs="Times New Roman"/>
          <w:sz w:val="22"/>
        </w:rPr>
        <w:t>in</w:t>
      </w:r>
      <w:r>
        <w:rPr>
          <w:rFonts w:cs="Times New Roman"/>
          <w:sz w:val="22"/>
        </w:rPr>
        <w:t xml:space="preserve"> </w:t>
      </w:r>
      <w:r w:rsidRPr="004F2FD0">
        <w:rPr>
          <w:rFonts w:cs="Times New Roman"/>
          <w:sz w:val="22"/>
        </w:rPr>
        <w:t>one</w:t>
      </w:r>
      <w:r>
        <w:rPr>
          <w:rFonts w:cs="Times New Roman"/>
          <w:sz w:val="22"/>
        </w:rPr>
        <w:t xml:space="preserve"> </w:t>
      </w:r>
      <w:r w:rsidRPr="004F2FD0">
        <w:rPr>
          <w:rFonts w:cs="Times New Roman"/>
          <w:sz w:val="22"/>
        </w:rPr>
        <w:t>of</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extremes</w:t>
      </w:r>
      <w:r>
        <w:rPr>
          <w:rFonts w:cs="Times New Roman"/>
          <w:sz w:val="22"/>
        </w:rPr>
        <w:t xml:space="preserve"> </w:t>
      </w:r>
      <w:r w:rsidRPr="004F2FD0">
        <w:rPr>
          <w:rFonts w:cs="Times New Roman"/>
          <w:sz w:val="22"/>
        </w:rPr>
        <w:t>of</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regressors,</w:t>
      </w:r>
      <w:r>
        <w:rPr>
          <w:rFonts w:cs="Times New Roman"/>
          <w:sz w:val="22"/>
        </w:rPr>
        <w:t xml:space="preserve"> </w:t>
      </w:r>
      <w:r w:rsidRPr="004F2FD0">
        <w:rPr>
          <w:rFonts w:cs="Times New Roman"/>
          <w:sz w:val="22"/>
        </w:rPr>
        <w:t>and</w:t>
      </w:r>
      <w:r>
        <w:rPr>
          <w:rFonts w:cs="Times New Roman"/>
          <w:sz w:val="22"/>
        </w:rPr>
        <w:t xml:space="preserve"> </w:t>
      </w:r>
      <w:r w:rsidRPr="004F2FD0">
        <w:rPr>
          <w:rFonts w:cs="Times New Roman"/>
          <w:sz w:val="22"/>
        </w:rPr>
        <w:t>analyses</w:t>
      </w:r>
      <w:r>
        <w:rPr>
          <w:rFonts w:cs="Times New Roman"/>
          <w:sz w:val="22"/>
        </w:rPr>
        <w:t xml:space="preserve"> </w:t>
      </w:r>
      <w:r w:rsidRPr="004F2FD0">
        <w:rPr>
          <w:rFonts w:cs="Times New Roman"/>
          <w:sz w:val="22"/>
        </w:rPr>
        <w:t>were</w:t>
      </w:r>
      <w:r>
        <w:rPr>
          <w:rFonts w:cs="Times New Roman"/>
          <w:sz w:val="22"/>
        </w:rPr>
        <w:t xml:space="preserve"> </w:t>
      </w:r>
      <w:r w:rsidRPr="004F2FD0">
        <w:rPr>
          <w:rFonts w:cs="Times New Roman"/>
          <w:sz w:val="22"/>
        </w:rPr>
        <w:t>restricted</w:t>
      </w:r>
      <w:r>
        <w:rPr>
          <w:rFonts w:cs="Times New Roman"/>
          <w:sz w:val="22"/>
        </w:rPr>
        <w:t xml:space="preserve"> </w:t>
      </w:r>
      <w:r w:rsidRPr="004F2FD0">
        <w:rPr>
          <w:rFonts w:cs="Times New Roman"/>
          <w:sz w:val="22"/>
        </w:rPr>
        <w:t>to</w:t>
      </w:r>
      <w:r>
        <w:rPr>
          <w:rFonts w:cs="Times New Roman"/>
          <w:sz w:val="22"/>
        </w:rPr>
        <w:t xml:space="preserve"> </w:t>
      </w:r>
      <w:r w:rsidRPr="004F2FD0">
        <w:rPr>
          <w:rFonts w:cs="Times New Roman"/>
          <w:sz w:val="22"/>
        </w:rPr>
        <w:t>brain</w:t>
      </w:r>
      <w:r>
        <w:rPr>
          <w:rFonts w:cs="Times New Roman"/>
          <w:sz w:val="22"/>
        </w:rPr>
        <w:t xml:space="preserve"> </w:t>
      </w:r>
      <w:r w:rsidRPr="004F2FD0">
        <w:rPr>
          <w:rFonts w:cs="Times New Roman"/>
          <w:sz w:val="22"/>
        </w:rPr>
        <w:t>regions</w:t>
      </w:r>
      <w:r>
        <w:rPr>
          <w:rFonts w:cs="Times New Roman"/>
          <w:sz w:val="22"/>
        </w:rPr>
        <w:t xml:space="preserve"> </w:t>
      </w:r>
      <w:r w:rsidRPr="004F2FD0">
        <w:rPr>
          <w:rFonts w:cs="Times New Roman"/>
          <w:sz w:val="22"/>
        </w:rPr>
        <w:t>identified</w:t>
      </w:r>
      <w:r>
        <w:rPr>
          <w:rFonts w:cs="Times New Roman"/>
          <w:sz w:val="22"/>
        </w:rPr>
        <w:t xml:space="preserve"> </w:t>
      </w:r>
      <w:r w:rsidRPr="004F2FD0">
        <w:rPr>
          <w:rFonts w:cs="Times New Roman"/>
          <w:sz w:val="22"/>
        </w:rPr>
        <w:t>in</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primary</w:t>
      </w:r>
      <w:r>
        <w:rPr>
          <w:rFonts w:cs="Times New Roman"/>
          <w:sz w:val="22"/>
        </w:rPr>
        <w:t xml:space="preserve"> </w:t>
      </w:r>
      <w:r w:rsidRPr="004F2FD0">
        <w:rPr>
          <w:rFonts w:cs="Times New Roman"/>
          <w:sz w:val="22"/>
        </w:rPr>
        <w:t>meta-analysis</w:t>
      </w:r>
      <w:r>
        <w:rPr>
          <w:rFonts w:cs="Times New Roman"/>
          <w:sz w:val="22"/>
        </w:rPr>
        <w:t xml:space="preserve"> </w:t>
      </w:r>
      <w:r w:rsidRPr="004F2FD0">
        <w:rPr>
          <w:rFonts w:cs="Times New Roman"/>
          <w:sz w:val="22"/>
        </w:rPr>
        <w:t>comparing</w:t>
      </w:r>
      <w:r>
        <w:rPr>
          <w:rFonts w:cs="Times New Roman"/>
          <w:sz w:val="22"/>
        </w:rPr>
        <w:t xml:space="preserve"> </w:t>
      </w:r>
      <w:r w:rsidRPr="004F2FD0">
        <w:rPr>
          <w:rFonts w:cs="Times New Roman"/>
          <w:sz w:val="22"/>
        </w:rPr>
        <w:t>patients</w:t>
      </w:r>
      <w:r>
        <w:rPr>
          <w:rFonts w:cs="Times New Roman"/>
          <w:sz w:val="22"/>
        </w:rPr>
        <w:t xml:space="preserve"> </w:t>
      </w:r>
      <w:r w:rsidRPr="004F2FD0">
        <w:rPr>
          <w:rFonts w:cs="Times New Roman"/>
          <w:sz w:val="22"/>
        </w:rPr>
        <w:t>and</w:t>
      </w:r>
      <w:r>
        <w:rPr>
          <w:rFonts w:cs="Times New Roman"/>
          <w:sz w:val="22"/>
        </w:rPr>
        <w:t xml:space="preserve"> </w:t>
      </w:r>
      <w:r w:rsidRPr="004F2FD0">
        <w:rPr>
          <w:rFonts w:cs="Times New Roman"/>
          <w:sz w:val="22"/>
        </w:rPr>
        <w:t>controls.</w:t>
      </w:r>
      <w:r>
        <w:rPr>
          <w:rFonts w:cs="Times New Roman"/>
          <w:sz w:val="22"/>
        </w:rPr>
        <w:t xml:space="preserve"> The </w:t>
      </w:r>
      <w:r w:rsidRPr="007C582A">
        <w:rPr>
          <w:rFonts w:cs="Times New Roman"/>
          <w:sz w:val="22"/>
        </w:rPr>
        <w:t>threshold</w:t>
      </w:r>
      <w:r>
        <w:rPr>
          <w:rFonts w:cs="Times New Roman"/>
          <w:sz w:val="22"/>
        </w:rPr>
        <w:t xml:space="preserve"> </w:t>
      </w:r>
      <w:r w:rsidRPr="007C582A">
        <w:rPr>
          <w:rFonts w:cs="Times New Roman"/>
          <w:sz w:val="22"/>
        </w:rPr>
        <w:t>for</w:t>
      </w:r>
      <w:r>
        <w:rPr>
          <w:rFonts w:cs="Times New Roman"/>
          <w:sz w:val="22"/>
        </w:rPr>
        <w:t xml:space="preserve"> </w:t>
      </w:r>
      <w:r w:rsidRPr="007C582A">
        <w:rPr>
          <w:rFonts w:cs="Times New Roman"/>
          <w:sz w:val="22"/>
        </w:rPr>
        <w:t>meta-regression</w:t>
      </w:r>
      <w:r>
        <w:rPr>
          <w:rFonts w:cs="Times New Roman"/>
          <w:sz w:val="22"/>
        </w:rPr>
        <w:t xml:space="preserve"> </w:t>
      </w:r>
      <w:r w:rsidRPr="007C582A">
        <w:rPr>
          <w:rFonts w:cs="Times New Roman"/>
          <w:sz w:val="22"/>
        </w:rPr>
        <w:t>analysis</w:t>
      </w:r>
      <w:r>
        <w:rPr>
          <w:rFonts w:cs="Times New Roman"/>
          <w:sz w:val="22"/>
        </w:rPr>
        <w:t xml:space="preserve"> </w:t>
      </w:r>
      <w:r w:rsidRPr="007C582A">
        <w:rPr>
          <w:rFonts w:cs="Times New Roman"/>
          <w:sz w:val="22"/>
        </w:rPr>
        <w:t>was</w:t>
      </w:r>
      <w:r>
        <w:rPr>
          <w:rFonts w:cs="Times New Roman"/>
          <w:sz w:val="22"/>
        </w:rPr>
        <w:t xml:space="preserve"> </w:t>
      </w:r>
      <w:r w:rsidRPr="007C582A">
        <w:rPr>
          <w:rFonts w:cs="Times New Roman"/>
          <w:sz w:val="22"/>
        </w:rPr>
        <w:t>set</w:t>
      </w:r>
      <w:r>
        <w:rPr>
          <w:rFonts w:cs="Times New Roman"/>
          <w:sz w:val="22"/>
        </w:rPr>
        <w:t xml:space="preserve"> </w:t>
      </w:r>
      <w:r w:rsidRPr="007C582A">
        <w:rPr>
          <w:rFonts w:cs="Times New Roman"/>
          <w:sz w:val="22"/>
        </w:rPr>
        <w:t>at</w:t>
      </w:r>
      <w:r>
        <w:rPr>
          <w:rFonts w:cs="Times New Roman"/>
          <w:sz w:val="22"/>
        </w:rPr>
        <w:t xml:space="preserve"> </w:t>
      </w:r>
      <w:r w:rsidRPr="00BE4B83">
        <w:rPr>
          <w:rFonts w:cs="Times New Roman"/>
          <w:i/>
          <w:sz w:val="22"/>
        </w:rPr>
        <w:t>p</w:t>
      </w:r>
      <w:r>
        <w:rPr>
          <w:rFonts w:cs="Times New Roman"/>
          <w:sz w:val="22"/>
        </w:rPr>
        <w:t xml:space="preserve"> </w:t>
      </w:r>
      <w:r w:rsidRPr="004F2FD0">
        <w:rPr>
          <w:rFonts w:cs="Times New Roman"/>
          <w:sz w:val="22"/>
        </w:rPr>
        <w:t>&lt;</w:t>
      </w:r>
      <w:r>
        <w:rPr>
          <w:rFonts w:cs="Times New Roman"/>
          <w:sz w:val="22"/>
        </w:rPr>
        <w:t xml:space="preserve"> </w:t>
      </w:r>
      <w:r w:rsidRPr="004F2FD0">
        <w:rPr>
          <w:rFonts w:cs="Times New Roman"/>
          <w:sz w:val="22"/>
        </w:rPr>
        <w:t>0.0005</w:t>
      </w:r>
      <w:r>
        <w:rPr>
          <w:rFonts w:cs="Times New Roman"/>
          <w:sz w:val="22"/>
        </w:rPr>
        <w:t xml:space="preserve">, </w:t>
      </w:r>
      <w:r w:rsidRPr="007C582A">
        <w:rPr>
          <w:rFonts w:cs="Times New Roman"/>
          <w:sz w:val="22"/>
        </w:rPr>
        <w:t>and</w:t>
      </w:r>
      <w:r>
        <w:rPr>
          <w:rFonts w:cs="Times New Roman"/>
          <w:sz w:val="22"/>
        </w:rPr>
        <w:t xml:space="preserve"> </w:t>
      </w:r>
      <w:r w:rsidRPr="007C582A">
        <w:rPr>
          <w:rFonts w:cs="Times New Roman"/>
          <w:sz w:val="22"/>
        </w:rPr>
        <w:t>findings</w:t>
      </w:r>
      <w:r>
        <w:rPr>
          <w:rFonts w:cs="Times New Roman"/>
          <w:sz w:val="22"/>
        </w:rPr>
        <w:t xml:space="preserve"> </w:t>
      </w:r>
      <w:r w:rsidRPr="007C582A">
        <w:rPr>
          <w:rFonts w:cs="Times New Roman"/>
          <w:sz w:val="22"/>
        </w:rPr>
        <w:t>in</w:t>
      </w:r>
      <w:r>
        <w:rPr>
          <w:rFonts w:cs="Times New Roman"/>
          <w:sz w:val="22"/>
        </w:rPr>
        <w:t xml:space="preserve"> </w:t>
      </w:r>
      <w:r w:rsidRPr="007C582A">
        <w:rPr>
          <w:rFonts w:cs="Times New Roman"/>
          <w:sz w:val="22"/>
        </w:rPr>
        <w:t>regions</w:t>
      </w:r>
      <w:r>
        <w:rPr>
          <w:rFonts w:cs="Times New Roman"/>
          <w:sz w:val="22"/>
        </w:rPr>
        <w:t xml:space="preserve"> </w:t>
      </w:r>
      <w:r w:rsidRPr="007C582A">
        <w:rPr>
          <w:rFonts w:cs="Times New Roman"/>
          <w:sz w:val="22"/>
        </w:rPr>
        <w:t>other</w:t>
      </w:r>
      <w:r>
        <w:rPr>
          <w:rFonts w:cs="Times New Roman"/>
          <w:sz w:val="22"/>
        </w:rPr>
        <w:t xml:space="preserve"> </w:t>
      </w:r>
      <w:r w:rsidRPr="007C582A">
        <w:rPr>
          <w:rFonts w:cs="Times New Roman"/>
          <w:sz w:val="22"/>
        </w:rPr>
        <w:t>than</w:t>
      </w:r>
      <w:r>
        <w:rPr>
          <w:rFonts w:cs="Times New Roman"/>
          <w:sz w:val="22"/>
        </w:rPr>
        <w:t xml:space="preserve"> </w:t>
      </w:r>
      <w:r w:rsidRPr="007C582A">
        <w:rPr>
          <w:rFonts w:cs="Times New Roman"/>
          <w:sz w:val="22"/>
        </w:rPr>
        <w:t>those</w:t>
      </w:r>
      <w:r>
        <w:rPr>
          <w:rFonts w:cs="Times New Roman"/>
          <w:sz w:val="22"/>
        </w:rPr>
        <w:t xml:space="preserve"> </w:t>
      </w:r>
      <w:r w:rsidRPr="007C582A">
        <w:rPr>
          <w:rFonts w:cs="Times New Roman"/>
          <w:sz w:val="22"/>
        </w:rPr>
        <w:t>detected</w:t>
      </w:r>
      <w:r>
        <w:rPr>
          <w:rFonts w:cs="Times New Roman"/>
          <w:sz w:val="22"/>
        </w:rPr>
        <w:t xml:space="preserve"> </w:t>
      </w:r>
      <w:r w:rsidRPr="007C582A">
        <w:rPr>
          <w:rFonts w:cs="Times New Roman"/>
          <w:sz w:val="22"/>
        </w:rPr>
        <w:t>in</w:t>
      </w:r>
      <w:r>
        <w:rPr>
          <w:rFonts w:cs="Times New Roman"/>
          <w:sz w:val="22"/>
        </w:rPr>
        <w:t xml:space="preserve"> </w:t>
      </w:r>
      <w:r w:rsidRPr="007C582A">
        <w:rPr>
          <w:rFonts w:cs="Times New Roman"/>
          <w:sz w:val="22"/>
        </w:rPr>
        <w:t>the</w:t>
      </w:r>
      <w:r>
        <w:rPr>
          <w:rFonts w:cs="Times New Roman"/>
          <w:sz w:val="22"/>
        </w:rPr>
        <w:t xml:space="preserve"> </w:t>
      </w:r>
      <w:r w:rsidRPr="007C582A">
        <w:rPr>
          <w:rFonts w:cs="Times New Roman"/>
          <w:sz w:val="22"/>
        </w:rPr>
        <w:t>main</w:t>
      </w:r>
      <w:r>
        <w:rPr>
          <w:rFonts w:cs="Times New Roman"/>
          <w:sz w:val="22"/>
        </w:rPr>
        <w:t xml:space="preserve"> </w:t>
      </w:r>
      <w:r w:rsidRPr="007C582A">
        <w:rPr>
          <w:rFonts w:cs="Times New Roman"/>
          <w:sz w:val="22"/>
        </w:rPr>
        <w:t>analyses</w:t>
      </w:r>
      <w:r>
        <w:rPr>
          <w:rFonts w:cs="Times New Roman"/>
          <w:sz w:val="22"/>
        </w:rPr>
        <w:t xml:space="preserve"> </w:t>
      </w:r>
      <w:r w:rsidRPr="007C582A">
        <w:rPr>
          <w:rFonts w:cs="Times New Roman"/>
          <w:sz w:val="22"/>
        </w:rPr>
        <w:t>were</w:t>
      </w:r>
      <w:r>
        <w:rPr>
          <w:rFonts w:cs="Times New Roman"/>
          <w:sz w:val="22"/>
        </w:rPr>
        <w:t xml:space="preserve"> </w:t>
      </w:r>
      <w:r w:rsidRPr="007C582A">
        <w:rPr>
          <w:rFonts w:cs="Times New Roman"/>
          <w:sz w:val="22"/>
        </w:rPr>
        <w:t>discarded</w:t>
      </w:r>
      <w:r>
        <w:rPr>
          <w:rFonts w:cs="Times New Roman"/>
          <w:sz w:val="22"/>
        </w:rPr>
        <w:t xml:space="preserve"> </w:t>
      </w:r>
      <w:r w:rsidRPr="002E117D">
        <w:rPr>
          <w:rFonts w:cs="Times New Roman"/>
          <w:noProof/>
          <w:sz w:val="22"/>
        </w:rPr>
        <w:t>(Radua et al., 2012b)</w:t>
      </w:r>
      <w:r w:rsidRPr="002E117D">
        <w:rPr>
          <w:rFonts w:cs="Times New Roman"/>
          <w:sz w:val="22"/>
        </w:rPr>
        <w:t>.</w:t>
      </w:r>
      <w:r>
        <w:rPr>
          <w:rFonts w:cs="Times New Roman"/>
          <w:sz w:val="22"/>
        </w:rPr>
        <w:t xml:space="preserve"> </w:t>
      </w:r>
      <w:r w:rsidRPr="004F2FD0">
        <w:rPr>
          <w:rFonts w:cs="Times New Roman"/>
          <w:sz w:val="22"/>
        </w:rPr>
        <w:t>Several</w:t>
      </w:r>
      <w:r>
        <w:rPr>
          <w:rFonts w:cs="Times New Roman"/>
          <w:sz w:val="22"/>
        </w:rPr>
        <w:t xml:space="preserve"> </w:t>
      </w:r>
      <w:r w:rsidRPr="004F2FD0">
        <w:rPr>
          <w:rFonts w:cs="Times New Roman"/>
          <w:sz w:val="22"/>
        </w:rPr>
        <w:t>relevant</w:t>
      </w:r>
      <w:r>
        <w:rPr>
          <w:rFonts w:cs="Times New Roman"/>
          <w:sz w:val="22"/>
        </w:rPr>
        <w:t xml:space="preserve"> </w:t>
      </w:r>
      <w:r w:rsidRPr="004F2FD0">
        <w:rPr>
          <w:rFonts w:cs="Times New Roman"/>
          <w:sz w:val="22"/>
        </w:rPr>
        <w:t>demographic</w:t>
      </w:r>
      <w:r>
        <w:rPr>
          <w:rFonts w:cs="Times New Roman"/>
          <w:sz w:val="22"/>
        </w:rPr>
        <w:t xml:space="preserve"> </w:t>
      </w:r>
      <w:r w:rsidRPr="004F2FD0">
        <w:rPr>
          <w:rFonts w:cs="Times New Roman"/>
          <w:sz w:val="22"/>
        </w:rPr>
        <w:t>and</w:t>
      </w:r>
      <w:r>
        <w:rPr>
          <w:rFonts w:cs="Times New Roman"/>
          <w:sz w:val="22"/>
        </w:rPr>
        <w:t xml:space="preserve"> </w:t>
      </w:r>
      <w:r w:rsidRPr="004F2FD0">
        <w:rPr>
          <w:rFonts w:cs="Times New Roman"/>
          <w:sz w:val="22"/>
        </w:rPr>
        <w:t>clinical</w:t>
      </w:r>
      <w:r>
        <w:rPr>
          <w:rFonts w:cs="Times New Roman"/>
          <w:sz w:val="22"/>
        </w:rPr>
        <w:t xml:space="preserve"> </w:t>
      </w:r>
      <w:r w:rsidRPr="004F2FD0">
        <w:rPr>
          <w:rFonts w:cs="Times New Roman"/>
          <w:sz w:val="22"/>
        </w:rPr>
        <w:t>factors,</w:t>
      </w:r>
      <w:r>
        <w:rPr>
          <w:rFonts w:cs="Times New Roman"/>
          <w:sz w:val="22"/>
        </w:rPr>
        <w:t xml:space="preserve"> including </w:t>
      </w:r>
      <w:r w:rsidRPr="004F2FD0">
        <w:rPr>
          <w:rFonts w:cs="Times New Roman"/>
          <w:sz w:val="22"/>
        </w:rPr>
        <w:t>the</w:t>
      </w:r>
      <w:r>
        <w:rPr>
          <w:rFonts w:cs="Times New Roman"/>
          <w:sz w:val="22"/>
        </w:rPr>
        <w:t xml:space="preserve"> </w:t>
      </w:r>
      <w:r w:rsidRPr="004F2FD0">
        <w:rPr>
          <w:rFonts w:cs="Times New Roman"/>
          <w:sz w:val="22"/>
        </w:rPr>
        <w:t>percentage</w:t>
      </w:r>
      <w:r>
        <w:rPr>
          <w:rFonts w:cs="Times New Roman"/>
          <w:sz w:val="22"/>
        </w:rPr>
        <w:t xml:space="preserve"> </w:t>
      </w:r>
      <w:r w:rsidRPr="004F2FD0">
        <w:rPr>
          <w:rFonts w:cs="Times New Roman"/>
          <w:sz w:val="22"/>
        </w:rPr>
        <w:t>of</w:t>
      </w:r>
      <w:r>
        <w:rPr>
          <w:rFonts w:cs="Times New Roman"/>
          <w:sz w:val="22"/>
        </w:rPr>
        <w:t xml:space="preserve"> fe</w:t>
      </w:r>
      <w:r w:rsidRPr="004F2FD0">
        <w:rPr>
          <w:rFonts w:cs="Times New Roman"/>
          <w:sz w:val="22"/>
        </w:rPr>
        <w:t>male</w:t>
      </w:r>
      <w:r>
        <w:rPr>
          <w:rFonts w:cs="Times New Roman"/>
          <w:sz w:val="22"/>
        </w:rPr>
        <w:t xml:space="preserve"> </w:t>
      </w:r>
      <w:r w:rsidRPr="004F2FD0">
        <w:rPr>
          <w:rFonts w:cs="Times New Roman"/>
          <w:sz w:val="22"/>
        </w:rPr>
        <w:t>patient</w:t>
      </w:r>
      <w:r w:rsidRPr="0040122D">
        <w:rPr>
          <w:rFonts w:cs="Times New Roman"/>
          <w:sz w:val="22"/>
        </w:rPr>
        <w:t>s</w:t>
      </w:r>
      <w:r>
        <w:rPr>
          <w:rFonts w:cs="Times New Roman"/>
          <w:sz w:val="22"/>
        </w:rPr>
        <w:t xml:space="preserve"> </w:t>
      </w:r>
      <w:r w:rsidRPr="0040122D">
        <w:rPr>
          <w:rFonts w:cs="Times New Roman"/>
          <w:sz w:val="22"/>
        </w:rPr>
        <w:t>(a ratio of the number of females to the total number of patients)</w:t>
      </w:r>
      <w:r w:rsidRPr="00516F7C">
        <w:rPr>
          <w:rFonts w:cs="Times New Roman"/>
          <w:sz w:val="22"/>
        </w:rPr>
        <w:t>,</w:t>
      </w:r>
      <w:r>
        <w:rPr>
          <w:rFonts w:cs="Times New Roman"/>
          <w:sz w:val="22"/>
        </w:rPr>
        <w:t xml:space="preserve"> </w:t>
      </w:r>
      <w:r w:rsidRPr="004F2FD0">
        <w:rPr>
          <w:rFonts w:cs="Times New Roman"/>
          <w:sz w:val="22"/>
        </w:rPr>
        <w:t>mean</w:t>
      </w:r>
      <w:r>
        <w:rPr>
          <w:rFonts w:cs="Times New Roman"/>
          <w:sz w:val="22"/>
        </w:rPr>
        <w:t xml:space="preserve"> </w:t>
      </w:r>
      <w:r w:rsidRPr="004F2FD0">
        <w:rPr>
          <w:rFonts w:cs="Times New Roman"/>
          <w:sz w:val="22"/>
        </w:rPr>
        <w:t>age</w:t>
      </w:r>
      <w:r>
        <w:rPr>
          <w:rFonts w:cs="Times New Roman"/>
          <w:sz w:val="22"/>
        </w:rPr>
        <w:t xml:space="preserve"> </w:t>
      </w:r>
      <w:r>
        <w:rPr>
          <w:rFonts w:cs="Times New Roman" w:hint="eastAsia"/>
          <w:sz w:val="22"/>
        </w:rPr>
        <w:t>of</w:t>
      </w:r>
      <w:r>
        <w:rPr>
          <w:rFonts w:cs="Times New Roman"/>
          <w:sz w:val="22"/>
        </w:rPr>
        <w:t xml:space="preserve"> patients</w:t>
      </w:r>
      <w:r>
        <w:rPr>
          <w:rFonts w:cs="Times New Roman" w:hint="eastAsia"/>
          <w:sz w:val="22"/>
        </w:rPr>
        <w:t>,</w:t>
      </w:r>
      <w:r>
        <w:rPr>
          <w:rFonts w:cs="Times New Roman"/>
          <w:sz w:val="22"/>
        </w:rPr>
        <w:t xml:space="preserve"> illness duration,</w:t>
      </w:r>
      <w:r>
        <w:t xml:space="preserve"> </w:t>
      </w:r>
      <w:r w:rsidRPr="00516F7C">
        <w:rPr>
          <w:rFonts w:cs="Times New Roman"/>
          <w:sz w:val="22"/>
        </w:rPr>
        <w:t>number</w:t>
      </w:r>
      <w:r>
        <w:rPr>
          <w:rFonts w:cs="Times New Roman"/>
          <w:sz w:val="22"/>
        </w:rPr>
        <w:t xml:space="preserve"> </w:t>
      </w:r>
      <w:r w:rsidRPr="00516F7C">
        <w:rPr>
          <w:rFonts w:cs="Times New Roman"/>
          <w:sz w:val="22"/>
        </w:rPr>
        <w:t>of</w:t>
      </w:r>
      <w:r>
        <w:rPr>
          <w:rFonts w:cs="Times New Roman"/>
          <w:sz w:val="22"/>
        </w:rPr>
        <w:t xml:space="preserve"> </w:t>
      </w:r>
      <w:r w:rsidRPr="00516F7C">
        <w:rPr>
          <w:rFonts w:cs="Times New Roman"/>
          <w:sz w:val="22"/>
        </w:rPr>
        <w:t>past</w:t>
      </w:r>
      <w:r>
        <w:rPr>
          <w:rFonts w:cs="Times New Roman"/>
          <w:sz w:val="22"/>
        </w:rPr>
        <w:t xml:space="preserve"> </w:t>
      </w:r>
      <w:r w:rsidRPr="00516F7C">
        <w:rPr>
          <w:rFonts w:cs="Times New Roman"/>
          <w:sz w:val="22"/>
        </w:rPr>
        <w:t>depressive</w:t>
      </w:r>
      <w:r>
        <w:rPr>
          <w:rFonts w:cs="Times New Roman"/>
          <w:sz w:val="22"/>
        </w:rPr>
        <w:t xml:space="preserve"> </w:t>
      </w:r>
      <w:r w:rsidRPr="00516F7C">
        <w:rPr>
          <w:rFonts w:cs="Times New Roman"/>
          <w:sz w:val="22"/>
        </w:rPr>
        <w:t>episodes</w:t>
      </w:r>
      <w:r>
        <w:rPr>
          <w:rFonts w:cs="Times New Roman"/>
          <w:sz w:val="22"/>
        </w:rPr>
        <w:t xml:space="preserve">, </w:t>
      </w:r>
      <w:r w:rsidRPr="00095561">
        <w:rPr>
          <w:sz w:val="22"/>
        </w:rPr>
        <w:t>onset</w:t>
      </w:r>
      <w:r>
        <w:rPr>
          <w:sz w:val="22"/>
        </w:rPr>
        <w:t xml:space="preserve"> </w:t>
      </w:r>
      <w:r w:rsidRPr="00095561">
        <w:rPr>
          <w:sz w:val="22"/>
        </w:rPr>
        <w:t>of</w:t>
      </w:r>
      <w:r>
        <w:rPr>
          <w:sz w:val="22"/>
        </w:rPr>
        <w:t xml:space="preserve"> </w:t>
      </w:r>
      <w:r w:rsidRPr="00095561">
        <w:rPr>
          <w:sz w:val="22"/>
        </w:rPr>
        <w:t>age</w:t>
      </w:r>
      <w:r>
        <w:rPr>
          <w:sz w:val="22"/>
        </w:rPr>
        <w:t>,</w:t>
      </w:r>
      <w:r>
        <w:rPr>
          <w:rFonts w:cs="Times New Roman"/>
          <w:sz w:val="22"/>
        </w:rPr>
        <w:t xml:space="preserve"> severity of depression (</w:t>
      </w:r>
      <w:r>
        <w:rPr>
          <w:rFonts w:cs="Times New Roman" w:hint="eastAsia"/>
          <w:sz w:val="22"/>
        </w:rPr>
        <w:t>the</w:t>
      </w:r>
      <w:r>
        <w:rPr>
          <w:rFonts w:cs="Times New Roman"/>
          <w:sz w:val="22"/>
        </w:rPr>
        <w:t xml:space="preserve"> Beck Depression Inventory (BDI) and the Hamilton Depression Rating scale (HAMD)), degree of </w:t>
      </w:r>
      <w:r w:rsidRPr="004F2FD0">
        <w:rPr>
          <w:rFonts w:cs="Times New Roman"/>
          <w:sz w:val="22"/>
        </w:rPr>
        <w:t>anhedonia</w:t>
      </w:r>
      <w:r>
        <w:rPr>
          <w:rFonts w:cs="Times New Roman"/>
          <w:sz w:val="22"/>
        </w:rPr>
        <w:t xml:space="preserve"> (the </w:t>
      </w:r>
      <w:r w:rsidRPr="000C74F2">
        <w:rPr>
          <w:rFonts w:cs="Times New Roman"/>
          <w:sz w:val="22"/>
        </w:rPr>
        <w:t>Snaith-Hamilton</w:t>
      </w:r>
      <w:r>
        <w:rPr>
          <w:rFonts w:cs="Times New Roman"/>
          <w:sz w:val="22"/>
        </w:rPr>
        <w:t xml:space="preserve"> </w:t>
      </w:r>
      <w:r w:rsidRPr="000C74F2">
        <w:rPr>
          <w:rFonts w:cs="Times New Roman"/>
          <w:sz w:val="22"/>
        </w:rPr>
        <w:t>Pleasure</w:t>
      </w:r>
      <w:r>
        <w:rPr>
          <w:rFonts w:cs="Times New Roman"/>
          <w:sz w:val="22"/>
        </w:rPr>
        <w:t xml:space="preserve"> </w:t>
      </w:r>
      <w:r w:rsidRPr="000C74F2">
        <w:rPr>
          <w:rFonts w:cs="Times New Roman"/>
          <w:sz w:val="22"/>
        </w:rPr>
        <w:t>Scale</w:t>
      </w:r>
      <w:r>
        <w:rPr>
          <w:rFonts w:cs="Times New Roman"/>
          <w:sz w:val="22"/>
        </w:rPr>
        <w:t xml:space="preserve"> (SHAPS) and </w:t>
      </w:r>
      <w:r w:rsidRPr="004F2FD0">
        <w:rPr>
          <w:rFonts w:cs="Times New Roman"/>
          <w:sz w:val="22"/>
        </w:rPr>
        <w:t>total</w:t>
      </w:r>
      <w:r>
        <w:rPr>
          <w:rFonts w:cs="Times New Roman"/>
          <w:sz w:val="22"/>
        </w:rPr>
        <w:t xml:space="preserve"> </w:t>
      </w:r>
      <w:r w:rsidRPr="004F2FD0">
        <w:rPr>
          <w:rFonts w:cs="Times New Roman"/>
          <w:sz w:val="22"/>
        </w:rPr>
        <w:t>score</w:t>
      </w:r>
      <w:r>
        <w:rPr>
          <w:rFonts w:cs="Times New Roman"/>
          <w:sz w:val="22"/>
        </w:rPr>
        <w:t xml:space="preserve"> </w:t>
      </w:r>
      <w:r w:rsidRPr="004F2FD0">
        <w:rPr>
          <w:rFonts w:cs="Times New Roman"/>
          <w:sz w:val="22"/>
        </w:rPr>
        <w:t>of</w:t>
      </w:r>
      <w:r>
        <w:rPr>
          <w:rFonts w:cs="Times New Roman"/>
          <w:sz w:val="22"/>
        </w:rPr>
        <w:t xml:space="preserve"> </w:t>
      </w:r>
      <w:r w:rsidRPr="004F2FD0">
        <w:rPr>
          <w:rFonts w:cs="Times New Roman"/>
          <w:sz w:val="22"/>
        </w:rPr>
        <w:t>items</w:t>
      </w:r>
      <w:r>
        <w:rPr>
          <w:rFonts w:cs="Times New Roman"/>
          <w:sz w:val="22"/>
        </w:rPr>
        <w:t xml:space="preserve"> </w:t>
      </w:r>
      <w:r w:rsidRPr="004F2FD0">
        <w:rPr>
          <w:rFonts w:cs="Times New Roman"/>
          <w:sz w:val="22"/>
        </w:rPr>
        <w:t>(item</w:t>
      </w:r>
      <w:r>
        <w:rPr>
          <w:rFonts w:cs="Times New Roman"/>
          <w:sz w:val="22"/>
        </w:rPr>
        <w:t xml:space="preserve"> </w:t>
      </w:r>
      <w:r w:rsidRPr="004F2FD0">
        <w:rPr>
          <w:rFonts w:cs="Times New Roman"/>
          <w:sz w:val="22"/>
        </w:rPr>
        <w:t>4,</w:t>
      </w:r>
      <w:r>
        <w:rPr>
          <w:rFonts w:cs="Times New Roman"/>
          <w:sz w:val="22"/>
        </w:rPr>
        <w:t xml:space="preserve"> </w:t>
      </w:r>
      <w:r w:rsidRPr="004F2FD0">
        <w:rPr>
          <w:rFonts w:cs="Times New Roman"/>
          <w:sz w:val="22"/>
        </w:rPr>
        <w:t>item</w:t>
      </w:r>
      <w:r>
        <w:rPr>
          <w:rFonts w:cs="Times New Roman"/>
          <w:sz w:val="22"/>
        </w:rPr>
        <w:t xml:space="preserve"> </w:t>
      </w:r>
      <w:r w:rsidRPr="004F2FD0">
        <w:rPr>
          <w:rFonts w:cs="Times New Roman"/>
          <w:sz w:val="22"/>
        </w:rPr>
        <w:t>12,</w:t>
      </w:r>
      <w:r>
        <w:rPr>
          <w:rFonts w:cs="Times New Roman"/>
          <w:sz w:val="22"/>
        </w:rPr>
        <w:t xml:space="preserve"> </w:t>
      </w:r>
      <w:r w:rsidRPr="004F2FD0">
        <w:rPr>
          <w:rFonts w:cs="Times New Roman"/>
          <w:sz w:val="22"/>
        </w:rPr>
        <w:t>and</w:t>
      </w:r>
      <w:r>
        <w:rPr>
          <w:rFonts w:cs="Times New Roman"/>
          <w:sz w:val="22"/>
        </w:rPr>
        <w:t xml:space="preserve"> </w:t>
      </w:r>
      <w:r w:rsidRPr="004F2FD0">
        <w:rPr>
          <w:rFonts w:cs="Times New Roman"/>
          <w:sz w:val="22"/>
        </w:rPr>
        <w:t>item</w:t>
      </w:r>
      <w:r>
        <w:rPr>
          <w:rFonts w:cs="Times New Roman"/>
          <w:sz w:val="22"/>
        </w:rPr>
        <w:t xml:space="preserve"> </w:t>
      </w:r>
      <w:r w:rsidRPr="004F2FD0">
        <w:rPr>
          <w:rFonts w:cs="Times New Roman"/>
          <w:sz w:val="22"/>
        </w:rPr>
        <w:t>21)</w:t>
      </w:r>
      <w:r>
        <w:rPr>
          <w:rFonts w:cs="Times New Roman"/>
          <w:sz w:val="22"/>
        </w:rPr>
        <w:t xml:space="preserve"> </w:t>
      </w:r>
      <w:r w:rsidRPr="004F2FD0">
        <w:rPr>
          <w:rFonts w:cs="Times New Roman"/>
          <w:sz w:val="22"/>
        </w:rPr>
        <w:t>on</w:t>
      </w:r>
      <w:r>
        <w:rPr>
          <w:rFonts w:cs="Times New Roman"/>
          <w:sz w:val="22"/>
        </w:rPr>
        <w:t xml:space="preserve"> </w:t>
      </w:r>
      <w:r w:rsidRPr="004F2FD0">
        <w:rPr>
          <w:rFonts w:cs="Times New Roman"/>
          <w:sz w:val="22"/>
        </w:rPr>
        <w:t>the</w:t>
      </w:r>
      <w:r>
        <w:rPr>
          <w:rFonts w:cs="Times New Roman"/>
          <w:sz w:val="22"/>
        </w:rPr>
        <w:t xml:space="preserve"> </w:t>
      </w:r>
      <w:r w:rsidRPr="004F2FD0">
        <w:rPr>
          <w:rFonts w:cs="Times New Roman"/>
          <w:sz w:val="22"/>
        </w:rPr>
        <w:t>BDI</w:t>
      </w:r>
      <w:r>
        <w:rPr>
          <w:rFonts w:cs="Times New Roman"/>
          <w:sz w:val="22"/>
        </w:rPr>
        <w:t xml:space="preserve">) </w:t>
      </w:r>
      <w:r w:rsidRPr="002E117D">
        <w:rPr>
          <w:rFonts w:cs="Times New Roman"/>
          <w:noProof/>
          <w:sz w:val="22"/>
        </w:rPr>
        <w:t>(Fan et al., 2021)</w:t>
      </w:r>
      <w:r>
        <w:rPr>
          <w:rFonts w:cs="Times New Roman"/>
          <w:sz w:val="22"/>
        </w:rPr>
        <w:t xml:space="preserve">. For depression severity, we used the BDI scores from each study and </w:t>
      </w:r>
      <w:r>
        <w:rPr>
          <w:rFonts w:cs="Times New Roman" w:hint="eastAsia"/>
          <w:sz w:val="22"/>
        </w:rPr>
        <w:t>t</w:t>
      </w:r>
      <w:r w:rsidRPr="00994A45">
        <w:rPr>
          <w:rFonts w:cs="Times New Roman"/>
          <w:sz w:val="22"/>
        </w:rPr>
        <w:t>ranslat</w:t>
      </w:r>
      <w:r>
        <w:rPr>
          <w:rFonts w:cs="Times New Roman" w:hint="eastAsia"/>
          <w:sz w:val="22"/>
        </w:rPr>
        <w:t>e</w:t>
      </w:r>
      <w:r>
        <w:rPr>
          <w:rFonts w:cs="Times New Roman"/>
          <w:sz w:val="22"/>
        </w:rPr>
        <w:t xml:space="preserve">d </w:t>
      </w:r>
      <w:r w:rsidRPr="00994A45">
        <w:rPr>
          <w:rFonts w:cs="Times New Roman"/>
          <w:sz w:val="22"/>
        </w:rPr>
        <w:t>the</w:t>
      </w:r>
      <w:r>
        <w:rPr>
          <w:rFonts w:cs="Times New Roman"/>
          <w:sz w:val="22"/>
        </w:rPr>
        <w:t xml:space="preserve"> HAMD </w:t>
      </w:r>
      <w:r w:rsidRPr="00994A45">
        <w:rPr>
          <w:rFonts w:cs="Times New Roman"/>
          <w:sz w:val="22"/>
        </w:rPr>
        <w:t>into</w:t>
      </w:r>
      <w:r>
        <w:rPr>
          <w:rFonts w:cs="Times New Roman"/>
          <w:sz w:val="22"/>
        </w:rPr>
        <w:t xml:space="preserve"> </w:t>
      </w:r>
      <w:r w:rsidRPr="00994A45">
        <w:rPr>
          <w:rFonts w:cs="Times New Roman"/>
          <w:sz w:val="22"/>
        </w:rPr>
        <w:t>the</w:t>
      </w:r>
      <w:r>
        <w:rPr>
          <w:rFonts w:cs="Times New Roman"/>
          <w:sz w:val="22"/>
        </w:rPr>
        <w:t xml:space="preserve"> </w:t>
      </w:r>
      <w:r w:rsidRPr="00994A45">
        <w:rPr>
          <w:rFonts w:cs="Times New Roman"/>
          <w:sz w:val="22"/>
        </w:rPr>
        <w:t>BDI-II</w:t>
      </w:r>
      <w:r>
        <w:rPr>
          <w:rFonts w:cs="Times New Roman"/>
          <w:sz w:val="22"/>
        </w:rPr>
        <w:t xml:space="preserve"> for those studies </w:t>
      </w:r>
      <w:r w:rsidRPr="000C74F2">
        <w:rPr>
          <w:rFonts w:cs="Times New Roman"/>
          <w:sz w:val="22"/>
          <w:lang w:val="en"/>
        </w:rPr>
        <w:t>that</w:t>
      </w:r>
      <w:r>
        <w:rPr>
          <w:rFonts w:cs="Times New Roman"/>
          <w:sz w:val="22"/>
          <w:lang w:val="en"/>
        </w:rPr>
        <w:t xml:space="preserve"> </w:t>
      </w:r>
      <w:r w:rsidRPr="000C74F2">
        <w:rPr>
          <w:rFonts w:cs="Times New Roman"/>
          <w:sz w:val="22"/>
          <w:lang w:val="en"/>
        </w:rPr>
        <w:t>provided</w:t>
      </w:r>
      <w:r>
        <w:rPr>
          <w:rFonts w:cs="Times New Roman"/>
          <w:sz w:val="22"/>
          <w:lang w:val="en"/>
        </w:rPr>
        <w:t xml:space="preserve"> only </w:t>
      </w:r>
      <w:r w:rsidRPr="000C74F2">
        <w:rPr>
          <w:rFonts w:cs="Times New Roman"/>
          <w:sz w:val="22"/>
          <w:lang w:val="en"/>
        </w:rPr>
        <w:t>HAMD</w:t>
      </w:r>
      <w:r>
        <w:rPr>
          <w:rFonts w:cs="Times New Roman"/>
          <w:sz w:val="22"/>
          <w:lang w:val="en"/>
        </w:rPr>
        <w:t xml:space="preserve"> </w:t>
      </w:r>
      <w:r w:rsidRPr="000C74F2">
        <w:rPr>
          <w:rFonts w:cs="Times New Roman"/>
          <w:sz w:val="22"/>
          <w:lang w:val="en"/>
        </w:rPr>
        <w:t>score</w:t>
      </w:r>
      <w:r w:rsidRPr="002E117D">
        <w:rPr>
          <w:rFonts w:cs="Times New Roman"/>
          <w:sz w:val="22"/>
          <w:lang w:val="en"/>
        </w:rPr>
        <w:t>s</w:t>
      </w:r>
      <w:r w:rsidRPr="002E117D">
        <w:rPr>
          <w:rFonts w:cs="Times New Roman"/>
          <w:sz w:val="22"/>
        </w:rPr>
        <w:t xml:space="preserve"> </w:t>
      </w:r>
      <w:r w:rsidRPr="002E117D">
        <w:rPr>
          <w:rFonts w:cs="Times New Roman"/>
          <w:noProof/>
          <w:sz w:val="22"/>
        </w:rPr>
        <w:t>(Furukawa et al., 2019)</w:t>
      </w:r>
      <w:r w:rsidRPr="002E117D">
        <w:rPr>
          <w:rFonts w:cs="Times New Roman" w:hint="eastAsia"/>
          <w:sz w:val="22"/>
        </w:rPr>
        <w:t>.</w:t>
      </w:r>
      <w:r>
        <w:rPr>
          <w:rFonts w:cs="Times New Roman"/>
          <w:sz w:val="22"/>
        </w:rPr>
        <w:t xml:space="preserve"> </w:t>
      </w:r>
    </w:p>
    <w:p w:rsidR="000C4959" w:rsidRDefault="000C4959" w:rsidP="00D35E7F">
      <w:pPr>
        <w:kinsoku w:val="0"/>
        <w:snapToGrid w:val="0"/>
        <w:spacing w:line="360" w:lineRule="auto"/>
        <w:rPr>
          <w:b/>
          <w:sz w:val="22"/>
        </w:rPr>
      </w:pPr>
    </w:p>
    <w:p w:rsidR="000C4959" w:rsidRPr="00110254" w:rsidRDefault="000C4959" w:rsidP="00D35E7F">
      <w:pPr>
        <w:kinsoku w:val="0"/>
        <w:snapToGrid w:val="0"/>
        <w:spacing w:line="360" w:lineRule="auto"/>
        <w:rPr>
          <w:b/>
          <w:sz w:val="22"/>
        </w:rPr>
      </w:pPr>
      <w:r w:rsidRPr="000136B1">
        <w:rPr>
          <w:rFonts w:hint="eastAsia"/>
          <w:b/>
          <w:sz w:val="22"/>
        </w:rPr>
        <w:lastRenderedPageBreak/>
        <w:t>S</w:t>
      </w:r>
      <w:r w:rsidRPr="000136B1">
        <w:rPr>
          <w:b/>
          <w:sz w:val="22"/>
        </w:rPr>
        <w:t>upplement</w:t>
      </w:r>
      <w:r>
        <w:rPr>
          <w:b/>
          <w:sz w:val="22"/>
        </w:rPr>
        <w:t>ary</w:t>
      </w:r>
      <w:r w:rsidRPr="000136B1">
        <w:rPr>
          <w:b/>
          <w:sz w:val="22"/>
        </w:rPr>
        <w:t xml:space="preserve"> Results</w:t>
      </w:r>
    </w:p>
    <w:p w:rsidR="000C4959" w:rsidRPr="00A90F6A" w:rsidRDefault="000C4959" w:rsidP="00D35E7F">
      <w:pPr>
        <w:kinsoku w:val="0"/>
        <w:snapToGrid w:val="0"/>
        <w:spacing w:line="360" w:lineRule="auto"/>
        <w:rPr>
          <w:b/>
          <w:i/>
          <w:sz w:val="22"/>
        </w:rPr>
      </w:pPr>
      <w:r w:rsidRPr="00A90F6A">
        <w:rPr>
          <w:b/>
          <w:i/>
          <w:sz w:val="22"/>
        </w:rPr>
        <w:t>Sensitivity analyses</w:t>
      </w:r>
    </w:p>
    <w:p w:rsidR="000C4959" w:rsidRPr="000009E2" w:rsidRDefault="000C4959" w:rsidP="00D35E7F">
      <w:pPr>
        <w:kinsoku w:val="0"/>
        <w:snapToGrid w:val="0"/>
        <w:spacing w:line="360" w:lineRule="auto"/>
        <w:rPr>
          <w:rFonts w:cs="Times New Roman"/>
          <w:color w:val="000000" w:themeColor="text1"/>
          <w:sz w:val="22"/>
        </w:rPr>
      </w:pPr>
      <w:r>
        <w:rPr>
          <w:rFonts w:cs="Times New Roman"/>
          <w:sz w:val="22"/>
        </w:rPr>
        <w:t>Regarding the anticipation stage, w</w:t>
      </w:r>
      <w:r w:rsidRPr="004E599E">
        <w:rPr>
          <w:rFonts w:cs="Times New Roman"/>
          <w:sz w:val="22"/>
        </w:rPr>
        <w:t>hen</w:t>
      </w:r>
      <w:r>
        <w:rPr>
          <w:rFonts w:cs="Times New Roman"/>
          <w:sz w:val="22"/>
        </w:rPr>
        <w:t xml:space="preserve"> </w:t>
      </w:r>
      <w:r w:rsidRPr="004E599E">
        <w:rPr>
          <w:rFonts w:cs="Times New Roman"/>
          <w:sz w:val="22"/>
        </w:rPr>
        <w:t>whole-brain</w:t>
      </w:r>
      <w:r>
        <w:rPr>
          <w:rFonts w:cs="Times New Roman"/>
          <w:sz w:val="22"/>
        </w:rPr>
        <w:t xml:space="preserve"> </w:t>
      </w:r>
      <w:r w:rsidRPr="004E599E">
        <w:rPr>
          <w:rFonts w:cs="Times New Roman"/>
          <w:sz w:val="22"/>
        </w:rPr>
        <w:t>jack</w:t>
      </w:r>
      <w:r>
        <w:rPr>
          <w:rFonts w:cs="Times New Roman"/>
          <w:sz w:val="22"/>
        </w:rPr>
        <w:t>-</w:t>
      </w:r>
      <w:r w:rsidRPr="004E599E">
        <w:rPr>
          <w:rFonts w:cs="Times New Roman"/>
          <w:sz w:val="22"/>
        </w:rPr>
        <w:t>knife</w:t>
      </w:r>
      <w:r>
        <w:rPr>
          <w:rFonts w:cs="Times New Roman"/>
          <w:sz w:val="22"/>
        </w:rPr>
        <w:t xml:space="preserve"> </w:t>
      </w:r>
      <w:r w:rsidRPr="004E599E">
        <w:rPr>
          <w:rFonts w:cs="Times New Roman"/>
          <w:sz w:val="22"/>
        </w:rPr>
        <w:t>sensitivity</w:t>
      </w:r>
      <w:r>
        <w:rPr>
          <w:rFonts w:cs="Times New Roman"/>
          <w:sz w:val="22"/>
        </w:rPr>
        <w:t xml:space="preserve"> </w:t>
      </w:r>
      <w:r w:rsidRPr="004E599E">
        <w:rPr>
          <w:rFonts w:cs="Times New Roman"/>
          <w:sz w:val="22"/>
        </w:rPr>
        <w:t>analys</w:t>
      </w:r>
      <w:r>
        <w:rPr>
          <w:rFonts w:cs="Times New Roman"/>
          <w:sz w:val="22"/>
        </w:rPr>
        <w:t>e</w:t>
      </w:r>
      <w:r w:rsidRPr="004E599E">
        <w:rPr>
          <w:rFonts w:cs="Times New Roman"/>
          <w:sz w:val="22"/>
        </w:rPr>
        <w:t>s</w:t>
      </w:r>
      <w:r w:rsidRPr="003A3CAB">
        <w:rPr>
          <w:rFonts w:cs="Times New Roman"/>
          <w:sz w:val="22"/>
        </w:rPr>
        <w:t xml:space="preserve"> w</w:t>
      </w:r>
      <w:r w:rsidRPr="003A3CAB">
        <w:rPr>
          <w:rFonts w:cs="Times New Roman" w:hint="eastAsia"/>
          <w:sz w:val="22"/>
        </w:rPr>
        <w:t>ere</w:t>
      </w:r>
      <w:r w:rsidRPr="003A3CAB">
        <w:rPr>
          <w:rFonts w:cs="Times New Roman"/>
          <w:sz w:val="22"/>
        </w:rPr>
        <w:t xml:space="preserve"> </w:t>
      </w:r>
      <w:r w:rsidRPr="004E599E">
        <w:rPr>
          <w:rFonts w:cs="Times New Roman"/>
          <w:sz w:val="22"/>
        </w:rPr>
        <w:t>performed</w:t>
      </w:r>
      <w:r>
        <w:rPr>
          <w:rFonts w:cs="Times New Roman"/>
          <w:sz w:val="22"/>
        </w:rPr>
        <w:t xml:space="preserve"> </w:t>
      </w:r>
      <w:r w:rsidRPr="00F63CA4">
        <w:rPr>
          <w:rFonts w:cs="Times New Roman"/>
          <w:sz w:val="22"/>
        </w:rPr>
        <w:t>for</w:t>
      </w:r>
      <w:r>
        <w:rPr>
          <w:rFonts w:cs="Times New Roman"/>
          <w:sz w:val="22"/>
        </w:rPr>
        <w:t xml:space="preserve"> the anticipation meta-analysis</w:t>
      </w:r>
      <w:r w:rsidRPr="004E599E">
        <w:rPr>
          <w:rFonts w:cs="Times New Roman"/>
          <w:sz w:val="22"/>
        </w:rPr>
        <w:t>,</w:t>
      </w:r>
      <w:r>
        <w:rPr>
          <w:rFonts w:cs="Times New Roman"/>
          <w:sz w:val="22"/>
        </w:rPr>
        <w:t xml:space="preserve"> </w:t>
      </w:r>
      <w:r w:rsidRPr="004E599E">
        <w:rPr>
          <w:rFonts w:cs="Times New Roman"/>
          <w:sz w:val="22"/>
        </w:rPr>
        <w:t>the</w:t>
      </w:r>
      <w:r>
        <w:rPr>
          <w:rFonts w:cs="Times New Roman"/>
          <w:sz w:val="22"/>
        </w:rPr>
        <w:t xml:space="preserve"> </w:t>
      </w:r>
      <w:r w:rsidRPr="004E599E">
        <w:rPr>
          <w:rFonts w:cs="Times New Roman"/>
          <w:sz w:val="22"/>
        </w:rPr>
        <w:t>main</w:t>
      </w:r>
      <w:r>
        <w:rPr>
          <w:rFonts w:cs="Times New Roman"/>
          <w:sz w:val="22"/>
        </w:rPr>
        <w:t xml:space="preserve"> </w:t>
      </w:r>
      <w:r w:rsidRPr="004E599E">
        <w:rPr>
          <w:rFonts w:cs="Times New Roman"/>
          <w:sz w:val="22"/>
        </w:rPr>
        <w:t>findings</w:t>
      </w:r>
      <w:r>
        <w:rPr>
          <w:rFonts w:cs="Times New Roman"/>
          <w:sz w:val="22"/>
        </w:rPr>
        <w:t xml:space="preserve"> </w:t>
      </w:r>
      <w:r w:rsidRPr="00F63CA4">
        <w:rPr>
          <w:rFonts w:cs="Times New Roman"/>
          <w:sz w:val="22"/>
        </w:rPr>
        <w:t>during</w:t>
      </w:r>
      <w:r>
        <w:rPr>
          <w:rFonts w:cs="Times New Roman"/>
          <w:sz w:val="22"/>
        </w:rPr>
        <w:t xml:space="preserve"> the </w:t>
      </w:r>
      <w:r w:rsidRPr="00F63CA4">
        <w:rPr>
          <w:rFonts w:cs="Times New Roman"/>
          <w:sz w:val="22"/>
        </w:rPr>
        <w:t>anticipation</w:t>
      </w:r>
      <w:r>
        <w:rPr>
          <w:rFonts w:cs="Times New Roman"/>
          <w:sz w:val="22"/>
        </w:rPr>
        <w:t xml:space="preserve"> </w:t>
      </w:r>
      <w:r w:rsidRPr="00F63CA4">
        <w:rPr>
          <w:rFonts w:cs="Times New Roman"/>
          <w:sz w:val="22"/>
        </w:rPr>
        <w:t>stage</w:t>
      </w:r>
      <w:r>
        <w:rPr>
          <w:rFonts w:cs="Times New Roman"/>
          <w:sz w:val="22"/>
        </w:rPr>
        <w:t xml:space="preserve"> </w:t>
      </w:r>
      <w:r w:rsidRPr="004E599E">
        <w:rPr>
          <w:rFonts w:cs="Times New Roman"/>
          <w:sz w:val="22"/>
        </w:rPr>
        <w:t>re</w:t>
      </w:r>
      <w:r w:rsidRPr="000009E2">
        <w:rPr>
          <w:rFonts w:cs="Times New Roman"/>
          <w:color w:val="000000" w:themeColor="text1"/>
          <w:sz w:val="22"/>
        </w:rPr>
        <w:t xml:space="preserve">mained highly duplicated. The detailed data are shown in Table </w:t>
      </w:r>
      <w:r w:rsidRPr="000009E2">
        <w:rPr>
          <w:rFonts w:cs="Times New Roman" w:hint="eastAsia"/>
          <w:color w:val="000000" w:themeColor="text1"/>
          <w:sz w:val="22"/>
        </w:rPr>
        <w:t>S</w:t>
      </w:r>
      <w:r w:rsidRPr="000009E2">
        <w:rPr>
          <w:rFonts w:cs="Times New Roman"/>
          <w:color w:val="000000" w:themeColor="text1"/>
          <w:sz w:val="22"/>
        </w:rPr>
        <w:t>1.</w:t>
      </w:r>
      <w:r w:rsidRPr="000009E2">
        <w:rPr>
          <w:color w:val="000000" w:themeColor="text1"/>
          <w:sz w:val="22"/>
        </w:rPr>
        <w:t xml:space="preserve"> Hyperactivation in the left inferior frontal gyrus (IFG) and </w:t>
      </w:r>
      <w:r w:rsidRPr="000009E2">
        <w:rPr>
          <w:rFonts w:hint="eastAsia"/>
          <w:color w:val="000000" w:themeColor="text1"/>
          <w:sz w:val="22"/>
        </w:rPr>
        <w:t>left</w:t>
      </w:r>
      <w:r w:rsidRPr="000009E2">
        <w:rPr>
          <w:rFonts w:cs="Times New Roman"/>
          <w:color w:val="000000" w:themeColor="text1"/>
          <w:sz w:val="22"/>
        </w:rPr>
        <w:t xml:space="preserve"> </w:t>
      </w:r>
      <w:r w:rsidRPr="000009E2">
        <w:rPr>
          <w:rFonts w:cs="Times New Roman" w:hint="eastAsia"/>
          <w:color w:val="000000" w:themeColor="text1"/>
          <w:sz w:val="22"/>
        </w:rPr>
        <w:t>postcentral</w:t>
      </w:r>
      <w:r w:rsidRPr="000009E2">
        <w:rPr>
          <w:rFonts w:cs="Times New Roman"/>
          <w:color w:val="000000" w:themeColor="text1"/>
          <w:sz w:val="22"/>
        </w:rPr>
        <w:t xml:space="preserve"> gyrus (</w:t>
      </w:r>
      <w:proofErr w:type="spellStart"/>
      <w:r w:rsidRPr="000009E2">
        <w:rPr>
          <w:rFonts w:cs="Times New Roman"/>
          <w:color w:val="000000" w:themeColor="text1"/>
          <w:sz w:val="22"/>
        </w:rPr>
        <w:t>PoCG</w:t>
      </w:r>
      <w:proofErr w:type="spellEnd"/>
      <w:r w:rsidRPr="000009E2">
        <w:rPr>
          <w:rFonts w:cs="Times New Roman"/>
          <w:color w:val="000000" w:themeColor="text1"/>
          <w:sz w:val="22"/>
        </w:rPr>
        <w:t>) were preserved in all included studies. H</w:t>
      </w:r>
      <w:r w:rsidRPr="000009E2">
        <w:rPr>
          <w:rFonts w:cs="Times New Roman" w:hint="eastAsia"/>
          <w:color w:val="000000" w:themeColor="text1"/>
          <w:sz w:val="22"/>
        </w:rPr>
        <w:t>yperactivation</w:t>
      </w:r>
      <w:r w:rsidRPr="000009E2">
        <w:rPr>
          <w:rFonts w:cs="Times New Roman"/>
          <w:color w:val="000000" w:themeColor="text1"/>
          <w:sz w:val="22"/>
        </w:rPr>
        <w:t xml:space="preserve"> in the bilateral medial prefrontal cortex (</w:t>
      </w:r>
      <w:proofErr w:type="spellStart"/>
      <w:r w:rsidRPr="000009E2">
        <w:rPr>
          <w:rFonts w:cs="Times New Roman"/>
          <w:color w:val="000000" w:themeColor="text1"/>
          <w:sz w:val="22"/>
        </w:rPr>
        <w:t>mPFC</w:t>
      </w:r>
      <w:proofErr w:type="spellEnd"/>
      <w:r w:rsidRPr="000009E2">
        <w:rPr>
          <w:rFonts w:cs="Times New Roman"/>
          <w:color w:val="000000" w:themeColor="text1"/>
          <w:sz w:val="22"/>
        </w:rPr>
        <w:t xml:space="preserve">), anterior cingulate cortex </w:t>
      </w:r>
      <w:r w:rsidRPr="000009E2">
        <w:rPr>
          <w:rFonts w:cs="Times New Roman" w:hint="eastAsia"/>
          <w:color w:val="000000" w:themeColor="text1"/>
          <w:sz w:val="22"/>
        </w:rPr>
        <w:t>(</w:t>
      </w:r>
      <w:r w:rsidRPr="000009E2">
        <w:rPr>
          <w:rFonts w:cs="Times New Roman"/>
          <w:color w:val="000000" w:themeColor="text1"/>
          <w:sz w:val="22"/>
        </w:rPr>
        <w:t xml:space="preserve">ACC), median cingulate cortex (MCC), right middle frontal gyrus (MFG) and left middle temporal gyrus (MTG), and hypoactivation in the right striatum and IFG maintained significance in all but one combination. Hypoactivation in the right cerebellum </w:t>
      </w:r>
      <w:r w:rsidRPr="000009E2">
        <w:rPr>
          <w:color w:val="000000" w:themeColor="text1"/>
          <w:sz w:val="22"/>
        </w:rPr>
        <w:t>remained significant in all but two combinations</w:t>
      </w:r>
      <w:r w:rsidRPr="000009E2">
        <w:rPr>
          <w:rFonts w:hint="eastAsia"/>
          <w:color w:val="000000" w:themeColor="text1"/>
          <w:sz w:val="22"/>
        </w:rPr>
        <w:t>.</w:t>
      </w:r>
    </w:p>
    <w:p w:rsidR="000C4959" w:rsidRPr="000009E2" w:rsidRDefault="000C4959" w:rsidP="00D35E7F">
      <w:pPr>
        <w:kinsoku w:val="0"/>
        <w:snapToGrid w:val="0"/>
        <w:spacing w:line="360" w:lineRule="auto"/>
        <w:ind w:firstLineChars="200" w:firstLine="440"/>
        <w:rPr>
          <w:color w:val="000000" w:themeColor="text1"/>
          <w:sz w:val="22"/>
        </w:rPr>
      </w:pPr>
      <w:r w:rsidRPr="000009E2">
        <w:rPr>
          <w:rFonts w:cs="Times New Roman"/>
          <w:color w:val="000000" w:themeColor="text1"/>
          <w:sz w:val="22"/>
        </w:rPr>
        <w:t>As shown in Table S2, whole-brain jack-knife sensitivity analyses demonstrated a high duplication during the feedback stage.</w:t>
      </w:r>
      <w:r w:rsidRPr="000009E2">
        <w:rPr>
          <w:color w:val="000000" w:themeColor="text1"/>
          <w:sz w:val="22"/>
        </w:rPr>
        <w:t xml:space="preserve"> Hypoactivation in the bilateral ACC, MCC, left caudate, right striatum</w:t>
      </w:r>
      <w:r w:rsidRPr="000009E2">
        <w:rPr>
          <w:rFonts w:hint="eastAsia"/>
          <w:color w:val="000000" w:themeColor="text1"/>
          <w:sz w:val="22"/>
        </w:rPr>
        <w:t>,</w:t>
      </w:r>
      <w:r w:rsidRPr="000009E2">
        <w:rPr>
          <w:color w:val="000000" w:themeColor="text1"/>
          <w:sz w:val="22"/>
        </w:rPr>
        <w:t xml:space="preserve"> and IFG was preserved in all included studies. H</w:t>
      </w:r>
      <w:r w:rsidRPr="000009E2">
        <w:rPr>
          <w:rFonts w:hint="eastAsia"/>
          <w:color w:val="000000" w:themeColor="text1"/>
          <w:sz w:val="22"/>
        </w:rPr>
        <w:t>yperactivation</w:t>
      </w:r>
      <w:r w:rsidRPr="000009E2">
        <w:rPr>
          <w:color w:val="000000" w:themeColor="text1"/>
          <w:sz w:val="22"/>
        </w:rPr>
        <w:t xml:space="preserve"> in the left </w:t>
      </w:r>
      <w:r w:rsidRPr="000009E2">
        <w:rPr>
          <w:rFonts w:eastAsia="等线" w:cs="Times New Roman"/>
          <w:color w:val="000000" w:themeColor="text1"/>
          <w:kern w:val="0"/>
          <w:sz w:val="22"/>
        </w:rPr>
        <w:t>inferior temporal gyrus</w:t>
      </w:r>
      <w:r w:rsidRPr="000009E2">
        <w:rPr>
          <w:color w:val="000000" w:themeColor="text1"/>
          <w:sz w:val="22"/>
        </w:rPr>
        <w:t xml:space="preserve"> (ITG) and hypoactivation in the left thalamus, right insula (extending to the temporal pole) and MFG remained significant in all but one combination. Hypo</w:t>
      </w:r>
      <w:r w:rsidRPr="000009E2">
        <w:rPr>
          <w:rFonts w:hint="eastAsia"/>
          <w:color w:val="000000" w:themeColor="text1"/>
          <w:sz w:val="22"/>
        </w:rPr>
        <w:t>activation</w:t>
      </w:r>
      <w:r w:rsidRPr="000009E2">
        <w:rPr>
          <w:color w:val="000000" w:themeColor="text1"/>
          <w:sz w:val="22"/>
        </w:rPr>
        <w:t xml:space="preserve"> in the left precentral gyrus and cerebellum remained significant in all but two combinations.</w:t>
      </w:r>
    </w:p>
    <w:p w:rsidR="000C4959" w:rsidRDefault="000C4959" w:rsidP="00D35E7F">
      <w:pPr>
        <w:kinsoku w:val="0"/>
        <w:snapToGrid w:val="0"/>
        <w:spacing w:beforeLines="50" w:before="156" w:line="360" w:lineRule="auto"/>
        <w:rPr>
          <w:b/>
          <w:i/>
          <w:sz w:val="22"/>
        </w:rPr>
      </w:pPr>
    </w:p>
    <w:p w:rsidR="000C4959" w:rsidRPr="00A90F6A" w:rsidRDefault="000C4959" w:rsidP="00D35E7F">
      <w:pPr>
        <w:kinsoku w:val="0"/>
        <w:snapToGrid w:val="0"/>
        <w:spacing w:line="360" w:lineRule="auto"/>
        <w:rPr>
          <w:b/>
          <w:i/>
          <w:sz w:val="22"/>
        </w:rPr>
      </w:pPr>
      <w:r w:rsidRPr="00A90F6A">
        <w:rPr>
          <w:b/>
          <w:i/>
          <w:sz w:val="22"/>
        </w:rPr>
        <w:t>Subgroup analyses</w:t>
      </w:r>
    </w:p>
    <w:p w:rsidR="000C4959" w:rsidRPr="000009E2" w:rsidRDefault="000C4959" w:rsidP="00D35E7F">
      <w:pPr>
        <w:kinsoku w:val="0"/>
        <w:snapToGrid w:val="0"/>
        <w:spacing w:line="360" w:lineRule="auto"/>
        <w:rPr>
          <w:rFonts w:cs="Times New Roman"/>
          <w:color w:val="000000" w:themeColor="text1"/>
          <w:sz w:val="22"/>
        </w:rPr>
      </w:pPr>
      <w:r>
        <w:rPr>
          <w:rFonts w:cs="Times New Roman"/>
          <w:sz w:val="22"/>
        </w:rPr>
        <w:t xml:space="preserve">Within the reward anticipation meta-analysis, </w:t>
      </w:r>
      <w:r w:rsidRPr="00B6375F">
        <w:rPr>
          <w:rFonts w:cs="Times New Roman"/>
          <w:sz w:val="22"/>
        </w:rPr>
        <w:t>subgroup</w:t>
      </w:r>
      <w:r>
        <w:rPr>
          <w:rFonts w:cs="Times New Roman"/>
          <w:sz w:val="22"/>
        </w:rPr>
        <w:t xml:space="preserve"> </w:t>
      </w:r>
      <w:r w:rsidRPr="00B6375F">
        <w:rPr>
          <w:rFonts w:cs="Times New Roman"/>
          <w:sz w:val="22"/>
        </w:rPr>
        <w:t>analys</w:t>
      </w:r>
      <w:r>
        <w:rPr>
          <w:rFonts w:cs="Times New Roman"/>
          <w:sz w:val="22"/>
        </w:rPr>
        <w:t>e</w:t>
      </w:r>
      <w:r w:rsidRPr="00B6375F">
        <w:rPr>
          <w:rFonts w:cs="Times New Roman"/>
          <w:sz w:val="22"/>
        </w:rPr>
        <w:t>s</w:t>
      </w:r>
      <w:r>
        <w:rPr>
          <w:rFonts w:cs="Times New Roman"/>
          <w:sz w:val="22"/>
        </w:rPr>
        <w:t xml:space="preserve"> were performed for studies in which patients</w:t>
      </w:r>
      <w:r w:rsidRPr="003A3CAB">
        <w:rPr>
          <w:rFonts w:cs="Times New Roman"/>
          <w:sz w:val="22"/>
        </w:rPr>
        <w:t xml:space="preserve"> with/without </w:t>
      </w:r>
      <w:r w:rsidRPr="003A3CAB">
        <w:rPr>
          <w:rFonts w:cs="Times New Roman" w:hint="eastAsia"/>
          <w:sz w:val="22"/>
        </w:rPr>
        <w:t>comorbid</w:t>
      </w:r>
      <w:r w:rsidRPr="003A3CAB">
        <w:rPr>
          <w:rFonts w:cs="Times New Roman"/>
          <w:sz w:val="22"/>
        </w:rPr>
        <w:t xml:space="preserve"> anxiety</w:t>
      </w:r>
      <w:r w:rsidRPr="003A3CAB">
        <w:rPr>
          <w:rFonts w:cs="Times New Roman" w:hint="eastAsia"/>
          <w:sz w:val="22"/>
        </w:rPr>
        <w:t>,</w:t>
      </w:r>
      <w:r w:rsidRPr="003A3CAB">
        <w:rPr>
          <w:rFonts w:cs="Times New Roman"/>
          <w:sz w:val="22"/>
        </w:rPr>
        <w:t xml:space="preserve"> for studies in which patients had wash-out periods befor</w:t>
      </w:r>
      <w:r w:rsidRPr="00041B56">
        <w:rPr>
          <w:rFonts w:cs="Times New Roman"/>
          <w:sz w:val="22"/>
          <w:shd w:val="clear" w:color="auto" w:fill="FFFFFF" w:themeFill="background1"/>
        </w:rPr>
        <w:t xml:space="preserve">e </w:t>
      </w:r>
      <w:r w:rsidRPr="00873303">
        <w:rPr>
          <w:rFonts w:cs="Times New Roman"/>
          <w:sz w:val="22"/>
          <w:shd w:val="clear" w:color="auto" w:fill="FFFFFF" w:themeFill="background1"/>
        </w:rPr>
        <w:t>MRI s</w:t>
      </w:r>
      <w:r w:rsidRPr="00041B56">
        <w:rPr>
          <w:rFonts w:cs="Times New Roman"/>
          <w:sz w:val="22"/>
          <w:shd w:val="clear" w:color="auto" w:fill="FFFFFF" w:themeFill="background1"/>
        </w:rPr>
        <w:t>c</w:t>
      </w:r>
      <w:r w:rsidRPr="003A3CAB">
        <w:rPr>
          <w:rFonts w:cs="Times New Roman"/>
          <w:sz w:val="22"/>
        </w:rPr>
        <w:t>anning, and for studies using 3.0 T MRI scanner. Most of the results of the wash-out subgroup analysis were consistent with the pooled analysis, except for the blunted response to reward in the r</w:t>
      </w:r>
      <w:r w:rsidRPr="000009E2">
        <w:rPr>
          <w:rFonts w:cs="Times New Roman"/>
          <w:color w:val="000000" w:themeColor="text1"/>
          <w:sz w:val="22"/>
        </w:rPr>
        <w:t>ight striatum and IFG. For studies including MDD patients with anxiety comorbidities, compared to healthy control</w:t>
      </w:r>
      <w:r w:rsidRPr="000009E2">
        <w:rPr>
          <w:rFonts w:cs="Times New Roman"/>
          <w:color w:val="000000" w:themeColor="text1"/>
          <w:sz w:val="22"/>
          <w:shd w:val="clear" w:color="auto" w:fill="FFFFFF" w:themeFill="background1"/>
        </w:rPr>
        <w:t>s (HC), M</w:t>
      </w:r>
      <w:r w:rsidRPr="000009E2">
        <w:rPr>
          <w:rFonts w:cs="Times New Roman"/>
          <w:color w:val="000000" w:themeColor="text1"/>
          <w:sz w:val="22"/>
        </w:rPr>
        <w:t>DD patients showed increase</w:t>
      </w:r>
      <w:r w:rsidRPr="000009E2">
        <w:rPr>
          <w:rFonts w:cs="Times New Roman" w:hint="eastAsia"/>
          <w:color w:val="000000" w:themeColor="text1"/>
          <w:sz w:val="22"/>
        </w:rPr>
        <w:t>d</w:t>
      </w:r>
      <w:r w:rsidRPr="000009E2">
        <w:rPr>
          <w:rFonts w:cs="Times New Roman"/>
          <w:color w:val="000000" w:themeColor="text1"/>
          <w:sz w:val="22"/>
        </w:rPr>
        <w:t xml:space="preserve"> in the bilateral </w:t>
      </w:r>
      <w:proofErr w:type="spellStart"/>
      <w:r w:rsidRPr="000009E2">
        <w:rPr>
          <w:rFonts w:cs="Times New Roman"/>
          <w:color w:val="000000" w:themeColor="text1"/>
          <w:sz w:val="22"/>
        </w:rPr>
        <w:t>mPFC</w:t>
      </w:r>
      <w:proofErr w:type="spellEnd"/>
      <w:r w:rsidRPr="000009E2">
        <w:rPr>
          <w:rFonts w:cs="Times New Roman"/>
          <w:color w:val="000000" w:themeColor="text1"/>
          <w:sz w:val="22"/>
        </w:rPr>
        <w:t xml:space="preserve">, ACC, MCC, right MFG, and decreased in the left striatum and right cerebellum. For studies using 3.0 T MRI scanner, we found hyperactivation in the bilateral </w:t>
      </w:r>
      <w:proofErr w:type="spellStart"/>
      <w:r w:rsidRPr="000009E2">
        <w:rPr>
          <w:rFonts w:cs="Times New Roman"/>
          <w:color w:val="000000" w:themeColor="text1"/>
          <w:sz w:val="22"/>
        </w:rPr>
        <w:t>mPFC</w:t>
      </w:r>
      <w:proofErr w:type="spellEnd"/>
      <w:r w:rsidRPr="000009E2">
        <w:rPr>
          <w:rFonts w:cs="Times New Roman"/>
          <w:color w:val="000000" w:themeColor="text1"/>
          <w:sz w:val="22"/>
        </w:rPr>
        <w:t>, MCC, and right MFG and hypoactivation in the right cerebellum, striatum and IFG in depressed individuals (see Table S1).</w:t>
      </w:r>
    </w:p>
    <w:p w:rsidR="000C4959" w:rsidRPr="000009E2" w:rsidRDefault="000C4959" w:rsidP="00D35E7F">
      <w:pPr>
        <w:kinsoku w:val="0"/>
        <w:snapToGrid w:val="0"/>
        <w:spacing w:line="360" w:lineRule="auto"/>
        <w:ind w:firstLineChars="150" w:firstLine="330"/>
        <w:rPr>
          <w:rFonts w:cs="Times New Roman"/>
          <w:color w:val="000000" w:themeColor="text1"/>
          <w:sz w:val="22"/>
        </w:rPr>
      </w:pPr>
      <w:bookmarkStart w:id="8" w:name="_Hlk104231630"/>
      <w:bookmarkStart w:id="9" w:name="_Hlk103034043"/>
      <w:r w:rsidRPr="000009E2">
        <w:rPr>
          <w:rFonts w:cs="Times New Roman"/>
          <w:color w:val="000000" w:themeColor="text1"/>
          <w:sz w:val="22"/>
        </w:rPr>
        <w:t>The subgroup analyses for the outcome meta-analysis were repeated several times as with the anticipation stage</w:t>
      </w:r>
      <w:bookmarkEnd w:id="8"/>
      <w:r w:rsidRPr="000009E2">
        <w:rPr>
          <w:rFonts w:cs="Times New Roman"/>
          <w:color w:val="000000" w:themeColor="text1"/>
          <w:sz w:val="22"/>
        </w:rPr>
        <w:t xml:space="preserve"> </w:t>
      </w:r>
      <w:bookmarkStart w:id="10" w:name="_Hlk103161671"/>
      <w:r w:rsidRPr="000009E2">
        <w:rPr>
          <w:rFonts w:cs="Times New Roman"/>
          <w:color w:val="000000" w:themeColor="text1"/>
          <w:sz w:val="22"/>
        </w:rPr>
        <w:t>(see Table S2)</w:t>
      </w:r>
      <w:bookmarkEnd w:id="10"/>
      <w:r w:rsidRPr="000009E2">
        <w:rPr>
          <w:rFonts w:cs="Times New Roman"/>
          <w:color w:val="000000" w:themeColor="text1"/>
          <w:sz w:val="22"/>
        </w:rPr>
        <w:t>.</w:t>
      </w:r>
      <w:bookmarkEnd w:id="9"/>
      <w:r w:rsidRPr="000009E2">
        <w:rPr>
          <w:rFonts w:cs="Times New Roman" w:hint="eastAsia"/>
          <w:color w:val="000000" w:themeColor="text1"/>
          <w:sz w:val="22"/>
        </w:rPr>
        <w:t xml:space="preserve"> </w:t>
      </w:r>
      <w:r w:rsidRPr="000009E2">
        <w:rPr>
          <w:rFonts w:cs="Times New Roman"/>
          <w:color w:val="000000" w:themeColor="text1"/>
          <w:sz w:val="22"/>
        </w:rPr>
        <w:t xml:space="preserve">For studies including patients with comorbid anxiety, the analysis revealed that MDD patients had a decreased response in the bilateral striatum, ACC, MCC, right IFG, insula (extending to the temporal pole left precentral gyrus, cerebellum and thalamus. The results of the wash-out subgroup analyses remained unchanged during outcome stage. For the studies using 3.0 T MRI scanner (n=6), the analysis revealed that MDD patients showed decreased reward response in the bilateral ACC, MCC, right IFG, insula (extending to </w:t>
      </w:r>
      <w:r w:rsidRPr="000009E2">
        <w:rPr>
          <w:rFonts w:cs="Times New Roman"/>
          <w:color w:val="000000" w:themeColor="text1"/>
          <w:sz w:val="22"/>
        </w:rPr>
        <w:lastRenderedPageBreak/>
        <w:t>the temporal pole), left cerebellum, and thalamus.</w:t>
      </w:r>
    </w:p>
    <w:p w:rsidR="000C4959" w:rsidRDefault="000C4959" w:rsidP="00D35E7F">
      <w:pPr>
        <w:kinsoku w:val="0"/>
        <w:snapToGrid w:val="0"/>
        <w:spacing w:line="360" w:lineRule="auto"/>
        <w:rPr>
          <w:b/>
          <w:i/>
          <w:sz w:val="22"/>
        </w:rPr>
      </w:pPr>
    </w:p>
    <w:p w:rsidR="000C4959" w:rsidRPr="00A90F6A" w:rsidRDefault="000C4959" w:rsidP="00D35E7F">
      <w:pPr>
        <w:kinsoku w:val="0"/>
        <w:snapToGrid w:val="0"/>
        <w:spacing w:line="360" w:lineRule="auto"/>
        <w:rPr>
          <w:b/>
          <w:i/>
          <w:sz w:val="22"/>
        </w:rPr>
      </w:pPr>
      <w:r w:rsidRPr="00A90F6A">
        <w:rPr>
          <w:b/>
          <w:i/>
          <w:sz w:val="22"/>
        </w:rPr>
        <w:t>Meta-regression analyses</w:t>
      </w:r>
    </w:p>
    <w:p w:rsidR="000C4959" w:rsidRDefault="000C4959" w:rsidP="00D35E7F">
      <w:pPr>
        <w:kinsoku w:val="0"/>
        <w:snapToGrid w:val="0"/>
        <w:spacing w:line="360" w:lineRule="auto"/>
        <w:rPr>
          <w:rFonts w:cs="Times New Roman"/>
          <w:sz w:val="22"/>
        </w:rPr>
      </w:pPr>
      <w:r w:rsidRPr="00810A61">
        <w:rPr>
          <w:rFonts w:cs="Times New Roman"/>
          <w:sz w:val="22"/>
        </w:rPr>
        <w:t xml:space="preserve">For both the anticipation and outcome, </w:t>
      </w:r>
      <w:r w:rsidRPr="00810A61">
        <w:rPr>
          <w:rFonts w:cs="Times New Roman" w:hint="eastAsia"/>
          <w:sz w:val="22"/>
        </w:rPr>
        <w:t>l</w:t>
      </w:r>
      <w:r w:rsidRPr="00810A61">
        <w:rPr>
          <w:rFonts w:cs="Times New Roman"/>
          <w:sz w:val="22"/>
        </w:rPr>
        <w:t xml:space="preserve">inear regression analysis revealed that there was no significant relationship between brain response differences in MDD patients and the clinical variables (the percentage of females, mean age, </w:t>
      </w:r>
      <w:r w:rsidRPr="00516F7C">
        <w:rPr>
          <w:rFonts w:cs="Times New Roman"/>
          <w:sz w:val="22"/>
        </w:rPr>
        <w:t>number</w:t>
      </w:r>
      <w:r>
        <w:rPr>
          <w:rFonts w:cs="Times New Roman"/>
          <w:sz w:val="22"/>
        </w:rPr>
        <w:t xml:space="preserve"> </w:t>
      </w:r>
      <w:r w:rsidRPr="00516F7C">
        <w:rPr>
          <w:rFonts w:cs="Times New Roman"/>
          <w:sz w:val="22"/>
        </w:rPr>
        <w:t>of</w:t>
      </w:r>
      <w:r>
        <w:rPr>
          <w:rFonts w:cs="Times New Roman"/>
          <w:sz w:val="22"/>
        </w:rPr>
        <w:t xml:space="preserve"> </w:t>
      </w:r>
      <w:r w:rsidRPr="00516F7C">
        <w:rPr>
          <w:rFonts w:cs="Times New Roman"/>
          <w:sz w:val="22"/>
        </w:rPr>
        <w:t>past</w:t>
      </w:r>
      <w:r>
        <w:rPr>
          <w:rFonts w:cs="Times New Roman"/>
          <w:sz w:val="22"/>
        </w:rPr>
        <w:t xml:space="preserve"> </w:t>
      </w:r>
      <w:r w:rsidRPr="00516F7C">
        <w:rPr>
          <w:rFonts w:cs="Times New Roman"/>
          <w:sz w:val="22"/>
        </w:rPr>
        <w:t>depressive</w:t>
      </w:r>
      <w:r>
        <w:rPr>
          <w:rFonts w:cs="Times New Roman"/>
          <w:sz w:val="22"/>
        </w:rPr>
        <w:t xml:space="preserve"> </w:t>
      </w:r>
      <w:r w:rsidRPr="00516F7C">
        <w:rPr>
          <w:rFonts w:cs="Times New Roman"/>
          <w:sz w:val="22"/>
        </w:rPr>
        <w:t>episodes</w:t>
      </w:r>
      <w:r w:rsidRPr="00810A61">
        <w:rPr>
          <w:rFonts w:cs="Times New Roman"/>
          <w:sz w:val="22"/>
        </w:rPr>
        <w:t xml:space="preserve"> and depression severity). Due to the limited datasets included in this study, we failed to conduct the meta-regression analysis for illness duration, onset of age, and degree of anhedonia.</w:t>
      </w:r>
    </w:p>
    <w:p w:rsidR="000C4959" w:rsidRDefault="000C4959" w:rsidP="00D35E7F">
      <w:pPr>
        <w:widowControl/>
        <w:kinsoku w:val="0"/>
        <w:snapToGrid w:val="0"/>
        <w:spacing w:line="360" w:lineRule="auto"/>
        <w:rPr>
          <w:b/>
          <w:sz w:val="24"/>
          <w:szCs w:val="24"/>
        </w:rPr>
      </w:pPr>
    </w:p>
    <w:p w:rsidR="000C4959" w:rsidRPr="003A3CAB" w:rsidRDefault="000C4959" w:rsidP="00D35E7F">
      <w:pPr>
        <w:widowControl/>
        <w:kinsoku w:val="0"/>
        <w:snapToGrid w:val="0"/>
        <w:spacing w:line="360" w:lineRule="auto"/>
        <w:rPr>
          <w:b/>
          <w:sz w:val="24"/>
          <w:szCs w:val="24"/>
        </w:rPr>
      </w:pPr>
      <w:r w:rsidRPr="003A3CAB">
        <w:rPr>
          <w:rFonts w:hint="eastAsia"/>
          <w:b/>
          <w:sz w:val="24"/>
          <w:szCs w:val="24"/>
        </w:rPr>
        <w:t>S</w:t>
      </w:r>
      <w:r w:rsidRPr="003A3CAB">
        <w:rPr>
          <w:b/>
          <w:sz w:val="24"/>
          <w:szCs w:val="24"/>
        </w:rPr>
        <w:t>upplement</w:t>
      </w:r>
      <w:r w:rsidRPr="003A3CAB">
        <w:rPr>
          <w:rFonts w:hint="eastAsia"/>
          <w:b/>
          <w:sz w:val="24"/>
          <w:szCs w:val="24"/>
        </w:rPr>
        <w:t>ary</w:t>
      </w:r>
      <w:r w:rsidRPr="003A3CAB">
        <w:rPr>
          <w:b/>
          <w:sz w:val="24"/>
          <w:szCs w:val="24"/>
        </w:rPr>
        <w:t xml:space="preserve"> Discussion</w:t>
      </w:r>
    </w:p>
    <w:p w:rsidR="000C4959" w:rsidRPr="00A90F6A" w:rsidRDefault="000C4959" w:rsidP="00D35E7F">
      <w:pPr>
        <w:kinsoku w:val="0"/>
        <w:snapToGrid w:val="0"/>
        <w:spacing w:line="360" w:lineRule="auto"/>
        <w:rPr>
          <w:b/>
          <w:i/>
          <w:sz w:val="22"/>
        </w:rPr>
      </w:pPr>
      <w:bookmarkStart w:id="11" w:name="_Hlk103260632"/>
      <w:r w:rsidRPr="00A90F6A">
        <w:rPr>
          <w:b/>
          <w:i/>
          <w:sz w:val="22"/>
        </w:rPr>
        <w:t xml:space="preserve">The relationship between distinct reward processes and subjective anhedonia </w:t>
      </w:r>
    </w:p>
    <w:p w:rsidR="000C4959" w:rsidRPr="003A3CAB" w:rsidRDefault="000C4959" w:rsidP="00D35E7F">
      <w:pPr>
        <w:kinsoku w:val="0"/>
        <w:snapToGrid w:val="0"/>
        <w:spacing w:line="360" w:lineRule="auto"/>
        <w:rPr>
          <w:rFonts w:cs="Times New Roman"/>
          <w:sz w:val="22"/>
        </w:rPr>
      </w:pPr>
      <w:r w:rsidRPr="003A3CAB">
        <w:rPr>
          <w:rFonts w:cs="Times New Roman"/>
          <w:sz w:val="22"/>
        </w:rPr>
        <w:t xml:space="preserve">Considering the clinical significance of </w:t>
      </w:r>
      <w:proofErr w:type="spellStart"/>
      <w:r w:rsidRPr="003A3CAB">
        <w:rPr>
          <w:rFonts w:cs="Times New Roman"/>
          <w:sz w:val="22"/>
        </w:rPr>
        <w:t>anhedonic</w:t>
      </w:r>
      <w:proofErr w:type="spellEnd"/>
      <w:r w:rsidRPr="003A3CAB">
        <w:rPr>
          <w:rFonts w:cs="Times New Roman"/>
          <w:sz w:val="22"/>
        </w:rPr>
        <w:t xml:space="preserve"> symptoms, it is important to investigate the brain-symptom associations between self-reported anhedonia and different components of reward processing in depressed individuals. Unfortunately, only a few studies included in our meta-analysis reported subjective measures of anhedonia, meaning that a meta-regression or subgroup analysis with the severity of anhedonia was not feasible. We cannot definitively state whether our findings of </w:t>
      </w:r>
      <w:r w:rsidRPr="003A3CAB">
        <w:rPr>
          <w:rFonts w:eastAsia="宋体" w:cs="Times New Roman"/>
          <w:sz w:val="22"/>
        </w:rPr>
        <w:t xml:space="preserve">hyper-responsivity in the cortical prefrontal regions during the anticipation phase and hypo-responsivity of the </w:t>
      </w:r>
      <w:proofErr w:type="spellStart"/>
      <w:r w:rsidRPr="003A3CAB">
        <w:rPr>
          <w:rFonts w:eastAsia="宋体" w:cs="Times New Roman"/>
          <w:sz w:val="22"/>
        </w:rPr>
        <w:t>mesocortical</w:t>
      </w:r>
      <w:proofErr w:type="spellEnd"/>
      <w:r w:rsidRPr="003A3CAB">
        <w:rPr>
          <w:rFonts w:eastAsia="宋体" w:cs="Times New Roman"/>
          <w:sz w:val="22"/>
        </w:rPr>
        <w:t>-limbic circuit across</w:t>
      </w:r>
      <w:r w:rsidRPr="003A3CAB">
        <w:rPr>
          <w:rFonts w:cs="Times New Roman"/>
          <w:sz w:val="22"/>
        </w:rPr>
        <w:t xml:space="preserve"> both the anticipation and outcome</w:t>
      </w:r>
      <w:r w:rsidRPr="003A3CAB">
        <w:rPr>
          <w:rFonts w:eastAsia="宋体" w:cs="Times New Roman"/>
          <w:sz w:val="22"/>
        </w:rPr>
        <w:t xml:space="preserve"> phases</w:t>
      </w:r>
      <w:r w:rsidRPr="003A3CAB">
        <w:rPr>
          <w:rFonts w:cs="Times New Roman"/>
          <w:sz w:val="22"/>
        </w:rPr>
        <w:t xml:space="preserve"> are closely related to self-rated anhedonia</w:t>
      </w:r>
      <w:r w:rsidRPr="003A3CAB">
        <w:rPr>
          <w:rFonts w:eastAsia="宋体" w:cs="Times New Roman"/>
          <w:sz w:val="22"/>
        </w:rPr>
        <w:t>.</w:t>
      </w:r>
      <w:r w:rsidRPr="003A3CAB">
        <w:rPr>
          <w:rFonts w:cs="Times New Roman"/>
          <w:sz w:val="22"/>
        </w:rPr>
        <w:t xml:space="preserve"> According to previous studies, anticipatory and motivational aspects of reward processing may be more dysfunctional and may be closely linked to</w:t>
      </w:r>
      <w:r>
        <w:rPr>
          <w:rFonts w:cs="Times New Roman"/>
          <w:sz w:val="22"/>
        </w:rPr>
        <w:t xml:space="preserve"> </w:t>
      </w:r>
      <w:proofErr w:type="spellStart"/>
      <w:r>
        <w:rPr>
          <w:rFonts w:cs="Times New Roman"/>
          <w:sz w:val="22"/>
        </w:rPr>
        <w:t>anhedonic</w:t>
      </w:r>
      <w:proofErr w:type="spellEnd"/>
      <w:r w:rsidRPr="003A3CAB">
        <w:rPr>
          <w:rFonts w:cs="Times New Roman"/>
          <w:sz w:val="22"/>
        </w:rPr>
        <w:t xml:space="preserve"> symptoms, whereas the aspects of reward processing that relate to reward receipt may be relatively spared </w:t>
      </w:r>
      <w:r>
        <w:rPr>
          <w:rFonts w:cs="Times New Roman"/>
          <w:noProof/>
          <w:sz w:val="22"/>
        </w:rPr>
        <w:t>(Argyropoulos &amp; Nutt, 2013; Dillon et al., 2014; Segarra et al., 2016)</w:t>
      </w:r>
      <w:r w:rsidRPr="003A3CAB">
        <w:rPr>
          <w:rFonts w:ascii="AdvOT852e08ef" w:hAnsi="AdvOT852e08ef"/>
          <w:sz w:val="22"/>
        </w:rPr>
        <w:t>.</w:t>
      </w:r>
      <w:r w:rsidRPr="003A3CAB">
        <w:rPr>
          <w:sz w:val="22"/>
        </w:rPr>
        <w:t xml:space="preserve"> </w:t>
      </w:r>
      <w:r w:rsidRPr="003A3CAB">
        <w:rPr>
          <w:rFonts w:cs="Times New Roman"/>
          <w:sz w:val="22"/>
        </w:rPr>
        <w:t>As with the anticipation of reward, hypo-responsivity</w:t>
      </w:r>
      <w:r w:rsidRPr="003A3CAB">
        <w:rPr>
          <w:rFonts w:eastAsia="宋体" w:cs="Times New Roman"/>
          <w:sz w:val="22"/>
        </w:rPr>
        <w:t xml:space="preserve"> in the ventral striatum (VS)</w:t>
      </w:r>
      <w:r w:rsidRPr="003A3CAB">
        <w:rPr>
          <w:rFonts w:eastAsia="宋体" w:cs="Times New Roman" w:hint="eastAsia"/>
          <w:sz w:val="22"/>
        </w:rPr>
        <w:t xml:space="preserve"> during anticipation was inversely associated with the BDI anhedonia subscale</w:t>
      </w:r>
      <w:r w:rsidRPr="003A3CAB">
        <w:rPr>
          <w:rFonts w:cs="Times New Roman"/>
          <w:sz w:val="22"/>
        </w:rPr>
        <w:t xml:space="preserve"> </w:t>
      </w:r>
      <w:r>
        <w:rPr>
          <w:rFonts w:cs="Times New Roman"/>
          <w:noProof/>
          <w:sz w:val="22"/>
        </w:rPr>
        <w:t>(Meline Stoy et al., 2012)</w:t>
      </w:r>
      <w:r w:rsidRPr="003A3CAB">
        <w:rPr>
          <w:rFonts w:cs="Times New Roman"/>
          <w:sz w:val="22"/>
        </w:rPr>
        <w:t xml:space="preserve">. Another study reported that increased responses in the orbitofrontal cortex and nucleus </w:t>
      </w:r>
      <w:proofErr w:type="spellStart"/>
      <w:r w:rsidRPr="003A3CAB">
        <w:rPr>
          <w:rFonts w:cs="Times New Roman"/>
          <w:sz w:val="22"/>
        </w:rPr>
        <w:t>accumbens</w:t>
      </w:r>
      <w:proofErr w:type="spellEnd"/>
      <w:r w:rsidRPr="003A3CAB">
        <w:rPr>
          <w:rFonts w:cs="Times New Roman"/>
          <w:sz w:val="22"/>
        </w:rPr>
        <w:t xml:space="preserve"> (</w:t>
      </w:r>
      <w:proofErr w:type="spellStart"/>
      <w:r w:rsidRPr="003A3CAB">
        <w:rPr>
          <w:rFonts w:cs="Times New Roman"/>
          <w:sz w:val="22"/>
        </w:rPr>
        <w:t>NAcc</w:t>
      </w:r>
      <w:proofErr w:type="spellEnd"/>
      <w:r w:rsidRPr="003A3CAB">
        <w:rPr>
          <w:rFonts w:cs="Times New Roman"/>
          <w:sz w:val="22"/>
        </w:rPr>
        <w:t xml:space="preserve">) during reward anticipation were associated with hedonic capacity as measured by the SHAPS </w:t>
      </w:r>
      <w:r>
        <w:rPr>
          <w:rFonts w:cs="Times New Roman"/>
          <w:noProof/>
          <w:sz w:val="22"/>
        </w:rPr>
        <w:t>(Ubl et al., 2015)</w:t>
      </w:r>
      <w:r w:rsidRPr="003A3CAB">
        <w:rPr>
          <w:rFonts w:cs="Times New Roman"/>
          <w:sz w:val="22"/>
        </w:rPr>
        <w:t xml:space="preserve">. As recently shown in a resting fMRI study, the elevated altered spontaneous neuronal activity of the ACC was correlated with anticipatory anhedonia </w:t>
      </w:r>
      <w:r>
        <w:rPr>
          <w:rFonts w:cs="Times New Roman"/>
          <w:noProof/>
          <w:sz w:val="22"/>
        </w:rPr>
        <w:t>(Liu, Li, Li, Ren, &amp; Ma, 2021)</w:t>
      </w:r>
      <w:r w:rsidRPr="003A3CAB">
        <w:rPr>
          <w:rFonts w:cs="Times New Roman"/>
          <w:sz w:val="22"/>
        </w:rPr>
        <w:t xml:space="preserve">. As with the consumption of reward, </w:t>
      </w:r>
      <w:r w:rsidRPr="003A3CAB">
        <w:rPr>
          <w:rFonts w:cs="Times New Roman" w:hint="eastAsia"/>
          <w:sz w:val="22"/>
        </w:rPr>
        <w:t>t</w:t>
      </w:r>
      <w:r w:rsidRPr="003A3CAB">
        <w:rPr>
          <w:rFonts w:cs="Times New Roman"/>
          <w:sz w:val="22"/>
        </w:rPr>
        <w:t xml:space="preserve">here is previous evidence for the reduced cortical thickness of the ACC and OFC and diminished </w:t>
      </w:r>
      <w:proofErr w:type="spellStart"/>
      <w:r w:rsidRPr="003A3CAB">
        <w:rPr>
          <w:rFonts w:cs="Times New Roman"/>
          <w:sz w:val="22"/>
        </w:rPr>
        <w:t>NAcc</w:t>
      </w:r>
      <w:proofErr w:type="spellEnd"/>
      <w:r w:rsidRPr="003A3CAB">
        <w:rPr>
          <w:rFonts w:cs="Times New Roman"/>
          <w:sz w:val="22"/>
        </w:rPr>
        <w:t xml:space="preserve"> activity to be correlated with consummatory anhedonia in MDD </w:t>
      </w:r>
      <w:r>
        <w:rPr>
          <w:rFonts w:cs="Times New Roman"/>
          <w:noProof/>
          <w:sz w:val="22"/>
        </w:rPr>
        <w:t>(Liu et al., 2021; Redlich et al., 2015)</w:t>
      </w:r>
      <w:r w:rsidRPr="003A3CAB">
        <w:rPr>
          <w:rFonts w:cs="Times New Roman"/>
          <w:sz w:val="22"/>
        </w:rPr>
        <w:t xml:space="preserve">. No significant correlation between brain activation during reward outcome and </w:t>
      </w:r>
      <w:proofErr w:type="spellStart"/>
      <w:r w:rsidRPr="003A3CAB">
        <w:rPr>
          <w:rFonts w:cs="Times New Roman"/>
          <w:sz w:val="22"/>
        </w:rPr>
        <w:t>anhedonic</w:t>
      </w:r>
      <w:proofErr w:type="spellEnd"/>
      <w:r w:rsidRPr="003A3CAB">
        <w:rPr>
          <w:rFonts w:cs="Times New Roman"/>
          <w:sz w:val="22"/>
        </w:rPr>
        <w:t xml:space="preserve"> symptoms emerged. For example, hypoactivation in medial prefrontal areas and the ACC is not directly associated with SHAPS during receipt of reward </w:t>
      </w:r>
      <w:r>
        <w:rPr>
          <w:rFonts w:cs="Times New Roman"/>
          <w:noProof/>
          <w:sz w:val="22"/>
        </w:rPr>
        <w:t>(Segarra et al., 2016)</w:t>
      </w:r>
      <w:r w:rsidRPr="003A3CAB">
        <w:rPr>
          <w:rFonts w:cs="Times New Roman"/>
          <w:sz w:val="22"/>
        </w:rPr>
        <w:t xml:space="preserve">. </w:t>
      </w:r>
    </w:p>
    <w:p w:rsidR="000C4959" w:rsidRPr="003A3CAB" w:rsidRDefault="000C4959" w:rsidP="00D35E7F">
      <w:pPr>
        <w:widowControl/>
        <w:kinsoku w:val="0"/>
        <w:snapToGrid w:val="0"/>
        <w:spacing w:line="360" w:lineRule="auto"/>
        <w:ind w:firstLineChars="150" w:firstLine="330"/>
        <w:rPr>
          <w:rFonts w:cs="Times New Roman"/>
          <w:sz w:val="22"/>
        </w:rPr>
      </w:pPr>
      <w:bookmarkStart w:id="12" w:name="_Hlk103168345"/>
      <w:r w:rsidRPr="003A3CAB">
        <w:rPr>
          <w:rFonts w:cs="Times New Roman"/>
          <w:sz w:val="22"/>
        </w:rPr>
        <w:lastRenderedPageBreak/>
        <w:t xml:space="preserve">The heterogeneity of neural correlates of anhedonia observed in past studies may be partly due to the inconsistent conceptualization of anhedonia. While anhedonia has traditionally been viewed as failure to experience pleasure, more recent evidence has revealed a multifaceted reconceptualization that emphasizes different facets of hedonic function, including desire, effort/motivation, anticipation and consummatory pleasure </w:t>
      </w:r>
      <w:r>
        <w:rPr>
          <w:rFonts w:cs="Times New Roman"/>
          <w:noProof/>
          <w:sz w:val="22"/>
        </w:rPr>
        <w:t>(Rizvi, Pizzagalli, Sproule, &amp; Kennedy, 2016)</w:t>
      </w:r>
      <w:r w:rsidRPr="003A3CAB">
        <w:rPr>
          <w:rFonts w:cs="Times New Roman"/>
          <w:sz w:val="22"/>
        </w:rPr>
        <w:t xml:space="preserve">. Other conceptual assessments of the anhedonia construct have emphasized incentive-reward motivation, or the subjective evaluation of the rewarding value of cues predicting reward occurrence </w:t>
      </w:r>
      <w:r>
        <w:rPr>
          <w:rFonts w:cs="Times New Roman"/>
          <w:noProof/>
          <w:sz w:val="22"/>
        </w:rPr>
        <w:t>(Berridge, Robinson, &amp; Aldridge, 2009; Coccurello, 2019)</w:t>
      </w:r>
      <w:r w:rsidRPr="003A3CAB">
        <w:rPr>
          <w:rFonts w:cs="Times New Roman"/>
          <w:sz w:val="22"/>
        </w:rPr>
        <w:t xml:space="preserve">. The different measure or recode of anhedonia may also contribute to </w:t>
      </w:r>
      <w:r>
        <w:rPr>
          <w:rFonts w:cs="Times New Roman"/>
          <w:sz w:val="22"/>
        </w:rPr>
        <w:t xml:space="preserve">the </w:t>
      </w:r>
      <w:r w:rsidRPr="003A3CAB">
        <w:rPr>
          <w:rFonts w:cs="Times New Roman"/>
          <w:sz w:val="22"/>
        </w:rPr>
        <w:t>variability of the results in the existing literature.</w:t>
      </w:r>
      <w:bookmarkStart w:id="13" w:name="_Hlk108528678"/>
      <w:r w:rsidRPr="003A3CAB">
        <w:rPr>
          <w:rFonts w:cs="Times New Roman"/>
          <w:sz w:val="22"/>
        </w:rPr>
        <w:t xml:space="preserve"> Anhedonia measurement in MDD can utilize direct symptom scales or experimental tasks. Different measures and different task paradigms thus tap into the different facets of anhedonia.</w:t>
      </w:r>
      <w:bookmarkEnd w:id="13"/>
      <w:r w:rsidRPr="003A3CAB">
        <w:rPr>
          <w:rFonts w:cs="Times New Roman"/>
          <w:sz w:val="22"/>
        </w:rPr>
        <w:t xml:space="preserve"> The precise relationship between distinct reward processes and subjective anhedonia needs to be carefully investigated in future research.</w:t>
      </w:r>
      <w:bookmarkStart w:id="14" w:name="_Hlk103162270"/>
      <w:bookmarkEnd w:id="11"/>
      <w:bookmarkEnd w:id="12"/>
    </w:p>
    <w:bookmarkEnd w:id="14"/>
    <w:p w:rsidR="000C4959" w:rsidRPr="00D92B7D" w:rsidRDefault="000C4959" w:rsidP="00D35E7F">
      <w:pPr>
        <w:kinsoku w:val="0"/>
        <w:snapToGrid w:val="0"/>
        <w:spacing w:beforeLines="50" w:before="156" w:line="360" w:lineRule="auto"/>
        <w:rPr>
          <w:b/>
          <w:i/>
          <w:color w:val="000000" w:themeColor="text1"/>
          <w:sz w:val="22"/>
        </w:rPr>
      </w:pPr>
      <w:r w:rsidRPr="00D92B7D">
        <w:rPr>
          <w:b/>
          <w:i/>
          <w:color w:val="000000" w:themeColor="text1"/>
          <w:sz w:val="22"/>
        </w:rPr>
        <w:t xml:space="preserve">The effect of anxiety comorbidity </w:t>
      </w:r>
    </w:p>
    <w:p w:rsidR="000C4959" w:rsidRPr="009C3A1A" w:rsidRDefault="000C4959" w:rsidP="00D35E7F">
      <w:pPr>
        <w:widowControl/>
        <w:kinsoku w:val="0"/>
        <w:snapToGrid w:val="0"/>
        <w:spacing w:line="360" w:lineRule="auto"/>
        <w:rPr>
          <w:rFonts w:cs="Times New Roman"/>
          <w:color w:val="000000" w:themeColor="text1"/>
          <w:sz w:val="22"/>
        </w:rPr>
      </w:pPr>
      <w:bookmarkStart w:id="15" w:name="_Hlk108546040"/>
      <w:bookmarkStart w:id="16" w:name="_Hlk104459178"/>
      <w:r w:rsidRPr="009C3A1A">
        <w:rPr>
          <w:rFonts w:cs="Times New Roman"/>
          <w:color w:val="000000" w:themeColor="text1"/>
          <w:sz w:val="22"/>
        </w:rPr>
        <w:t>Anxiety symptoms frequently co-occur with depression.</w:t>
      </w:r>
      <w:bookmarkEnd w:id="15"/>
      <w:r w:rsidRPr="009C3A1A">
        <w:rPr>
          <w:rFonts w:cs="Times New Roman"/>
          <w:color w:val="000000" w:themeColor="text1"/>
          <w:sz w:val="22"/>
        </w:rPr>
        <w:t xml:space="preserve"> Comorbid anxiety and depressive disorder, also known as anxious depression, have distinct clinical characteristics such as poor treatment response and lower remission rates, from non-anxious depression </w:t>
      </w:r>
      <w:r>
        <w:rPr>
          <w:rFonts w:cs="Times New Roman"/>
          <w:noProof/>
          <w:color w:val="000000" w:themeColor="text1"/>
          <w:sz w:val="22"/>
        </w:rPr>
        <w:t>(Fava et al., 2008; Goes et al., 2012)</w:t>
      </w:r>
      <w:r w:rsidRPr="009C3A1A">
        <w:rPr>
          <w:rFonts w:cs="Times New Roman"/>
          <w:color w:val="000000" w:themeColor="text1"/>
          <w:sz w:val="22"/>
        </w:rPr>
        <w:t xml:space="preserve">. The diagnosis of anxious depression depends on a </w:t>
      </w:r>
      <w:r w:rsidRPr="00F92A3D">
        <w:rPr>
          <w:rFonts w:cs="Times New Roman"/>
          <w:color w:val="000000" w:themeColor="text1"/>
          <w:sz w:val="22"/>
        </w:rPr>
        <w:t>diagnosis of MDD plus at least two of five anxiety symptoms</w:t>
      </w:r>
      <w:r w:rsidRPr="009C3A1A">
        <w:rPr>
          <w:rFonts w:cs="Times New Roman"/>
          <w:color w:val="000000" w:themeColor="text1"/>
          <w:sz w:val="22"/>
        </w:rPr>
        <w:t xml:space="preserve"> </w:t>
      </w:r>
      <w:r>
        <w:rPr>
          <w:rFonts w:cs="Times New Roman"/>
          <w:noProof/>
          <w:color w:val="000000" w:themeColor="text1"/>
          <w:sz w:val="22"/>
        </w:rPr>
        <w:t>(Choi, Kim, &amp; Jeon, 2020)</w:t>
      </w:r>
      <w:r w:rsidRPr="009C3A1A">
        <w:rPr>
          <w:rFonts w:cs="Times New Roman"/>
          <w:color w:val="000000" w:themeColor="text1"/>
          <w:sz w:val="22"/>
        </w:rPr>
        <w:t xml:space="preserve">. It uses “with anxious distress specifier” to define anxious depression in DSM-5 criteria </w:t>
      </w:r>
      <w:r>
        <w:rPr>
          <w:rFonts w:cs="Times New Roman"/>
          <w:noProof/>
          <w:color w:val="000000" w:themeColor="text1"/>
          <w:sz w:val="22"/>
        </w:rPr>
        <w:t>(</w:t>
      </w:r>
      <w:r w:rsidR="00E71094" w:rsidRPr="00E71094">
        <w:rPr>
          <w:rFonts w:cs="Times New Roman"/>
          <w:noProof/>
          <w:color w:val="000000" w:themeColor="text1"/>
          <w:sz w:val="22"/>
        </w:rPr>
        <w:t>American Psychiatric Association (APA)</w:t>
      </w:r>
      <w:r>
        <w:rPr>
          <w:rFonts w:cs="Times New Roman"/>
          <w:noProof/>
          <w:color w:val="000000" w:themeColor="text1"/>
          <w:sz w:val="22"/>
        </w:rPr>
        <w:t>, 2013)</w:t>
      </w:r>
      <w:r w:rsidRPr="009C3A1A">
        <w:rPr>
          <w:rFonts w:cs="Times New Roman"/>
          <w:color w:val="000000" w:themeColor="text1"/>
          <w:sz w:val="22"/>
        </w:rPr>
        <w:t xml:space="preserve">. The identification of depression-specific effects might be confounded by high levels of anxiety comorbidity across studies. </w:t>
      </w:r>
    </w:p>
    <w:p w:rsidR="000C4959" w:rsidRPr="009C3A1A" w:rsidRDefault="000C4959" w:rsidP="00D35E7F">
      <w:pPr>
        <w:widowControl/>
        <w:kinsoku w:val="0"/>
        <w:snapToGrid w:val="0"/>
        <w:spacing w:line="360" w:lineRule="auto"/>
        <w:ind w:firstLineChars="200" w:firstLine="440"/>
        <w:rPr>
          <w:rFonts w:cs="Times New Roman"/>
          <w:color w:val="000000" w:themeColor="text1"/>
          <w:sz w:val="22"/>
        </w:rPr>
      </w:pPr>
      <w:bookmarkStart w:id="17" w:name="_Hlk104463865"/>
      <w:r w:rsidRPr="009C3A1A">
        <w:rPr>
          <w:rFonts w:cs="Times New Roman"/>
          <w:color w:val="000000" w:themeColor="text1"/>
          <w:sz w:val="22"/>
        </w:rPr>
        <w:t>Analyses comparing MDD subje</w:t>
      </w:r>
      <w:r w:rsidRPr="000009E2">
        <w:rPr>
          <w:rFonts w:cs="Times New Roman"/>
          <w:color w:val="000000" w:themeColor="text1"/>
          <w:sz w:val="22"/>
        </w:rPr>
        <w:t xml:space="preserve">cts with or without comorbid anxiety disorders may help to rule out this confounding effect. In all 12 of the datasets enrolled in the anticipation meta-analysis, 4 datasets recruited MDD without comorbid with anxiety (MDD without anxiety), 6 datasets included patients comorbid with anxiety disorder (MDD with anxiety), and 2 datasets were not included because of missing information. Similarly, for the outcome meta-analysis, 3 datasets recruited patients without comorbid anxiety disorders, and 6 datasets included patients with comorbid anxiety disorder. It considerably reduced the sample size when we limited the selection of studies for the meta-analysis with respect to the presence or absence of comorbid anxiety. In regard to reward anticipation, the exploratory subgroup analyses revealed that individuals with anxious depression exhibited increased brain activity in the bilateral </w:t>
      </w:r>
      <w:proofErr w:type="spellStart"/>
      <w:r w:rsidRPr="000009E2">
        <w:rPr>
          <w:rFonts w:cs="Times New Roman"/>
          <w:color w:val="000000" w:themeColor="text1"/>
          <w:sz w:val="22"/>
        </w:rPr>
        <w:t>mPFC</w:t>
      </w:r>
      <w:proofErr w:type="spellEnd"/>
      <w:r w:rsidRPr="000009E2">
        <w:rPr>
          <w:rFonts w:cs="Times New Roman"/>
          <w:color w:val="000000" w:themeColor="text1"/>
          <w:sz w:val="22"/>
        </w:rPr>
        <w:t xml:space="preserve">, ACC, </w:t>
      </w:r>
      <w:r w:rsidRPr="000009E2">
        <w:rPr>
          <w:rFonts w:cs="Times New Roman" w:hint="eastAsia"/>
          <w:color w:val="000000" w:themeColor="text1"/>
          <w:sz w:val="22"/>
        </w:rPr>
        <w:t>MCC,</w:t>
      </w:r>
      <w:r w:rsidRPr="000009E2">
        <w:rPr>
          <w:rFonts w:cs="Times New Roman"/>
          <w:color w:val="000000" w:themeColor="text1"/>
          <w:sz w:val="22"/>
        </w:rPr>
        <w:t xml:space="preserve"> and right </w:t>
      </w:r>
      <w:r w:rsidRPr="000009E2">
        <w:rPr>
          <w:rFonts w:cs="Times New Roman" w:hint="eastAsia"/>
          <w:color w:val="000000" w:themeColor="text1"/>
          <w:sz w:val="22"/>
        </w:rPr>
        <w:t>MFG</w:t>
      </w:r>
      <w:r w:rsidRPr="000009E2">
        <w:rPr>
          <w:rFonts w:cs="Times New Roman"/>
          <w:color w:val="000000" w:themeColor="text1"/>
          <w:sz w:val="22"/>
        </w:rPr>
        <w:t xml:space="preserve">, and decreased activity in the left stratum and right cerebellum. In contrast to the anticipation, MDD with anxiety subgroup analysis during the outcome stage is more replicable. We further </w:t>
      </w:r>
      <w:r w:rsidRPr="000009E2">
        <w:rPr>
          <w:rFonts w:cs="Times New Roman" w:hint="eastAsia"/>
          <w:color w:val="000000" w:themeColor="text1"/>
          <w:sz w:val="22"/>
        </w:rPr>
        <w:t>tested</w:t>
      </w:r>
      <w:r w:rsidRPr="000009E2">
        <w:rPr>
          <w:rFonts w:cs="Times New Roman"/>
          <w:color w:val="000000" w:themeColor="text1"/>
          <w:sz w:val="22"/>
        </w:rPr>
        <w:t xml:space="preserve"> the influence of anxiety comorbidity by computing the association between brain activity and the percentage of patients with a co-occurring anxiety </w:t>
      </w:r>
      <w:r w:rsidRPr="000009E2">
        <w:rPr>
          <w:rFonts w:cs="Times New Roman"/>
          <w:color w:val="000000" w:themeColor="text1"/>
          <w:sz w:val="22"/>
        </w:rPr>
        <w:lastRenderedPageBreak/>
        <w:t>disorder using meta-regression analysis. We did not detect any significant associations between anxiety comorbidity and brain response during anticipation or outcome</w:t>
      </w:r>
      <w:r w:rsidRPr="000009E2">
        <w:rPr>
          <w:rFonts w:cs="Times New Roman" w:hint="eastAsia"/>
          <w:color w:val="000000" w:themeColor="text1"/>
          <w:sz w:val="22"/>
        </w:rPr>
        <w:t>.</w:t>
      </w:r>
      <w:r w:rsidRPr="000009E2">
        <w:rPr>
          <w:rFonts w:cs="Times New Roman"/>
          <w:color w:val="000000" w:themeColor="text1"/>
          <w:sz w:val="22"/>
        </w:rPr>
        <w:t xml:space="preserve"> There is evidence that, relative to individuals with MDD without anxiety, MDD with anxiety showed stronger activation in the prefrontal cortex, hippocampus, insula and caudate </w:t>
      </w:r>
      <w:r w:rsidRPr="000009E2">
        <w:rPr>
          <w:rFonts w:cs="Times New Roman"/>
          <w:noProof/>
          <w:color w:val="000000" w:themeColor="text1"/>
          <w:sz w:val="22"/>
        </w:rPr>
        <w:t>(Andreescu et al., 2009; Crane et al., 2016; Gorka, Nelson, Phan, &amp; Shankman, 2014)</w:t>
      </w:r>
      <w:r w:rsidRPr="000009E2">
        <w:rPr>
          <w:rFonts w:cs="Times New Roman"/>
          <w:color w:val="000000" w:themeColor="text1"/>
          <w:sz w:val="22"/>
        </w:rPr>
        <w:t xml:space="preserve"> and s</w:t>
      </w:r>
      <w:r w:rsidRPr="009C3A1A">
        <w:rPr>
          <w:rFonts w:cs="Times New Roman"/>
          <w:color w:val="000000" w:themeColor="text1"/>
          <w:sz w:val="22"/>
        </w:rPr>
        <w:t xml:space="preserve">howed greater grey matter changes in the frontal and temporal cortex </w:t>
      </w:r>
      <w:r>
        <w:rPr>
          <w:rFonts w:cs="Times New Roman"/>
          <w:noProof/>
          <w:color w:val="000000" w:themeColor="text1"/>
          <w:sz w:val="22"/>
        </w:rPr>
        <w:t>(Inkster et al., 2011; Wehry et al., 2015)</w:t>
      </w:r>
      <w:r w:rsidRPr="009C3A1A">
        <w:rPr>
          <w:rFonts w:cs="Times New Roman"/>
          <w:color w:val="000000" w:themeColor="text1"/>
          <w:sz w:val="22"/>
        </w:rPr>
        <w:t xml:space="preserve">. MDD individuals with anxiety often have more severe depressive symptoms, which may help to explain this effect </w:t>
      </w:r>
      <w:r>
        <w:rPr>
          <w:rFonts w:cs="Times New Roman"/>
          <w:noProof/>
          <w:color w:val="000000" w:themeColor="text1"/>
          <w:sz w:val="22"/>
        </w:rPr>
        <w:t>(Norton, Temple, &amp; Pettit, 2008)</w:t>
      </w:r>
      <w:r w:rsidRPr="009C3A1A">
        <w:rPr>
          <w:rFonts w:cs="Times New Roman"/>
          <w:color w:val="000000" w:themeColor="text1"/>
          <w:sz w:val="22"/>
        </w:rPr>
        <w:t xml:space="preserve">. Previous findings are also mixed; however, several studies have found that having anxiety comorbidity attenuates the typical response of depression </w:t>
      </w:r>
      <w:r>
        <w:rPr>
          <w:rFonts w:cs="Times New Roman"/>
          <w:noProof/>
          <w:color w:val="000000" w:themeColor="text1"/>
          <w:sz w:val="22"/>
        </w:rPr>
        <w:t>(Espinoza Oyarce, Shaw, Alateeq, &amp; Cherbuin, 2020; Etkin &amp; Schatzberg, 2011)</w:t>
      </w:r>
      <w:r w:rsidRPr="009C3A1A">
        <w:rPr>
          <w:rFonts w:cs="Times New Roman"/>
          <w:color w:val="000000" w:themeColor="text1"/>
          <w:sz w:val="22"/>
        </w:rPr>
        <w:t>.</w:t>
      </w:r>
      <w:bookmarkStart w:id="18" w:name="_Hlk108528730"/>
      <w:r w:rsidRPr="009C3A1A">
        <w:rPr>
          <w:rFonts w:cs="Times New Roman"/>
          <w:color w:val="000000" w:themeColor="text1"/>
          <w:sz w:val="22"/>
        </w:rPr>
        <w:t xml:space="preserve"> Future research will be needed to reveal more consistent and sophisticated monetary related functional neuroimaging biomarkers to differentiate the anxious depression subtype from the non-anxious subtype.</w:t>
      </w:r>
      <w:bookmarkEnd w:id="18"/>
    </w:p>
    <w:bookmarkEnd w:id="16"/>
    <w:bookmarkEnd w:id="17"/>
    <w:p w:rsidR="000C4959" w:rsidRDefault="000C4959" w:rsidP="00D35E7F">
      <w:pPr>
        <w:kinsoku w:val="0"/>
        <w:snapToGrid w:val="0"/>
        <w:spacing w:line="360" w:lineRule="auto"/>
        <w:rPr>
          <w:b/>
          <w:i/>
          <w:sz w:val="22"/>
        </w:rPr>
      </w:pPr>
    </w:p>
    <w:p w:rsidR="000C4959" w:rsidRPr="00A90F6A" w:rsidRDefault="000C4959" w:rsidP="00D35E7F">
      <w:pPr>
        <w:kinsoku w:val="0"/>
        <w:snapToGrid w:val="0"/>
        <w:spacing w:line="360" w:lineRule="auto"/>
        <w:rPr>
          <w:b/>
          <w:i/>
          <w:sz w:val="22"/>
        </w:rPr>
      </w:pPr>
      <w:r w:rsidRPr="00A90F6A">
        <w:rPr>
          <w:b/>
          <w:i/>
          <w:sz w:val="22"/>
        </w:rPr>
        <w:t xml:space="preserve">The effect of medication </w:t>
      </w:r>
    </w:p>
    <w:p w:rsidR="000C4959" w:rsidRDefault="000C4959" w:rsidP="00D35E7F">
      <w:pPr>
        <w:widowControl/>
        <w:kinsoku w:val="0"/>
        <w:snapToGrid w:val="0"/>
        <w:spacing w:line="360" w:lineRule="auto"/>
        <w:rPr>
          <w:rFonts w:cs="Times New Roman"/>
          <w:szCs w:val="21"/>
        </w:rPr>
      </w:pPr>
      <w:bookmarkStart w:id="19" w:name="_Hlk100308902"/>
      <w:bookmarkStart w:id="20" w:name="_Hlk104231877"/>
      <w:r w:rsidRPr="003A3CAB">
        <w:rPr>
          <w:rFonts w:cs="Times New Roman"/>
          <w:sz w:val="22"/>
        </w:rPr>
        <w:t xml:space="preserve">Converging evidence suggests that antidepressant treatment, even on an acute time scale, can significantly impact brain structure and function </w:t>
      </w:r>
      <w:r>
        <w:rPr>
          <w:rFonts w:cs="Times New Roman"/>
          <w:noProof/>
          <w:sz w:val="22"/>
        </w:rPr>
        <w:t>(Enneking, Leehr, Dannlowski, &amp; Redlich, 2020; M. Stoy et al., 2012; Takamura et al., 2017)</w:t>
      </w:r>
      <w:r w:rsidRPr="003A3CAB">
        <w:rPr>
          <w:rFonts w:cs="Times New Roman"/>
          <w:sz w:val="22"/>
        </w:rPr>
        <w:t>. To observe the potential effect of medication on MID-</w:t>
      </w:r>
      <w:r w:rsidRPr="003A3CAB">
        <w:rPr>
          <w:rFonts w:cs="Times New Roman" w:hint="eastAsia"/>
          <w:sz w:val="22"/>
        </w:rPr>
        <w:t>rela</w:t>
      </w:r>
      <w:r w:rsidRPr="003A3CAB">
        <w:rPr>
          <w:rFonts w:cs="Times New Roman"/>
          <w:sz w:val="22"/>
        </w:rPr>
        <w:t xml:space="preserve">ted brain changes, it is better to compare treated patients directly to treatment-naïve individuals, compare pre-treatment and post-treatment results, or compare treatment and placebo conditions. In fact, most treatment studies of neuroimaging markers in MDD have not examined reward paradigms, but rather focused on affective stimulus processing using emotion-related paradigms or included resting state </w:t>
      </w:r>
      <w:r>
        <w:rPr>
          <w:rFonts w:cs="Times New Roman"/>
          <w:noProof/>
          <w:sz w:val="22"/>
        </w:rPr>
        <w:t>(Brandt et al., 2021; Wang et al., 2014)</w:t>
      </w:r>
      <w:r w:rsidRPr="003A3CAB">
        <w:rPr>
          <w:rFonts w:cs="Times New Roman"/>
          <w:sz w:val="22"/>
        </w:rPr>
        <w:t>. To address these issues,</w:t>
      </w:r>
      <w:r w:rsidRPr="003A3CAB">
        <w:rPr>
          <w:sz w:val="22"/>
        </w:rPr>
        <w:t xml:space="preserve"> </w:t>
      </w:r>
      <w:r w:rsidRPr="003A3CAB">
        <w:rPr>
          <w:rFonts w:cs="Times New Roman"/>
          <w:sz w:val="22"/>
        </w:rPr>
        <w:t>we conducted subgroup analyses of MDD patients who underwent a wash-out period before MRI scanning. Most of the results of the wash-out subgroup analyses were consistent with the pooled analysis, except for the blunted response to reward in the right VS</w:t>
      </w:r>
      <w:r>
        <w:rPr>
          <w:rFonts w:cs="Times New Roman"/>
          <w:sz w:val="22"/>
        </w:rPr>
        <w:t xml:space="preserve"> </w:t>
      </w:r>
      <w:r w:rsidRPr="000009E2">
        <w:rPr>
          <w:rFonts w:cs="Times New Roman"/>
          <w:color w:val="000000" w:themeColor="text1"/>
          <w:sz w:val="22"/>
        </w:rPr>
        <w:t>and I</w:t>
      </w:r>
      <w:r>
        <w:rPr>
          <w:rFonts w:cs="Times New Roman"/>
          <w:color w:val="000000" w:themeColor="text1"/>
          <w:sz w:val="22"/>
        </w:rPr>
        <w:t>F</w:t>
      </w:r>
      <w:r w:rsidRPr="000009E2">
        <w:rPr>
          <w:rFonts w:cs="Times New Roman"/>
          <w:color w:val="000000" w:themeColor="text1"/>
          <w:sz w:val="22"/>
        </w:rPr>
        <w:t xml:space="preserve">G during the anticipation stage. This may suggest that pharmacological manipulation slightly changes dopamine signalling and normalizes reward processing in depression followed by the transient wash-out period. Our finding is in line with evidence from imaging studies indicating that antidepressant treatment can influence grey matter volume </w:t>
      </w:r>
      <w:r>
        <w:rPr>
          <w:rFonts w:cs="Times New Roman"/>
          <w:noProof/>
          <w:color w:val="000000" w:themeColor="text1"/>
          <w:sz w:val="22"/>
        </w:rPr>
        <w:t>(Dai et al., 2020; Enneking et al., 2020)</w:t>
      </w:r>
      <w:r w:rsidRPr="000009E2">
        <w:rPr>
          <w:rFonts w:cs="Times New Roman"/>
          <w:color w:val="000000" w:themeColor="text1"/>
          <w:sz w:val="22"/>
        </w:rPr>
        <w:t xml:space="preserve"> and neural activity </w:t>
      </w:r>
      <w:r w:rsidRPr="000009E2">
        <w:rPr>
          <w:rFonts w:cs="Times New Roman"/>
          <w:noProof/>
          <w:color w:val="000000" w:themeColor="text1"/>
          <w:sz w:val="22"/>
        </w:rPr>
        <w:t>(Meline Stoy et al., 2012; Takamura et al., 2017)</w:t>
      </w:r>
      <w:r w:rsidRPr="000009E2">
        <w:rPr>
          <w:rFonts w:cs="Times New Roman"/>
          <w:color w:val="000000" w:themeColor="text1"/>
          <w:sz w:val="22"/>
        </w:rPr>
        <w:t xml:space="preserve"> in depression. Previous functional MRI studies have indicated improved </w:t>
      </w:r>
      <w:proofErr w:type="spellStart"/>
      <w:r w:rsidRPr="000009E2">
        <w:rPr>
          <w:rFonts w:cs="Times New Roman"/>
          <w:color w:val="000000" w:themeColor="text1"/>
          <w:sz w:val="22"/>
        </w:rPr>
        <w:t>frontostriatal</w:t>
      </w:r>
      <w:proofErr w:type="spellEnd"/>
      <w:r w:rsidRPr="000009E2">
        <w:rPr>
          <w:rFonts w:cs="Times New Roman"/>
          <w:color w:val="000000" w:themeColor="text1"/>
          <w:sz w:val="22"/>
        </w:rPr>
        <w:t xml:space="preserve"> </w:t>
      </w:r>
      <w:r w:rsidRPr="00E3315D">
        <w:rPr>
          <w:rFonts w:cs="Times New Roman"/>
          <w:sz w:val="22"/>
        </w:rPr>
        <w:t>function and functional connectivity in depression using an emotion regulation paradigm after antidepressant treatment</w:t>
      </w:r>
      <w:r>
        <w:rPr>
          <w:rFonts w:cs="Times New Roman"/>
          <w:sz w:val="22"/>
        </w:rPr>
        <w:t xml:space="preserve"> </w:t>
      </w:r>
      <w:r>
        <w:rPr>
          <w:rFonts w:cs="Times New Roman"/>
          <w:noProof/>
          <w:sz w:val="22"/>
        </w:rPr>
        <w:t>(Reed et al., 2018, 2019)</w:t>
      </w:r>
      <w:r w:rsidRPr="00E3315D">
        <w:rPr>
          <w:rFonts w:cs="Times New Roman"/>
          <w:sz w:val="22"/>
        </w:rPr>
        <w:t xml:space="preserve"> </w:t>
      </w:r>
      <w:r w:rsidRPr="00151499">
        <w:rPr>
          <w:rFonts w:cs="Times New Roman"/>
          <w:sz w:val="22"/>
        </w:rPr>
        <w:t xml:space="preserve">The IFG might be related to the neurobiological mechanism of depressive symptoms, which influences emotion detection, regulation, and cognitive control </w:t>
      </w:r>
      <w:r w:rsidRPr="00151499">
        <w:rPr>
          <w:rFonts w:cs="Times New Roman"/>
          <w:noProof/>
          <w:sz w:val="22"/>
        </w:rPr>
        <w:t>(Urgesi, Mattiassi, Buiatti, &amp; Marini, 2016)</w:t>
      </w:r>
      <w:r w:rsidRPr="00151499">
        <w:rPr>
          <w:rFonts w:cs="Times New Roman"/>
          <w:sz w:val="22"/>
        </w:rPr>
        <w:t xml:space="preserve">. Antidepressants can normalize the structural changes of IFG in patients with depression </w:t>
      </w:r>
      <w:r w:rsidRPr="00151499">
        <w:rPr>
          <w:rFonts w:cs="Times New Roman"/>
          <w:noProof/>
          <w:sz w:val="22"/>
        </w:rPr>
        <w:t>(Dai et al., 2020)</w:t>
      </w:r>
      <w:r w:rsidRPr="00151499">
        <w:rPr>
          <w:rFonts w:cs="Times New Roman"/>
          <w:sz w:val="22"/>
        </w:rPr>
        <w:t xml:space="preserve">, and </w:t>
      </w:r>
      <w:r w:rsidRPr="00151499">
        <w:rPr>
          <w:rFonts w:cs="Times New Roman"/>
          <w:sz w:val="22"/>
        </w:rPr>
        <w:lastRenderedPageBreak/>
        <w:t xml:space="preserve">impact functional connectivity with IFG in executive control network </w:t>
      </w:r>
      <w:r w:rsidRPr="00151499">
        <w:rPr>
          <w:rFonts w:cs="Times New Roman"/>
          <w:noProof/>
          <w:sz w:val="22"/>
        </w:rPr>
        <w:t>(Ichikawa et al., 2020)</w:t>
      </w:r>
      <w:r w:rsidRPr="00151499">
        <w:rPr>
          <w:rFonts w:cs="Times New Roman"/>
          <w:sz w:val="22"/>
        </w:rPr>
        <w:t>.</w:t>
      </w:r>
      <w:r>
        <w:rPr>
          <w:rFonts w:cs="Times New Roman"/>
          <w:color w:val="0000FF"/>
          <w:sz w:val="22"/>
        </w:rPr>
        <w:t xml:space="preserve"> </w:t>
      </w:r>
      <w:r w:rsidRPr="00E3315D">
        <w:rPr>
          <w:rFonts w:cs="Times New Roman"/>
          <w:sz w:val="22"/>
        </w:rPr>
        <w:t xml:space="preserve">Our finding of subgroup analysis is also consistent with the reported hypoactivity of the VS during the anticipation of monetary incentives in unmedicated MDD patients relative to controls before, but not after six weeks of escitalopram treatment </w:t>
      </w:r>
      <w:r w:rsidRPr="00E3315D">
        <w:rPr>
          <w:rFonts w:cs="Times New Roman"/>
          <w:noProof/>
          <w:sz w:val="22"/>
        </w:rPr>
        <w:t>(Meline Stoy et al., 2012)</w:t>
      </w:r>
      <w:r w:rsidRPr="00E3315D">
        <w:rPr>
          <w:rFonts w:cs="Times New Roman"/>
          <w:sz w:val="22"/>
        </w:rPr>
        <w:t xml:space="preserve">. This is probably due to the delayed onset of drug action and maintenance </w:t>
      </w:r>
      <w:r w:rsidRPr="00587E29">
        <w:rPr>
          <w:rFonts w:cs="Times New Roman"/>
          <w:noProof/>
          <w:sz w:val="22"/>
        </w:rPr>
        <w:t>(Chen &amp; Skolnick, 2007)</w:t>
      </w:r>
      <w:r w:rsidRPr="00587E29">
        <w:rPr>
          <w:rFonts w:cs="Times New Roman"/>
          <w:sz w:val="22"/>
        </w:rPr>
        <w:t xml:space="preserve">. </w:t>
      </w:r>
      <w:r w:rsidRPr="00E3315D">
        <w:rPr>
          <w:rFonts w:cs="Times New Roman"/>
          <w:sz w:val="22"/>
        </w:rPr>
        <w:t>Together, it cannot be fully ruled out the effect of antidepressant medications that may cause some of the observed alterations and complicated other side effects of medication in our findings</w:t>
      </w:r>
      <w:r w:rsidRPr="00E3315D">
        <w:rPr>
          <w:rFonts w:cs="Times New Roman"/>
          <w:szCs w:val="21"/>
        </w:rPr>
        <w:t>.</w:t>
      </w:r>
      <w:bookmarkEnd w:id="19"/>
    </w:p>
    <w:p w:rsidR="000C4959" w:rsidRDefault="000C4959">
      <w:pPr>
        <w:widowControl/>
        <w:jc w:val="left"/>
        <w:rPr>
          <w:b/>
          <w:sz w:val="22"/>
        </w:rPr>
      </w:pPr>
      <w:r>
        <w:rPr>
          <w:b/>
          <w:sz w:val="22"/>
        </w:rPr>
        <w:br w:type="page"/>
      </w:r>
    </w:p>
    <w:p w:rsidR="000C4959" w:rsidRPr="00B03A99" w:rsidRDefault="000C4959" w:rsidP="008524C3">
      <w:pPr>
        <w:spacing w:line="360" w:lineRule="auto"/>
        <w:rPr>
          <w:b/>
          <w:sz w:val="22"/>
        </w:rPr>
      </w:pPr>
      <w:r w:rsidRPr="00F62773">
        <w:rPr>
          <w:rFonts w:hint="eastAsia"/>
          <w:b/>
          <w:sz w:val="22"/>
        </w:rPr>
        <w:lastRenderedPageBreak/>
        <w:t>S</w:t>
      </w:r>
      <w:r w:rsidRPr="00F62773">
        <w:rPr>
          <w:b/>
          <w:sz w:val="22"/>
        </w:rPr>
        <w:t>upplement</w:t>
      </w:r>
      <w:r>
        <w:rPr>
          <w:b/>
          <w:sz w:val="22"/>
        </w:rPr>
        <w:t>ary</w:t>
      </w:r>
      <w:r w:rsidRPr="00F62773">
        <w:rPr>
          <w:b/>
          <w:sz w:val="22"/>
        </w:rPr>
        <w:t xml:space="preserve"> reference</w:t>
      </w:r>
      <w:r>
        <w:rPr>
          <w:b/>
          <w:sz w:val="22"/>
        </w:rPr>
        <w:t>s</w:t>
      </w:r>
    </w:p>
    <w:p w:rsidR="00697574" w:rsidRDefault="00697574" w:rsidP="00697574">
      <w:pPr>
        <w:pStyle w:val="EndNoteBibliography"/>
        <w:ind w:left="720" w:hanging="720"/>
        <w:rPr>
          <w:rFonts w:hint="eastAsia"/>
        </w:rPr>
      </w:pPr>
      <w:r>
        <w:t>American Psychiatric Association (APA). (2013).</w:t>
      </w:r>
      <w:r w:rsidRPr="00D301AA">
        <w:rPr>
          <w:i/>
        </w:rPr>
        <w:t xml:space="preserve"> Diagnostic and statistical manual of mental disorders: DSM-5</w:t>
      </w:r>
      <w:r>
        <w:t xml:space="preserve"> (5th ed.). Washington, DC: APA</w:t>
      </w:r>
      <w:r>
        <w:rPr>
          <w:rFonts w:hint="eastAsia"/>
        </w:rPr>
        <w:t>.</w:t>
      </w:r>
      <w:bookmarkStart w:id="21" w:name="_GoBack"/>
      <w:bookmarkEnd w:id="21"/>
    </w:p>
    <w:p w:rsidR="000C4959" w:rsidRPr="00151499" w:rsidRDefault="000C4959" w:rsidP="00697574">
      <w:pPr>
        <w:pStyle w:val="EndNoteBibliography"/>
        <w:ind w:left="720" w:hanging="720"/>
        <w:rPr>
          <w:rFonts w:hint="eastAsia"/>
        </w:rPr>
      </w:pPr>
      <w:r w:rsidRPr="00151499">
        <w:t xml:space="preserve">Andreescu, C., Butters, M., Lenze, E. J., Venkatraman, V. K., Nable, M., Reynolds, C. F., 3rd, &amp; Aizenstein, H. J. (2009). fMRI activation in late-life anxious depression: a potential biomarker. </w:t>
      </w:r>
      <w:r w:rsidRPr="00151499">
        <w:rPr>
          <w:i/>
        </w:rPr>
        <w:t>International Journal of Geriatric Psychiatry, 24</w:t>
      </w:r>
      <w:r w:rsidRPr="00151499">
        <w:t>(8), 820-828. doi:10.1002/gps.2327</w:t>
      </w:r>
    </w:p>
    <w:p w:rsidR="000C4959" w:rsidRPr="00151499" w:rsidRDefault="000C4959" w:rsidP="00151499">
      <w:pPr>
        <w:pStyle w:val="EndNoteBibliography"/>
        <w:ind w:left="720" w:hanging="720"/>
      </w:pPr>
      <w:r w:rsidRPr="00151499">
        <w:t xml:space="preserve">Argyropoulos, S. V., &amp; Nutt, D. J. (2013). Anhedonia revisited: Is there a role for dopamine-targeting drugs for depression? </w:t>
      </w:r>
      <w:r w:rsidRPr="00151499">
        <w:rPr>
          <w:i/>
        </w:rPr>
        <w:t>Journal of Psychopharmacology, 27</w:t>
      </w:r>
      <w:r w:rsidRPr="00151499">
        <w:t>(10), 869-877. doi:Doi 10.1177/0269881113494104</w:t>
      </w:r>
    </w:p>
    <w:p w:rsidR="000C4959" w:rsidRPr="00151499" w:rsidRDefault="000C4959" w:rsidP="00151499">
      <w:pPr>
        <w:pStyle w:val="EndNoteBibliography"/>
        <w:ind w:left="720" w:hanging="720"/>
      </w:pPr>
      <w:r w:rsidRPr="00151499">
        <w:t xml:space="preserve">Berridge, K. C., Robinson, T. E., &amp; Aldridge, J. W. (2009). Dissecting components of reward: 'liking', 'wanting', and learning. </w:t>
      </w:r>
      <w:r w:rsidRPr="00151499">
        <w:rPr>
          <w:i/>
        </w:rPr>
        <w:t>Current Opinion in Pharmacology, 9</w:t>
      </w:r>
      <w:r w:rsidRPr="00151499">
        <w:t>(1), 65-73. doi:10.1016/j.coph.2008.12.014</w:t>
      </w:r>
    </w:p>
    <w:p w:rsidR="000C4959" w:rsidRPr="00151499" w:rsidRDefault="000C4959" w:rsidP="00151499">
      <w:pPr>
        <w:pStyle w:val="EndNoteBibliography"/>
        <w:ind w:left="720" w:hanging="720"/>
      </w:pPr>
      <w:r w:rsidRPr="00151499">
        <w:t xml:space="preserve">Brandt, I. M., Kohler-Forsberg, K., Ganz, M., Ozenne, B., Jorgensen, M. B., Poulsen, A., . . . Fisher, P. M. (2021). Reward processing in major depressive disorder and prediction of treatment response - Neuropharm study. </w:t>
      </w:r>
      <w:r w:rsidRPr="00151499">
        <w:rPr>
          <w:i/>
        </w:rPr>
        <w:t>European Neuripsychopharmacology, 44</w:t>
      </w:r>
      <w:r w:rsidRPr="00151499">
        <w:t>, 23-33. doi:10.1016/j.euroneuro.2020.12.010</w:t>
      </w:r>
    </w:p>
    <w:p w:rsidR="000C4959" w:rsidRPr="00151499" w:rsidRDefault="000C4959" w:rsidP="00151499">
      <w:pPr>
        <w:pStyle w:val="EndNoteBibliography"/>
        <w:ind w:left="720" w:hanging="720"/>
      </w:pPr>
      <w:r w:rsidRPr="00151499">
        <w:t xml:space="preserve">Chen, Z., &amp; Skolnick, P. (2007). Triple uptake inhibitors: therapeutic potential in depression and beyond. </w:t>
      </w:r>
      <w:r w:rsidRPr="00151499">
        <w:rPr>
          <w:i/>
        </w:rPr>
        <w:t>Expert Opinion on Investigational Drugs, 16</w:t>
      </w:r>
      <w:r w:rsidRPr="00151499">
        <w:t>(9), 1365-1377. doi:10.1517/13543784.16.9.1365</w:t>
      </w:r>
    </w:p>
    <w:p w:rsidR="000C4959" w:rsidRPr="00151499" w:rsidRDefault="000C4959" w:rsidP="00151499">
      <w:pPr>
        <w:pStyle w:val="EndNoteBibliography"/>
        <w:ind w:left="720" w:hanging="720"/>
      </w:pPr>
      <w:r w:rsidRPr="00151499">
        <w:t xml:space="preserve">Choi, K. W., Kim, Y. K., &amp; Jeon, H. J. (2020). Comorbid Anxiety and Depression: Clinical and Conceptual Consideration and Transdiagnostic Treatment. </w:t>
      </w:r>
      <w:r w:rsidRPr="00151499">
        <w:rPr>
          <w:i/>
        </w:rPr>
        <w:t>Adv Exp Med Biol, 1191</w:t>
      </w:r>
      <w:r w:rsidRPr="00151499">
        <w:t>, 219-235. doi:10.1007/978-981-32-9705-0_14</w:t>
      </w:r>
    </w:p>
    <w:p w:rsidR="000C4959" w:rsidRPr="00151499" w:rsidRDefault="000C4959" w:rsidP="00151499">
      <w:pPr>
        <w:pStyle w:val="EndNoteBibliography"/>
        <w:ind w:left="720" w:hanging="720"/>
      </w:pPr>
      <w:r w:rsidRPr="00151499">
        <w:t xml:space="preserve">Coccurello, R. (2019). Anhedonia in depression symptomatology: Appetite dysregulation and defective brain reward processing. </w:t>
      </w:r>
      <w:r w:rsidRPr="00151499">
        <w:rPr>
          <w:i/>
        </w:rPr>
        <w:t>Behavioural Brain Research, 372</w:t>
      </w:r>
      <w:r w:rsidRPr="00151499">
        <w:t>, 112041. doi:10.1016/j.bbr.2019.112041</w:t>
      </w:r>
    </w:p>
    <w:p w:rsidR="000C4959" w:rsidRPr="00151499" w:rsidRDefault="000C4959" w:rsidP="00151499">
      <w:pPr>
        <w:pStyle w:val="EndNoteBibliography"/>
        <w:ind w:left="720" w:hanging="720"/>
      </w:pPr>
      <w:r w:rsidRPr="00151499">
        <w:t xml:space="preserve">Crane, N. A., Jenkins, L. M., Dion, C., Meyers, K. K., Weldon, A. L., Gabriel, L. B., . . . Langenecker, S. A. (2016). Comorbid anxiety increases cognitive control activation in Major Depressive Disorder. </w:t>
      </w:r>
      <w:r w:rsidRPr="00151499">
        <w:rPr>
          <w:i/>
        </w:rPr>
        <w:t>Depression and Anxiety, 33</w:t>
      </w:r>
      <w:r w:rsidRPr="00151499">
        <w:t>(10), 967-977. doi:10.1002/da.22541</w:t>
      </w:r>
    </w:p>
    <w:p w:rsidR="000C4959" w:rsidRPr="00151499" w:rsidRDefault="000C4959" w:rsidP="00151499">
      <w:pPr>
        <w:pStyle w:val="EndNoteBibliography"/>
        <w:ind w:left="720" w:hanging="720"/>
      </w:pPr>
      <w:r w:rsidRPr="00151499">
        <w:t xml:space="preserve">Dai, D., Lacadie, C. M., Holmes, S. E., Cool, R., Anticevic, A., Averill, C., . . . Esterlis, I. (2020). Ketamine Normalizes the Structural Alterations of Inferior Frontal Gyrus in Depression. </w:t>
      </w:r>
      <w:r w:rsidRPr="00151499">
        <w:rPr>
          <w:i/>
        </w:rPr>
        <w:t>Chronic Stress (Thousand Oaks), 4</w:t>
      </w:r>
      <w:r w:rsidRPr="00151499">
        <w:t>, 2470547020980681. doi:10.1177/2470547020980681</w:t>
      </w:r>
    </w:p>
    <w:p w:rsidR="000C4959" w:rsidRPr="00151499" w:rsidRDefault="000C4959" w:rsidP="00151499">
      <w:pPr>
        <w:pStyle w:val="EndNoteBibliography"/>
        <w:ind w:left="720" w:hanging="720"/>
      </w:pPr>
      <w:r w:rsidRPr="00151499">
        <w:t xml:space="preserve">Dillon, D. G., Rosso, I. M., Pechtel, P., Killgore, W. D. S., Rauch, S. L., &amp; Pizzagalli, D. A. (2014). Peril and Pleasure: An Rdoc-Inspired Examination of Threat Responses and Reward Processing in Anxiety and Depression. </w:t>
      </w:r>
      <w:r w:rsidRPr="00151499">
        <w:rPr>
          <w:i/>
        </w:rPr>
        <w:t>Depression and Anxiety, 31</w:t>
      </w:r>
      <w:r w:rsidRPr="00151499">
        <w:t>(3), 233-249. doi:10.1002/da.22202</w:t>
      </w:r>
    </w:p>
    <w:p w:rsidR="000C4959" w:rsidRPr="00151499" w:rsidRDefault="000C4959" w:rsidP="00151499">
      <w:pPr>
        <w:pStyle w:val="EndNoteBibliography"/>
        <w:ind w:left="720" w:hanging="720"/>
      </w:pPr>
      <w:r w:rsidRPr="00151499">
        <w:t xml:space="preserve">Enneking, V., Leehr, E. J., Dannlowski, U., &amp; Redlich, R. (2020). Brain structural effects of treatments for depression and biomarkers of response: a systematic review of neuroimaging studies. </w:t>
      </w:r>
      <w:r w:rsidRPr="00151499">
        <w:rPr>
          <w:i/>
        </w:rPr>
        <w:t>Psychological Medicine, 50</w:t>
      </w:r>
      <w:r w:rsidRPr="00151499">
        <w:t>(2), 187-209. doi:10.1017/S0033291719003660</w:t>
      </w:r>
    </w:p>
    <w:p w:rsidR="000C4959" w:rsidRPr="00151499" w:rsidRDefault="000C4959" w:rsidP="00151499">
      <w:pPr>
        <w:pStyle w:val="EndNoteBibliography"/>
        <w:ind w:left="720" w:hanging="720"/>
      </w:pPr>
      <w:r w:rsidRPr="00151499">
        <w:t xml:space="preserve">Espinoza Oyarce, D. A., Shaw, M. E., Alateeq, K., &amp; Cherbuin, N. (2020). Volumetric brain differences in clinical depression in association with anxiety: a systematic review with meta-analysis. </w:t>
      </w:r>
      <w:r w:rsidR="00500ECE" w:rsidRPr="00500ECE">
        <w:rPr>
          <w:i/>
        </w:rPr>
        <w:t>Journal of Psychiatry and Neuroscience</w:t>
      </w:r>
      <w:r w:rsidRPr="00151499">
        <w:rPr>
          <w:i/>
        </w:rPr>
        <w:t>, 45</w:t>
      </w:r>
      <w:r w:rsidRPr="00151499">
        <w:t>(6), 406-429. doi:10.1503/jpn.190156</w:t>
      </w:r>
    </w:p>
    <w:p w:rsidR="000C4959" w:rsidRPr="00151499" w:rsidRDefault="000C4959" w:rsidP="00151499">
      <w:pPr>
        <w:pStyle w:val="EndNoteBibliography"/>
        <w:ind w:left="720" w:hanging="720"/>
      </w:pPr>
      <w:r w:rsidRPr="00151499">
        <w:t xml:space="preserve">Etkin, A., &amp; Schatzberg, A. F. (2011). Common abnormalities and disorder-specific compensation during implicit regulation of emotional processing in generalized anxiety and major depressive disorders. </w:t>
      </w:r>
      <w:r w:rsidRPr="00151499">
        <w:rPr>
          <w:i/>
        </w:rPr>
        <w:t>American Journal of Psychiatry, 168</w:t>
      </w:r>
      <w:r w:rsidRPr="00151499">
        <w:t>(9), 968-978. doi:10.1176/appi.ajp.2011.10091290</w:t>
      </w:r>
    </w:p>
    <w:p w:rsidR="000C4959" w:rsidRPr="00151499" w:rsidRDefault="000C4959" w:rsidP="00151499">
      <w:pPr>
        <w:pStyle w:val="EndNoteBibliography"/>
        <w:ind w:left="720" w:hanging="720"/>
      </w:pPr>
      <w:r w:rsidRPr="00151499">
        <w:t xml:space="preserve">Fan, J., Liu, W., Xia, J., Li, S., Gao, F., Zhu, J., . . . Zhu, X. (2021). Childhood trauma is associated with </w:t>
      </w:r>
      <w:r w:rsidRPr="00151499">
        <w:lastRenderedPageBreak/>
        <w:t xml:space="preserve">elevated anhedonia and altered core reward circuitry in major depression patients and controls. </w:t>
      </w:r>
      <w:r w:rsidRPr="00151499">
        <w:rPr>
          <w:i/>
        </w:rPr>
        <w:t>Human Brain Mapping, 42</w:t>
      </w:r>
      <w:r w:rsidRPr="00151499">
        <w:t>(2), 286-297. doi:10.1002/hbm.25222</w:t>
      </w:r>
    </w:p>
    <w:p w:rsidR="000C4959" w:rsidRPr="00151499" w:rsidRDefault="000C4959" w:rsidP="00151499">
      <w:pPr>
        <w:pStyle w:val="EndNoteBibliography"/>
        <w:ind w:left="720" w:hanging="720"/>
      </w:pPr>
      <w:r w:rsidRPr="00151499">
        <w:t xml:space="preserve">Fava, M., Rush, A. J., Alpert, J. E., Balasubramani, G. K., Wisniewski, S. R., Carmin, C. N., . . . Trivedi, M. H. (2008). Difference in treatment outcome in outpatients with anxious versus nonanxious depression: a STAR*D report. </w:t>
      </w:r>
      <w:r w:rsidRPr="00151499">
        <w:rPr>
          <w:i/>
        </w:rPr>
        <w:t>American Journal of Psychiatry, 165</w:t>
      </w:r>
      <w:r w:rsidRPr="00151499">
        <w:t>(3), 342-351. doi:10.1176/appi.ajp.2007.06111868</w:t>
      </w:r>
    </w:p>
    <w:p w:rsidR="000C4959" w:rsidRPr="00151499" w:rsidRDefault="000C4959" w:rsidP="00151499">
      <w:pPr>
        <w:pStyle w:val="EndNoteBibliography"/>
        <w:ind w:left="720" w:hanging="720"/>
      </w:pPr>
      <w:r w:rsidRPr="00151499">
        <w:t xml:space="preserve">Furukawa, T. A., Reijnders, M., Kishimoto, S., Sakata, M., DeRubeis, R. J., Dimidjian, S., . . . Cuijpers, P. (2019). Translating the BDI and BDI-II into the HAMD and vice versa with equipercentile linking. </w:t>
      </w:r>
      <w:r w:rsidRPr="00151499">
        <w:rPr>
          <w:i/>
        </w:rPr>
        <w:t>Epidemiology and Psychiatric Sciences, 29</w:t>
      </w:r>
      <w:r w:rsidRPr="00151499">
        <w:t>, e24. doi:10.1017/S2045796019000088</w:t>
      </w:r>
    </w:p>
    <w:p w:rsidR="000C4959" w:rsidRPr="00151499" w:rsidRDefault="000C4959" w:rsidP="00151499">
      <w:pPr>
        <w:pStyle w:val="EndNoteBibliography"/>
        <w:ind w:left="720" w:hanging="720"/>
      </w:pPr>
      <w:r w:rsidRPr="00151499">
        <w:t xml:space="preserve">Goes, F. S., McCusker, M. G., Bienvenu, O. J., Mackinnon, D. F., Mondimore, F. M., Schweizer, B., . . . Potash, J. B. (2012). Co-morbid anxiety disorders in bipolar disorder and major depression: familial aggregation and clinical characteristics of co-morbid panic disorder, social phobia, specific phobia and obsessive-compulsive disorder. </w:t>
      </w:r>
      <w:r w:rsidRPr="00151499">
        <w:rPr>
          <w:i/>
        </w:rPr>
        <w:t>Psychological Medicine, 42</w:t>
      </w:r>
      <w:r w:rsidRPr="00151499">
        <w:t>(7), 1449-1459. doi:10.1017/S0033291711002637</w:t>
      </w:r>
    </w:p>
    <w:p w:rsidR="000C4959" w:rsidRPr="00151499" w:rsidRDefault="000C4959" w:rsidP="00151499">
      <w:pPr>
        <w:pStyle w:val="EndNoteBibliography"/>
        <w:ind w:left="720" w:hanging="720"/>
      </w:pPr>
      <w:r w:rsidRPr="00151499">
        <w:t xml:space="preserve">Gorka, S. M., Nelson, B. D., Phan, K. L., &amp; Shankman, S. A. (2014). Insula response to unpredictable and predictable aversiveness in individuals with panic disorder and comorbid depression. </w:t>
      </w:r>
      <w:r w:rsidRPr="00151499">
        <w:rPr>
          <w:i/>
        </w:rPr>
        <w:t>Biol Mood Anxiety Disord, 4</w:t>
      </w:r>
      <w:r w:rsidRPr="00151499">
        <w:t>, 9. doi:10.1186/2045-5380-4-9</w:t>
      </w:r>
    </w:p>
    <w:p w:rsidR="000C4959" w:rsidRPr="00151499" w:rsidRDefault="000C4959" w:rsidP="00151499">
      <w:pPr>
        <w:pStyle w:val="EndNoteBibliography"/>
        <w:ind w:left="720" w:hanging="720"/>
      </w:pPr>
      <w:r w:rsidRPr="00151499">
        <w:t xml:space="preserve">Ichikawa, N., Lisi, G., Yahata, N., Okada, G., Takamura, M., Hashimoto, R. I., . . . Okamoto, Y. (2020). Primary functional brain connections associated with melancholic major depressive disorder and modulation by antidepressants. </w:t>
      </w:r>
      <w:r w:rsidRPr="00151499">
        <w:rPr>
          <w:i/>
        </w:rPr>
        <w:t>Scientific Reports, 10</w:t>
      </w:r>
      <w:r w:rsidRPr="00151499">
        <w:t>(1), 3542. doi:10.1038/s41598-020-60527-z</w:t>
      </w:r>
    </w:p>
    <w:p w:rsidR="000C4959" w:rsidRPr="00151499" w:rsidRDefault="000C4959" w:rsidP="00151499">
      <w:pPr>
        <w:pStyle w:val="EndNoteBibliography"/>
        <w:ind w:left="720" w:hanging="720"/>
      </w:pPr>
      <w:r w:rsidRPr="00151499">
        <w:t xml:space="preserve">Inkster, B., Rao, A. W., Ridler, K., Nichols, T. E., Saemann, P. G., Auer, D. P., . . . Matthews, P. M. (2011). Structural brain changes in patients with recurrent major depressive disorder presenting with anxiety symptoms. </w:t>
      </w:r>
      <w:r w:rsidRPr="00151499">
        <w:rPr>
          <w:i/>
        </w:rPr>
        <w:t>Journal of Neuroimaging, 21</w:t>
      </w:r>
      <w:r w:rsidRPr="00151499">
        <w:t>(4), 375-382. doi:10.1111/j.1552-6569.2010.00515.x</w:t>
      </w:r>
    </w:p>
    <w:p w:rsidR="000C4959" w:rsidRPr="00151499" w:rsidRDefault="000C4959" w:rsidP="00151499">
      <w:pPr>
        <w:pStyle w:val="EndNoteBibliography"/>
        <w:ind w:left="720" w:hanging="720"/>
      </w:pPr>
      <w:r w:rsidRPr="00151499">
        <w:t xml:space="preserve">Liu, X., Li, L., Li, M., Ren, Z., &amp; Ma, P. (2021). Characterizing the subtype of anhedonia in major depressive disorder: A symptom-specific multimodal MRI study. </w:t>
      </w:r>
      <w:r w:rsidRPr="00151499">
        <w:rPr>
          <w:i/>
        </w:rPr>
        <w:t>Psychiatry Research Neuroimaging, 308</w:t>
      </w:r>
      <w:r w:rsidRPr="00151499">
        <w:t>, 111239. doi:10.1016/j.pscychresns.2020.111239</w:t>
      </w:r>
    </w:p>
    <w:p w:rsidR="000C4959" w:rsidRPr="00151499" w:rsidRDefault="000C4959" w:rsidP="00151499">
      <w:pPr>
        <w:pStyle w:val="EndNoteBibliography"/>
        <w:ind w:left="720" w:hanging="720"/>
      </w:pPr>
      <w:r w:rsidRPr="00151499">
        <w:t xml:space="preserve">Norton, P. J., Temple, S. R., &amp; Pettit, J. W. (2008). Suicidal ideation and anxiety disorders: elevated risk or artifact of comorbid depression? </w:t>
      </w:r>
      <w:r w:rsidRPr="00151499">
        <w:rPr>
          <w:i/>
        </w:rPr>
        <w:t>Journal of Behavior Therapy and Experimental Psychiatry, 39</w:t>
      </w:r>
      <w:r w:rsidRPr="00151499">
        <w:t>(4), 515-525. doi:10.1016/j.jbtep.2007.10.010</w:t>
      </w:r>
    </w:p>
    <w:p w:rsidR="000C4959" w:rsidRPr="00151499" w:rsidRDefault="000C4959" w:rsidP="00151499">
      <w:pPr>
        <w:pStyle w:val="EndNoteBibliography"/>
        <w:ind w:left="720" w:hanging="720"/>
      </w:pPr>
      <w:r w:rsidRPr="00151499">
        <w:t xml:space="preserve">Radua, J., Borgwardt, S., Crescini, A., Mataix-Cols, D., Meyer-Lindenberg, A., McGuire, P. K., &amp; Fusar-Poli, P. (2012a). Multimodal meta-analysis of structural and functional brain changes in first episode psychosis and the effects of antipsychotic medication. </w:t>
      </w:r>
      <w:r w:rsidRPr="00151499">
        <w:rPr>
          <w:i/>
        </w:rPr>
        <w:t>Neuroscience and Biobehavioral Reviews, 36</w:t>
      </w:r>
      <w:r w:rsidRPr="00151499">
        <w:t>(10), 2325-2333. doi:10.1016/j.neubiorev.2012.07.012</w:t>
      </w:r>
    </w:p>
    <w:p w:rsidR="000C4959" w:rsidRPr="00151499" w:rsidRDefault="000C4959" w:rsidP="00151499">
      <w:pPr>
        <w:pStyle w:val="EndNoteBibliography"/>
        <w:ind w:left="720" w:hanging="720"/>
      </w:pPr>
      <w:r w:rsidRPr="00151499">
        <w:t xml:space="preserve">Radua, J., &amp; Mataix-Cols, D. (2009). Voxel-wise meta-analysis of grey matter changes in obsessive-compulsive disorder. </w:t>
      </w:r>
      <w:r w:rsidRPr="00151499">
        <w:rPr>
          <w:i/>
        </w:rPr>
        <w:t>British Journal of Psychiatry, 195</w:t>
      </w:r>
      <w:r w:rsidRPr="00151499">
        <w:t>(5), 393-402. doi:10.1192/bjp.bp.108.055046</w:t>
      </w:r>
    </w:p>
    <w:p w:rsidR="000C4959" w:rsidRPr="00151499" w:rsidRDefault="000C4959" w:rsidP="00151499">
      <w:pPr>
        <w:pStyle w:val="EndNoteBibliography"/>
        <w:ind w:left="720" w:hanging="720"/>
      </w:pPr>
      <w:r w:rsidRPr="00151499">
        <w:t xml:space="preserve">Radua, J., &amp; Mataix-Cols, D. (2012). Meta-analytic methods for neuroimaging data explained. </w:t>
      </w:r>
      <w:r w:rsidRPr="00151499">
        <w:rPr>
          <w:i/>
        </w:rPr>
        <w:t>Biol Mood Anxiety Disord, 2</w:t>
      </w:r>
      <w:r w:rsidRPr="00151499">
        <w:t>, 6. doi:10.1186/2045-5380-2-6</w:t>
      </w:r>
    </w:p>
    <w:p w:rsidR="000C4959" w:rsidRPr="00151499" w:rsidRDefault="000C4959" w:rsidP="00151499">
      <w:pPr>
        <w:pStyle w:val="EndNoteBibliography"/>
        <w:ind w:left="720" w:hanging="720"/>
      </w:pPr>
      <w:r w:rsidRPr="00151499">
        <w:t xml:space="preserve">Radua, J., Mataix-Cols, D., Phillips, M. L., El-Hage, W., Kronhaus, D. M., Cardoner, N., &amp; Surguladze, S. (2012b). A new meta-analytic method for neuroimaging studies that combines reported peak coordinates and statistical parametric maps. </w:t>
      </w:r>
      <w:r w:rsidRPr="00151499">
        <w:rPr>
          <w:i/>
        </w:rPr>
        <w:t>European Psychiatry, 27</w:t>
      </w:r>
      <w:r w:rsidRPr="00151499">
        <w:t>(8), 605-611. doi:10.1016/j.eurpsy.2011.04.001</w:t>
      </w:r>
    </w:p>
    <w:p w:rsidR="000C4959" w:rsidRPr="00151499" w:rsidRDefault="000C4959" w:rsidP="00151499">
      <w:pPr>
        <w:pStyle w:val="EndNoteBibliography"/>
        <w:ind w:left="720" w:hanging="720"/>
      </w:pPr>
      <w:r w:rsidRPr="00151499">
        <w:lastRenderedPageBreak/>
        <w:t xml:space="preserve">Radua, J., Rubia, K., Canales-Rodriguez, E. J., Pomarol-Clotet, E., Fusar-Poli, P., &amp; Mataix-Cols, D. (2014). Anisotropic kernels for coordinate-based meta-analyses of neuroimaging studies. </w:t>
      </w:r>
      <w:r w:rsidR="00500ECE" w:rsidRPr="00500ECE">
        <w:rPr>
          <w:i/>
        </w:rPr>
        <w:t>Frontiers in Psychiatry</w:t>
      </w:r>
      <w:r w:rsidRPr="00151499">
        <w:rPr>
          <w:i/>
        </w:rPr>
        <w:t>, 5</w:t>
      </w:r>
      <w:r w:rsidRPr="00151499">
        <w:t>, 13. doi:10.3389/fpsyt.2014.00013</w:t>
      </w:r>
    </w:p>
    <w:p w:rsidR="000C4959" w:rsidRPr="00151499" w:rsidRDefault="000C4959" w:rsidP="00151499">
      <w:pPr>
        <w:pStyle w:val="EndNoteBibliography"/>
        <w:ind w:left="720" w:hanging="720"/>
      </w:pPr>
      <w:r w:rsidRPr="00151499">
        <w:t xml:space="preserve">Redlich, R., Dohm, K., Grotegerd, D., Opel, N., Zwitserlood, P., Heindel, W., . . . Dannlowski, U. (2015). Reward Processing in Unipolar and Bipolar Depression: A Functional MRI Study. </w:t>
      </w:r>
      <w:r w:rsidRPr="00151499">
        <w:rPr>
          <w:i/>
        </w:rPr>
        <w:t>Neuropsychopharmacology, 40</w:t>
      </w:r>
      <w:r w:rsidRPr="00151499">
        <w:t>(11), 2623-2631. doi:10.1038/npp.2015.110</w:t>
      </w:r>
    </w:p>
    <w:p w:rsidR="000C4959" w:rsidRPr="00151499" w:rsidRDefault="000C4959" w:rsidP="00151499">
      <w:pPr>
        <w:pStyle w:val="EndNoteBibliography"/>
        <w:ind w:left="720" w:hanging="720"/>
      </w:pPr>
      <w:r w:rsidRPr="00151499">
        <w:t>Reed, J. L., Nugent, A. C., Furey, M. L., Szczepanik, J. E., Evans, J. W., &amp; Zarate, C. A., Jr. (2018). Ketamine normalizes brain activity during emotionally valenced attentional processing in depression.</w:t>
      </w:r>
      <w:r w:rsidR="00500ECE" w:rsidRPr="00500ECE">
        <w:t xml:space="preserve"> </w:t>
      </w:r>
      <w:r w:rsidR="00500ECE" w:rsidRPr="00500ECE">
        <w:rPr>
          <w:i/>
        </w:rPr>
        <w:t>NeuroImage</w:t>
      </w:r>
      <w:r w:rsidR="00500ECE">
        <w:rPr>
          <w:i/>
        </w:rPr>
        <w:t>-</w:t>
      </w:r>
      <w:r w:rsidR="00500ECE" w:rsidRPr="00500ECE">
        <w:rPr>
          <w:i/>
        </w:rPr>
        <w:t>Clinical</w:t>
      </w:r>
      <w:r w:rsidRPr="00151499">
        <w:rPr>
          <w:i/>
        </w:rPr>
        <w:t>, 20</w:t>
      </w:r>
      <w:r w:rsidRPr="00151499">
        <w:t>, 92-101. doi:10.1016/j.nicl.2018.07.006</w:t>
      </w:r>
    </w:p>
    <w:p w:rsidR="000C4959" w:rsidRPr="00151499" w:rsidRDefault="000C4959" w:rsidP="00151499">
      <w:pPr>
        <w:pStyle w:val="EndNoteBibliography"/>
        <w:ind w:left="720" w:hanging="720"/>
      </w:pPr>
      <w:r w:rsidRPr="00151499">
        <w:t xml:space="preserve">Reed, J. L., Nugent, A. C., Furey, M. L., Szczepanik, J. E., Evans, J. W., &amp; Zarate, C. A., Jr. (2019). Effects of Ketamine on Brain Activity During Emotional Processing: Differential Findings in Depressed Versus Healthy Control Participants. </w:t>
      </w:r>
      <w:r w:rsidR="00500ECE" w:rsidRPr="00500ECE">
        <w:rPr>
          <w:i/>
        </w:rPr>
        <w:t>Biological Psychiatry: Cognitive Neuroscience and Neuroimaging</w:t>
      </w:r>
      <w:r w:rsidRPr="00151499">
        <w:rPr>
          <w:i/>
        </w:rPr>
        <w:t>, 4</w:t>
      </w:r>
      <w:r w:rsidRPr="00151499">
        <w:t>(7), 610-618. doi:10.1016/j.bpsc.2019.01.005</w:t>
      </w:r>
    </w:p>
    <w:p w:rsidR="000C4959" w:rsidRPr="00151499" w:rsidRDefault="000C4959" w:rsidP="00151499">
      <w:pPr>
        <w:pStyle w:val="EndNoteBibliography"/>
        <w:ind w:left="720" w:hanging="720"/>
      </w:pPr>
      <w:r w:rsidRPr="00151499">
        <w:t xml:space="preserve">Rizvi, S. J., Pizzagalli, D. A., Sproule, B. A., &amp; Kennedy, S. H. (2016). Assessing anhedonia in depression: Potentials and pitfalls. </w:t>
      </w:r>
      <w:r w:rsidRPr="00151499">
        <w:rPr>
          <w:i/>
        </w:rPr>
        <w:t xml:space="preserve">Neuroscience </w:t>
      </w:r>
      <w:r w:rsidR="00500ECE">
        <w:rPr>
          <w:rFonts w:hint="eastAsia"/>
          <w:i/>
        </w:rPr>
        <w:t>a</w:t>
      </w:r>
      <w:r w:rsidRPr="00151499">
        <w:rPr>
          <w:i/>
        </w:rPr>
        <w:t>nd Biobehavioral Reviews, 65</w:t>
      </w:r>
      <w:r w:rsidRPr="00151499">
        <w:t>, 21-35. doi:10.1016/j.neubiorev.2016.03.004</w:t>
      </w:r>
    </w:p>
    <w:p w:rsidR="000C4959" w:rsidRPr="00151499" w:rsidRDefault="000C4959" w:rsidP="00151499">
      <w:pPr>
        <w:pStyle w:val="EndNoteBibliography"/>
        <w:ind w:left="720" w:hanging="720"/>
      </w:pPr>
      <w:r w:rsidRPr="00151499">
        <w:t xml:space="preserve">Segarra, N., Metastasio, A., Ziauddeen, H., Spencer, J., Reinders, N. R., Dudas, R. B., . . . Murray, G. K. (2016). Abnormal Frontostriatal Activity During Unexpected Reward Receipt in Depression and Schizophrenia: Relationship to Anhedonia. </w:t>
      </w:r>
      <w:r w:rsidRPr="00151499">
        <w:rPr>
          <w:i/>
        </w:rPr>
        <w:t>Neuropsychopharmacology, 41</w:t>
      </w:r>
      <w:r w:rsidRPr="00151499">
        <w:t>(8), 2001-2010. doi:10.1038/npp.2015.370</w:t>
      </w:r>
    </w:p>
    <w:p w:rsidR="000C4959" w:rsidRPr="00151499" w:rsidRDefault="000C4959" w:rsidP="00151499">
      <w:pPr>
        <w:pStyle w:val="EndNoteBibliography"/>
        <w:ind w:left="720" w:hanging="720"/>
      </w:pPr>
      <w:r w:rsidRPr="00151499">
        <w:t xml:space="preserve">Stoy, M., Schlagenhauf, F., Sterzer, P., Bermpohl, F., Hagele, C., Suchotzki, K., . . . Strohle, A. (2012). Hyporeactivity of ventral striatum towards incentive stimuli in unmedicated depressed patients normalizes after treatment with escitalopram. </w:t>
      </w:r>
      <w:r w:rsidRPr="00151499">
        <w:rPr>
          <w:i/>
        </w:rPr>
        <w:t>Journal of Psychopharmacology, 26</w:t>
      </w:r>
      <w:r w:rsidRPr="00151499">
        <w:t>(5), 677-688. doi:10.1177/0269881111416686</w:t>
      </w:r>
    </w:p>
    <w:p w:rsidR="000C4959" w:rsidRPr="00151499" w:rsidRDefault="000C4959" w:rsidP="00151499">
      <w:pPr>
        <w:pStyle w:val="EndNoteBibliography"/>
        <w:ind w:left="720" w:hanging="720"/>
      </w:pPr>
      <w:r w:rsidRPr="00151499">
        <w:t xml:space="preserve">Stoy, M., Schlagenhauf, F., Sterzer, P., Bermpohl, F., Hägele, C., Suchotzki, K., . . . Ströhle, A. (2012). Hyporeactivity of ventral striatum towards incentive stimuli in unmedicated depressed patients normalizes after treatment with escitalopram. </w:t>
      </w:r>
      <w:r w:rsidRPr="00151499">
        <w:rPr>
          <w:i/>
        </w:rPr>
        <w:t>Journal of Psychopharmacology, 26</w:t>
      </w:r>
      <w:r w:rsidRPr="00151499">
        <w:t>(5), 677-688. doi:10.1177/0269881111416686</w:t>
      </w:r>
    </w:p>
    <w:p w:rsidR="000C4959" w:rsidRPr="00151499" w:rsidRDefault="000C4959" w:rsidP="00151499">
      <w:pPr>
        <w:pStyle w:val="EndNoteBibliography"/>
        <w:ind w:left="720" w:hanging="720"/>
      </w:pPr>
      <w:r w:rsidRPr="00151499">
        <w:t xml:space="preserve">Takamura, M., Okamoto, Y., Okada, G., Toki, S., Yamamoto, T., Ichikawa, N., . . . Yamawaki, S. (2017). Patients with major depressive disorder exhibit reduced reward size coding in the striatum. </w:t>
      </w:r>
      <w:r w:rsidRPr="00151499">
        <w:rPr>
          <w:i/>
        </w:rPr>
        <w:t>Progress in Neuro-Psychopharmacology and Biological Psychiatry, 79</w:t>
      </w:r>
      <w:r w:rsidRPr="00151499">
        <w:t>(Pt B), 317-323. doi:10.1016/j.pnpbp.2017.07.006</w:t>
      </w:r>
    </w:p>
    <w:p w:rsidR="000C4959" w:rsidRPr="00151499" w:rsidRDefault="000C4959" w:rsidP="00151499">
      <w:pPr>
        <w:pStyle w:val="EndNoteBibliography"/>
        <w:ind w:left="720" w:hanging="720"/>
      </w:pPr>
      <w:r w:rsidRPr="00151499">
        <w:t xml:space="preserve">Ubl, B., Kuehner, C., Kirsch, P., Ruttorf, M., Diener, C., &amp; Flor, H. (2015). Altered neural reward and loss processing and prediction error signalling in depression. </w:t>
      </w:r>
      <w:r w:rsidRPr="00151499">
        <w:rPr>
          <w:i/>
        </w:rPr>
        <w:t>Social Cognitive and Affective Neuroscience, 10</w:t>
      </w:r>
      <w:r w:rsidRPr="00151499">
        <w:t>(8), 1102-1112. doi:10.1093/scan/nsu158</w:t>
      </w:r>
    </w:p>
    <w:p w:rsidR="000C4959" w:rsidRPr="00151499" w:rsidRDefault="000C4959" w:rsidP="00151499">
      <w:pPr>
        <w:pStyle w:val="EndNoteBibliography"/>
        <w:ind w:left="720" w:hanging="720"/>
      </w:pPr>
      <w:r w:rsidRPr="00151499">
        <w:t xml:space="preserve">Urgesi, C., Mattiassi, A. D., Buiatti, T., &amp; Marini, A. (2016). Tell it to a child! A brain stimulation study of the role of left inferior frontal gyrus in emotion regulation during storytelling. </w:t>
      </w:r>
      <w:r w:rsidRPr="00151499">
        <w:rPr>
          <w:i/>
        </w:rPr>
        <w:t>Neuroimage, 136</w:t>
      </w:r>
      <w:r w:rsidRPr="00151499">
        <w:t>, 26-36. doi:10.1016/j.neuroimage.2016.05.039</w:t>
      </w:r>
    </w:p>
    <w:p w:rsidR="000C4959" w:rsidRPr="00151499" w:rsidRDefault="000C4959" w:rsidP="00151499">
      <w:pPr>
        <w:pStyle w:val="EndNoteBibliography"/>
        <w:ind w:left="720" w:hanging="720"/>
      </w:pPr>
      <w:r w:rsidRPr="00151499">
        <w:t xml:space="preserve">Wang, L., Li, K., Zhang, Q., Zeng, Y., Dai, W., Su, Y., . . . Si, T. (2014). Short-term effects of escitalopram on regional brain function in first-episode drug-naive patients with major depressive disorder assessed by resting-state functional magnetic resonance imaging. </w:t>
      </w:r>
      <w:r w:rsidRPr="00151499">
        <w:rPr>
          <w:i/>
        </w:rPr>
        <w:t>Psychological Medicine, 44</w:t>
      </w:r>
      <w:r w:rsidRPr="00151499">
        <w:t>(7), 1417-1426. doi:10.1017/S0033291713002031</w:t>
      </w:r>
    </w:p>
    <w:p w:rsidR="00500ECE" w:rsidRDefault="000C4959" w:rsidP="00151499">
      <w:pPr>
        <w:pStyle w:val="EndNoteBibliography"/>
        <w:ind w:left="720" w:hanging="720"/>
      </w:pPr>
      <w:r w:rsidRPr="00151499">
        <w:t xml:space="preserve">Wehry, A. M., McNamara, R. K., Adler, C. M., Eliassen, J. C., Croarkin, P., Cerullo, M. A., . . . Strawn, J. R. (2015). Neurostructural impact of co-occurring anxiety in pediatric patients with major </w:t>
      </w:r>
      <w:r w:rsidRPr="00151499">
        <w:lastRenderedPageBreak/>
        <w:t xml:space="preserve">depressive disorder: a voxel-based morphometry study. </w:t>
      </w:r>
      <w:r w:rsidRPr="00151499">
        <w:rPr>
          <w:i/>
        </w:rPr>
        <w:t>Journal of Affective Disorders, 171</w:t>
      </w:r>
      <w:r w:rsidRPr="00151499">
        <w:t>, 54-59. doi:10.1016/j.jad.2014.09.004</w:t>
      </w:r>
    </w:p>
    <w:p w:rsidR="00500ECE" w:rsidRDefault="00500ECE">
      <w:pPr>
        <w:widowControl/>
        <w:jc w:val="left"/>
        <w:rPr>
          <w:rFonts w:cs="Times New Roman"/>
          <w:noProof/>
          <w:sz w:val="20"/>
        </w:rPr>
      </w:pPr>
      <w:r>
        <w:br w:type="page"/>
      </w:r>
    </w:p>
    <w:p w:rsidR="000C4959" w:rsidRPr="00151499" w:rsidRDefault="000C4959" w:rsidP="00151499">
      <w:pPr>
        <w:pStyle w:val="EndNoteBibliography"/>
        <w:ind w:left="720" w:hanging="720"/>
      </w:pPr>
    </w:p>
    <w:bookmarkEnd w:id="20"/>
    <w:p w:rsidR="000C4959" w:rsidRDefault="000C4959" w:rsidP="008524C3">
      <w:pPr>
        <w:widowControl/>
        <w:spacing w:line="360" w:lineRule="auto"/>
        <w:rPr>
          <w:rFonts w:cs="Times New Roman"/>
          <w:sz w:val="22"/>
        </w:rPr>
      </w:pPr>
      <w:r w:rsidRPr="007A1775">
        <w:rPr>
          <w:rFonts w:cs="Times New Roman"/>
          <w:noProof/>
          <w:sz w:val="22"/>
        </w:rPr>
        <w:drawing>
          <wp:anchor distT="0" distB="0" distL="114300" distR="114300" simplePos="0" relativeHeight="251659264" behindDoc="0" locked="0" layoutInCell="1" allowOverlap="1" wp14:anchorId="563B57D7" wp14:editId="6D6B426E">
            <wp:simplePos x="0" y="0"/>
            <wp:positionH relativeFrom="column">
              <wp:posOffset>0</wp:posOffset>
            </wp:positionH>
            <wp:positionV relativeFrom="paragraph">
              <wp:posOffset>19050</wp:posOffset>
            </wp:positionV>
            <wp:extent cx="5993130" cy="372110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93130" cy="3721100"/>
                    </a:xfrm>
                    <a:prstGeom prst="rect">
                      <a:avLst/>
                    </a:prstGeom>
                  </pic:spPr>
                </pic:pic>
              </a:graphicData>
            </a:graphic>
          </wp:anchor>
        </w:drawing>
      </w:r>
    </w:p>
    <w:p w:rsidR="000C4959" w:rsidRDefault="000C4959" w:rsidP="001C5074">
      <w:pPr>
        <w:adjustRightInd w:val="0"/>
        <w:snapToGrid w:val="0"/>
        <w:spacing w:line="360" w:lineRule="auto"/>
        <w:rPr>
          <w:rFonts w:ascii="Arial" w:hAnsi="Arial" w:cs="Arial"/>
          <w:b/>
          <w:sz w:val="16"/>
          <w:szCs w:val="16"/>
        </w:rPr>
      </w:pPr>
    </w:p>
    <w:p w:rsidR="000C4959" w:rsidRPr="001E3D1D" w:rsidRDefault="000C4959" w:rsidP="008524C3">
      <w:pPr>
        <w:adjustRightInd w:val="0"/>
        <w:snapToGrid w:val="0"/>
        <w:rPr>
          <w:rFonts w:ascii="Arial" w:hAnsi="Arial" w:cs="Arial"/>
          <w:sz w:val="16"/>
          <w:szCs w:val="16"/>
        </w:rPr>
      </w:pPr>
      <w:r w:rsidRPr="001E3D1D">
        <w:rPr>
          <w:rFonts w:ascii="Arial" w:hAnsi="Arial" w:cs="Arial"/>
          <w:b/>
          <w:sz w:val="16"/>
          <w:szCs w:val="16"/>
        </w:rPr>
        <w:t>Fig</w:t>
      </w:r>
      <w:r>
        <w:rPr>
          <w:rFonts w:ascii="Arial" w:hAnsi="Arial" w:cs="Arial" w:hint="eastAsia"/>
          <w:b/>
          <w:sz w:val="16"/>
          <w:szCs w:val="16"/>
        </w:rPr>
        <w:t>.</w:t>
      </w:r>
      <w:r w:rsidRPr="001E3D1D">
        <w:rPr>
          <w:rFonts w:ascii="Arial" w:hAnsi="Arial" w:cs="Arial"/>
          <w:b/>
          <w:sz w:val="16"/>
          <w:szCs w:val="16"/>
        </w:rPr>
        <w:t xml:space="preserve"> S1. </w:t>
      </w:r>
      <w:r w:rsidRPr="0073030D">
        <w:rPr>
          <w:rFonts w:ascii="Arial" w:hAnsi="Arial" w:cs="Arial"/>
          <w:sz w:val="16"/>
          <w:szCs w:val="16"/>
        </w:rPr>
        <w:t>Flowchart of the article selection process</w:t>
      </w:r>
      <w:r>
        <w:rPr>
          <w:rFonts w:ascii="Arial" w:hAnsi="Arial" w:cs="Arial"/>
          <w:sz w:val="16"/>
          <w:szCs w:val="16"/>
        </w:rPr>
        <w:t>.</w:t>
      </w:r>
    </w:p>
    <w:p w:rsidR="000C4959" w:rsidRPr="001E3D1D" w:rsidRDefault="000C4959" w:rsidP="008524C3">
      <w:pPr>
        <w:rPr>
          <w:rFonts w:ascii="Arial" w:hAnsi="Arial" w:cs="Arial"/>
          <w:sz w:val="16"/>
          <w:szCs w:val="16"/>
        </w:rPr>
      </w:pPr>
      <w:r w:rsidRPr="001E3D1D">
        <w:rPr>
          <w:rFonts w:ascii="Arial" w:hAnsi="Arial" w:cs="Arial"/>
          <w:sz w:val="16"/>
          <w:szCs w:val="16"/>
        </w:rPr>
        <w:t>O</w:t>
      </w:r>
      <w:r w:rsidRPr="00587E29">
        <w:rPr>
          <w:rFonts w:ascii="Arial" w:hAnsi="Arial" w:cs="Arial"/>
          <w:sz w:val="16"/>
          <w:szCs w:val="16"/>
        </w:rPr>
        <w:t>f 611 articles initially identified, 11 studies were finally enrolled in this meta-analysis during the reward anticipation phase, and 8 studies were finally enrolle</w:t>
      </w:r>
      <w:r w:rsidRPr="001E3D1D">
        <w:rPr>
          <w:rFonts w:ascii="Arial" w:hAnsi="Arial" w:cs="Arial"/>
          <w:sz w:val="16"/>
          <w:szCs w:val="16"/>
        </w:rPr>
        <w:t>d during the reward outcome phase.</w:t>
      </w:r>
    </w:p>
    <w:p w:rsidR="000C4959" w:rsidRDefault="000C4959" w:rsidP="001C5074">
      <w:pPr>
        <w:spacing w:line="360" w:lineRule="auto"/>
        <w:rPr>
          <w:rFonts w:cs="Times New Roman"/>
          <w:sz w:val="22"/>
        </w:rPr>
      </w:pPr>
    </w:p>
    <w:p w:rsidR="000C4959" w:rsidRDefault="000C4959" w:rsidP="001C5074">
      <w:pPr>
        <w:widowControl/>
        <w:spacing w:line="360" w:lineRule="auto"/>
        <w:jc w:val="left"/>
        <w:rPr>
          <w:rFonts w:cs="Times New Roman"/>
          <w:sz w:val="22"/>
        </w:rPr>
      </w:pPr>
      <w:r>
        <w:rPr>
          <w:rFonts w:cs="Times New Roman"/>
          <w:sz w:val="22"/>
        </w:rPr>
        <w:br w:type="page"/>
      </w:r>
    </w:p>
    <w:p w:rsidR="000C4959" w:rsidRDefault="000C4959" w:rsidP="001C5074">
      <w:pPr>
        <w:spacing w:line="360" w:lineRule="auto"/>
        <w:rPr>
          <w:rFonts w:cs="Times New Roman"/>
          <w:sz w:val="22"/>
        </w:rPr>
        <w:sectPr w:rsidR="000C4959" w:rsidSect="007C058F">
          <w:pgSz w:w="11906" w:h="16838"/>
          <w:pgMar w:top="1440" w:right="1800" w:bottom="1440" w:left="1800" w:header="851" w:footer="992" w:gutter="0"/>
          <w:cols w:space="425"/>
          <w:docGrid w:type="lines" w:linePitch="312"/>
        </w:sectPr>
      </w:pPr>
    </w:p>
    <w:p w:rsidR="000C4959" w:rsidRPr="00DF5805" w:rsidRDefault="000C4959" w:rsidP="001C5074">
      <w:pPr>
        <w:widowControl/>
        <w:spacing w:line="360" w:lineRule="auto"/>
        <w:jc w:val="left"/>
        <w:rPr>
          <w:rFonts w:ascii="Arial" w:hAnsi="Arial" w:cs="Arial"/>
          <w:sz w:val="16"/>
          <w:szCs w:val="16"/>
        </w:rPr>
      </w:pPr>
      <w:r w:rsidRPr="00DF5805">
        <w:rPr>
          <w:rFonts w:ascii="Arial" w:hAnsi="Arial" w:cs="Arial"/>
          <w:b/>
          <w:sz w:val="16"/>
          <w:szCs w:val="16"/>
        </w:rPr>
        <w:lastRenderedPageBreak/>
        <w:t xml:space="preserve">Table S1. </w:t>
      </w:r>
      <w:r w:rsidRPr="00DF5805">
        <w:rPr>
          <w:rFonts w:ascii="Arial" w:hAnsi="Arial" w:cs="Arial"/>
          <w:sz w:val="16"/>
          <w:szCs w:val="16"/>
        </w:rPr>
        <w:t>Subgroup and jack-knife sensitivity analyses</w:t>
      </w:r>
      <w:r>
        <w:rPr>
          <w:rFonts w:ascii="Arial" w:hAnsi="Arial" w:cs="Arial"/>
          <w:sz w:val="16"/>
          <w:szCs w:val="16"/>
        </w:rPr>
        <w:t xml:space="preserve"> </w:t>
      </w:r>
      <w:r>
        <w:rPr>
          <w:rFonts w:ascii="Arial" w:hAnsi="Arial" w:cs="Arial" w:hint="eastAsia"/>
          <w:sz w:val="16"/>
          <w:szCs w:val="16"/>
        </w:rPr>
        <w:t>of</w:t>
      </w:r>
      <w:r>
        <w:rPr>
          <w:rFonts w:ascii="Arial" w:hAnsi="Arial" w:cs="Arial"/>
          <w:sz w:val="16"/>
          <w:szCs w:val="16"/>
        </w:rPr>
        <w:t xml:space="preserve"> </w:t>
      </w:r>
      <w:r w:rsidRPr="00DF5805">
        <w:rPr>
          <w:rFonts w:ascii="Arial" w:hAnsi="Arial" w:cs="Arial"/>
          <w:sz w:val="16"/>
          <w:szCs w:val="16"/>
        </w:rPr>
        <w:t>brain activation differences between MDD patients and HC during the anticipation</w:t>
      </w:r>
    </w:p>
    <w:tbl>
      <w:tblPr>
        <w:tblpPr w:leftFromText="180" w:rightFromText="180" w:vertAnchor="page" w:horzAnchor="margin" w:tblpY="1287"/>
        <w:tblW w:w="0" w:type="auto"/>
        <w:tblLayout w:type="fixed"/>
        <w:tblLook w:val="04A0" w:firstRow="1" w:lastRow="0" w:firstColumn="1" w:lastColumn="0" w:noHBand="0" w:noVBand="1"/>
      </w:tblPr>
      <w:tblGrid>
        <w:gridCol w:w="5411"/>
        <w:gridCol w:w="1139"/>
        <w:gridCol w:w="1139"/>
        <w:gridCol w:w="1139"/>
        <w:gridCol w:w="1140"/>
        <w:gridCol w:w="236"/>
        <w:gridCol w:w="1276"/>
        <w:gridCol w:w="1276"/>
        <w:gridCol w:w="1276"/>
        <w:gridCol w:w="1277"/>
      </w:tblGrid>
      <w:tr w:rsidR="000C4959" w:rsidRPr="00505ABE" w:rsidTr="00810A61">
        <w:trPr>
          <w:trHeight w:val="300"/>
        </w:trPr>
        <w:tc>
          <w:tcPr>
            <w:tcW w:w="5411" w:type="dxa"/>
            <w:tcBorders>
              <w:top w:val="single" w:sz="12" w:space="0" w:color="auto"/>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 xml:space="preserve">Studies </w:t>
            </w:r>
          </w:p>
        </w:tc>
        <w:tc>
          <w:tcPr>
            <w:tcW w:w="4557" w:type="dxa"/>
            <w:gridSpan w:val="4"/>
            <w:tcBorders>
              <w:top w:val="single" w:sz="12" w:space="0" w:color="auto"/>
              <w:left w:val="nil"/>
              <w:bottom w:val="single" w:sz="8"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P &gt; HC</w:t>
            </w:r>
          </w:p>
        </w:tc>
        <w:tc>
          <w:tcPr>
            <w:tcW w:w="236" w:type="dxa"/>
            <w:tcBorders>
              <w:top w:val="single" w:sz="12" w:space="0" w:color="auto"/>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 xml:space="preserve"> </w:t>
            </w:r>
          </w:p>
        </w:tc>
        <w:tc>
          <w:tcPr>
            <w:tcW w:w="5105" w:type="dxa"/>
            <w:gridSpan w:val="4"/>
            <w:tcBorders>
              <w:top w:val="single" w:sz="12" w:space="0" w:color="auto"/>
              <w:left w:val="nil"/>
              <w:bottom w:val="single" w:sz="8"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P &lt; HC</w:t>
            </w:r>
          </w:p>
        </w:tc>
      </w:tr>
      <w:tr w:rsidR="000C4959" w:rsidRPr="00505ABE" w:rsidTr="007A1775">
        <w:trPr>
          <w:trHeight w:val="280"/>
        </w:trPr>
        <w:tc>
          <w:tcPr>
            <w:tcW w:w="5411"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(Datasets)</w:t>
            </w:r>
          </w:p>
        </w:tc>
        <w:tc>
          <w:tcPr>
            <w:tcW w:w="1139"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L</w:t>
            </w:r>
          </w:p>
        </w:tc>
        <w:tc>
          <w:tcPr>
            <w:tcW w:w="1139"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 xml:space="preserve">R &amp; L </w:t>
            </w:r>
          </w:p>
        </w:tc>
        <w:tc>
          <w:tcPr>
            <w:tcW w:w="1139"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R &amp; L</w:t>
            </w:r>
          </w:p>
        </w:tc>
        <w:tc>
          <w:tcPr>
            <w:tcW w:w="1140"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R</w:t>
            </w:r>
          </w:p>
        </w:tc>
        <w:tc>
          <w:tcPr>
            <w:tcW w:w="236"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p>
        </w:tc>
        <w:tc>
          <w:tcPr>
            <w:tcW w:w="1276"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R</w:t>
            </w:r>
          </w:p>
        </w:tc>
        <w:tc>
          <w:tcPr>
            <w:tcW w:w="1276"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L</w:t>
            </w:r>
          </w:p>
        </w:tc>
        <w:tc>
          <w:tcPr>
            <w:tcW w:w="1276" w:type="dxa"/>
            <w:tcBorders>
              <w:top w:val="nil"/>
              <w:left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R</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R</w:t>
            </w:r>
          </w:p>
        </w:tc>
      </w:tr>
      <w:tr w:rsidR="000C4959" w:rsidRPr="00505ABE" w:rsidTr="007A1775">
        <w:trPr>
          <w:trHeight w:val="847"/>
        </w:trPr>
        <w:tc>
          <w:tcPr>
            <w:tcW w:w="5411" w:type="dxa"/>
            <w:tcBorders>
              <w:top w:val="nil"/>
              <w:left w:val="nil"/>
              <w:bottom w:val="single" w:sz="8"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p>
        </w:tc>
        <w:tc>
          <w:tcPr>
            <w:tcW w:w="1139" w:type="dxa"/>
            <w:tcBorders>
              <w:top w:val="nil"/>
              <w:left w:val="nil"/>
              <w:bottom w:val="single" w:sz="8" w:space="0" w:color="auto"/>
              <w:right w:val="nil"/>
            </w:tcBorders>
            <w:shd w:val="clear" w:color="auto" w:fill="auto"/>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 xml:space="preserve">IFG &amp; </w:t>
            </w:r>
            <w:proofErr w:type="spellStart"/>
            <w:r w:rsidRPr="00505ABE">
              <w:rPr>
                <w:rFonts w:ascii="Arial" w:eastAsia="等线" w:hAnsi="Arial" w:cs="Arial"/>
                <w:b/>
                <w:bCs/>
                <w:color w:val="000000" w:themeColor="text1"/>
                <w:kern w:val="0"/>
                <w:sz w:val="16"/>
                <w:szCs w:val="16"/>
              </w:rPr>
              <w:t>PoCG</w:t>
            </w:r>
            <w:proofErr w:type="spellEnd"/>
          </w:p>
        </w:tc>
        <w:tc>
          <w:tcPr>
            <w:tcW w:w="1139" w:type="dxa"/>
            <w:tcBorders>
              <w:top w:val="nil"/>
              <w:left w:val="nil"/>
              <w:bottom w:val="single" w:sz="8" w:space="0" w:color="auto"/>
              <w:right w:val="nil"/>
            </w:tcBorders>
            <w:shd w:val="clear" w:color="auto" w:fill="auto"/>
            <w:vAlign w:val="center"/>
            <w:hideMark/>
          </w:tcPr>
          <w:p w:rsidR="000C4959" w:rsidRPr="00505ABE" w:rsidRDefault="000C4959" w:rsidP="007A1775">
            <w:pPr>
              <w:jc w:val="left"/>
              <w:rPr>
                <w:rFonts w:ascii="Arial" w:eastAsia="等线" w:hAnsi="Arial" w:cs="Arial"/>
                <w:b/>
                <w:bCs/>
                <w:color w:val="000000" w:themeColor="text1"/>
                <w:kern w:val="0"/>
                <w:sz w:val="16"/>
                <w:szCs w:val="16"/>
                <w:lang w:val="en-US"/>
              </w:rPr>
            </w:pPr>
            <w:proofErr w:type="spellStart"/>
            <w:r w:rsidRPr="00505ABE">
              <w:rPr>
                <w:rFonts w:ascii="Arial" w:eastAsia="等线" w:hAnsi="Arial" w:cs="Arial"/>
                <w:b/>
                <w:bCs/>
                <w:color w:val="000000" w:themeColor="text1"/>
                <w:kern w:val="0"/>
                <w:sz w:val="16"/>
                <w:szCs w:val="16"/>
              </w:rPr>
              <w:t>mPFC</w:t>
            </w:r>
            <w:proofErr w:type="spellEnd"/>
            <w:r w:rsidRPr="00505ABE">
              <w:rPr>
                <w:rFonts w:ascii="Arial" w:eastAsia="等线" w:hAnsi="Arial" w:cs="Arial"/>
                <w:b/>
                <w:bCs/>
                <w:color w:val="000000" w:themeColor="text1"/>
                <w:kern w:val="0"/>
                <w:sz w:val="16"/>
                <w:szCs w:val="16"/>
              </w:rPr>
              <w:t xml:space="preserve"> (with extension to ACC)</w:t>
            </w:r>
          </w:p>
        </w:tc>
        <w:tc>
          <w:tcPr>
            <w:tcW w:w="1139" w:type="dxa"/>
            <w:tcBorders>
              <w:top w:val="nil"/>
              <w:left w:val="nil"/>
              <w:bottom w:val="single" w:sz="8" w:space="0" w:color="auto"/>
              <w:right w:val="nil"/>
            </w:tcBorders>
            <w:shd w:val="clear" w:color="auto" w:fill="auto"/>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MCC</w:t>
            </w:r>
          </w:p>
        </w:tc>
        <w:tc>
          <w:tcPr>
            <w:tcW w:w="1140" w:type="dxa"/>
            <w:tcBorders>
              <w:top w:val="nil"/>
              <w:left w:val="nil"/>
              <w:bottom w:val="single" w:sz="8" w:space="0" w:color="auto"/>
              <w:right w:val="nil"/>
            </w:tcBorders>
            <w:shd w:val="clear" w:color="auto" w:fill="auto"/>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MFG</w:t>
            </w:r>
          </w:p>
        </w:tc>
        <w:tc>
          <w:tcPr>
            <w:tcW w:w="236" w:type="dxa"/>
            <w:tcBorders>
              <w:top w:val="nil"/>
              <w:left w:val="nil"/>
              <w:bottom w:val="single" w:sz="8" w:space="0" w:color="auto"/>
              <w:right w:val="nil"/>
            </w:tcBorders>
            <w:shd w:val="clear" w:color="auto" w:fill="auto"/>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p>
        </w:tc>
        <w:tc>
          <w:tcPr>
            <w:tcW w:w="1276" w:type="dxa"/>
            <w:tcBorders>
              <w:top w:val="nil"/>
              <w:left w:val="nil"/>
              <w:bottom w:val="single" w:sz="8" w:space="0" w:color="auto"/>
              <w:right w:val="nil"/>
            </w:tcBorders>
            <w:shd w:val="clear" w:color="auto" w:fill="auto"/>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cerebellum</w:t>
            </w:r>
          </w:p>
        </w:tc>
        <w:tc>
          <w:tcPr>
            <w:tcW w:w="1276" w:type="dxa"/>
            <w:tcBorders>
              <w:top w:val="nil"/>
              <w:left w:val="nil"/>
              <w:bottom w:val="single" w:sz="8" w:space="0" w:color="auto"/>
              <w:right w:val="nil"/>
            </w:tcBorders>
            <w:shd w:val="clear" w:color="auto" w:fill="auto"/>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Striatum</w:t>
            </w:r>
            <w:r w:rsidRPr="00505ABE">
              <w:rPr>
                <w:rFonts w:ascii="Arial" w:eastAsia="等线" w:hAnsi="Arial" w:cs="Arial" w:hint="eastAsia"/>
                <w:b/>
                <w:bCs/>
                <w:color w:val="000000" w:themeColor="text1"/>
                <w:kern w:val="0"/>
                <w:sz w:val="16"/>
                <w:szCs w:val="16"/>
                <w:lang w:val="en-US"/>
              </w:rPr>
              <w:t>,</w:t>
            </w:r>
            <w:r w:rsidRPr="00505ABE">
              <w:rPr>
                <w:rFonts w:ascii="Arial" w:eastAsia="等线" w:hAnsi="Arial" w:cs="Arial"/>
                <w:b/>
                <w:bCs/>
                <w:color w:val="000000" w:themeColor="text1"/>
                <w:kern w:val="0"/>
                <w:sz w:val="16"/>
                <w:szCs w:val="16"/>
                <w:lang w:val="en-US"/>
              </w:rPr>
              <w:t xml:space="preserve"> </w:t>
            </w:r>
            <w:r w:rsidRPr="00505ABE">
              <w:rPr>
                <w:rFonts w:ascii="Arial" w:eastAsia="等线" w:hAnsi="Arial" w:cs="Arial"/>
                <w:b/>
                <w:bCs/>
                <w:color w:val="000000" w:themeColor="text1"/>
                <w:kern w:val="0"/>
                <w:sz w:val="16"/>
                <w:szCs w:val="16"/>
              </w:rPr>
              <w:t>insula &amp; amygdala</w:t>
            </w:r>
          </w:p>
        </w:tc>
        <w:tc>
          <w:tcPr>
            <w:tcW w:w="1276" w:type="dxa"/>
            <w:tcBorders>
              <w:top w:val="nil"/>
              <w:left w:val="nil"/>
              <w:bottom w:val="single" w:sz="8" w:space="0" w:color="auto"/>
              <w:right w:val="nil"/>
            </w:tcBorders>
            <w:shd w:val="clear" w:color="auto" w:fill="auto"/>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striatum</w:t>
            </w:r>
          </w:p>
        </w:tc>
        <w:tc>
          <w:tcPr>
            <w:tcW w:w="1277" w:type="dxa"/>
            <w:tcBorders>
              <w:top w:val="nil"/>
              <w:left w:val="nil"/>
              <w:bottom w:val="single" w:sz="8" w:space="0" w:color="000000"/>
              <w:right w:val="nil"/>
            </w:tcBorders>
            <w:shd w:val="clear" w:color="auto" w:fill="auto"/>
            <w:vAlign w:val="center"/>
            <w:hideMark/>
          </w:tcPr>
          <w:p w:rsidR="000C4959" w:rsidRPr="00505ABE" w:rsidRDefault="000C4959" w:rsidP="007A1775">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IFG</w:t>
            </w:r>
          </w:p>
        </w:tc>
      </w:tr>
      <w:tr w:rsidR="000C4959" w:rsidRPr="00505ABE" w:rsidTr="007A1775">
        <w:trPr>
          <w:trHeight w:val="280"/>
        </w:trPr>
        <w:tc>
          <w:tcPr>
            <w:tcW w:w="5411"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Subgroup analyses</w:t>
            </w:r>
          </w:p>
        </w:tc>
        <w:tc>
          <w:tcPr>
            <w:tcW w:w="1139"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b/>
                <w:bCs/>
                <w:color w:val="000000" w:themeColor="text1"/>
                <w:kern w:val="0"/>
                <w:sz w:val="16"/>
                <w:szCs w:val="16"/>
                <w:lang w:val="en-US"/>
              </w:rPr>
            </w:pPr>
          </w:p>
        </w:tc>
        <w:tc>
          <w:tcPr>
            <w:tcW w:w="1139"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139"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140"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236"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6"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6"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6" w:type="dxa"/>
            <w:tcBorders>
              <w:top w:val="single" w:sz="8" w:space="0" w:color="auto"/>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r>
      <w:tr w:rsidR="000C4959" w:rsidRPr="00505ABE" w:rsidTr="007A1775">
        <w:trPr>
          <w:trHeight w:val="280"/>
        </w:trPr>
        <w:tc>
          <w:tcPr>
            <w:tcW w:w="5411" w:type="dxa"/>
            <w:tcBorders>
              <w:top w:val="nil"/>
              <w:left w:val="nil"/>
              <w:bottom w:val="nil"/>
              <w:right w:val="nil"/>
            </w:tcBorders>
            <w:shd w:val="clear" w:color="auto" w:fill="auto"/>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Studies including MDD patients with comorbid anxiety (n=6)</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eastAsia="Times New Roman" w:cs="Times New Roman"/>
                <w:color w:val="000000" w:themeColor="text1"/>
                <w:kern w:val="0"/>
                <w:sz w:val="20"/>
                <w:szCs w:val="20"/>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hint="eastAsia"/>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r>
      <w:tr w:rsidR="000C4959" w:rsidRPr="00505ABE" w:rsidTr="007A1775">
        <w:trPr>
          <w:trHeight w:val="400"/>
        </w:trPr>
        <w:tc>
          <w:tcPr>
            <w:tcW w:w="5411" w:type="dxa"/>
            <w:tcBorders>
              <w:top w:val="nil"/>
              <w:left w:val="nil"/>
              <w:bottom w:val="nil"/>
              <w:right w:val="nil"/>
            </w:tcBorders>
            <w:shd w:val="clear" w:color="auto" w:fill="auto"/>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Studies including MDD patients had at least 2 weeks washout periods before the scan (n=9)</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hint="eastAsia"/>
                <w:color w:val="000000" w:themeColor="text1"/>
                <w:kern w:val="0"/>
                <w:sz w:val="16"/>
                <w:szCs w:val="16"/>
                <w:lang w:val="en-US"/>
              </w:rPr>
              <w:t>N</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r>
      <w:tr w:rsidR="000C4959" w:rsidRPr="00505ABE" w:rsidTr="007A1775">
        <w:trPr>
          <w:trHeight w:val="280"/>
        </w:trPr>
        <w:tc>
          <w:tcPr>
            <w:tcW w:w="5411" w:type="dxa"/>
            <w:tcBorders>
              <w:top w:val="nil"/>
              <w:left w:val="nil"/>
              <w:bottom w:val="nil"/>
              <w:right w:val="nil"/>
            </w:tcBorders>
            <w:shd w:val="clear" w:color="auto" w:fill="auto"/>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Studies using 3.0 T MRI scanner (n=8)</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eastAsia="Times New Roman" w:cs="Times New Roman"/>
                <w:color w:val="000000" w:themeColor="text1"/>
                <w:kern w:val="0"/>
                <w:sz w:val="20"/>
                <w:szCs w:val="20"/>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rPr>
              <w:t>Sensitivity analyses</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b/>
                <w:bCs/>
                <w:color w:val="000000" w:themeColor="text1"/>
                <w:kern w:val="0"/>
                <w:sz w:val="16"/>
                <w:szCs w:val="16"/>
                <w:lang w:val="en-US"/>
              </w:rPr>
            </w:pP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eastAsia="Times New Roman" w:cs="Times New Roman"/>
                <w:color w:val="000000" w:themeColor="text1"/>
                <w:kern w:val="0"/>
                <w:sz w:val="20"/>
                <w:szCs w:val="20"/>
                <w:lang w:val="en-US"/>
              </w:rPr>
            </w:pP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Admon</w:t>
            </w:r>
            <w:proofErr w:type="spellEnd"/>
            <w:r w:rsidRPr="00505ABE">
              <w:rPr>
                <w:rFonts w:ascii="Arial" w:eastAsia="等线" w:hAnsi="Arial" w:cs="Arial"/>
                <w:color w:val="000000" w:themeColor="text1"/>
                <w:kern w:val="0"/>
                <w:sz w:val="16"/>
                <w:szCs w:val="16"/>
              </w:rPr>
              <w:t xml:space="preserve"> (2017)</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Arrondo</w:t>
            </w:r>
            <w:proofErr w:type="spellEnd"/>
            <w:r w:rsidRPr="00505ABE">
              <w:rPr>
                <w:rFonts w:ascii="Arial" w:eastAsia="等线" w:hAnsi="Arial" w:cs="Arial"/>
                <w:color w:val="000000" w:themeColor="text1"/>
                <w:kern w:val="0"/>
                <w:sz w:val="16"/>
                <w:szCs w:val="16"/>
              </w:rPr>
              <w:t xml:space="preserve"> (2015)</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Carl (2016)</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DelDonno</w:t>
            </w:r>
            <w:proofErr w:type="spellEnd"/>
            <w:r w:rsidRPr="00505ABE">
              <w:rPr>
                <w:rFonts w:ascii="Arial" w:eastAsia="等线" w:hAnsi="Arial" w:cs="Arial"/>
                <w:color w:val="000000" w:themeColor="text1"/>
                <w:kern w:val="0"/>
                <w:sz w:val="16"/>
                <w:szCs w:val="16"/>
              </w:rPr>
              <w:t xml:space="preserve"> (2019)</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Hagele</w:t>
            </w:r>
            <w:proofErr w:type="spellEnd"/>
            <w:r w:rsidRPr="00505ABE">
              <w:rPr>
                <w:rFonts w:ascii="Arial" w:eastAsia="等线" w:hAnsi="Arial" w:cs="Arial"/>
                <w:color w:val="000000" w:themeColor="text1"/>
                <w:kern w:val="0"/>
                <w:sz w:val="16"/>
                <w:szCs w:val="16"/>
              </w:rPr>
              <w:t xml:space="preserve"> (2015)</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Knutson (2008)</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hint="eastAsia"/>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hint="eastAsia"/>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hint="eastAsia"/>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hint="eastAsia"/>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hint="eastAsia"/>
                <w:color w:val="000000" w:themeColor="text1"/>
                <w:kern w:val="0"/>
                <w:sz w:val="16"/>
                <w:szCs w:val="16"/>
                <w:lang w:val="en-US"/>
              </w:rPr>
              <w:t>N</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Pizzagalli</w:t>
            </w:r>
            <w:proofErr w:type="spellEnd"/>
            <w:r w:rsidRPr="00505ABE">
              <w:rPr>
                <w:rFonts w:ascii="Arial" w:eastAsia="等线" w:hAnsi="Arial" w:cs="Arial"/>
                <w:color w:val="000000" w:themeColor="text1"/>
                <w:kern w:val="0"/>
                <w:sz w:val="16"/>
                <w:szCs w:val="16"/>
              </w:rPr>
              <w:t xml:space="preserve"> (2009) Dataset1</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Pizzagalli</w:t>
            </w:r>
            <w:proofErr w:type="spellEnd"/>
            <w:r w:rsidRPr="00505ABE">
              <w:rPr>
                <w:rFonts w:ascii="Arial" w:eastAsia="等线" w:hAnsi="Arial" w:cs="Arial"/>
                <w:color w:val="000000" w:themeColor="text1"/>
                <w:kern w:val="0"/>
                <w:sz w:val="16"/>
                <w:szCs w:val="16"/>
              </w:rPr>
              <w:t xml:space="preserve"> (2009) Dataset2</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Schwarz (2020)</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Stoy</w:t>
            </w:r>
            <w:proofErr w:type="spellEnd"/>
            <w:r w:rsidRPr="00505ABE">
              <w:rPr>
                <w:rFonts w:ascii="Arial" w:eastAsia="等线" w:hAnsi="Arial" w:cs="Arial"/>
                <w:color w:val="000000" w:themeColor="text1"/>
                <w:kern w:val="0"/>
                <w:sz w:val="16"/>
                <w:szCs w:val="16"/>
              </w:rPr>
              <w:t xml:space="preserve"> (2012)</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N</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r w:rsidR="000C4959" w:rsidRPr="00505ABE" w:rsidTr="007A1775">
        <w:trPr>
          <w:trHeight w:val="280"/>
        </w:trPr>
        <w:tc>
          <w:tcPr>
            <w:tcW w:w="5411" w:type="dxa"/>
            <w:tcBorders>
              <w:top w:val="nil"/>
              <w:left w:val="nil"/>
              <w:bottom w:val="nil"/>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rPr>
              <w:t>Ubl</w:t>
            </w:r>
            <w:proofErr w:type="spellEnd"/>
            <w:r w:rsidRPr="00505ABE">
              <w:rPr>
                <w:rFonts w:ascii="Arial" w:eastAsia="等线" w:hAnsi="Arial" w:cs="Arial"/>
                <w:color w:val="000000" w:themeColor="text1"/>
                <w:kern w:val="0"/>
                <w:sz w:val="16"/>
                <w:szCs w:val="16"/>
              </w:rPr>
              <w:t xml:space="preserve"> (2015)</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139"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140"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7" w:type="dxa"/>
            <w:tcBorders>
              <w:top w:val="nil"/>
              <w:left w:val="nil"/>
              <w:bottom w:val="nil"/>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7A1775">
        <w:trPr>
          <w:trHeight w:val="290"/>
        </w:trPr>
        <w:tc>
          <w:tcPr>
            <w:tcW w:w="5411"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lang w:val="en-US"/>
              </w:rPr>
              <w:t>Wakatsuki</w:t>
            </w:r>
            <w:proofErr w:type="spellEnd"/>
            <w:r w:rsidRPr="00505ABE">
              <w:rPr>
                <w:rFonts w:ascii="Arial" w:eastAsia="等线" w:hAnsi="Arial" w:cs="Arial"/>
                <w:color w:val="000000" w:themeColor="text1"/>
                <w:kern w:val="0"/>
                <w:sz w:val="16"/>
                <w:szCs w:val="16"/>
                <w:lang w:val="en-US"/>
              </w:rPr>
              <w:t xml:space="preserve"> (2022)</w:t>
            </w:r>
          </w:p>
        </w:tc>
        <w:tc>
          <w:tcPr>
            <w:tcW w:w="1139"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39"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140"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236"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left"/>
              <w:rPr>
                <w:rFonts w:eastAsia="等线" w:cs="Times New Roman"/>
                <w:color w:val="000000" w:themeColor="text1"/>
                <w:kern w:val="0"/>
                <w:szCs w:val="21"/>
                <w:lang w:val="en-US"/>
              </w:rPr>
            </w:pPr>
            <w:r w:rsidRPr="00505ABE">
              <w:rPr>
                <w:rFonts w:eastAsia="等线" w:cs="Times New Roman" w:hint="eastAsia"/>
                <w:color w:val="000000" w:themeColor="text1"/>
                <w:kern w:val="0"/>
                <w:szCs w:val="21"/>
                <w:lang w:val="en-US"/>
              </w:rPr>
              <w:t xml:space="preserve"> </w:t>
            </w:r>
          </w:p>
        </w:tc>
        <w:tc>
          <w:tcPr>
            <w:tcW w:w="1276"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6"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1276"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c>
          <w:tcPr>
            <w:tcW w:w="1277" w:type="dxa"/>
            <w:tcBorders>
              <w:top w:val="nil"/>
              <w:left w:val="nil"/>
              <w:bottom w:val="single" w:sz="12" w:space="0" w:color="auto"/>
              <w:right w:val="nil"/>
            </w:tcBorders>
            <w:shd w:val="clear" w:color="auto" w:fill="auto"/>
            <w:noWrap/>
            <w:vAlign w:val="center"/>
            <w:hideMark/>
          </w:tcPr>
          <w:p w:rsidR="000C4959" w:rsidRPr="00505ABE" w:rsidRDefault="000C4959" w:rsidP="007A1775">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rPr>
              <w:t>Y</w:t>
            </w:r>
          </w:p>
        </w:tc>
      </w:tr>
    </w:tbl>
    <w:p w:rsidR="000C4959" w:rsidRPr="00CE2021" w:rsidRDefault="000C4959" w:rsidP="008524C3">
      <w:pPr>
        <w:widowControl/>
        <w:jc w:val="left"/>
        <w:rPr>
          <w:rFonts w:ascii="Arial" w:hAnsi="Arial" w:cs="Arial"/>
          <w:b/>
          <w:sz w:val="16"/>
          <w:szCs w:val="16"/>
        </w:rPr>
      </w:pPr>
      <w:r w:rsidRPr="00DF5805">
        <w:rPr>
          <w:rFonts w:ascii="Arial" w:hAnsi="Arial" w:cs="Arial"/>
          <w:sz w:val="16"/>
          <w:szCs w:val="16"/>
        </w:rPr>
        <w:t xml:space="preserve">Abbreviations: </w:t>
      </w:r>
      <w:r>
        <w:rPr>
          <w:rFonts w:ascii="Arial" w:hAnsi="Arial" w:cs="Arial" w:hint="eastAsia"/>
          <w:sz w:val="16"/>
          <w:szCs w:val="16"/>
        </w:rPr>
        <w:t>MDD</w:t>
      </w:r>
      <w:r>
        <w:rPr>
          <w:rFonts w:ascii="Arial" w:hAnsi="Arial" w:cs="Arial"/>
          <w:sz w:val="16"/>
          <w:szCs w:val="16"/>
        </w:rPr>
        <w:t xml:space="preserve"> = </w:t>
      </w:r>
      <w:r>
        <w:rPr>
          <w:rFonts w:ascii="Arial" w:hAnsi="Arial" w:cs="Arial" w:hint="eastAsia"/>
          <w:sz w:val="16"/>
          <w:szCs w:val="16"/>
        </w:rPr>
        <w:t>major</w:t>
      </w:r>
      <w:r>
        <w:rPr>
          <w:rFonts w:ascii="Arial" w:hAnsi="Arial" w:cs="Arial"/>
          <w:sz w:val="16"/>
          <w:szCs w:val="16"/>
        </w:rPr>
        <w:t xml:space="preserve"> </w:t>
      </w:r>
      <w:r>
        <w:rPr>
          <w:rFonts w:ascii="Arial" w:hAnsi="Arial" w:cs="Arial" w:hint="eastAsia"/>
          <w:sz w:val="16"/>
          <w:szCs w:val="16"/>
        </w:rPr>
        <w:t>depressive</w:t>
      </w:r>
      <w:r>
        <w:rPr>
          <w:rFonts w:ascii="Arial" w:hAnsi="Arial" w:cs="Arial"/>
          <w:sz w:val="16"/>
          <w:szCs w:val="16"/>
        </w:rPr>
        <w:t xml:space="preserve"> </w:t>
      </w:r>
      <w:r>
        <w:rPr>
          <w:rFonts w:ascii="Arial" w:hAnsi="Arial" w:cs="Arial" w:hint="eastAsia"/>
          <w:sz w:val="16"/>
          <w:szCs w:val="16"/>
        </w:rPr>
        <w:t>disorder;</w:t>
      </w:r>
      <w:r>
        <w:rPr>
          <w:rFonts w:ascii="Arial" w:hAnsi="Arial" w:cs="Arial"/>
          <w:sz w:val="16"/>
          <w:szCs w:val="16"/>
        </w:rPr>
        <w:t xml:space="preserve"> </w:t>
      </w:r>
      <w:r w:rsidRPr="00DF5805">
        <w:rPr>
          <w:rFonts w:ascii="Arial" w:hAnsi="Arial" w:cs="Arial"/>
          <w:sz w:val="16"/>
          <w:szCs w:val="16"/>
        </w:rPr>
        <w:t>P = MDD patients; HC = healthy controls;</w:t>
      </w:r>
      <w:r w:rsidRPr="00DF5805">
        <w:rPr>
          <w:rFonts w:ascii="Arial" w:eastAsia="等线" w:hAnsi="Arial" w:cs="Arial"/>
          <w:color w:val="000000"/>
          <w:kern w:val="0"/>
          <w:sz w:val="16"/>
          <w:szCs w:val="16"/>
        </w:rPr>
        <w:t xml:space="preserve"> R = right; L = left;</w:t>
      </w:r>
      <w:r w:rsidRPr="00DF5805">
        <w:rPr>
          <w:rFonts w:ascii="Arial" w:hAnsi="Arial" w:cs="Arial"/>
          <w:sz w:val="16"/>
          <w:szCs w:val="16"/>
        </w:rPr>
        <w:t xml:space="preserve"> </w:t>
      </w:r>
      <w:r w:rsidRPr="00DF5805">
        <w:rPr>
          <w:rFonts w:ascii="Arial" w:eastAsia="等线" w:hAnsi="Arial" w:cs="Arial"/>
          <w:color w:val="333333"/>
          <w:kern w:val="0"/>
          <w:sz w:val="16"/>
          <w:szCs w:val="16"/>
        </w:rPr>
        <w:t xml:space="preserve">IFG = </w:t>
      </w:r>
      <w:r w:rsidRPr="00DF5805">
        <w:rPr>
          <w:rFonts w:ascii="Arial" w:eastAsia="等线" w:hAnsi="Arial" w:cs="Arial"/>
          <w:color w:val="000000"/>
          <w:kern w:val="0"/>
          <w:sz w:val="16"/>
          <w:szCs w:val="16"/>
        </w:rPr>
        <w:t>inferior frontal gyrus;</w:t>
      </w:r>
      <w:r>
        <w:rPr>
          <w:rFonts w:ascii="Arial" w:eastAsia="等线" w:hAnsi="Arial" w:cs="Arial"/>
          <w:color w:val="000000"/>
          <w:kern w:val="0"/>
          <w:sz w:val="16"/>
          <w:szCs w:val="16"/>
        </w:rPr>
        <w:t xml:space="preserve"> </w:t>
      </w:r>
      <w:proofErr w:type="spellStart"/>
      <w:r w:rsidRPr="00DF5805">
        <w:rPr>
          <w:rFonts w:ascii="Arial" w:hAnsi="Arial" w:cs="Arial"/>
          <w:sz w:val="16"/>
          <w:szCs w:val="16"/>
        </w:rPr>
        <w:t>PoCG</w:t>
      </w:r>
      <w:proofErr w:type="spellEnd"/>
      <w:r w:rsidRPr="00DF5805">
        <w:rPr>
          <w:rFonts w:ascii="Arial" w:hAnsi="Arial" w:cs="Arial"/>
          <w:sz w:val="16"/>
          <w:szCs w:val="16"/>
        </w:rPr>
        <w:t xml:space="preserve"> = postcentral gyrus;</w:t>
      </w:r>
      <w:r>
        <w:rPr>
          <w:rFonts w:ascii="Arial" w:hAnsi="Arial" w:cs="Arial"/>
          <w:sz w:val="16"/>
          <w:szCs w:val="16"/>
        </w:rPr>
        <w:t xml:space="preserve"> </w:t>
      </w:r>
      <w:proofErr w:type="spellStart"/>
      <w:r w:rsidRPr="00DF5805">
        <w:rPr>
          <w:rFonts w:ascii="Arial" w:hAnsi="Arial" w:cs="Arial"/>
          <w:sz w:val="16"/>
          <w:szCs w:val="16"/>
        </w:rPr>
        <w:t>m</w:t>
      </w:r>
      <w:r>
        <w:rPr>
          <w:rFonts w:ascii="Arial" w:hAnsi="Arial" w:cs="Arial"/>
          <w:sz w:val="16"/>
          <w:szCs w:val="16"/>
        </w:rPr>
        <w:t>P</w:t>
      </w:r>
      <w:r w:rsidRPr="00DF5805">
        <w:rPr>
          <w:rFonts w:ascii="Arial" w:hAnsi="Arial" w:cs="Arial"/>
          <w:sz w:val="16"/>
          <w:szCs w:val="16"/>
        </w:rPr>
        <w:t>FC</w:t>
      </w:r>
      <w:proofErr w:type="spellEnd"/>
      <w:r w:rsidRPr="00DF5805">
        <w:rPr>
          <w:rFonts w:ascii="Arial" w:hAnsi="Arial" w:cs="Arial"/>
          <w:sz w:val="16"/>
          <w:szCs w:val="16"/>
        </w:rPr>
        <w:t xml:space="preserve"> = medial </w:t>
      </w:r>
      <w:r>
        <w:rPr>
          <w:rFonts w:ascii="Arial" w:hAnsi="Arial" w:cs="Arial"/>
          <w:sz w:val="16"/>
          <w:szCs w:val="16"/>
        </w:rPr>
        <w:t>pre</w:t>
      </w:r>
      <w:r w:rsidRPr="00DF5805">
        <w:rPr>
          <w:rFonts w:ascii="Arial" w:hAnsi="Arial" w:cs="Arial"/>
          <w:sz w:val="16"/>
          <w:szCs w:val="16"/>
        </w:rPr>
        <w:t xml:space="preserve">frontal </w:t>
      </w:r>
      <w:r>
        <w:rPr>
          <w:rFonts w:ascii="Arial" w:hAnsi="Arial" w:cs="Arial"/>
          <w:sz w:val="16"/>
          <w:szCs w:val="16"/>
        </w:rPr>
        <w:t>cortex</w:t>
      </w:r>
      <w:r w:rsidRPr="00DF5805">
        <w:rPr>
          <w:rFonts w:ascii="Arial" w:hAnsi="Arial" w:cs="Arial"/>
          <w:sz w:val="16"/>
          <w:szCs w:val="16"/>
        </w:rPr>
        <w:t>;</w:t>
      </w:r>
      <w:r>
        <w:rPr>
          <w:rFonts w:ascii="Arial" w:hAnsi="Arial" w:cs="Arial"/>
          <w:sz w:val="16"/>
          <w:szCs w:val="16"/>
        </w:rPr>
        <w:t xml:space="preserve"> </w:t>
      </w:r>
      <w:r w:rsidRPr="00DF5805">
        <w:rPr>
          <w:rFonts w:ascii="Arial" w:eastAsia="等线" w:hAnsi="Arial" w:cs="Arial"/>
          <w:color w:val="000000"/>
          <w:kern w:val="0"/>
          <w:sz w:val="16"/>
          <w:szCs w:val="16"/>
        </w:rPr>
        <w:t>ACC = anterior cingulate cortex</w:t>
      </w:r>
      <w:r w:rsidRPr="00DF5805">
        <w:rPr>
          <w:rFonts w:ascii="Arial" w:hAnsi="Arial" w:cs="Arial"/>
          <w:sz w:val="16"/>
          <w:szCs w:val="16"/>
        </w:rPr>
        <w:t>; MCC = median cingulate cortex;</w:t>
      </w:r>
      <w:r>
        <w:rPr>
          <w:rFonts w:ascii="Arial" w:hAnsi="Arial" w:cs="Arial"/>
          <w:sz w:val="16"/>
          <w:szCs w:val="16"/>
        </w:rPr>
        <w:t xml:space="preserve"> MFG </w:t>
      </w:r>
      <w:r w:rsidRPr="00DF5805">
        <w:rPr>
          <w:rFonts w:ascii="Arial" w:hAnsi="Arial" w:cs="Arial"/>
          <w:sz w:val="16"/>
          <w:szCs w:val="16"/>
        </w:rPr>
        <w:t xml:space="preserve">= </w:t>
      </w:r>
      <w:r>
        <w:rPr>
          <w:rFonts w:ascii="Arial" w:hAnsi="Arial" w:cs="Arial"/>
          <w:sz w:val="16"/>
          <w:szCs w:val="16"/>
        </w:rPr>
        <w:t>middle frontal gyrus</w:t>
      </w:r>
      <w:r w:rsidRPr="00DF5805">
        <w:rPr>
          <w:rFonts w:ascii="Arial" w:hAnsi="Arial" w:cs="Arial"/>
          <w:sz w:val="16"/>
          <w:szCs w:val="16"/>
        </w:rPr>
        <w:t>;</w:t>
      </w:r>
      <w:r w:rsidRPr="00DF5805">
        <w:rPr>
          <w:rFonts w:ascii="Arial" w:eastAsia="等线" w:hAnsi="Arial" w:cs="Arial"/>
          <w:color w:val="333333"/>
          <w:kern w:val="0"/>
          <w:sz w:val="16"/>
          <w:szCs w:val="16"/>
        </w:rPr>
        <w:t xml:space="preserve"> Y= yes; N = no.</w:t>
      </w:r>
      <w:r w:rsidRPr="00CE2021">
        <w:rPr>
          <w:rFonts w:ascii="Arial" w:hAnsi="Arial" w:cs="Arial"/>
          <w:sz w:val="16"/>
          <w:szCs w:val="16"/>
        </w:rPr>
        <w:br w:type="page"/>
      </w:r>
    </w:p>
    <w:p w:rsidR="000C4959" w:rsidRPr="00DF5805" w:rsidRDefault="000C4959" w:rsidP="001C5074">
      <w:pPr>
        <w:widowControl/>
        <w:spacing w:line="360" w:lineRule="auto"/>
        <w:jc w:val="left"/>
        <w:rPr>
          <w:rFonts w:ascii="Arial" w:hAnsi="Arial" w:cs="Arial"/>
          <w:sz w:val="16"/>
          <w:szCs w:val="16"/>
        </w:rPr>
      </w:pPr>
      <w:r w:rsidRPr="00DF5805">
        <w:rPr>
          <w:rFonts w:ascii="Arial" w:hAnsi="Arial" w:cs="Arial"/>
          <w:b/>
          <w:sz w:val="16"/>
          <w:szCs w:val="16"/>
        </w:rPr>
        <w:lastRenderedPageBreak/>
        <w:t xml:space="preserve">Table S2. </w:t>
      </w:r>
      <w:r w:rsidRPr="00DF5805">
        <w:rPr>
          <w:rFonts w:ascii="Arial" w:hAnsi="Arial" w:cs="Arial"/>
          <w:sz w:val="16"/>
          <w:szCs w:val="16"/>
        </w:rPr>
        <w:t>Subgroup and jack</w:t>
      </w:r>
      <w:r>
        <w:rPr>
          <w:rFonts w:ascii="Arial" w:hAnsi="Arial" w:cs="Arial"/>
          <w:sz w:val="16"/>
          <w:szCs w:val="16"/>
        </w:rPr>
        <w:t>-</w:t>
      </w:r>
      <w:r w:rsidRPr="00DF5805">
        <w:rPr>
          <w:rFonts w:ascii="Arial" w:hAnsi="Arial" w:cs="Arial"/>
          <w:sz w:val="16"/>
          <w:szCs w:val="16"/>
        </w:rPr>
        <w:t xml:space="preserve">knife sensitivity analyses </w:t>
      </w:r>
      <w:r>
        <w:rPr>
          <w:rFonts w:ascii="Arial" w:hAnsi="Arial" w:cs="Arial"/>
          <w:sz w:val="16"/>
          <w:szCs w:val="16"/>
        </w:rPr>
        <w:t>of</w:t>
      </w:r>
      <w:r w:rsidRPr="00DF5805">
        <w:rPr>
          <w:rFonts w:ascii="Arial" w:hAnsi="Arial" w:cs="Arial"/>
          <w:sz w:val="16"/>
          <w:szCs w:val="16"/>
        </w:rPr>
        <w:t xml:space="preserve"> brain activation differences between MDD patients and HC during the outcome phase</w:t>
      </w:r>
    </w:p>
    <w:tbl>
      <w:tblPr>
        <w:tblW w:w="0" w:type="auto"/>
        <w:tblLook w:val="04A0" w:firstRow="1" w:lastRow="0" w:firstColumn="1" w:lastColumn="0" w:noHBand="0" w:noVBand="1"/>
      </w:tblPr>
      <w:tblGrid>
        <w:gridCol w:w="6151"/>
        <w:gridCol w:w="737"/>
        <w:gridCol w:w="232"/>
        <w:gridCol w:w="883"/>
        <w:gridCol w:w="883"/>
        <w:gridCol w:w="883"/>
        <w:gridCol w:w="883"/>
        <w:gridCol w:w="990"/>
        <w:gridCol w:w="892"/>
        <w:gridCol w:w="1061"/>
        <w:gridCol w:w="919"/>
        <w:gridCol w:w="884"/>
      </w:tblGrid>
      <w:tr w:rsidR="000C4959" w:rsidRPr="00505ABE" w:rsidTr="00C96EC0">
        <w:trPr>
          <w:trHeight w:val="300"/>
        </w:trPr>
        <w:tc>
          <w:tcPr>
            <w:tcW w:w="0" w:type="auto"/>
            <w:tcBorders>
              <w:top w:val="single" w:sz="12" w:space="0" w:color="auto"/>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Studies</w:t>
            </w:r>
          </w:p>
        </w:tc>
        <w:tc>
          <w:tcPr>
            <w:tcW w:w="0" w:type="auto"/>
            <w:tcBorders>
              <w:top w:val="single" w:sz="12" w:space="0" w:color="auto"/>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P &gt; HC</w:t>
            </w:r>
          </w:p>
        </w:tc>
        <w:tc>
          <w:tcPr>
            <w:tcW w:w="232" w:type="dxa"/>
            <w:tcBorders>
              <w:top w:val="single" w:sz="12" w:space="0" w:color="auto"/>
              <w:left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p>
        </w:tc>
        <w:tc>
          <w:tcPr>
            <w:tcW w:w="7949" w:type="dxa"/>
            <w:gridSpan w:val="9"/>
            <w:tcBorders>
              <w:top w:val="single" w:sz="12" w:space="0" w:color="auto"/>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P &lt; HC</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(Datasets)</w:t>
            </w:r>
          </w:p>
        </w:tc>
        <w:tc>
          <w:tcPr>
            <w:tcW w:w="0" w:type="auto"/>
            <w:tcBorders>
              <w:top w:val="single" w:sz="8" w:space="0" w:color="auto"/>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L</w:t>
            </w:r>
          </w:p>
        </w:tc>
        <w:tc>
          <w:tcPr>
            <w:tcW w:w="232" w:type="dxa"/>
            <w:tcBorders>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R &amp; L</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 xml:space="preserve">R </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L</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R</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L</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R</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L</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L</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R</w:t>
            </w:r>
          </w:p>
        </w:tc>
      </w:tr>
      <w:tr w:rsidR="000C4959" w:rsidRPr="00505ABE" w:rsidTr="00C96EC0">
        <w:trPr>
          <w:trHeight w:val="490"/>
        </w:trPr>
        <w:tc>
          <w:tcPr>
            <w:tcW w:w="0" w:type="auto"/>
            <w:tcBorders>
              <w:top w:val="nil"/>
              <w:left w:val="nil"/>
              <w:bottom w:val="single" w:sz="8" w:space="0" w:color="000000"/>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22"/>
                <w:lang w:val="en-US"/>
              </w:rPr>
            </w:pPr>
          </w:p>
        </w:tc>
        <w:tc>
          <w:tcPr>
            <w:tcW w:w="0" w:type="auto"/>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ITG</w:t>
            </w:r>
          </w:p>
        </w:tc>
        <w:tc>
          <w:tcPr>
            <w:tcW w:w="232" w:type="dxa"/>
            <w:tcBorders>
              <w:top w:val="nil"/>
              <w:left w:val="nil"/>
              <w:bottom w:val="nil"/>
              <w:right w:val="nil"/>
            </w:tcBorders>
            <w:shd w:val="clear" w:color="auto" w:fill="auto"/>
            <w:noWrap/>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p>
        </w:tc>
        <w:tc>
          <w:tcPr>
            <w:tcW w:w="883"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ACC &amp; MCC</w:t>
            </w:r>
          </w:p>
        </w:tc>
        <w:tc>
          <w:tcPr>
            <w:tcW w:w="883"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striatum</w:t>
            </w:r>
          </w:p>
        </w:tc>
        <w:tc>
          <w:tcPr>
            <w:tcW w:w="883"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caudate</w:t>
            </w:r>
          </w:p>
        </w:tc>
        <w:tc>
          <w:tcPr>
            <w:tcW w:w="883"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IFG</w:t>
            </w:r>
          </w:p>
        </w:tc>
        <w:tc>
          <w:tcPr>
            <w:tcW w:w="884"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precentral gyrus</w:t>
            </w:r>
          </w:p>
        </w:tc>
        <w:tc>
          <w:tcPr>
            <w:tcW w:w="883"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 xml:space="preserve">insula </w:t>
            </w:r>
            <w:r w:rsidRPr="00505ABE">
              <w:rPr>
                <w:rFonts w:ascii="Arial" w:eastAsia="微软雅黑" w:hAnsi="Arial" w:cs="Arial" w:hint="eastAsia"/>
                <w:b/>
                <w:bCs/>
                <w:color w:val="000000" w:themeColor="text1"/>
                <w:kern w:val="0"/>
                <w:sz w:val="16"/>
                <w:szCs w:val="16"/>
                <w:lang w:val="en-US"/>
              </w:rPr>
              <w:t>&amp;</w:t>
            </w:r>
          </w:p>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微软雅黑" w:hAnsi="Arial" w:cs="Arial"/>
                <w:b/>
                <w:bCs/>
                <w:color w:val="000000" w:themeColor="text1"/>
                <w:kern w:val="0"/>
                <w:sz w:val="16"/>
                <w:szCs w:val="16"/>
                <w:lang w:val="en-US"/>
              </w:rPr>
              <w:t>temporal pole</w:t>
            </w:r>
          </w:p>
        </w:tc>
        <w:tc>
          <w:tcPr>
            <w:tcW w:w="883"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cerebellum</w:t>
            </w:r>
          </w:p>
        </w:tc>
        <w:tc>
          <w:tcPr>
            <w:tcW w:w="883"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thalamus</w:t>
            </w:r>
          </w:p>
        </w:tc>
        <w:tc>
          <w:tcPr>
            <w:tcW w:w="884" w:type="dxa"/>
            <w:tcBorders>
              <w:top w:val="nil"/>
              <w:left w:val="nil"/>
              <w:bottom w:val="single" w:sz="8" w:space="0" w:color="auto"/>
              <w:right w:val="nil"/>
            </w:tcBorders>
            <w:shd w:val="clear" w:color="auto" w:fill="auto"/>
            <w:vAlign w:val="center"/>
            <w:hideMark/>
          </w:tcPr>
          <w:p w:rsidR="000C4959" w:rsidRPr="00505ABE" w:rsidRDefault="000C4959" w:rsidP="00DE1EDD">
            <w:pPr>
              <w:widowControl/>
              <w:jc w:val="center"/>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MFG</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Subgroup analyses</w:t>
            </w:r>
          </w:p>
        </w:tc>
        <w:tc>
          <w:tcPr>
            <w:tcW w:w="0" w:type="auto"/>
            <w:tcBorders>
              <w:top w:val="nil"/>
              <w:left w:val="nil"/>
              <w:bottom w:val="nil"/>
              <w:right w:val="nil"/>
            </w:tcBorders>
            <w:shd w:val="clear" w:color="auto" w:fill="auto"/>
            <w:noWrap/>
            <w:hideMark/>
          </w:tcPr>
          <w:p w:rsidR="000C4959" w:rsidRPr="00505ABE" w:rsidRDefault="000C4959" w:rsidP="00DE1EDD">
            <w:pPr>
              <w:widowControl/>
              <w:jc w:val="left"/>
              <w:rPr>
                <w:rFonts w:ascii="Arial" w:eastAsia="等线" w:hAnsi="Arial" w:cs="Arial"/>
                <w:b/>
                <w:bCs/>
                <w:color w:val="000000" w:themeColor="text1"/>
                <w:kern w:val="0"/>
                <w:sz w:val="16"/>
                <w:szCs w:val="16"/>
                <w:lang w:val="en-US"/>
              </w:rPr>
            </w:pPr>
          </w:p>
        </w:tc>
        <w:tc>
          <w:tcPr>
            <w:tcW w:w="232"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4"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4" w:type="dxa"/>
            <w:tcBorders>
              <w:top w:val="nil"/>
              <w:left w:val="nil"/>
              <w:bottom w:val="nil"/>
              <w:right w:val="nil"/>
            </w:tcBorders>
            <w:shd w:val="clear" w:color="auto" w:fill="auto"/>
            <w:noWrap/>
            <w:vAlign w:val="bottom"/>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r>
      <w:tr w:rsidR="000C4959" w:rsidRPr="00505ABE" w:rsidTr="00C96EC0">
        <w:trPr>
          <w:trHeight w:val="400"/>
        </w:trPr>
        <w:tc>
          <w:tcPr>
            <w:tcW w:w="0" w:type="auto"/>
            <w:tcBorders>
              <w:top w:val="nil"/>
              <w:left w:val="nil"/>
              <w:bottom w:val="nil"/>
              <w:right w:val="nil"/>
            </w:tcBorders>
            <w:shd w:val="clear" w:color="auto" w:fill="auto"/>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Studies including MDD patients with comorbid anxiety (n=6)</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232" w:type="dxa"/>
            <w:tcBorders>
              <w:top w:val="nil"/>
              <w:left w:val="nil"/>
              <w:bottom w:val="nil"/>
              <w:right w:val="nil"/>
            </w:tcBorders>
            <w:shd w:val="clear" w:color="auto" w:fill="auto"/>
            <w:noWrap/>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r>
      <w:tr w:rsidR="000C4959" w:rsidRPr="00505ABE" w:rsidTr="00C96EC0">
        <w:trPr>
          <w:trHeight w:val="400"/>
        </w:trPr>
        <w:tc>
          <w:tcPr>
            <w:tcW w:w="0" w:type="auto"/>
            <w:tcBorders>
              <w:top w:val="nil"/>
              <w:left w:val="nil"/>
              <w:bottom w:val="nil"/>
              <w:right w:val="nil"/>
            </w:tcBorders>
            <w:shd w:val="clear" w:color="auto" w:fill="auto"/>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Studies including MDD patients had at least 2 weeks washout periods before the scan (n=8)</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Studies using 3.0 T MRI scanner (n=6)</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b/>
                <w:bCs/>
                <w:color w:val="000000" w:themeColor="text1"/>
                <w:kern w:val="0"/>
                <w:sz w:val="16"/>
                <w:szCs w:val="16"/>
                <w:lang w:val="en-US"/>
              </w:rPr>
            </w:pPr>
            <w:r w:rsidRPr="00505ABE">
              <w:rPr>
                <w:rFonts w:ascii="Arial" w:eastAsia="等线" w:hAnsi="Arial" w:cs="Arial"/>
                <w:b/>
                <w:bCs/>
                <w:color w:val="000000" w:themeColor="text1"/>
                <w:kern w:val="0"/>
                <w:sz w:val="16"/>
                <w:szCs w:val="16"/>
                <w:lang w:val="en-US"/>
              </w:rPr>
              <w:t>Sensitivity analyses</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b/>
                <w:bCs/>
                <w:color w:val="000000" w:themeColor="text1"/>
                <w:kern w:val="0"/>
                <w:sz w:val="16"/>
                <w:szCs w:val="16"/>
                <w:lang w:val="en-US"/>
              </w:rPr>
            </w:pP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c>
          <w:tcPr>
            <w:tcW w:w="884" w:type="dxa"/>
            <w:tcBorders>
              <w:top w:val="nil"/>
              <w:left w:val="nil"/>
              <w:bottom w:val="nil"/>
              <w:right w:val="nil"/>
            </w:tcBorders>
            <w:shd w:val="clear" w:color="auto" w:fill="auto"/>
            <w:noWrap/>
            <w:vAlign w:val="bottom"/>
            <w:hideMark/>
          </w:tcPr>
          <w:p w:rsidR="000C4959" w:rsidRPr="00505ABE" w:rsidRDefault="000C4959" w:rsidP="00DE1EDD">
            <w:pPr>
              <w:widowControl/>
              <w:jc w:val="left"/>
              <w:rPr>
                <w:rFonts w:eastAsia="Times New Roman" w:cs="Times New Roman"/>
                <w:color w:val="000000" w:themeColor="text1"/>
                <w:kern w:val="0"/>
                <w:sz w:val="20"/>
                <w:szCs w:val="20"/>
                <w:lang w:val="en-US"/>
              </w:rPr>
            </w:pP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lang w:val="en-US"/>
              </w:rPr>
              <w:t>Admon</w:t>
            </w:r>
            <w:proofErr w:type="spellEnd"/>
            <w:r w:rsidRPr="00505ABE">
              <w:rPr>
                <w:rFonts w:ascii="Arial" w:eastAsia="等线" w:hAnsi="Arial" w:cs="Arial"/>
                <w:color w:val="000000" w:themeColor="text1"/>
                <w:kern w:val="0"/>
                <w:sz w:val="16"/>
                <w:szCs w:val="16"/>
                <w:lang w:val="en-US"/>
              </w:rPr>
              <w:t xml:space="preserve"> (2017)</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Carl (2016)</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Knutson (2008) Dataset1</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Knutson (2008) Dataset2</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lang w:val="en-US"/>
              </w:rPr>
              <w:t>Pizzagalli</w:t>
            </w:r>
            <w:proofErr w:type="spellEnd"/>
            <w:r w:rsidRPr="00505ABE">
              <w:rPr>
                <w:rFonts w:ascii="Arial" w:eastAsia="等线" w:hAnsi="Arial" w:cs="Arial"/>
                <w:color w:val="000000" w:themeColor="text1"/>
                <w:kern w:val="0"/>
                <w:sz w:val="16"/>
                <w:szCs w:val="16"/>
                <w:lang w:val="en-US"/>
              </w:rPr>
              <w:t xml:space="preserve"> (2009) Dataset1</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lang w:val="en-US"/>
              </w:rPr>
              <w:t>Pizzagalli</w:t>
            </w:r>
            <w:proofErr w:type="spellEnd"/>
            <w:r w:rsidRPr="00505ABE">
              <w:rPr>
                <w:rFonts w:ascii="Arial" w:eastAsia="等线" w:hAnsi="Arial" w:cs="Arial"/>
                <w:color w:val="000000" w:themeColor="text1"/>
                <w:kern w:val="0"/>
                <w:sz w:val="16"/>
                <w:szCs w:val="16"/>
                <w:lang w:val="en-US"/>
              </w:rPr>
              <w:t xml:space="preserve"> (2009) Dataset2</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lang w:val="en-US"/>
              </w:rPr>
              <w:t>Reinen</w:t>
            </w:r>
            <w:proofErr w:type="spellEnd"/>
            <w:r w:rsidRPr="00505ABE">
              <w:rPr>
                <w:rFonts w:ascii="Arial" w:eastAsia="等线" w:hAnsi="Arial" w:cs="Arial"/>
                <w:color w:val="000000" w:themeColor="text1"/>
                <w:kern w:val="0"/>
                <w:sz w:val="16"/>
                <w:szCs w:val="16"/>
                <w:lang w:val="en-US"/>
              </w:rPr>
              <w:t xml:space="preserve"> (2021)</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N</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Schwarz (2020)</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80"/>
        </w:trPr>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lang w:val="en-US"/>
              </w:rPr>
              <w:t>Ubl</w:t>
            </w:r>
            <w:proofErr w:type="spellEnd"/>
            <w:r w:rsidRPr="00505ABE">
              <w:rPr>
                <w:rFonts w:ascii="Arial" w:eastAsia="等线" w:hAnsi="Arial" w:cs="Arial"/>
                <w:color w:val="000000" w:themeColor="text1"/>
                <w:kern w:val="0"/>
                <w:sz w:val="16"/>
                <w:szCs w:val="16"/>
                <w:lang w:val="en-US"/>
              </w:rPr>
              <w:t xml:space="preserve"> (2015)</w:t>
            </w:r>
          </w:p>
        </w:tc>
        <w:tc>
          <w:tcPr>
            <w:tcW w:w="0" w:type="auto"/>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nil"/>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r w:rsidR="000C4959" w:rsidRPr="00505ABE" w:rsidTr="00C96EC0">
        <w:trPr>
          <w:trHeight w:val="290"/>
        </w:trPr>
        <w:tc>
          <w:tcPr>
            <w:tcW w:w="0" w:type="auto"/>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left"/>
              <w:rPr>
                <w:rFonts w:ascii="Arial" w:eastAsia="等线" w:hAnsi="Arial" w:cs="Arial"/>
                <w:color w:val="000000" w:themeColor="text1"/>
                <w:kern w:val="0"/>
                <w:sz w:val="16"/>
                <w:szCs w:val="16"/>
                <w:lang w:val="en-US"/>
              </w:rPr>
            </w:pPr>
            <w:proofErr w:type="spellStart"/>
            <w:r w:rsidRPr="00505ABE">
              <w:rPr>
                <w:rFonts w:ascii="Arial" w:eastAsia="等线" w:hAnsi="Arial" w:cs="Arial"/>
                <w:color w:val="000000" w:themeColor="text1"/>
                <w:kern w:val="0"/>
                <w:sz w:val="16"/>
                <w:szCs w:val="16"/>
                <w:lang w:val="en-US"/>
              </w:rPr>
              <w:t>Wakatsuki</w:t>
            </w:r>
            <w:proofErr w:type="spellEnd"/>
            <w:r w:rsidRPr="00505ABE">
              <w:rPr>
                <w:rFonts w:ascii="Arial" w:eastAsia="等线" w:hAnsi="Arial" w:cs="Arial"/>
                <w:color w:val="000000" w:themeColor="text1"/>
                <w:kern w:val="0"/>
                <w:sz w:val="16"/>
                <w:szCs w:val="16"/>
                <w:lang w:val="en-US"/>
              </w:rPr>
              <w:t xml:space="preserve"> (2022)</w:t>
            </w:r>
          </w:p>
        </w:tc>
        <w:tc>
          <w:tcPr>
            <w:tcW w:w="0" w:type="auto"/>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232" w:type="dxa"/>
            <w:tcBorders>
              <w:top w:val="nil"/>
              <w:left w:val="nil"/>
              <w:bottom w:val="single" w:sz="8" w:space="0" w:color="auto"/>
              <w:right w:val="nil"/>
            </w:tcBorders>
            <w:shd w:val="clear" w:color="auto" w:fill="auto"/>
            <w:noWrap/>
            <w:vAlign w:val="bottom"/>
            <w:hideMark/>
          </w:tcPr>
          <w:p w:rsidR="000C4959" w:rsidRPr="00505ABE" w:rsidRDefault="000C4959" w:rsidP="00DE1EDD">
            <w:pPr>
              <w:widowControl/>
              <w:jc w:val="left"/>
              <w:rPr>
                <w:rFonts w:ascii="等线" w:eastAsia="等线" w:hAnsi="等线" w:cs="宋体"/>
                <w:color w:val="000000" w:themeColor="text1"/>
                <w:kern w:val="0"/>
                <w:sz w:val="22"/>
                <w:lang w:val="en-US"/>
              </w:rPr>
            </w:pPr>
            <w:r w:rsidRPr="00505ABE">
              <w:rPr>
                <w:rFonts w:ascii="等线" w:eastAsia="等线" w:hAnsi="等线" w:cs="宋体" w:hint="eastAsia"/>
                <w:color w:val="000000" w:themeColor="text1"/>
                <w:kern w:val="0"/>
                <w:sz w:val="22"/>
                <w:lang w:val="en-US"/>
              </w:rPr>
              <w:t xml:space="preserve"> </w:t>
            </w:r>
          </w:p>
        </w:tc>
        <w:tc>
          <w:tcPr>
            <w:tcW w:w="883"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3"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c>
          <w:tcPr>
            <w:tcW w:w="884" w:type="dxa"/>
            <w:tcBorders>
              <w:top w:val="nil"/>
              <w:left w:val="nil"/>
              <w:bottom w:val="single" w:sz="8" w:space="0" w:color="auto"/>
              <w:right w:val="nil"/>
            </w:tcBorders>
            <w:shd w:val="clear" w:color="auto" w:fill="auto"/>
            <w:noWrap/>
            <w:vAlign w:val="center"/>
            <w:hideMark/>
          </w:tcPr>
          <w:p w:rsidR="000C4959" w:rsidRPr="00505ABE" w:rsidRDefault="000C4959" w:rsidP="00DE1EDD">
            <w:pPr>
              <w:widowControl/>
              <w:jc w:val="center"/>
              <w:rPr>
                <w:rFonts w:ascii="Arial" w:eastAsia="等线" w:hAnsi="Arial" w:cs="Arial"/>
                <w:color w:val="000000" w:themeColor="text1"/>
                <w:kern w:val="0"/>
                <w:sz w:val="16"/>
                <w:szCs w:val="16"/>
                <w:lang w:val="en-US"/>
              </w:rPr>
            </w:pPr>
            <w:r w:rsidRPr="00505ABE">
              <w:rPr>
                <w:rFonts w:ascii="Arial" w:eastAsia="等线" w:hAnsi="Arial" w:cs="Arial"/>
                <w:color w:val="000000" w:themeColor="text1"/>
                <w:kern w:val="0"/>
                <w:sz w:val="16"/>
                <w:szCs w:val="16"/>
                <w:lang w:val="en-US"/>
              </w:rPr>
              <w:t>Y</w:t>
            </w:r>
          </w:p>
        </w:tc>
      </w:tr>
    </w:tbl>
    <w:p w:rsidR="000C4959" w:rsidRDefault="000C4959" w:rsidP="00C96EC0">
      <w:r w:rsidRPr="00DF5805">
        <w:rPr>
          <w:rFonts w:ascii="Arial" w:hAnsi="Arial" w:cs="Arial"/>
          <w:sz w:val="16"/>
          <w:szCs w:val="16"/>
        </w:rPr>
        <w:t xml:space="preserve">Abbreviations: </w:t>
      </w:r>
      <w:r>
        <w:rPr>
          <w:rFonts w:ascii="Arial" w:hAnsi="Arial" w:cs="Arial" w:hint="eastAsia"/>
          <w:sz w:val="16"/>
          <w:szCs w:val="16"/>
        </w:rPr>
        <w:t>MDD</w:t>
      </w:r>
      <w:r>
        <w:rPr>
          <w:rFonts w:ascii="Arial" w:hAnsi="Arial" w:cs="Arial"/>
          <w:sz w:val="16"/>
          <w:szCs w:val="16"/>
        </w:rPr>
        <w:t xml:space="preserve"> = </w:t>
      </w:r>
      <w:r>
        <w:rPr>
          <w:rFonts w:ascii="Arial" w:hAnsi="Arial" w:cs="Arial" w:hint="eastAsia"/>
          <w:sz w:val="16"/>
          <w:szCs w:val="16"/>
        </w:rPr>
        <w:t>major</w:t>
      </w:r>
      <w:r>
        <w:rPr>
          <w:rFonts w:ascii="Arial" w:hAnsi="Arial" w:cs="Arial"/>
          <w:sz w:val="16"/>
          <w:szCs w:val="16"/>
        </w:rPr>
        <w:t xml:space="preserve"> </w:t>
      </w:r>
      <w:r>
        <w:rPr>
          <w:rFonts w:ascii="Arial" w:hAnsi="Arial" w:cs="Arial" w:hint="eastAsia"/>
          <w:sz w:val="16"/>
          <w:szCs w:val="16"/>
        </w:rPr>
        <w:t>depressive</w:t>
      </w:r>
      <w:r>
        <w:rPr>
          <w:rFonts w:ascii="Arial" w:hAnsi="Arial" w:cs="Arial"/>
          <w:sz w:val="16"/>
          <w:szCs w:val="16"/>
        </w:rPr>
        <w:t xml:space="preserve"> </w:t>
      </w:r>
      <w:r>
        <w:rPr>
          <w:rFonts w:ascii="Arial" w:hAnsi="Arial" w:cs="Arial" w:hint="eastAsia"/>
          <w:sz w:val="16"/>
          <w:szCs w:val="16"/>
        </w:rPr>
        <w:t>disorder;</w:t>
      </w:r>
      <w:r>
        <w:rPr>
          <w:rFonts w:ascii="Arial" w:hAnsi="Arial" w:cs="Arial"/>
          <w:sz w:val="16"/>
          <w:szCs w:val="16"/>
        </w:rPr>
        <w:t xml:space="preserve"> </w:t>
      </w:r>
      <w:r w:rsidRPr="00DF5805">
        <w:rPr>
          <w:rFonts w:ascii="Arial" w:hAnsi="Arial" w:cs="Arial"/>
          <w:sz w:val="16"/>
          <w:szCs w:val="16"/>
        </w:rPr>
        <w:t xml:space="preserve">P = MDD patients; HC = healthy controls; R = right; L =left; ITG = </w:t>
      </w:r>
      <w:r w:rsidRPr="00DF5805">
        <w:rPr>
          <w:rFonts w:ascii="Arial" w:eastAsia="等线" w:hAnsi="Arial" w:cs="Arial"/>
          <w:color w:val="333333"/>
          <w:kern w:val="0"/>
          <w:sz w:val="16"/>
          <w:szCs w:val="16"/>
        </w:rPr>
        <w:t xml:space="preserve">inferior temporal gyrus; </w:t>
      </w:r>
      <w:r w:rsidRPr="00DF5805">
        <w:rPr>
          <w:rFonts w:ascii="Arial" w:eastAsia="等线" w:hAnsi="Arial" w:cs="Arial"/>
          <w:color w:val="000000"/>
          <w:kern w:val="0"/>
          <w:sz w:val="16"/>
          <w:szCs w:val="16"/>
        </w:rPr>
        <w:t>ACC = anterior cingulate cortex</w:t>
      </w:r>
      <w:r w:rsidRPr="00DF5805">
        <w:rPr>
          <w:rFonts w:ascii="Arial" w:hAnsi="Arial" w:cs="Arial"/>
          <w:sz w:val="16"/>
          <w:szCs w:val="16"/>
        </w:rPr>
        <w:t xml:space="preserve">; MCC = median cingulate cortex; IFG = </w:t>
      </w:r>
      <w:r w:rsidRPr="00DF5805">
        <w:rPr>
          <w:rFonts w:ascii="Arial" w:eastAsia="等线" w:hAnsi="Arial" w:cs="Arial"/>
          <w:color w:val="333333"/>
          <w:kern w:val="0"/>
          <w:sz w:val="16"/>
          <w:szCs w:val="16"/>
        </w:rPr>
        <w:t>inferior frontal gyrus</w:t>
      </w:r>
      <w:r w:rsidRPr="00DF5805">
        <w:rPr>
          <w:rFonts w:ascii="Arial" w:hAnsi="Arial" w:cs="Arial"/>
          <w:sz w:val="16"/>
          <w:szCs w:val="16"/>
        </w:rPr>
        <w:t xml:space="preserve">; MFG = </w:t>
      </w:r>
      <w:r w:rsidRPr="00DF5805">
        <w:rPr>
          <w:rFonts w:ascii="Arial" w:eastAsia="等线" w:hAnsi="Arial" w:cs="Arial"/>
          <w:color w:val="333333"/>
          <w:kern w:val="0"/>
          <w:sz w:val="16"/>
          <w:szCs w:val="16"/>
        </w:rPr>
        <w:t>middle frontal gyrus; Y = yes; N = no.</w:t>
      </w:r>
    </w:p>
    <w:p w:rsidR="00047DD2" w:rsidRDefault="00047DD2"/>
    <w:sectPr w:rsidR="00047DD2" w:rsidSect="00C96EC0">
      <w:pgSz w:w="16838" w:h="11906" w:orient="landscape"/>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C65" w:rsidRDefault="00CC3C65" w:rsidP="00E71094">
      <w:r>
        <w:separator/>
      </w:r>
    </w:p>
  </w:endnote>
  <w:endnote w:type="continuationSeparator" w:id="0">
    <w:p w:rsidR="00CC3C65" w:rsidRDefault="00CC3C65" w:rsidP="00E7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ulliverIT">
    <w:altName w:val="Cambria"/>
    <w:panose1 w:val="00000000000000000000"/>
    <w:charset w:val="00"/>
    <w:family w:val="roman"/>
    <w:notTrueType/>
    <w:pitch w:val="default"/>
  </w:font>
  <w:font w:name="AdvOT852e08e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C65" w:rsidRDefault="00CC3C65" w:rsidP="00E71094">
      <w:r>
        <w:separator/>
      </w:r>
    </w:p>
  </w:footnote>
  <w:footnote w:type="continuationSeparator" w:id="0">
    <w:p w:rsidR="00CC3C65" w:rsidRDefault="00CC3C65" w:rsidP="00E71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2C"/>
    <w:multiLevelType w:val="hybridMultilevel"/>
    <w:tmpl w:val="0FA8E336"/>
    <w:lvl w:ilvl="0" w:tplc="9EC0A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E3374B"/>
    <w:multiLevelType w:val="hybridMultilevel"/>
    <w:tmpl w:val="47980B0E"/>
    <w:lvl w:ilvl="0" w:tplc="03320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1258DB"/>
    <w:multiLevelType w:val="hybridMultilevel"/>
    <w:tmpl w:val="CC52DA9E"/>
    <w:lvl w:ilvl="0" w:tplc="A606B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593DF7"/>
    <w:multiLevelType w:val="hybridMultilevel"/>
    <w:tmpl w:val="68DADF76"/>
    <w:lvl w:ilvl="0" w:tplc="826E5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AD6954"/>
    <w:multiLevelType w:val="hybridMultilevel"/>
    <w:tmpl w:val="6D0003D2"/>
    <w:lvl w:ilvl="0" w:tplc="89285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C4959"/>
    <w:rsid w:val="00047DD2"/>
    <w:rsid w:val="000C4959"/>
    <w:rsid w:val="00500ECE"/>
    <w:rsid w:val="005B03B5"/>
    <w:rsid w:val="00697574"/>
    <w:rsid w:val="00AF27F2"/>
    <w:rsid w:val="00CC3C65"/>
    <w:rsid w:val="00E7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18AC"/>
  <w15:chartTrackingRefBased/>
  <w15:docId w15:val="{D50FD210-3DF6-49B8-A770-55231A71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959"/>
    <w:pPr>
      <w:widowControl w:val="0"/>
      <w:jc w:val="both"/>
    </w:pPr>
    <w:rPr>
      <w:rFonts w:eastAsiaTheme="minorEastAsia"/>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4959"/>
    <w:pPr>
      <w:spacing w:beforeAutospacing="1" w:afterAutospacing="1"/>
      <w:jc w:val="left"/>
    </w:pPr>
    <w:rPr>
      <w:rFonts w:eastAsia="宋体" w:cs="Times New Roman"/>
      <w:kern w:val="0"/>
      <w:sz w:val="24"/>
      <w:szCs w:val="24"/>
    </w:rPr>
  </w:style>
  <w:style w:type="paragraph" w:styleId="a4">
    <w:name w:val="List Paragraph"/>
    <w:basedOn w:val="a"/>
    <w:uiPriority w:val="34"/>
    <w:qFormat/>
    <w:rsid w:val="000C4959"/>
    <w:pPr>
      <w:ind w:firstLineChars="200" w:firstLine="420"/>
    </w:pPr>
  </w:style>
  <w:style w:type="paragraph" w:customStyle="1" w:styleId="EndNoteBibliographyTitle">
    <w:name w:val="EndNote Bibliography Title"/>
    <w:basedOn w:val="a"/>
    <w:link w:val="EndNoteBibliographyTitle0"/>
    <w:rsid w:val="000C4959"/>
    <w:pPr>
      <w:jc w:val="center"/>
    </w:pPr>
    <w:rPr>
      <w:rFonts w:cs="Times New Roman"/>
      <w:noProof/>
      <w:sz w:val="20"/>
    </w:rPr>
  </w:style>
  <w:style w:type="character" w:customStyle="1" w:styleId="EndNoteBibliographyTitle0">
    <w:name w:val="EndNote Bibliography Title 字符"/>
    <w:basedOn w:val="a0"/>
    <w:link w:val="EndNoteBibliographyTitle"/>
    <w:rsid w:val="000C4959"/>
    <w:rPr>
      <w:rFonts w:eastAsiaTheme="minorEastAsia" w:cs="Times New Roman"/>
      <w:noProof/>
      <w:sz w:val="20"/>
      <w:lang w:val="en-GB"/>
    </w:rPr>
  </w:style>
  <w:style w:type="paragraph" w:customStyle="1" w:styleId="EndNoteBibliography">
    <w:name w:val="EndNote Bibliography"/>
    <w:basedOn w:val="a"/>
    <w:link w:val="EndNoteBibliography0"/>
    <w:rsid w:val="000C4959"/>
    <w:rPr>
      <w:rFonts w:cs="Times New Roman"/>
      <w:noProof/>
      <w:sz w:val="20"/>
    </w:rPr>
  </w:style>
  <w:style w:type="character" w:customStyle="1" w:styleId="EndNoteBibliography0">
    <w:name w:val="EndNote Bibliography 字符"/>
    <w:basedOn w:val="a0"/>
    <w:link w:val="EndNoteBibliography"/>
    <w:rsid w:val="000C4959"/>
    <w:rPr>
      <w:rFonts w:eastAsiaTheme="minorEastAsia" w:cs="Times New Roman"/>
      <w:noProof/>
      <w:sz w:val="20"/>
      <w:lang w:val="en-GB"/>
    </w:rPr>
  </w:style>
  <w:style w:type="paragraph" w:styleId="a5">
    <w:name w:val="header"/>
    <w:basedOn w:val="a"/>
    <w:link w:val="a6"/>
    <w:uiPriority w:val="99"/>
    <w:unhideWhenUsed/>
    <w:rsid w:val="000C495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C4959"/>
    <w:rPr>
      <w:rFonts w:eastAsiaTheme="minorEastAsia"/>
      <w:sz w:val="18"/>
      <w:szCs w:val="18"/>
      <w:lang w:val="en-GB"/>
    </w:rPr>
  </w:style>
  <w:style w:type="paragraph" w:styleId="a7">
    <w:name w:val="footer"/>
    <w:basedOn w:val="a"/>
    <w:link w:val="a8"/>
    <w:uiPriority w:val="99"/>
    <w:unhideWhenUsed/>
    <w:rsid w:val="000C4959"/>
    <w:pPr>
      <w:tabs>
        <w:tab w:val="center" w:pos="4153"/>
        <w:tab w:val="right" w:pos="8306"/>
      </w:tabs>
      <w:snapToGrid w:val="0"/>
      <w:jc w:val="left"/>
    </w:pPr>
    <w:rPr>
      <w:sz w:val="18"/>
      <w:szCs w:val="18"/>
    </w:rPr>
  </w:style>
  <w:style w:type="character" w:customStyle="1" w:styleId="a8">
    <w:name w:val="页脚 字符"/>
    <w:basedOn w:val="a0"/>
    <w:link w:val="a7"/>
    <w:uiPriority w:val="99"/>
    <w:rsid w:val="000C4959"/>
    <w:rPr>
      <w:rFonts w:eastAsiaTheme="minorEastAsia"/>
      <w:sz w:val="18"/>
      <w:szCs w:val="18"/>
      <w:lang w:val="en-GB"/>
    </w:rPr>
  </w:style>
  <w:style w:type="paragraph" w:styleId="a9">
    <w:name w:val="Revision"/>
    <w:hidden/>
    <w:uiPriority w:val="99"/>
    <w:semiHidden/>
    <w:rsid w:val="000C4959"/>
    <w:rPr>
      <w:rFonts w:eastAsiaTheme="minorEastAsia"/>
    </w:rPr>
  </w:style>
  <w:style w:type="paragraph" w:styleId="aa">
    <w:name w:val="Balloon Text"/>
    <w:basedOn w:val="a"/>
    <w:link w:val="ab"/>
    <w:uiPriority w:val="99"/>
    <w:semiHidden/>
    <w:unhideWhenUsed/>
    <w:rsid w:val="000C4959"/>
    <w:rPr>
      <w:sz w:val="18"/>
      <w:szCs w:val="18"/>
    </w:rPr>
  </w:style>
  <w:style w:type="character" w:customStyle="1" w:styleId="ab">
    <w:name w:val="批注框文本 字符"/>
    <w:basedOn w:val="a0"/>
    <w:link w:val="aa"/>
    <w:uiPriority w:val="99"/>
    <w:semiHidden/>
    <w:rsid w:val="000C4959"/>
    <w:rPr>
      <w:rFonts w:eastAsiaTheme="minorEastAsia"/>
      <w:sz w:val="18"/>
      <w:szCs w:val="18"/>
      <w:lang w:val="en-GB"/>
    </w:rPr>
  </w:style>
  <w:style w:type="character" w:styleId="ac">
    <w:name w:val="annotation reference"/>
    <w:basedOn w:val="a0"/>
    <w:uiPriority w:val="99"/>
    <w:semiHidden/>
    <w:unhideWhenUsed/>
    <w:rsid w:val="000C4959"/>
    <w:rPr>
      <w:sz w:val="21"/>
      <w:szCs w:val="21"/>
    </w:rPr>
  </w:style>
  <w:style w:type="paragraph" w:styleId="ad">
    <w:name w:val="annotation text"/>
    <w:basedOn w:val="a"/>
    <w:link w:val="ae"/>
    <w:uiPriority w:val="99"/>
    <w:unhideWhenUsed/>
    <w:rsid w:val="000C4959"/>
    <w:pPr>
      <w:jc w:val="left"/>
    </w:pPr>
  </w:style>
  <w:style w:type="character" w:customStyle="1" w:styleId="ae">
    <w:name w:val="批注文字 字符"/>
    <w:basedOn w:val="a0"/>
    <w:link w:val="ad"/>
    <w:uiPriority w:val="99"/>
    <w:rsid w:val="000C4959"/>
    <w:rPr>
      <w:rFonts w:eastAsiaTheme="minorEastAsia"/>
      <w:lang w:val="en-GB"/>
    </w:rPr>
  </w:style>
  <w:style w:type="paragraph" w:styleId="af">
    <w:name w:val="annotation subject"/>
    <w:basedOn w:val="ad"/>
    <w:next w:val="ad"/>
    <w:link w:val="af0"/>
    <w:uiPriority w:val="99"/>
    <w:semiHidden/>
    <w:unhideWhenUsed/>
    <w:rsid w:val="000C4959"/>
    <w:rPr>
      <w:b/>
      <w:bCs/>
    </w:rPr>
  </w:style>
  <w:style w:type="character" w:customStyle="1" w:styleId="af0">
    <w:name w:val="批注主题 字符"/>
    <w:basedOn w:val="ae"/>
    <w:link w:val="af"/>
    <w:uiPriority w:val="99"/>
    <w:semiHidden/>
    <w:rsid w:val="000C4959"/>
    <w:rPr>
      <w:rFonts w:eastAsiaTheme="minorEastAsia"/>
      <w:b/>
      <w:bCs/>
      <w:lang w:val="en-GB"/>
    </w:rPr>
  </w:style>
  <w:style w:type="character" w:customStyle="1" w:styleId="fontstyle01">
    <w:name w:val="fontstyle01"/>
    <w:basedOn w:val="a0"/>
    <w:rsid w:val="000C4959"/>
    <w:rPr>
      <w:rFonts w:ascii="GulliverIT" w:hAnsi="GulliverI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4967</Words>
  <Characters>28315</Characters>
  <Application>Microsoft Office Word</Application>
  <DocSecurity>0</DocSecurity>
  <Lines>235</Lines>
  <Paragraphs>66</Paragraphs>
  <ScaleCrop>false</ScaleCrop>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syy</dc:creator>
  <cp:keywords/>
  <dc:description/>
  <cp:lastModifiedBy>syy</cp:lastModifiedBy>
  <cp:revision>6</cp:revision>
  <dcterms:created xsi:type="dcterms:W3CDTF">2022-07-21T07:06:00Z</dcterms:created>
  <dcterms:modified xsi:type="dcterms:W3CDTF">2022-07-21T08:10:00Z</dcterms:modified>
</cp:coreProperties>
</file>