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ABB6" w14:textId="2CE4151A" w:rsidR="00871C74" w:rsidRPr="008963C2" w:rsidRDefault="008963C2" w:rsidP="0031161B">
      <w:pPr>
        <w:pStyle w:val="Title"/>
        <w:rPr>
          <w:lang w:val="en-US"/>
        </w:rPr>
      </w:pPr>
      <w:r w:rsidRPr="008963C2">
        <w:rPr>
          <w:lang w:val="en-US"/>
        </w:rPr>
        <w:t>Supplementary materials</w:t>
      </w:r>
    </w:p>
    <w:p w14:paraId="08C55D23" w14:textId="440DE6F0" w:rsidR="00A67690" w:rsidRDefault="00A67690" w:rsidP="00A67690">
      <w:pPr>
        <w:pStyle w:val="Heading3"/>
        <w:rPr>
          <w:lang w:val="en-US"/>
        </w:rPr>
      </w:pPr>
      <w:r>
        <w:rPr>
          <w:lang w:val="en-US"/>
        </w:rPr>
        <w:t xml:space="preserve">Ongoing </w:t>
      </w:r>
      <w:r w:rsidR="008D32B6">
        <w:rPr>
          <w:lang w:val="en-US"/>
        </w:rPr>
        <w:t>Major depressive disorder (MDD)</w:t>
      </w:r>
    </w:p>
    <w:p w14:paraId="1692BD97" w14:textId="7C8754A3" w:rsidR="00A67690" w:rsidRDefault="00A67690" w:rsidP="00A67690">
      <w:pPr>
        <w:spacing w:after="12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expanded the analysis of the primary outcome by adding ongoing MD</w:t>
      </w:r>
      <w:r w:rsidR="008D32B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predictor of treatment effect. </w:t>
      </w:r>
      <w:r w:rsidR="00EC6680">
        <w:rPr>
          <w:rFonts w:ascii="Times New Roman" w:hAnsi="Times New Roman" w:cs="Times New Roman"/>
          <w:sz w:val="24"/>
          <w:szCs w:val="24"/>
          <w:lang w:val="en-US"/>
        </w:rPr>
        <w:t xml:space="preserve">Results showed that </w:t>
      </w:r>
      <w:r>
        <w:rPr>
          <w:rFonts w:ascii="Times New Roman" w:hAnsi="Times New Roman" w:cs="Times New Roman"/>
          <w:sz w:val="24"/>
          <w:szCs w:val="24"/>
          <w:lang w:val="en-US"/>
        </w:rPr>
        <w:t>the main effects and interaction effects of the former analysis</w:t>
      </w:r>
      <w:r w:rsidR="00E751CC">
        <w:rPr>
          <w:rFonts w:ascii="Times New Roman" w:hAnsi="Times New Roman" w:cs="Times New Roman"/>
          <w:sz w:val="24"/>
          <w:szCs w:val="24"/>
          <w:lang w:val="en-US"/>
        </w:rPr>
        <w:t xml:space="preserve"> remained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unchanged</w:t>
      </w:r>
      <w:r w:rsidR="00E751CC">
        <w:rPr>
          <w:rFonts w:ascii="Times New Roman" w:hAnsi="Times New Roman" w:cs="Times New Roman"/>
          <w:sz w:val="24"/>
          <w:szCs w:val="24"/>
          <w:lang w:val="en-US"/>
        </w:rPr>
        <w:t>. T</w:t>
      </w:r>
      <w:r>
        <w:rPr>
          <w:rFonts w:ascii="Times New Roman" w:hAnsi="Times New Roman" w:cs="Times New Roman"/>
          <w:sz w:val="24"/>
          <w:szCs w:val="24"/>
          <w:lang w:val="en-US"/>
        </w:rPr>
        <w:t>here was a main effect of ongoing MD</w:t>
      </w:r>
      <w:r w:rsidR="008D32B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 (154.84) = 2.04, </w:t>
      </w:r>
      <w:r w:rsidRPr="004F393C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.04, </w:t>
      </w:r>
      <w:r w:rsidR="00D32743" w:rsidRPr="00D3274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D327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3274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9D1111">
        <w:rPr>
          <w:rFonts w:ascii="Times New Roman" w:hAnsi="Times New Roman" w:cs="Times New Roman"/>
          <w:sz w:val="24"/>
          <w:szCs w:val="24"/>
          <w:lang w:val="en-US"/>
        </w:rPr>
        <w:t xml:space="preserve"> .33, </w:t>
      </w:r>
      <w:r w:rsidRPr="009D1111">
        <w:rPr>
          <w:rFonts w:ascii="Times New Roman" w:hAnsi="Times New Roman" w:cs="Times New Roman"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not an interaction effect of ABM x ongoing MD</w:t>
      </w:r>
      <w:r w:rsidR="008D32B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 (156.13) = .064, </w:t>
      </w:r>
      <w:r w:rsidRPr="004F393C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.53</w:t>
      </w:r>
      <w:r w:rsidR="009D11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D1111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9D1111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433290">
        <w:rPr>
          <w:rFonts w:ascii="Times New Roman" w:hAnsi="Times New Roman" w:cs="Times New Roman"/>
          <w:sz w:val="24"/>
          <w:szCs w:val="24"/>
          <w:lang w:val="en-US"/>
        </w:rPr>
        <w:t>.01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 was no</w:t>
      </w:r>
      <w:r w:rsidR="00E751C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significant three-way interaction effect between ABM, ongoing MD</w:t>
      </w:r>
      <w:r w:rsidR="002F0B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assessment point from baseline to post-treatment t (151.66) = -1.40, </w:t>
      </w:r>
      <w:r w:rsidRPr="004F39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 .17,</w:t>
      </w:r>
      <w:r w:rsidR="00A95E3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95E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</w:t>
      </w:r>
      <w:r w:rsidR="00A95E3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 .23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nor from baseline to six months follow up t (152.18) = -1.20, </w:t>
      </w:r>
      <w:r w:rsidRPr="004F39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p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= .23</w:t>
      </w:r>
      <w:r w:rsidR="00A95E3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A95E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</w:t>
      </w:r>
      <w:r w:rsidR="00A95E3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 .</w:t>
      </w:r>
      <w:r w:rsidR="00F025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or from post-treatment to six months follow-up t (148.667) = .018, </w:t>
      </w:r>
      <w:r w:rsidRPr="004F39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p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=.9</w:t>
      </w:r>
      <w:r w:rsidR="003512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3512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d </w:t>
      </w:r>
      <w:r w:rsidR="003512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= .002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There was no significant difference between groups at six-months follow-up, F (</w:t>
      </w:r>
      <w:r w:rsidR="00B571EB">
        <w:rPr>
          <w:rFonts w:ascii="Times New Roman" w:hAnsi="Times New Roman" w:cs="Times New Roman"/>
          <w:sz w:val="24"/>
          <w:szCs w:val="24"/>
          <w:lang w:val="en-US"/>
        </w:rPr>
        <w:t>3,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75) = 2.1, </w:t>
      </w:r>
      <w:r w:rsidRPr="004F393C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 .11</w:t>
      </w:r>
      <w:r w:rsidR="003512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376E3">
        <w:rPr>
          <w:rFonts w:ascii="Times New Roman" w:hAnsi="Times New Roman" w:cs="Times New Roman"/>
          <w:i/>
          <w:iCs/>
          <w:sz w:val="24"/>
          <w:szCs w:val="24"/>
          <w:lang w:val="en-US"/>
        </w:rPr>
        <w:t>η</w:t>
      </w:r>
      <w:r w:rsidR="00811A16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="00351225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811A16">
        <w:rPr>
          <w:rFonts w:ascii="Times New Roman" w:hAnsi="Times New Roman" w:cs="Times New Roman"/>
          <w:sz w:val="24"/>
          <w:szCs w:val="24"/>
          <w:lang w:val="en-US"/>
        </w:rPr>
        <w:t>.08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Results suggests that whether participants are in remission or have ongoing </w:t>
      </w:r>
      <w:r w:rsidR="00276BCA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2F0BE9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does not moderate the relation between ABM and depressive symptoms at any of the assessment points. </w:t>
      </w:r>
    </w:p>
    <w:p w14:paraId="5A7FEDD4" w14:textId="77777777" w:rsidR="003D5383" w:rsidRPr="005F1F17" w:rsidRDefault="003D5383" w:rsidP="003D5383">
      <w:pPr>
        <w:rPr>
          <w:rFonts w:ascii="Times New Roman" w:hAnsi="Times New Roman" w:cs="Times New Roman"/>
          <w:lang w:val="en-US"/>
        </w:rPr>
      </w:pPr>
      <w:r w:rsidRPr="005F1F17">
        <w:rPr>
          <w:rFonts w:ascii="Times New Roman" w:hAnsi="Times New Roman" w:cs="Times New Roman"/>
          <w:b/>
          <w:bCs/>
          <w:i/>
          <w:iCs/>
          <w:lang w:val="en-US"/>
        </w:rPr>
        <w:t>Supplementary table 1</w:t>
      </w:r>
      <w:r w:rsidRPr="005F1F17">
        <w:rPr>
          <w:rFonts w:ascii="Times New Roman" w:hAnsi="Times New Roman" w:cs="Times New Roman"/>
          <w:i/>
          <w:iCs/>
          <w:lang w:val="en-US"/>
        </w:rPr>
        <w:t>.</w:t>
      </w:r>
      <w:r w:rsidRPr="005F1F17">
        <w:rPr>
          <w:rFonts w:ascii="Times New Roman" w:hAnsi="Times New Roman" w:cs="Times New Roman"/>
          <w:lang w:val="en-US"/>
        </w:rPr>
        <w:t xml:space="preserve"> </w:t>
      </w:r>
    </w:p>
    <w:p w14:paraId="78D3C424" w14:textId="5E3E1F03" w:rsidR="003D5383" w:rsidRPr="005F1F17" w:rsidRDefault="003D5383" w:rsidP="003D5383">
      <w:pPr>
        <w:rPr>
          <w:rFonts w:ascii="Times New Roman" w:hAnsi="Times New Roman" w:cs="Times New Roman"/>
          <w:lang w:val="en-US"/>
        </w:rPr>
      </w:pPr>
      <w:r w:rsidRPr="005F1F17">
        <w:rPr>
          <w:rFonts w:ascii="Times New Roman" w:hAnsi="Times New Roman" w:cs="Times New Roman"/>
          <w:lang w:val="en-US"/>
        </w:rPr>
        <w:t xml:space="preserve">Estimated marginal means of depression severity as measured by BDI-II separated by ongoing </w:t>
      </w:r>
      <w:r w:rsidR="00276BCA" w:rsidRPr="005F1F17">
        <w:rPr>
          <w:rFonts w:ascii="Times New Roman" w:hAnsi="Times New Roman" w:cs="Times New Roman"/>
          <w:lang w:val="en-US"/>
        </w:rPr>
        <w:t>MD</w:t>
      </w:r>
      <w:r w:rsidR="002F0BE9" w:rsidRPr="005F1F17">
        <w:rPr>
          <w:rFonts w:ascii="Times New Roman" w:hAnsi="Times New Roman" w:cs="Times New Roman"/>
          <w:lang w:val="en-US"/>
        </w:rPr>
        <w:t>D</w:t>
      </w:r>
      <w:r w:rsidRPr="005F1F17">
        <w:rPr>
          <w:rFonts w:ascii="Times New Roman" w:hAnsi="Times New Roman" w:cs="Times New Roman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974"/>
        <w:gridCol w:w="1732"/>
        <w:gridCol w:w="2154"/>
      </w:tblGrid>
      <w:tr w:rsidR="003D5383" w:rsidRPr="005F1F17" w14:paraId="1C9DE5B5" w14:textId="77777777" w:rsidTr="00DB05E1">
        <w:trPr>
          <w:trHeight w:val="3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8905" w14:textId="77777777" w:rsidR="003D5383" w:rsidRPr="005F1F17" w:rsidRDefault="003D5383" w:rsidP="00DB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D6D0B" w14:textId="77777777" w:rsidR="003D5383" w:rsidRPr="005F1F17" w:rsidRDefault="003D5383" w:rsidP="00DB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D0BF4" w14:textId="77777777" w:rsidR="003D5383" w:rsidRPr="005F1F17" w:rsidRDefault="003D5383" w:rsidP="00DB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Post-intervention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031AA" w14:textId="77777777" w:rsidR="003D5383" w:rsidRPr="005F1F17" w:rsidRDefault="003D5383" w:rsidP="00DB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Six-months follow-up</w:t>
            </w:r>
          </w:p>
        </w:tc>
      </w:tr>
      <w:tr w:rsidR="003D5383" w:rsidRPr="005F1F17" w14:paraId="1260C827" w14:textId="77777777" w:rsidTr="00DB05E1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04E7" w14:textId="697FBAE2" w:rsidR="003D5383" w:rsidRPr="005F1F17" w:rsidRDefault="003D5383" w:rsidP="00DB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ABM with ongoing MD</w:t>
            </w:r>
            <w:r w:rsidR="002F0BE9"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30771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16379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089A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21.3</w:t>
            </w:r>
          </w:p>
        </w:tc>
      </w:tr>
      <w:tr w:rsidR="003D5383" w:rsidRPr="005F1F17" w14:paraId="5CEBEB1D" w14:textId="77777777" w:rsidTr="00DB05E1">
        <w:trPr>
          <w:trHeight w:val="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293B" w14:textId="2CBB52F0" w:rsidR="003D5383" w:rsidRPr="005F1F17" w:rsidRDefault="003D5383" w:rsidP="00DB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ABM without ongoing MD</w:t>
            </w:r>
            <w:r w:rsidR="002F0BE9"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8497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06BA0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D99A3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16.6</w:t>
            </w:r>
          </w:p>
        </w:tc>
      </w:tr>
      <w:tr w:rsidR="003D5383" w:rsidRPr="005F1F17" w14:paraId="11225E09" w14:textId="77777777" w:rsidTr="00DB05E1">
        <w:trPr>
          <w:trHeight w:val="36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9CC3" w14:textId="61AFB4E3" w:rsidR="003D5383" w:rsidRPr="005F1F17" w:rsidRDefault="003D5383" w:rsidP="00DB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Sham training with ongoing MD</w:t>
            </w:r>
            <w:r w:rsidR="002F0BE9"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35CDE3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2870A2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75B15E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</w:t>
            </w:r>
          </w:p>
        </w:tc>
      </w:tr>
      <w:tr w:rsidR="003D5383" w:rsidRPr="005F1F17" w14:paraId="24872C9F" w14:textId="77777777" w:rsidTr="00DB05E1">
        <w:trPr>
          <w:trHeight w:val="3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2E8C" w14:textId="541105D8" w:rsidR="003D5383" w:rsidRPr="005F1F17" w:rsidRDefault="003D5383" w:rsidP="00DB0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Sham training without ongoing MD</w:t>
            </w:r>
            <w:r w:rsidR="002F0BE9"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CA24C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7B3E1D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AA5CB" w14:textId="77777777" w:rsidR="003D5383" w:rsidRPr="005F1F17" w:rsidRDefault="003D5383" w:rsidP="00DB0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13.6</w:t>
            </w:r>
          </w:p>
        </w:tc>
      </w:tr>
    </w:tbl>
    <w:p w14:paraId="70C79B5D" w14:textId="639F9ACC" w:rsidR="003D5383" w:rsidRPr="005F1F17" w:rsidRDefault="003D5383" w:rsidP="003D5383">
      <w:pPr>
        <w:rPr>
          <w:rFonts w:ascii="Times New Roman" w:hAnsi="Times New Roman" w:cs="Times New Roman"/>
          <w:lang w:val="en-US"/>
        </w:rPr>
      </w:pPr>
      <w:r w:rsidRPr="005F1F17">
        <w:rPr>
          <w:rFonts w:ascii="Times New Roman" w:hAnsi="Times New Roman" w:cs="Times New Roman"/>
          <w:i/>
          <w:iCs/>
          <w:lang w:val="en-US"/>
        </w:rPr>
        <w:t>Note.</w:t>
      </w:r>
      <w:r w:rsidRPr="005F1F17">
        <w:rPr>
          <w:rFonts w:ascii="Times New Roman" w:hAnsi="Times New Roman" w:cs="Times New Roman"/>
          <w:lang w:val="en-US"/>
        </w:rPr>
        <w:t xml:space="preserve"> ABM = Attention bias modification, BDI-II = Becks Depression Inventory-II, MD</w:t>
      </w:r>
      <w:r w:rsidR="002F0BE9" w:rsidRPr="005F1F17">
        <w:rPr>
          <w:rFonts w:ascii="Times New Roman" w:hAnsi="Times New Roman" w:cs="Times New Roman"/>
          <w:lang w:val="en-US"/>
        </w:rPr>
        <w:t>D</w:t>
      </w:r>
      <w:r w:rsidRPr="005F1F17">
        <w:rPr>
          <w:rFonts w:ascii="Times New Roman" w:hAnsi="Times New Roman" w:cs="Times New Roman"/>
          <w:lang w:val="en-US"/>
        </w:rPr>
        <w:t xml:space="preserve"> = Major depressive </w:t>
      </w:r>
      <w:r w:rsidR="002F0BE9" w:rsidRPr="005F1F17">
        <w:rPr>
          <w:rFonts w:ascii="Times New Roman" w:hAnsi="Times New Roman" w:cs="Times New Roman"/>
          <w:lang w:val="en-US"/>
        </w:rPr>
        <w:t>disorder.</w:t>
      </w:r>
    </w:p>
    <w:p w14:paraId="678F7F6D" w14:textId="77777777" w:rsidR="003D5383" w:rsidRPr="005F1F17" w:rsidRDefault="003D5383" w:rsidP="003D5383">
      <w:pPr>
        <w:rPr>
          <w:rFonts w:ascii="Times New Roman" w:hAnsi="Times New Roman" w:cs="Times New Roman"/>
          <w:lang w:val="en-US"/>
        </w:rPr>
      </w:pPr>
    </w:p>
    <w:p w14:paraId="16801456" w14:textId="77777777" w:rsidR="00A67690" w:rsidRPr="005F1F17" w:rsidRDefault="00A67690" w:rsidP="00A67690">
      <w:pPr>
        <w:pStyle w:val="Heading3"/>
        <w:rPr>
          <w:rFonts w:ascii="Times New Roman" w:hAnsi="Times New Roman" w:cs="Times New Roman"/>
          <w:lang w:val="en-US"/>
        </w:rPr>
      </w:pPr>
      <w:r w:rsidRPr="005F1F17">
        <w:rPr>
          <w:rFonts w:ascii="Times New Roman" w:hAnsi="Times New Roman" w:cs="Times New Roman"/>
          <w:lang w:val="en-US"/>
        </w:rPr>
        <w:t>Comorbid anxiety</w:t>
      </w:r>
    </w:p>
    <w:p w14:paraId="273EEDB4" w14:textId="7ABBC98D" w:rsidR="00A17F8B" w:rsidRPr="005F1F17" w:rsidRDefault="00A67690" w:rsidP="00A17F8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To investigate if comorbid anxiety was relevant to the treatment effect, we added comorbid anxiety as predictor to the analysis of the primary outcome. </w:t>
      </w:r>
      <w:r w:rsidR="00E751CC" w:rsidRPr="005F1F1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he interaction effects of the primary outcome analysis </w:t>
      </w:r>
      <w:r w:rsidR="00861D0E"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remained 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>unchanged, however, there was now a main effect of ABM</w:t>
      </w:r>
      <w:r w:rsidR="00861D0E"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 condition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, t (143.0747) = -2.11, </w:t>
      </w:r>
      <w:r w:rsidRPr="005F1F1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 = .04</w:t>
      </w:r>
      <w:r w:rsidR="00AF3A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75E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 = </w:t>
      </w:r>
      <w:r w:rsidR="00434D0E" w:rsidRPr="001E12AD">
        <w:rPr>
          <w:rFonts w:ascii="Times New Roman" w:hAnsi="Times New Roman" w:cs="Times New Roman"/>
          <w:sz w:val="24"/>
          <w:szCs w:val="24"/>
          <w:lang w:val="en-US"/>
        </w:rPr>
        <w:t>.35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. There was no interaction effect 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between ABM and comorbid anxiety, t (143.6217) = 1.66, </w:t>
      </w:r>
      <w:r w:rsidRPr="005F1F1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 = .10</w:t>
      </w:r>
      <w:r w:rsidR="00863D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63DE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 = 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43B87">
        <w:rPr>
          <w:rFonts w:ascii="Times New Roman" w:hAnsi="Times New Roman" w:cs="Times New Roman"/>
          <w:sz w:val="24"/>
          <w:szCs w:val="24"/>
          <w:lang w:val="en-US"/>
        </w:rPr>
        <w:t>28.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F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There was not a significant three-way interaction effect between ABM, comorbid anxiety, and assessment point from baseline to post-treatment t (147.9513) = -.77, </w:t>
      </w:r>
      <w:r w:rsidRPr="005F1F1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</w:t>
      </w:r>
      <w:r w:rsidRPr="005F1F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 .44</w:t>
      </w:r>
      <w:r w:rsidR="00B43B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B43B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</w:t>
      </w:r>
      <w:r w:rsidR="00B43B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 .</w:t>
      </w:r>
      <w:r w:rsidR="00B87E5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13</w:t>
      </w:r>
      <w:r w:rsidRPr="005F1F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nor from baseline to six months follow up t (148.1526) = -.09, p = .37,</w:t>
      </w:r>
      <w:r w:rsidR="00B87E5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87E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d </w:t>
      </w:r>
      <w:r w:rsidR="00B87E5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= </w:t>
      </w:r>
      <w:r w:rsidR="003234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.015,</w:t>
      </w:r>
      <w:r w:rsidRPr="005F1F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or from post-treatment to six months follow-up, t (146.56328) = -.134, </w:t>
      </w:r>
      <w:r w:rsidRPr="005F1F1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</w:t>
      </w:r>
      <w:r w:rsidRPr="005F1F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 .9</w:t>
      </w:r>
      <w:r w:rsidR="00310D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32344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d</w:t>
      </w:r>
      <w:r w:rsidR="003234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= .</w:t>
      </w:r>
      <w:r w:rsidR="00310D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02</w:t>
      </w:r>
      <w:r w:rsidRPr="005F1F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5F1F17">
        <w:rPr>
          <w:rFonts w:ascii="Times New Roman" w:hAnsi="Times New Roman" w:cs="Times New Roman"/>
          <w:lang w:val="en-US"/>
        </w:rPr>
        <w:t xml:space="preserve"> 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>There was no significant difference between groups at six-months follow-up, F (</w:t>
      </w:r>
      <w:r w:rsidR="00B571EB">
        <w:rPr>
          <w:rFonts w:ascii="Times New Roman" w:hAnsi="Times New Roman" w:cs="Times New Roman"/>
          <w:sz w:val="24"/>
          <w:szCs w:val="24"/>
          <w:lang w:val="en-US"/>
        </w:rPr>
        <w:t>3,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75) = 1.05, </w:t>
      </w:r>
      <w:r w:rsidRPr="005F1F1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 = .38</w:t>
      </w:r>
      <w:r w:rsidR="00310D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506C">
        <w:rPr>
          <w:rFonts w:ascii="Times New Roman" w:hAnsi="Times New Roman" w:cs="Times New Roman"/>
          <w:i/>
          <w:iCs/>
          <w:sz w:val="24"/>
          <w:szCs w:val="24"/>
          <w:lang w:val="en-US"/>
        </w:rPr>
        <w:t>η</w:t>
      </w:r>
      <w:r w:rsidR="00B5506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="00310D14">
        <w:rPr>
          <w:rFonts w:ascii="Times New Roman" w:hAnsi="Times New Roman" w:cs="Times New Roman"/>
          <w:sz w:val="24"/>
          <w:szCs w:val="24"/>
          <w:lang w:val="en-US"/>
        </w:rPr>
        <w:t xml:space="preserve"> = .</w:t>
      </w:r>
      <w:r w:rsidR="009431B5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. Hence, presence of comorbid anxiety disorders did not moderate the </w:t>
      </w:r>
      <w:r w:rsidR="00C20FCA"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association 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>between ABM and depressive symptoms at any of the assessment points, however, including comorbid anxiety as predictor revealed a significant main effect of ABM, where depression levels were lower among the ABM group compared to</w:t>
      </w:r>
      <w:r w:rsidR="00372316"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 the group receiving the 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sham </w:t>
      </w:r>
      <w:r w:rsidR="00372316" w:rsidRPr="005F1F17">
        <w:rPr>
          <w:rFonts w:ascii="Times New Roman" w:hAnsi="Times New Roman" w:cs="Times New Roman"/>
          <w:sz w:val="24"/>
          <w:szCs w:val="24"/>
          <w:lang w:val="en-US"/>
        </w:rPr>
        <w:t>condition</w:t>
      </w:r>
      <w:r w:rsidRPr="005F1F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2DF0A23" w14:textId="37420126" w:rsidR="008963C2" w:rsidRPr="005F1F17" w:rsidRDefault="008963C2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5F1F17">
        <w:rPr>
          <w:rFonts w:ascii="Times New Roman" w:hAnsi="Times New Roman" w:cs="Times New Roman"/>
          <w:b/>
          <w:bCs/>
          <w:i/>
          <w:iCs/>
          <w:lang w:val="en-US"/>
        </w:rPr>
        <w:t xml:space="preserve">Supplementary </w:t>
      </w:r>
      <w:r w:rsidR="00662822" w:rsidRPr="005F1F17">
        <w:rPr>
          <w:rFonts w:ascii="Times New Roman" w:hAnsi="Times New Roman" w:cs="Times New Roman"/>
          <w:b/>
          <w:bCs/>
          <w:i/>
          <w:iCs/>
          <w:lang w:val="en-US"/>
        </w:rPr>
        <w:t>table</w:t>
      </w:r>
      <w:r w:rsidRPr="005F1F17">
        <w:rPr>
          <w:rFonts w:ascii="Times New Roman" w:hAnsi="Times New Roman" w:cs="Times New Roman"/>
          <w:b/>
          <w:bCs/>
          <w:i/>
          <w:iCs/>
          <w:lang w:val="en-US"/>
        </w:rPr>
        <w:t xml:space="preserve"> 2.</w:t>
      </w:r>
    </w:p>
    <w:p w14:paraId="09762515" w14:textId="6E5E6D06" w:rsidR="008963C2" w:rsidRPr="005F1F17" w:rsidRDefault="008963C2">
      <w:pPr>
        <w:rPr>
          <w:rFonts w:ascii="Times New Roman" w:hAnsi="Times New Roman" w:cs="Times New Roman"/>
          <w:lang w:val="en-US"/>
        </w:rPr>
      </w:pPr>
      <w:r w:rsidRPr="005F1F17">
        <w:rPr>
          <w:rFonts w:ascii="Times New Roman" w:hAnsi="Times New Roman" w:cs="Times New Roman"/>
          <w:lang w:val="en-US"/>
        </w:rPr>
        <w:t>Estimated marginal means of depression severity</w:t>
      </w:r>
      <w:r w:rsidR="00D9032D" w:rsidRPr="005F1F17">
        <w:rPr>
          <w:rFonts w:ascii="Times New Roman" w:hAnsi="Times New Roman" w:cs="Times New Roman"/>
          <w:lang w:val="en-US"/>
        </w:rPr>
        <w:t xml:space="preserve"> as measured by BDI-II</w:t>
      </w:r>
      <w:r w:rsidRPr="005F1F17">
        <w:rPr>
          <w:rFonts w:ascii="Times New Roman" w:hAnsi="Times New Roman" w:cs="Times New Roman"/>
          <w:lang w:val="en-US"/>
        </w:rPr>
        <w:t xml:space="preserve"> separated by ongoing comorbid anxiety disorder</w:t>
      </w:r>
      <w:r w:rsidR="0031161B" w:rsidRPr="005F1F17">
        <w:rPr>
          <w:rFonts w:ascii="Times New Roman" w:hAnsi="Times New Roman" w:cs="Times New Roman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5"/>
        <w:gridCol w:w="974"/>
        <w:gridCol w:w="1732"/>
        <w:gridCol w:w="2154"/>
      </w:tblGrid>
      <w:tr w:rsidR="008963C2" w:rsidRPr="005F1F17" w14:paraId="765889C3" w14:textId="77777777" w:rsidTr="008963C2">
        <w:trPr>
          <w:trHeight w:val="3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6D408" w14:textId="77777777" w:rsidR="008963C2" w:rsidRPr="005F1F17" w:rsidRDefault="008963C2" w:rsidP="0089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11A5" w14:textId="3494DB1E" w:rsidR="008963C2" w:rsidRPr="005F1F17" w:rsidRDefault="008963C2" w:rsidP="0089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EBF81" w14:textId="02FDDD82" w:rsidR="008963C2" w:rsidRPr="005F1F17" w:rsidRDefault="008963C2" w:rsidP="0089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Post-intervention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AC87" w14:textId="51500FD4" w:rsidR="008963C2" w:rsidRPr="005F1F17" w:rsidRDefault="008963C2" w:rsidP="0089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Six-months follow-up</w:t>
            </w:r>
          </w:p>
        </w:tc>
      </w:tr>
      <w:tr w:rsidR="008963C2" w:rsidRPr="005F1F17" w14:paraId="78B58A52" w14:textId="77777777" w:rsidTr="008963C2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EC0F" w14:textId="585C9587" w:rsidR="008963C2" w:rsidRPr="005F1F17" w:rsidRDefault="008963C2" w:rsidP="0089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ABM with comorbid anxiety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CC8" w14:textId="3CE8CDEC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CA0" w14:textId="437894C4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030B" w14:textId="383D82F5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17.6</w:t>
            </w:r>
          </w:p>
        </w:tc>
      </w:tr>
      <w:tr w:rsidR="008963C2" w:rsidRPr="005F1F17" w14:paraId="1C4E2BB1" w14:textId="77777777" w:rsidTr="008963C2">
        <w:trPr>
          <w:trHeight w:val="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5702" w14:textId="551BFAB8" w:rsidR="008963C2" w:rsidRPr="005F1F17" w:rsidRDefault="008963C2" w:rsidP="0089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ABM without comorbid anxiety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E53B" w14:textId="2DB12684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BCA" w14:textId="7B530CAB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8D4" w14:textId="4DE015D8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19.8</w:t>
            </w:r>
          </w:p>
        </w:tc>
      </w:tr>
      <w:tr w:rsidR="008963C2" w:rsidRPr="005F1F17" w14:paraId="4262A0B1" w14:textId="77777777" w:rsidTr="008963C2">
        <w:trPr>
          <w:trHeight w:val="36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F47F" w14:textId="0F3DA629" w:rsidR="008963C2" w:rsidRPr="005F1F17" w:rsidRDefault="00461EE8" w:rsidP="0089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Sham training</w:t>
            </w:r>
            <w:r w:rsidR="008963C2"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with comorbid anxiety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AC1D" w14:textId="43903C02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B7AB" w14:textId="1799204B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DA83" w14:textId="33B1DE2D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14.9</w:t>
            </w:r>
          </w:p>
        </w:tc>
      </w:tr>
      <w:tr w:rsidR="008963C2" w:rsidRPr="005F1F17" w14:paraId="04EEDDC0" w14:textId="77777777" w:rsidTr="008963C2">
        <w:trPr>
          <w:trHeight w:val="3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B7C9E" w14:textId="72544F83" w:rsidR="008963C2" w:rsidRPr="005F1F17" w:rsidRDefault="00461EE8" w:rsidP="0089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Sham training</w:t>
            </w:r>
            <w:r w:rsidR="008963C2"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without comorbid anxiety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9CD5" w14:textId="45D68CE6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54C48" w14:textId="7FC6B565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22C6" w14:textId="629A7141" w:rsidR="008963C2" w:rsidRPr="005F1F17" w:rsidRDefault="008963C2" w:rsidP="0089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</w:t>
            </w:r>
          </w:p>
        </w:tc>
      </w:tr>
    </w:tbl>
    <w:p w14:paraId="0CAC7905" w14:textId="26E7504E" w:rsidR="008963C2" w:rsidRPr="005F1F17" w:rsidRDefault="008963C2">
      <w:pPr>
        <w:rPr>
          <w:rFonts w:ascii="Times New Roman" w:hAnsi="Times New Roman" w:cs="Times New Roman"/>
          <w:lang w:val="en-GB"/>
        </w:rPr>
      </w:pPr>
      <w:r w:rsidRPr="005F1F17">
        <w:rPr>
          <w:rFonts w:ascii="Times New Roman" w:hAnsi="Times New Roman" w:cs="Times New Roman"/>
          <w:i/>
          <w:iCs/>
          <w:lang w:val="en-US"/>
        </w:rPr>
        <w:t>Note.</w:t>
      </w:r>
      <w:r w:rsidRPr="005F1F17">
        <w:rPr>
          <w:rFonts w:ascii="Times New Roman" w:hAnsi="Times New Roman" w:cs="Times New Roman"/>
          <w:lang w:val="en-US"/>
        </w:rPr>
        <w:t xml:space="preserve"> ABM = Attention bias modification</w:t>
      </w:r>
      <w:r w:rsidR="00D9032D" w:rsidRPr="005F1F17">
        <w:rPr>
          <w:rFonts w:ascii="Times New Roman" w:hAnsi="Times New Roman" w:cs="Times New Roman"/>
          <w:lang w:val="en-US"/>
        </w:rPr>
        <w:t>, BDI-II = Becks Depression Inventory-II.</w:t>
      </w:r>
    </w:p>
    <w:p w14:paraId="4AADA6C5" w14:textId="02E3C037" w:rsidR="008963C2" w:rsidRPr="005F1F17" w:rsidRDefault="008963C2">
      <w:pPr>
        <w:rPr>
          <w:rFonts w:ascii="Times New Roman" w:hAnsi="Times New Roman" w:cs="Times New Roman"/>
          <w:lang w:val="en-GB"/>
        </w:rPr>
      </w:pPr>
    </w:p>
    <w:p w14:paraId="46045E1F" w14:textId="1CE7B85D" w:rsidR="00662822" w:rsidRPr="005F1F17" w:rsidRDefault="00662822" w:rsidP="00662822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5F1F17">
        <w:rPr>
          <w:rFonts w:ascii="Times New Roman" w:hAnsi="Times New Roman" w:cs="Times New Roman"/>
          <w:b/>
          <w:bCs/>
          <w:i/>
          <w:iCs/>
          <w:lang w:val="en-US"/>
        </w:rPr>
        <w:t>Supplementary table 3.</w:t>
      </w:r>
    </w:p>
    <w:p w14:paraId="309B9751" w14:textId="0A9A7055" w:rsidR="00662822" w:rsidRPr="005F1F17" w:rsidRDefault="00662822" w:rsidP="00662822">
      <w:pPr>
        <w:rPr>
          <w:rFonts w:ascii="Times New Roman" w:hAnsi="Times New Roman" w:cs="Times New Roman"/>
          <w:lang w:val="en-US"/>
        </w:rPr>
      </w:pPr>
      <w:r w:rsidRPr="005F1F17">
        <w:rPr>
          <w:rFonts w:ascii="Times New Roman" w:hAnsi="Times New Roman" w:cs="Times New Roman"/>
          <w:lang w:val="en-US"/>
        </w:rPr>
        <w:t>Estimated marginal means of anxiety severity</w:t>
      </w:r>
      <w:r w:rsidR="00461EE8" w:rsidRPr="005F1F17">
        <w:rPr>
          <w:rFonts w:ascii="Times New Roman" w:hAnsi="Times New Roman" w:cs="Times New Roman"/>
          <w:lang w:val="en-US"/>
        </w:rPr>
        <w:t xml:space="preserve"> as measured by BAI</w:t>
      </w:r>
      <w:r w:rsidR="0031161B" w:rsidRPr="005F1F17">
        <w:rPr>
          <w:rFonts w:ascii="Times New Roman" w:hAnsi="Times New Roman" w:cs="Times New Roman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57"/>
        <w:gridCol w:w="974"/>
        <w:gridCol w:w="1732"/>
        <w:gridCol w:w="2154"/>
      </w:tblGrid>
      <w:tr w:rsidR="00662822" w:rsidRPr="005F1F17" w14:paraId="72DECF49" w14:textId="77777777" w:rsidTr="005D21D9">
        <w:trPr>
          <w:trHeight w:val="3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8BFE9" w14:textId="77777777" w:rsidR="00662822" w:rsidRPr="005F1F17" w:rsidRDefault="00662822" w:rsidP="005D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74468" w14:textId="77777777" w:rsidR="00662822" w:rsidRPr="005F1F17" w:rsidRDefault="00662822" w:rsidP="005D2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81FCC" w14:textId="77777777" w:rsidR="00662822" w:rsidRPr="005F1F17" w:rsidRDefault="00662822" w:rsidP="005D2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Post-intervention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8C307" w14:textId="77777777" w:rsidR="00662822" w:rsidRPr="005F1F17" w:rsidRDefault="00662822" w:rsidP="005D2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Six-months follow-up</w:t>
            </w:r>
          </w:p>
        </w:tc>
      </w:tr>
      <w:tr w:rsidR="00662822" w:rsidRPr="005F1F17" w14:paraId="7E060792" w14:textId="77777777" w:rsidTr="005D21D9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2B5D" w14:textId="16F46BF1" w:rsidR="00662822" w:rsidRPr="005F1F17" w:rsidRDefault="00662822" w:rsidP="005D2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ABM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74C4" w14:textId="7CB4AB3F" w:rsidR="00662822" w:rsidRPr="005F1F17" w:rsidRDefault="00043484" w:rsidP="005D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3ED8" w14:textId="4B978CFB" w:rsidR="00662822" w:rsidRPr="005F1F17" w:rsidRDefault="00043484" w:rsidP="005D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4CA" w14:textId="6D7D7387" w:rsidR="00662822" w:rsidRPr="005F1F17" w:rsidRDefault="00043484" w:rsidP="005D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</w:t>
            </w:r>
          </w:p>
        </w:tc>
      </w:tr>
      <w:tr w:rsidR="00662822" w:rsidRPr="005F1F17" w14:paraId="4202954C" w14:textId="77777777" w:rsidTr="005D21D9">
        <w:trPr>
          <w:trHeight w:val="3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6EBFE" w14:textId="680FFEC9" w:rsidR="00662822" w:rsidRPr="005F1F17" w:rsidRDefault="00461EE8" w:rsidP="005D2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Sham 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4A9C" w14:textId="7FE9601C" w:rsidR="00662822" w:rsidRPr="005F1F17" w:rsidRDefault="00043484" w:rsidP="005D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32C9E" w14:textId="64C00A95" w:rsidR="00662822" w:rsidRPr="005F1F17" w:rsidRDefault="00043484" w:rsidP="005D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3A376" w14:textId="538B2CA3" w:rsidR="00662822" w:rsidRPr="005F1F17" w:rsidRDefault="00043484" w:rsidP="005D2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F1F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10.4</w:t>
            </w:r>
          </w:p>
        </w:tc>
      </w:tr>
    </w:tbl>
    <w:p w14:paraId="78265D9F" w14:textId="1B490F86" w:rsidR="00662822" w:rsidRPr="005F1F17" w:rsidRDefault="00662822" w:rsidP="00662822">
      <w:pPr>
        <w:rPr>
          <w:rFonts w:ascii="Times New Roman" w:hAnsi="Times New Roman" w:cs="Times New Roman"/>
          <w:lang w:val="en-US"/>
        </w:rPr>
      </w:pPr>
      <w:r w:rsidRPr="005F1F17">
        <w:rPr>
          <w:rFonts w:ascii="Times New Roman" w:hAnsi="Times New Roman" w:cs="Times New Roman"/>
          <w:i/>
          <w:iCs/>
          <w:lang w:val="en-US"/>
        </w:rPr>
        <w:t>Note.</w:t>
      </w:r>
      <w:r w:rsidRPr="005F1F17">
        <w:rPr>
          <w:rFonts w:ascii="Times New Roman" w:hAnsi="Times New Roman" w:cs="Times New Roman"/>
          <w:lang w:val="en-US"/>
        </w:rPr>
        <w:t xml:space="preserve"> ABM = Attention bias modification</w:t>
      </w:r>
      <w:r w:rsidR="00461EE8" w:rsidRPr="005F1F17">
        <w:rPr>
          <w:rFonts w:ascii="Times New Roman" w:hAnsi="Times New Roman" w:cs="Times New Roman"/>
          <w:lang w:val="en-US"/>
        </w:rPr>
        <w:t xml:space="preserve">, BAI = Beck’s anxiety </w:t>
      </w:r>
      <w:r w:rsidR="00487DB6" w:rsidRPr="005F1F17">
        <w:rPr>
          <w:rFonts w:ascii="Times New Roman" w:hAnsi="Times New Roman" w:cs="Times New Roman"/>
          <w:lang w:val="en-US"/>
        </w:rPr>
        <w:t>inventory.</w:t>
      </w:r>
    </w:p>
    <w:p w14:paraId="7651BFFD" w14:textId="2B26DE21" w:rsidR="008963C2" w:rsidRPr="005F1F17" w:rsidRDefault="008963C2">
      <w:pPr>
        <w:rPr>
          <w:rFonts w:ascii="Times New Roman" w:hAnsi="Times New Roman" w:cs="Times New Roman"/>
          <w:lang w:val="en-US"/>
        </w:rPr>
      </w:pPr>
    </w:p>
    <w:sectPr w:rsidR="008963C2" w:rsidRPr="005F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C2"/>
    <w:rsid w:val="00043484"/>
    <w:rsid w:val="001E12AD"/>
    <w:rsid w:val="00276BCA"/>
    <w:rsid w:val="002F0BE9"/>
    <w:rsid w:val="00310D14"/>
    <w:rsid w:val="0031161B"/>
    <w:rsid w:val="00323442"/>
    <w:rsid w:val="00351225"/>
    <w:rsid w:val="00352E84"/>
    <w:rsid w:val="00372316"/>
    <w:rsid w:val="003D5383"/>
    <w:rsid w:val="00433290"/>
    <w:rsid w:val="00434D0E"/>
    <w:rsid w:val="00461EE8"/>
    <w:rsid w:val="00487DB6"/>
    <w:rsid w:val="005F1F17"/>
    <w:rsid w:val="006376E3"/>
    <w:rsid w:val="00662822"/>
    <w:rsid w:val="00706A16"/>
    <w:rsid w:val="00721345"/>
    <w:rsid w:val="007E2AD9"/>
    <w:rsid w:val="00811A16"/>
    <w:rsid w:val="00861D0E"/>
    <w:rsid w:val="00863DE8"/>
    <w:rsid w:val="00871C74"/>
    <w:rsid w:val="008963C2"/>
    <w:rsid w:val="008D32B6"/>
    <w:rsid w:val="009431B5"/>
    <w:rsid w:val="009D1111"/>
    <w:rsid w:val="00A17F8B"/>
    <w:rsid w:val="00A67690"/>
    <w:rsid w:val="00A95E3D"/>
    <w:rsid w:val="00AF3A2A"/>
    <w:rsid w:val="00B27699"/>
    <w:rsid w:val="00B43B87"/>
    <w:rsid w:val="00B5506C"/>
    <w:rsid w:val="00B571EB"/>
    <w:rsid w:val="00B87E58"/>
    <w:rsid w:val="00C20FCA"/>
    <w:rsid w:val="00D32743"/>
    <w:rsid w:val="00D9032D"/>
    <w:rsid w:val="00DA459C"/>
    <w:rsid w:val="00E751CC"/>
    <w:rsid w:val="00E75EF5"/>
    <w:rsid w:val="00EC6680"/>
    <w:rsid w:val="00F0253E"/>
    <w:rsid w:val="00F32A9F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9B9C"/>
  <w15:chartTrackingRefBased/>
  <w15:docId w15:val="{1035F475-4455-43A1-BF13-E57FE4E3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6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16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676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7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031ED15BF6448815877D8E13EA83B" ma:contentTypeVersion="4" ma:contentTypeDescription="Opprett et nytt dokument." ma:contentTypeScope="" ma:versionID="897c04585873155d6785658104725082">
  <xsd:schema xmlns:xsd="http://www.w3.org/2001/XMLSchema" xmlns:xs="http://www.w3.org/2001/XMLSchema" xmlns:p="http://schemas.microsoft.com/office/2006/metadata/properties" xmlns:ns3="ee973018-ccc1-48ec-8d4d-51c31f2cf7be" targetNamespace="http://schemas.microsoft.com/office/2006/metadata/properties" ma:root="true" ma:fieldsID="1bfcc3319ba6fbcf67835163c9a1997d" ns3:_="">
    <xsd:import namespace="ee973018-ccc1-48ec-8d4d-51c31f2cf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73018-ccc1-48ec-8d4d-51c31f2cf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7B7D5-2CFF-49DD-AAFD-6AAC312E2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73018-ccc1-48ec-8d4d-51c31f2cf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8E17D-6430-4E67-90B7-2F5F09242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8D9FC-8A8B-47D8-9BEE-82AE123B3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523</Words>
  <Characters>2983</Characters>
  <Application>Microsoft Office Word</Application>
  <DocSecurity>0</DocSecurity>
  <Lines>24</Lines>
  <Paragraphs>6</Paragraphs>
  <ScaleCrop>false</ScaleCrop>
  <Company>UiO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Bø</dc:creator>
  <cp:keywords/>
  <dc:description/>
  <cp:lastModifiedBy>Ragnhild Bø</cp:lastModifiedBy>
  <cp:revision>46</cp:revision>
  <dcterms:created xsi:type="dcterms:W3CDTF">2022-10-27T08:14:00Z</dcterms:created>
  <dcterms:modified xsi:type="dcterms:W3CDTF">2022-12-13T08:49:00Z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0x010100E0A031ED15BF6448815877D8E13EA83B</vt:lpwstr>
  </property>
</Properties>
</file>