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7685" w14:textId="77777777" w:rsidR="008419CC" w:rsidRPr="00D913FB" w:rsidRDefault="008419CC" w:rsidP="008419CC">
      <w:pPr>
        <w:tabs>
          <w:tab w:val="left" w:pos="6264"/>
        </w:tabs>
        <w:rPr>
          <w:rFonts w:ascii="Times New Roman" w:hAnsi="Times New Roman" w:cs="Times New Roman"/>
          <w:b/>
          <w:sz w:val="24"/>
          <w:szCs w:val="24"/>
          <w:lang w:val="en-US"/>
        </w:rPr>
      </w:pPr>
      <w:r w:rsidRPr="005A59E9">
        <w:rPr>
          <w:rFonts w:ascii="Times New Roman" w:hAnsi="Times New Roman" w:cs="Times New Roman"/>
          <w:b/>
          <w:sz w:val="24"/>
          <w:szCs w:val="24"/>
          <w:lang w:val="en-US"/>
        </w:rPr>
        <w:t>Supplementary material</w:t>
      </w:r>
      <w:r w:rsidR="005A59E9">
        <w:rPr>
          <w:rFonts w:ascii="Times New Roman" w:hAnsi="Times New Roman" w:cs="Times New Roman"/>
          <w:b/>
          <w:sz w:val="24"/>
          <w:szCs w:val="24"/>
          <w:lang w:val="en-US"/>
        </w:rPr>
        <w:t>s</w:t>
      </w:r>
    </w:p>
    <w:p w14:paraId="10CEB7C4" w14:textId="77777777" w:rsidR="008419CC" w:rsidRDefault="008419CC" w:rsidP="008419CC">
      <w:pPr>
        <w:spacing w:line="480" w:lineRule="auto"/>
        <w:rPr>
          <w:rFonts w:ascii="Times New Roman" w:hAnsi="Times New Roman" w:cs="Times New Roman"/>
          <w:b/>
          <w:bCs/>
          <w:sz w:val="24"/>
          <w:lang w:val="en-US"/>
        </w:rPr>
      </w:pPr>
    </w:p>
    <w:p w14:paraId="656C9FCF" w14:textId="77777777" w:rsidR="008419CC" w:rsidRPr="005A59E9" w:rsidRDefault="008419CC" w:rsidP="008419CC">
      <w:pPr>
        <w:spacing w:line="480" w:lineRule="auto"/>
        <w:rPr>
          <w:rFonts w:ascii="Times New Roman" w:hAnsi="Times New Roman" w:cs="Times New Roman"/>
          <w:i/>
          <w:sz w:val="24"/>
          <w:lang w:val="en-US"/>
        </w:rPr>
      </w:pPr>
      <w:r w:rsidRPr="005A59E9">
        <w:rPr>
          <w:rFonts w:ascii="Times New Roman" w:hAnsi="Times New Roman" w:cs="Times New Roman"/>
          <w:bCs/>
          <w:i/>
          <w:sz w:val="24"/>
          <w:lang w:val="en-US"/>
        </w:rPr>
        <w:t>Regional GMV difference detected in a parametric test with a liberal threshold</w:t>
      </w:r>
    </w:p>
    <w:p w14:paraId="133BBE97" w14:textId="17A1C51B" w:rsidR="008419CC" w:rsidRPr="00D913FB" w:rsidRDefault="008419CC" w:rsidP="008419CC">
      <w:pPr>
        <w:spacing w:line="480" w:lineRule="auto"/>
        <w:rPr>
          <w:rFonts w:ascii="Times New Roman" w:hAnsi="Times New Roman" w:cs="Times New Roman"/>
          <w:sz w:val="24"/>
          <w:lang w:val="en-US"/>
        </w:rPr>
      </w:pPr>
      <w:r w:rsidRPr="00D913FB">
        <w:rPr>
          <w:rFonts w:ascii="Times New Roman" w:hAnsi="Times New Roman" w:cs="Times New Roman"/>
          <w:sz w:val="24"/>
          <w:lang w:val="en-US"/>
        </w:rPr>
        <w:t xml:space="preserve">We found regional GMV difference between VLOSLP and healthy subjects in the whole-brain analysis </w:t>
      </w:r>
      <w:r w:rsidR="005E126C">
        <w:rPr>
          <w:rFonts w:ascii="Times New Roman" w:hAnsi="Times New Roman" w:cs="Times New Roman"/>
          <w:sz w:val="24"/>
          <w:lang w:val="en-US"/>
        </w:rPr>
        <w:t>using</w:t>
      </w:r>
      <w:r w:rsidRPr="00D913FB">
        <w:rPr>
          <w:rFonts w:ascii="Times New Roman" w:hAnsi="Times New Roman" w:cs="Times New Roman"/>
          <w:sz w:val="24"/>
          <w:lang w:val="en-US"/>
        </w:rPr>
        <w:t xml:space="preserve"> a nonparametric </w:t>
      </w:r>
      <w:r w:rsidR="005E126C">
        <w:rPr>
          <w:rFonts w:ascii="Times New Roman" w:hAnsi="Times New Roman" w:cs="Times New Roman"/>
          <w:sz w:val="24"/>
          <w:lang w:val="en-US"/>
        </w:rPr>
        <w:t>approach</w:t>
      </w:r>
      <w:r w:rsidRPr="00D913FB">
        <w:rPr>
          <w:rFonts w:ascii="Times New Roman" w:hAnsi="Times New Roman" w:cs="Times New Roman"/>
          <w:sz w:val="24"/>
          <w:lang w:val="en-US"/>
        </w:rPr>
        <w:t xml:space="preserve"> with a stringent statistical threshold. </w:t>
      </w:r>
      <w:r w:rsidR="005E126C">
        <w:rPr>
          <w:rFonts w:ascii="Times New Roman" w:hAnsi="Times New Roman" w:cs="Times New Roman"/>
          <w:sz w:val="24"/>
          <w:lang w:val="en-US"/>
        </w:rPr>
        <w:t xml:space="preserve">Here </w:t>
      </w:r>
      <w:r w:rsidRPr="00D913FB">
        <w:rPr>
          <w:rFonts w:ascii="Times New Roman" w:hAnsi="Times New Roman" w:cs="Times New Roman"/>
          <w:sz w:val="24"/>
          <w:lang w:val="en-US"/>
        </w:rPr>
        <w:t xml:space="preserve">we </w:t>
      </w:r>
      <w:r w:rsidR="005E126C">
        <w:rPr>
          <w:rFonts w:ascii="Times New Roman" w:hAnsi="Times New Roman" w:cs="Times New Roman"/>
          <w:sz w:val="24"/>
          <w:lang w:val="en-US"/>
        </w:rPr>
        <w:t xml:space="preserve">also </w:t>
      </w:r>
      <w:r w:rsidRPr="00D913FB">
        <w:rPr>
          <w:rFonts w:ascii="Times New Roman" w:hAnsi="Times New Roman" w:cs="Times New Roman"/>
          <w:sz w:val="24"/>
          <w:lang w:val="en-US"/>
        </w:rPr>
        <w:t xml:space="preserve">report the results with a </w:t>
      </w:r>
      <w:r w:rsidR="005E126C">
        <w:rPr>
          <w:rFonts w:ascii="Times New Roman" w:hAnsi="Times New Roman" w:cs="Times New Roman"/>
          <w:sz w:val="24"/>
          <w:lang w:val="en-US"/>
        </w:rPr>
        <w:t xml:space="preserve">more </w:t>
      </w:r>
      <w:r w:rsidRPr="00D913FB">
        <w:rPr>
          <w:rFonts w:ascii="Times New Roman" w:hAnsi="Times New Roman" w:cs="Times New Roman"/>
          <w:sz w:val="24"/>
          <w:lang w:val="en-US"/>
        </w:rPr>
        <w:t>liberal statistical threshold</w:t>
      </w:r>
      <w:r w:rsidR="005E126C">
        <w:rPr>
          <w:rFonts w:ascii="Times New Roman" w:hAnsi="Times New Roman" w:cs="Times New Roman"/>
          <w:sz w:val="24"/>
          <w:lang w:val="en-US"/>
        </w:rPr>
        <w:t xml:space="preserve"> and using a parametric approach that is commonly used in the literature, particularly in smaller samples. This is </w:t>
      </w:r>
      <w:r w:rsidRPr="00D913FB">
        <w:rPr>
          <w:rFonts w:ascii="Times New Roman" w:hAnsi="Times New Roman" w:cs="Times New Roman"/>
          <w:sz w:val="24"/>
          <w:lang w:val="en-US"/>
        </w:rPr>
        <w:t>because few studies have investigated the neurobiology of VLOSLP and our results even with a liberal statistical threshold may provide additional insight into the neurobiology of VLOSLP.</w:t>
      </w:r>
    </w:p>
    <w:p w14:paraId="760B5A07" w14:textId="27E20955" w:rsidR="008419CC" w:rsidRDefault="008419CC" w:rsidP="008419CC">
      <w:pPr>
        <w:spacing w:line="480" w:lineRule="auto"/>
        <w:rPr>
          <w:rFonts w:ascii="Times New Roman" w:hAnsi="Times New Roman" w:cs="Times New Roman"/>
          <w:sz w:val="24"/>
          <w:lang w:val="en-US" w:eastAsia="ja-JP"/>
        </w:rPr>
      </w:pPr>
      <w:r w:rsidRPr="00D913FB">
        <w:rPr>
          <w:rFonts w:ascii="Times New Roman" w:hAnsi="Times New Roman" w:cs="Times New Roman" w:hint="eastAsia"/>
          <w:sz w:val="24"/>
          <w:lang w:val="en-US" w:eastAsia="ja-JP"/>
        </w:rPr>
        <w:t>W</w:t>
      </w:r>
      <w:r w:rsidRPr="00D913FB">
        <w:rPr>
          <w:rFonts w:ascii="Times New Roman" w:hAnsi="Times New Roman" w:cs="Times New Roman"/>
          <w:sz w:val="24"/>
          <w:lang w:val="en-US" w:eastAsia="ja-JP"/>
        </w:rPr>
        <w:t xml:space="preserve">hen we set </w:t>
      </w:r>
      <w:r w:rsidRPr="00D913FB">
        <w:rPr>
          <w:rFonts w:ascii="Times New Roman" w:hAnsi="Times New Roman" w:cs="Times New Roman"/>
          <w:sz w:val="24"/>
          <w:lang w:val="en-US"/>
        </w:rPr>
        <w:t xml:space="preserve">the statistical threshold for the voxel-wise whole-brain analyses at cluster-level family-wise error correction </w:t>
      </w:r>
      <w:r w:rsidR="002C074F">
        <w:rPr>
          <w:rFonts w:ascii="Times New Roman" w:hAnsi="Times New Roman" w:cs="Times New Roman"/>
          <w:sz w:val="24"/>
          <w:lang w:val="en-US"/>
        </w:rPr>
        <w:t>(FWE) corrected p &lt;</w:t>
      </w:r>
      <w:r w:rsidRPr="00D913FB">
        <w:rPr>
          <w:rFonts w:ascii="Times New Roman" w:hAnsi="Times New Roman" w:cs="Times New Roman"/>
          <w:sz w:val="24"/>
          <w:lang w:val="en-US"/>
        </w:rPr>
        <w:t>.05 with an ind</w:t>
      </w:r>
      <w:r w:rsidR="002C074F">
        <w:rPr>
          <w:rFonts w:ascii="Times New Roman" w:hAnsi="Times New Roman" w:cs="Times New Roman"/>
          <w:sz w:val="24"/>
          <w:lang w:val="en-US"/>
        </w:rPr>
        <w:t xml:space="preserve">ividual voxel threshold of p = </w:t>
      </w:r>
      <w:r w:rsidRPr="00D913FB">
        <w:rPr>
          <w:rFonts w:ascii="Times New Roman" w:hAnsi="Times New Roman" w:cs="Times New Roman"/>
          <w:sz w:val="24"/>
          <w:lang w:val="en-US"/>
        </w:rPr>
        <w:t>.001, the right thalamic cluster and the left frontal regions, including the left inferior frontal gyrus and insula, both of which were detected in the nonparametric test, were identified as lower GMV regions in patients with VLOSLP. With a liberal threshol</w:t>
      </w:r>
      <w:r w:rsidR="002C074F">
        <w:rPr>
          <w:rFonts w:ascii="Times New Roman" w:hAnsi="Times New Roman" w:cs="Times New Roman"/>
          <w:sz w:val="24"/>
          <w:lang w:val="en-US"/>
        </w:rPr>
        <w:t xml:space="preserve">d (uncorrected voxel-level p = </w:t>
      </w:r>
      <w:r w:rsidRPr="00D913FB">
        <w:rPr>
          <w:rFonts w:ascii="Times New Roman" w:hAnsi="Times New Roman" w:cs="Times New Roman"/>
          <w:sz w:val="24"/>
          <w:lang w:val="en-US"/>
        </w:rPr>
        <w:t>.001 with 100 voxels), we found the following additional brain regions showing lower GMV in patients with VLOSLP compared to healthy controls: the right inferior temporal gyrus, right hippocampus, left thalamus, and right ce</w:t>
      </w:r>
      <w:r w:rsidR="002C074F">
        <w:rPr>
          <w:rFonts w:ascii="Times New Roman" w:hAnsi="Times New Roman" w:cs="Times New Roman"/>
          <w:sz w:val="24"/>
          <w:lang w:val="en-US"/>
        </w:rPr>
        <w:t xml:space="preserve">rebellum (supplementary table </w:t>
      </w:r>
      <w:r w:rsidR="00C32237">
        <w:rPr>
          <w:rFonts w:ascii="Times New Roman" w:hAnsi="Times New Roman" w:cs="Times New Roman"/>
          <w:sz w:val="24"/>
          <w:lang w:val="en-US"/>
        </w:rPr>
        <w:t>1</w:t>
      </w:r>
      <w:r w:rsidR="002C074F">
        <w:rPr>
          <w:rFonts w:ascii="Times New Roman" w:hAnsi="Times New Roman" w:cs="Times New Roman"/>
          <w:sz w:val="24"/>
          <w:lang w:val="en-US"/>
        </w:rPr>
        <w:t xml:space="preserve">; supplementary figure </w:t>
      </w:r>
      <w:r w:rsidR="00C32237">
        <w:rPr>
          <w:rFonts w:ascii="Times New Roman" w:hAnsi="Times New Roman" w:cs="Times New Roman"/>
          <w:sz w:val="24"/>
          <w:lang w:val="en-US"/>
        </w:rPr>
        <w:t>1</w:t>
      </w:r>
      <w:r>
        <w:rPr>
          <w:rFonts w:ascii="Times New Roman" w:hAnsi="Times New Roman" w:cs="Times New Roman"/>
          <w:sz w:val="24"/>
          <w:lang w:val="en-US"/>
        </w:rPr>
        <w:t>)</w:t>
      </w:r>
    </w:p>
    <w:p w14:paraId="2C89C112" w14:textId="77777777" w:rsidR="008419CC" w:rsidRPr="00D913FB" w:rsidRDefault="008419CC" w:rsidP="008419CC">
      <w:pPr>
        <w:spacing w:line="480" w:lineRule="auto"/>
        <w:rPr>
          <w:rFonts w:ascii="Times New Roman" w:hAnsi="Times New Roman" w:cs="Times New Roman"/>
          <w:sz w:val="24"/>
          <w:lang w:val="en-US" w:eastAsia="ja-JP"/>
        </w:rPr>
      </w:pPr>
    </w:p>
    <w:p w14:paraId="3BC09333" w14:textId="3C635B79" w:rsidR="008419CC" w:rsidRPr="00D913FB" w:rsidRDefault="008419CC" w:rsidP="008419CC">
      <w:pPr>
        <w:spacing w:line="480" w:lineRule="auto"/>
        <w:rPr>
          <w:rFonts w:ascii="Times New Roman" w:hAnsi="Times New Roman" w:cs="Times New Roman"/>
          <w:sz w:val="24"/>
          <w:lang w:val="en-US"/>
        </w:rPr>
      </w:pPr>
      <w:r w:rsidRPr="00D913FB">
        <w:rPr>
          <w:rFonts w:ascii="Times New Roman" w:hAnsi="Times New Roman" w:cs="Times New Roman" w:hint="eastAsia"/>
          <w:sz w:val="24"/>
          <w:lang w:val="en-US"/>
        </w:rPr>
        <w:t>S</w:t>
      </w:r>
      <w:r w:rsidR="002C074F">
        <w:rPr>
          <w:rFonts w:ascii="Times New Roman" w:hAnsi="Times New Roman" w:cs="Times New Roman"/>
          <w:sz w:val="24"/>
          <w:lang w:val="en-US"/>
        </w:rPr>
        <w:t xml:space="preserve">upplementary table </w:t>
      </w:r>
      <w:r w:rsidR="009E2EA9">
        <w:rPr>
          <w:rFonts w:ascii="Times New Roman" w:hAnsi="Times New Roman" w:cs="Times New Roman"/>
          <w:sz w:val="24"/>
          <w:lang w:val="en-US"/>
        </w:rPr>
        <w:t>1</w:t>
      </w:r>
      <w:r w:rsidRPr="00D913FB">
        <w:rPr>
          <w:rFonts w:ascii="Times New Roman" w:hAnsi="Times New Roman" w:cs="Times New Roman"/>
          <w:sz w:val="24"/>
          <w:lang w:val="en-US"/>
        </w:rPr>
        <w:t>. Regions of significantly lower GMV in VLOSLP detected in the whole-brain GMV analysis with an uncorrected voxel level p = 0.001 with 100 voxels.</w:t>
      </w:r>
    </w:p>
    <w:tbl>
      <w:tblPr>
        <w:tblW w:w="8900" w:type="dxa"/>
        <w:tblCellMar>
          <w:left w:w="99" w:type="dxa"/>
          <w:right w:w="99" w:type="dxa"/>
        </w:tblCellMar>
        <w:tblLook w:val="04A0" w:firstRow="1" w:lastRow="0" w:firstColumn="1" w:lastColumn="0" w:noHBand="0" w:noVBand="1"/>
      </w:tblPr>
      <w:tblGrid>
        <w:gridCol w:w="2420"/>
        <w:gridCol w:w="1080"/>
        <w:gridCol w:w="1080"/>
        <w:gridCol w:w="1080"/>
        <w:gridCol w:w="1080"/>
        <w:gridCol w:w="1080"/>
        <w:gridCol w:w="1080"/>
      </w:tblGrid>
      <w:tr w:rsidR="008419CC" w:rsidRPr="00313D73" w14:paraId="06A93501" w14:textId="77777777" w:rsidTr="000634EB">
        <w:trPr>
          <w:trHeight w:val="400"/>
        </w:trPr>
        <w:tc>
          <w:tcPr>
            <w:tcW w:w="2420" w:type="dxa"/>
            <w:vMerge w:val="restart"/>
            <w:tcBorders>
              <w:top w:val="single" w:sz="8" w:space="0" w:color="auto"/>
              <w:left w:val="nil"/>
              <w:bottom w:val="single" w:sz="8" w:space="0" w:color="000000"/>
              <w:right w:val="nil"/>
            </w:tcBorders>
            <w:shd w:val="clear" w:color="auto" w:fill="auto"/>
            <w:noWrap/>
            <w:vAlign w:val="center"/>
            <w:hideMark/>
          </w:tcPr>
          <w:p w14:paraId="65DBE630"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Brain Regions</w:t>
            </w:r>
          </w:p>
        </w:tc>
        <w:tc>
          <w:tcPr>
            <w:tcW w:w="3240" w:type="dxa"/>
            <w:gridSpan w:val="3"/>
            <w:tcBorders>
              <w:top w:val="single" w:sz="8" w:space="0" w:color="auto"/>
              <w:left w:val="nil"/>
              <w:bottom w:val="nil"/>
              <w:right w:val="nil"/>
            </w:tcBorders>
            <w:shd w:val="clear" w:color="auto" w:fill="auto"/>
            <w:noWrap/>
            <w:vAlign w:val="bottom"/>
            <w:hideMark/>
          </w:tcPr>
          <w:p w14:paraId="401AB766"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Peak MNI coordinates</w:t>
            </w:r>
          </w:p>
        </w:tc>
        <w:tc>
          <w:tcPr>
            <w:tcW w:w="1080" w:type="dxa"/>
            <w:vMerge w:val="restart"/>
            <w:tcBorders>
              <w:top w:val="single" w:sz="8" w:space="0" w:color="auto"/>
              <w:left w:val="nil"/>
              <w:bottom w:val="single" w:sz="8" w:space="0" w:color="000000"/>
              <w:right w:val="nil"/>
            </w:tcBorders>
            <w:shd w:val="clear" w:color="auto" w:fill="auto"/>
            <w:noWrap/>
            <w:vAlign w:val="center"/>
            <w:hideMark/>
          </w:tcPr>
          <w:p w14:paraId="5BFA9679"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T values</w:t>
            </w:r>
          </w:p>
        </w:tc>
        <w:tc>
          <w:tcPr>
            <w:tcW w:w="1080" w:type="dxa"/>
            <w:vMerge w:val="restart"/>
            <w:tcBorders>
              <w:top w:val="single" w:sz="8" w:space="0" w:color="auto"/>
              <w:left w:val="nil"/>
              <w:bottom w:val="single" w:sz="8" w:space="0" w:color="000000"/>
              <w:right w:val="nil"/>
            </w:tcBorders>
            <w:shd w:val="clear" w:color="auto" w:fill="auto"/>
            <w:noWrap/>
            <w:vAlign w:val="center"/>
            <w:hideMark/>
          </w:tcPr>
          <w:p w14:paraId="376B98AB"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Z scores</w:t>
            </w:r>
          </w:p>
        </w:tc>
        <w:tc>
          <w:tcPr>
            <w:tcW w:w="1080" w:type="dxa"/>
            <w:vMerge w:val="restart"/>
            <w:tcBorders>
              <w:top w:val="single" w:sz="8" w:space="0" w:color="auto"/>
              <w:left w:val="nil"/>
              <w:bottom w:val="single" w:sz="8" w:space="0" w:color="000000"/>
              <w:right w:val="nil"/>
            </w:tcBorders>
            <w:shd w:val="clear" w:color="auto" w:fill="auto"/>
            <w:vAlign w:val="center"/>
            <w:hideMark/>
          </w:tcPr>
          <w:p w14:paraId="35CCA380"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Cluster Size</w:t>
            </w:r>
            <w:r w:rsidRPr="00313D73">
              <w:rPr>
                <w:rFonts w:ascii="Times New Roman" w:eastAsia="Yu Gothic" w:hAnsi="Times New Roman" w:cs="Times New Roman"/>
                <w:color w:val="000000"/>
                <w:sz w:val="18"/>
                <w:szCs w:val="18"/>
              </w:rPr>
              <w:br/>
              <w:t>(voxels)</w:t>
            </w:r>
          </w:p>
        </w:tc>
      </w:tr>
      <w:tr w:rsidR="008419CC" w:rsidRPr="00313D73" w14:paraId="581B01E9" w14:textId="77777777" w:rsidTr="000634EB">
        <w:trPr>
          <w:trHeight w:val="420"/>
        </w:trPr>
        <w:tc>
          <w:tcPr>
            <w:tcW w:w="2420" w:type="dxa"/>
            <w:vMerge/>
            <w:tcBorders>
              <w:top w:val="single" w:sz="8" w:space="0" w:color="auto"/>
              <w:left w:val="nil"/>
              <w:bottom w:val="single" w:sz="8" w:space="0" w:color="000000"/>
              <w:right w:val="nil"/>
            </w:tcBorders>
            <w:vAlign w:val="center"/>
            <w:hideMark/>
          </w:tcPr>
          <w:p w14:paraId="24631020" w14:textId="77777777" w:rsidR="008419CC" w:rsidRPr="00313D73" w:rsidRDefault="008419CC" w:rsidP="000634EB">
            <w:pPr>
              <w:rPr>
                <w:rFonts w:ascii="Times New Roman" w:eastAsia="Yu Gothic" w:hAnsi="Times New Roman" w:cs="Times New Roman"/>
                <w:color w:val="000000"/>
                <w:sz w:val="18"/>
                <w:szCs w:val="18"/>
              </w:rPr>
            </w:pPr>
          </w:p>
        </w:tc>
        <w:tc>
          <w:tcPr>
            <w:tcW w:w="1080" w:type="dxa"/>
            <w:tcBorders>
              <w:top w:val="nil"/>
              <w:left w:val="nil"/>
              <w:bottom w:val="single" w:sz="8" w:space="0" w:color="auto"/>
              <w:right w:val="nil"/>
            </w:tcBorders>
            <w:shd w:val="clear" w:color="auto" w:fill="auto"/>
            <w:noWrap/>
            <w:vAlign w:val="center"/>
            <w:hideMark/>
          </w:tcPr>
          <w:p w14:paraId="076E6E46" w14:textId="77777777" w:rsidR="008419CC" w:rsidRPr="00313D73" w:rsidRDefault="002C074F"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X</w:t>
            </w:r>
          </w:p>
        </w:tc>
        <w:tc>
          <w:tcPr>
            <w:tcW w:w="1080" w:type="dxa"/>
            <w:tcBorders>
              <w:top w:val="nil"/>
              <w:left w:val="nil"/>
              <w:bottom w:val="single" w:sz="8" w:space="0" w:color="auto"/>
              <w:right w:val="nil"/>
            </w:tcBorders>
            <w:shd w:val="clear" w:color="auto" w:fill="auto"/>
            <w:noWrap/>
            <w:vAlign w:val="center"/>
            <w:hideMark/>
          </w:tcPr>
          <w:p w14:paraId="32893452"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y</w:t>
            </w:r>
          </w:p>
        </w:tc>
        <w:tc>
          <w:tcPr>
            <w:tcW w:w="1080" w:type="dxa"/>
            <w:tcBorders>
              <w:top w:val="nil"/>
              <w:left w:val="nil"/>
              <w:bottom w:val="single" w:sz="8" w:space="0" w:color="auto"/>
              <w:right w:val="nil"/>
            </w:tcBorders>
            <w:shd w:val="clear" w:color="auto" w:fill="auto"/>
            <w:noWrap/>
            <w:vAlign w:val="center"/>
            <w:hideMark/>
          </w:tcPr>
          <w:p w14:paraId="54A8ECCE"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z</w:t>
            </w:r>
          </w:p>
        </w:tc>
        <w:tc>
          <w:tcPr>
            <w:tcW w:w="1080" w:type="dxa"/>
            <w:vMerge/>
            <w:tcBorders>
              <w:top w:val="single" w:sz="8" w:space="0" w:color="auto"/>
              <w:left w:val="nil"/>
              <w:bottom w:val="single" w:sz="8" w:space="0" w:color="000000"/>
              <w:right w:val="nil"/>
            </w:tcBorders>
            <w:vAlign w:val="center"/>
            <w:hideMark/>
          </w:tcPr>
          <w:p w14:paraId="6F916B75" w14:textId="77777777" w:rsidR="008419CC" w:rsidRPr="00313D73" w:rsidRDefault="008419CC" w:rsidP="000634EB">
            <w:pPr>
              <w:rPr>
                <w:rFonts w:ascii="Times New Roman" w:eastAsia="Yu Gothic" w:hAnsi="Times New Roman" w:cs="Times New Roman"/>
                <w:color w:val="000000"/>
                <w:sz w:val="18"/>
                <w:szCs w:val="18"/>
              </w:rPr>
            </w:pPr>
          </w:p>
        </w:tc>
        <w:tc>
          <w:tcPr>
            <w:tcW w:w="1080" w:type="dxa"/>
            <w:vMerge/>
            <w:tcBorders>
              <w:top w:val="single" w:sz="8" w:space="0" w:color="auto"/>
              <w:left w:val="nil"/>
              <w:bottom w:val="single" w:sz="8" w:space="0" w:color="000000"/>
              <w:right w:val="nil"/>
            </w:tcBorders>
            <w:vAlign w:val="center"/>
            <w:hideMark/>
          </w:tcPr>
          <w:p w14:paraId="38D4526D" w14:textId="77777777" w:rsidR="008419CC" w:rsidRPr="00313D73" w:rsidRDefault="008419CC" w:rsidP="000634EB">
            <w:pPr>
              <w:rPr>
                <w:rFonts w:ascii="Times New Roman" w:eastAsia="Yu Gothic" w:hAnsi="Times New Roman" w:cs="Times New Roman"/>
                <w:color w:val="000000"/>
                <w:sz w:val="18"/>
                <w:szCs w:val="18"/>
              </w:rPr>
            </w:pPr>
          </w:p>
        </w:tc>
        <w:tc>
          <w:tcPr>
            <w:tcW w:w="1080" w:type="dxa"/>
            <w:vMerge/>
            <w:tcBorders>
              <w:top w:val="single" w:sz="8" w:space="0" w:color="auto"/>
              <w:left w:val="nil"/>
              <w:bottom w:val="single" w:sz="8" w:space="0" w:color="000000"/>
              <w:right w:val="nil"/>
            </w:tcBorders>
            <w:vAlign w:val="center"/>
            <w:hideMark/>
          </w:tcPr>
          <w:p w14:paraId="446B013B" w14:textId="77777777" w:rsidR="008419CC" w:rsidRPr="00313D73" w:rsidRDefault="008419CC" w:rsidP="000634EB">
            <w:pPr>
              <w:rPr>
                <w:rFonts w:ascii="Times New Roman" w:eastAsia="Yu Gothic" w:hAnsi="Times New Roman" w:cs="Times New Roman"/>
                <w:color w:val="000000"/>
                <w:sz w:val="18"/>
                <w:szCs w:val="18"/>
              </w:rPr>
            </w:pPr>
          </w:p>
        </w:tc>
      </w:tr>
      <w:tr w:rsidR="008419CC" w:rsidRPr="00313D73" w14:paraId="6E30892C" w14:textId="77777777" w:rsidTr="000634EB">
        <w:trPr>
          <w:trHeight w:val="400"/>
        </w:trPr>
        <w:tc>
          <w:tcPr>
            <w:tcW w:w="2420" w:type="dxa"/>
            <w:tcBorders>
              <w:top w:val="nil"/>
              <w:left w:val="nil"/>
              <w:bottom w:val="nil"/>
              <w:right w:val="nil"/>
            </w:tcBorders>
            <w:shd w:val="clear" w:color="auto" w:fill="auto"/>
            <w:vAlign w:val="center"/>
            <w:hideMark/>
          </w:tcPr>
          <w:p w14:paraId="1F251A71" w14:textId="77777777" w:rsidR="008419CC" w:rsidRPr="00313D73" w:rsidRDefault="008419CC" w:rsidP="000634EB">
            <w:pP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Right thalamus</w:t>
            </w:r>
          </w:p>
        </w:tc>
        <w:tc>
          <w:tcPr>
            <w:tcW w:w="1080" w:type="dxa"/>
            <w:tcBorders>
              <w:top w:val="nil"/>
              <w:left w:val="nil"/>
              <w:bottom w:val="nil"/>
              <w:right w:val="nil"/>
            </w:tcBorders>
            <w:shd w:val="clear" w:color="auto" w:fill="auto"/>
            <w:noWrap/>
            <w:vAlign w:val="center"/>
            <w:hideMark/>
          </w:tcPr>
          <w:p w14:paraId="6D742FDF"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14</w:t>
            </w:r>
          </w:p>
        </w:tc>
        <w:tc>
          <w:tcPr>
            <w:tcW w:w="1080" w:type="dxa"/>
            <w:tcBorders>
              <w:top w:val="nil"/>
              <w:left w:val="nil"/>
              <w:bottom w:val="nil"/>
              <w:right w:val="nil"/>
            </w:tcBorders>
            <w:shd w:val="clear" w:color="auto" w:fill="auto"/>
            <w:noWrap/>
            <w:vAlign w:val="center"/>
            <w:hideMark/>
          </w:tcPr>
          <w:p w14:paraId="1D5D8183"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-8</w:t>
            </w:r>
          </w:p>
        </w:tc>
        <w:tc>
          <w:tcPr>
            <w:tcW w:w="1080" w:type="dxa"/>
            <w:tcBorders>
              <w:top w:val="nil"/>
              <w:left w:val="nil"/>
              <w:bottom w:val="nil"/>
              <w:right w:val="nil"/>
            </w:tcBorders>
            <w:shd w:val="clear" w:color="auto" w:fill="auto"/>
            <w:noWrap/>
            <w:vAlign w:val="center"/>
            <w:hideMark/>
          </w:tcPr>
          <w:p w14:paraId="273E500A"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15</w:t>
            </w:r>
          </w:p>
        </w:tc>
        <w:tc>
          <w:tcPr>
            <w:tcW w:w="1080" w:type="dxa"/>
            <w:tcBorders>
              <w:top w:val="nil"/>
              <w:left w:val="nil"/>
              <w:bottom w:val="nil"/>
              <w:right w:val="nil"/>
            </w:tcBorders>
            <w:shd w:val="clear" w:color="auto" w:fill="auto"/>
            <w:noWrap/>
            <w:vAlign w:val="center"/>
            <w:hideMark/>
          </w:tcPr>
          <w:p w14:paraId="1C91541F"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4.65</w:t>
            </w:r>
          </w:p>
        </w:tc>
        <w:tc>
          <w:tcPr>
            <w:tcW w:w="1080" w:type="dxa"/>
            <w:tcBorders>
              <w:top w:val="nil"/>
              <w:left w:val="nil"/>
              <w:bottom w:val="nil"/>
              <w:right w:val="nil"/>
            </w:tcBorders>
            <w:shd w:val="clear" w:color="auto" w:fill="auto"/>
            <w:noWrap/>
            <w:vAlign w:val="center"/>
            <w:hideMark/>
          </w:tcPr>
          <w:p w14:paraId="0E54DD7D"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4.31</w:t>
            </w:r>
          </w:p>
        </w:tc>
        <w:tc>
          <w:tcPr>
            <w:tcW w:w="1080" w:type="dxa"/>
            <w:tcBorders>
              <w:top w:val="nil"/>
              <w:left w:val="nil"/>
              <w:bottom w:val="nil"/>
              <w:right w:val="nil"/>
            </w:tcBorders>
            <w:shd w:val="clear" w:color="auto" w:fill="auto"/>
            <w:noWrap/>
            <w:vAlign w:val="center"/>
            <w:hideMark/>
          </w:tcPr>
          <w:p w14:paraId="68C1CF09"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1202</w:t>
            </w:r>
          </w:p>
        </w:tc>
      </w:tr>
      <w:tr w:rsidR="008419CC" w:rsidRPr="00313D73" w14:paraId="745C35B9" w14:textId="77777777" w:rsidTr="000634EB">
        <w:trPr>
          <w:trHeight w:val="800"/>
        </w:trPr>
        <w:tc>
          <w:tcPr>
            <w:tcW w:w="2420" w:type="dxa"/>
            <w:tcBorders>
              <w:top w:val="nil"/>
              <w:left w:val="nil"/>
              <w:bottom w:val="nil"/>
              <w:right w:val="nil"/>
            </w:tcBorders>
            <w:shd w:val="clear" w:color="auto" w:fill="auto"/>
            <w:vAlign w:val="center"/>
            <w:hideMark/>
          </w:tcPr>
          <w:p w14:paraId="570B5551" w14:textId="77777777" w:rsidR="008419CC" w:rsidRPr="00D913FB" w:rsidRDefault="008419CC" w:rsidP="000634EB">
            <w:pPr>
              <w:rPr>
                <w:rFonts w:ascii="Times New Roman" w:eastAsia="Yu Gothic" w:hAnsi="Times New Roman" w:cs="Times New Roman"/>
                <w:color w:val="000000"/>
                <w:sz w:val="18"/>
                <w:szCs w:val="18"/>
                <w:lang w:val="en-US"/>
              </w:rPr>
            </w:pPr>
            <w:r w:rsidRPr="00D913FB">
              <w:rPr>
                <w:rFonts w:ascii="Times New Roman" w:eastAsia="Yu Gothic" w:hAnsi="Times New Roman" w:cs="Times New Roman"/>
                <w:color w:val="000000"/>
                <w:sz w:val="18"/>
                <w:szCs w:val="18"/>
                <w:lang w:val="en-US"/>
              </w:rPr>
              <w:lastRenderedPageBreak/>
              <w:t>Left frontal regions</w:t>
            </w:r>
            <w:r w:rsidRPr="00D913FB">
              <w:rPr>
                <w:rFonts w:ascii="Times New Roman" w:eastAsia="Yu Gothic" w:hAnsi="Times New Roman" w:cs="Times New Roman"/>
                <w:color w:val="000000"/>
                <w:sz w:val="18"/>
                <w:szCs w:val="18"/>
                <w:lang w:val="en-US"/>
              </w:rPr>
              <w:br/>
              <w:t xml:space="preserve">    left inferior frontal gyrus</w:t>
            </w:r>
            <w:r w:rsidRPr="00D913FB">
              <w:rPr>
                <w:rFonts w:ascii="Times New Roman" w:eastAsia="Yu Gothic" w:hAnsi="Times New Roman" w:cs="Times New Roman"/>
                <w:color w:val="000000"/>
                <w:sz w:val="18"/>
                <w:szCs w:val="18"/>
                <w:lang w:val="en-US"/>
              </w:rPr>
              <w:br/>
              <w:t xml:space="preserve">    left insula</w:t>
            </w:r>
          </w:p>
        </w:tc>
        <w:tc>
          <w:tcPr>
            <w:tcW w:w="1080" w:type="dxa"/>
            <w:tcBorders>
              <w:top w:val="nil"/>
              <w:left w:val="nil"/>
              <w:bottom w:val="nil"/>
              <w:right w:val="nil"/>
            </w:tcBorders>
            <w:shd w:val="clear" w:color="auto" w:fill="auto"/>
            <w:noWrap/>
            <w:vAlign w:val="center"/>
            <w:hideMark/>
          </w:tcPr>
          <w:p w14:paraId="68D4F9D6"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-51</w:t>
            </w:r>
          </w:p>
        </w:tc>
        <w:tc>
          <w:tcPr>
            <w:tcW w:w="1080" w:type="dxa"/>
            <w:tcBorders>
              <w:top w:val="nil"/>
              <w:left w:val="nil"/>
              <w:bottom w:val="nil"/>
              <w:right w:val="nil"/>
            </w:tcBorders>
            <w:shd w:val="clear" w:color="auto" w:fill="auto"/>
            <w:noWrap/>
            <w:vAlign w:val="center"/>
            <w:hideMark/>
          </w:tcPr>
          <w:p w14:paraId="4D8178C8"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38</w:t>
            </w:r>
          </w:p>
        </w:tc>
        <w:tc>
          <w:tcPr>
            <w:tcW w:w="1080" w:type="dxa"/>
            <w:tcBorders>
              <w:top w:val="nil"/>
              <w:left w:val="nil"/>
              <w:bottom w:val="nil"/>
              <w:right w:val="nil"/>
            </w:tcBorders>
            <w:shd w:val="clear" w:color="auto" w:fill="auto"/>
            <w:noWrap/>
            <w:vAlign w:val="center"/>
            <w:hideMark/>
          </w:tcPr>
          <w:p w14:paraId="7B037C06"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9</w:t>
            </w:r>
          </w:p>
        </w:tc>
        <w:tc>
          <w:tcPr>
            <w:tcW w:w="1080" w:type="dxa"/>
            <w:tcBorders>
              <w:top w:val="nil"/>
              <w:left w:val="nil"/>
              <w:bottom w:val="nil"/>
              <w:right w:val="nil"/>
            </w:tcBorders>
            <w:shd w:val="clear" w:color="auto" w:fill="auto"/>
            <w:noWrap/>
            <w:vAlign w:val="center"/>
            <w:hideMark/>
          </w:tcPr>
          <w:p w14:paraId="4FB9FD8C"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4.43</w:t>
            </w:r>
          </w:p>
        </w:tc>
        <w:tc>
          <w:tcPr>
            <w:tcW w:w="1080" w:type="dxa"/>
            <w:tcBorders>
              <w:top w:val="nil"/>
              <w:left w:val="nil"/>
              <w:bottom w:val="nil"/>
              <w:right w:val="nil"/>
            </w:tcBorders>
            <w:shd w:val="clear" w:color="auto" w:fill="auto"/>
            <w:noWrap/>
            <w:vAlign w:val="center"/>
            <w:hideMark/>
          </w:tcPr>
          <w:p w14:paraId="2D40B801"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4.13</w:t>
            </w:r>
          </w:p>
        </w:tc>
        <w:tc>
          <w:tcPr>
            <w:tcW w:w="1080" w:type="dxa"/>
            <w:tcBorders>
              <w:top w:val="nil"/>
              <w:left w:val="nil"/>
              <w:bottom w:val="nil"/>
              <w:right w:val="nil"/>
            </w:tcBorders>
            <w:shd w:val="clear" w:color="auto" w:fill="auto"/>
            <w:noWrap/>
            <w:vAlign w:val="center"/>
            <w:hideMark/>
          </w:tcPr>
          <w:p w14:paraId="26DFD788"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1541</w:t>
            </w:r>
          </w:p>
        </w:tc>
      </w:tr>
      <w:tr w:rsidR="008419CC" w:rsidRPr="00313D73" w14:paraId="618D4486" w14:textId="77777777" w:rsidTr="000634EB">
        <w:trPr>
          <w:trHeight w:val="500"/>
        </w:trPr>
        <w:tc>
          <w:tcPr>
            <w:tcW w:w="2420" w:type="dxa"/>
            <w:tcBorders>
              <w:top w:val="nil"/>
              <w:left w:val="nil"/>
              <w:bottom w:val="nil"/>
              <w:right w:val="nil"/>
            </w:tcBorders>
            <w:shd w:val="clear" w:color="auto" w:fill="auto"/>
            <w:vAlign w:val="center"/>
            <w:hideMark/>
          </w:tcPr>
          <w:p w14:paraId="1085F8B0" w14:textId="77777777" w:rsidR="008419CC" w:rsidRPr="00313D73" w:rsidRDefault="008419CC" w:rsidP="000634EB">
            <w:pP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Right inferior temporal gyrus</w:t>
            </w:r>
          </w:p>
        </w:tc>
        <w:tc>
          <w:tcPr>
            <w:tcW w:w="1080" w:type="dxa"/>
            <w:tcBorders>
              <w:top w:val="nil"/>
              <w:left w:val="nil"/>
              <w:bottom w:val="nil"/>
              <w:right w:val="nil"/>
            </w:tcBorders>
            <w:shd w:val="clear" w:color="auto" w:fill="auto"/>
            <w:noWrap/>
            <w:vAlign w:val="center"/>
            <w:hideMark/>
          </w:tcPr>
          <w:p w14:paraId="7EA242CA"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51</w:t>
            </w:r>
          </w:p>
        </w:tc>
        <w:tc>
          <w:tcPr>
            <w:tcW w:w="1080" w:type="dxa"/>
            <w:tcBorders>
              <w:top w:val="nil"/>
              <w:left w:val="nil"/>
              <w:bottom w:val="nil"/>
              <w:right w:val="nil"/>
            </w:tcBorders>
            <w:shd w:val="clear" w:color="auto" w:fill="auto"/>
            <w:noWrap/>
            <w:vAlign w:val="center"/>
            <w:hideMark/>
          </w:tcPr>
          <w:p w14:paraId="31E92AD5"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-54</w:t>
            </w:r>
          </w:p>
        </w:tc>
        <w:tc>
          <w:tcPr>
            <w:tcW w:w="1080" w:type="dxa"/>
            <w:tcBorders>
              <w:top w:val="nil"/>
              <w:left w:val="nil"/>
              <w:bottom w:val="nil"/>
              <w:right w:val="nil"/>
            </w:tcBorders>
            <w:shd w:val="clear" w:color="auto" w:fill="auto"/>
            <w:noWrap/>
            <w:vAlign w:val="center"/>
            <w:hideMark/>
          </w:tcPr>
          <w:p w14:paraId="591CF323"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-15</w:t>
            </w:r>
          </w:p>
        </w:tc>
        <w:tc>
          <w:tcPr>
            <w:tcW w:w="1080" w:type="dxa"/>
            <w:tcBorders>
              <w:top w:val="nil"/>
              <w:left w:val="nil"/>
              <w:bottom w:val="nil"/>
              <w:right w:val="nil"/>
            </w:tcBorders>
            <w:shd w:val="clear" w:color="auto" w:fill="auto"/>
            <w:noWrap/>
            <w:vAlign w:val="center"/>
            <w:hideMark/>
          </w:tcPr>
          <w:p w14:paraId="46A863AD"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4.36</w:t>
            </w:r>
          </w:p>
        </w:tc>
        <w:tc>
          <w:tcPr>
            <w:tcW w:w="1080" w:type="dxa"/>
            <w:tcBorders>
              <w:top w:val="nil"/>
              <w:left w:val="nil"/>
              <w:bottom w:val="nil"/>
              <w:right w:val="nil"/>
            </w:tcBorders>
            <w:shd w:val="clear" w:color="auto" w:fill="auto"/>
            <w:noWrap/>
            <w:vAlign w:val="center"/>
            <w:hideMark/>
          </w:tcPr>
          <w:p w14:paraId="4504B525"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4.07</w:t>
            </w:r>
          </w:p>
        </w:tc>
        <w:tc>
          <w:tcPr>
            <w:tcW w:w="1080" w:type="dxa"/>
            <w:tcBorders>
              <w:top w:val="nil"/>
              <w:left w:val="nil"/>
              <w:bottom w:val="nil"/>
              <w:right w:val="nil"/>
            </w:tcBorders>
            <w:shd w:val="clear" w:color="auto" w:fill="auto"/>
            <w:noWrap/>
            <w:vAlign w:val="center"/>
            <w:hideMark/>
          </w:tcPr>
          <w:p w14:paraId="60A6295A"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340</w:t>
            </w:r>
          </w:p>
        </w:tc>
      </w:tr>
      <w:tr w:rsidR="008419CC" w:rsidRPr="00313D73" w14:paraId="27458553" w14:textId="77777777" w:rsidTr="000634EB">
        <w:trPr>
          <w:trHeight w:val="657"/>
        </w:trPr>
        <w:tc>
          <w:tcPr>
            <w:tcW w:w="2420" w:type="dxa"/>
            <w:tcBorders>
              <w:top w:val="nil"/>
              <w:left w:val="nil"/>
              <w:bottom w:val="nil"/>
              <w:right w:val="nil"/>
            </w:tcBorders>
            <w:shd w:val="clear" w:color="auto" w:fill="auto"/>
            <w:vAlign w:val="center"/>
            <w:hideMark/>
          </w:tcPr>
          <w:p w14:paraId="038AB8ED" w14:textId="77777777" w:rsidR="008419CC" w:rsidRPr="00313D73" w:rsidRDefault="008419CC" w:rsidP="000634EB">
            <w:pP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Right hippocampus</w:t>
            </w:r>
          </w:p>
        </w:tc>
        <w:tc>
          <w:tcPr>
            <w:tcW w:w="1080" w:type="dxa"/>
            <w:tcBorders>
              <w:top w:val="nil"/>
              <w:left w:val="nil"/>
              <w:bottom w:val="nil"/>
              <w:right w:val="nil"/>
            </w:tcBorders>
            <w:shd w:val="clear" w:color="auto" w:fill="auto"/>
            <w:noWrap/>
            <w:vAlign w:val="center"/>
            <w:hideMark/>
          </w:tcPr>
          <w:p w14:paraId="7BE51351"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32</w:t>
            </w:r>
          </w:p>
        </w:tc>
        <w:tc>
          <w:tcPr>
            <w:tcW w:w="1080" w:type="dxa"/>
            <w:tcBorders>
              <w:top w:val="nil"/>
              <w:left w:val="nil"/>
              <w:bottom w:val="nil"/>
              <w:right w:val="nil"/>
            </w:tcBorders>
            <w:shd w:val="clear" w:color="auto" w:fill="auto"/>
            <w:noWrap/>
            <w:vAlign w:val="center"/>
            <w:hideMark/>
          </w:tcPr>
          <w:p w14:paraId="1E23059C"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-30</w:t>
            </w:r>
          </w:p>
        </w:tc>
        <w:tc>
          <w:tcPr>
            <w:tcW w:w="1080" w:type="dxa"/>
            <w:tcBorders>
              <w:top w:val="nil"/>
              <w:left w:val="nil"/>
              <w:bottom w:val="nil"/>
              <w:right w:val="nil"/>
            </w:tcBorders>
            <w:shd w:val="clear" w:color="auto" w:fill="auto"/>
            <w:noWrap/>
            <w:vAlign w:val="center"/>
            <w:hideMark/>
          </w:tcPr>
          <w:p w14:paraId="409AFCD3"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-10</w:t>
            </w:r>
          </w:p>
        </w:tc>
        <w:tc>
          <w:tcPr>
            <w:tcW w:w="1080" w:type="dxa"/>
            <w:tcBorders>
              <w:top w:val="nil"/>
              <w:left w:val="nil"/>
              <w:bottom w:val="nil"/>
              <w:right w:val="nil"/>
            </w:tcBorders>
            <w:shd w:val="clear" w:color="auto" w:fill="auto"/>
            <w:noWrap/>
            <w:vAlign w:val="center"/>
            <w:hideMark/>
          </w:tcPr>
          <w:p w14:paraId="14E20B9D"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3.91</w:t>
            </w:r>
          </w:p>
        </w:tc>
        <w:tc>
          <w:tcPr>
            <w:tcW w:w="1080" w:type="dxa"/>
            <w:tcBorders>
              <w:top w:val="nil"/>
              <w:left w:val="nil"/>
              <w:bottom w:val="nil"/>
              <w:right w:val="nil"/>
            </w:tcBorders>
            <w:shd w:val="clear" w:color="auto" w:fill="auto"/>
            <w:noWrap/>
            <w:vAlign w:val="center"/>
            <w:hideMark/>
          </w:tcPr>
          <w:p w14:paraId="3EE43B29"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3.70</w:t>
            </w:r>
          </w:p>
        </w:tc>
        <w:tc>
          <w:tcPr>
            <w:tcW w:w="1080" w:type="dxa"/>
            <w:tcBorders>
              <w:top w:val="nil"/>
              <w:left w:val="nil"/>
              <w:bottom w:val="nil"/>
              <w:right w:val="nil"/>
            </w:tcBorders>
            <w:shd w:val="clear" w:color="auto" w:fill="auto"/>
            <w:noWrap/>
            <w:vAlign w:val="center"/>
            <w:hideMark/>
          </w:tcPr>
          <w:p w14:paraId="54BE656A"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380</w:t>
            </w:r>
          </w:p>
        </w:tc>
      </w:tr>
      <w:tr w:rsidR="008419CC" w:rsidRPr="00313D73" w14:paraId="7407E0B3" w14:textId="77777777" w:rsidTr="000634EB">
        <w:trPr>
          <w:trHeight w:val="400"/>
        </w:trPr>
        <w:tc>
          <w:tcPr>
            <w:tcW w:w="2420" w:type="dxa"/>
            <w:tcBorders>
              <w:top w:val="nil"/>
              <w:left w:val="nil"/>
              <w:bottom w:val="nil"/>
              <w:right w:val="nil"/>
            </w:tcBorders>
            <w:shd w:val="clear" w:color="auto" w:fill="auto"/>
            <w:vAlign w:val="center"/>
            <w:hideMark/>
          </w:tcPr>
          <w:p w14:paraId="3118979F" w14:textId="77777777" w:rsidR="008419CC" w:rsidRPr="00313D73" w:rsidRDefault="008419CC" w:rsidP="000634EB">
            <w:pP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Left thalamus</w:t>
            </w:r>
          </w:p>
        </w:tc>
        <w:tc>
          <w:tcPr>
            <w:tcW w:w="1080" w:type="dxa"/>
            <w:tcBorders>
              <w:top w:val="nil"/>
              <w:left w:val="nil"/>
              <w:bottom w:val="nil"/>
              <w:right w:val="nil"/>
            </w:tcBorders>
            <w:shd w:val="clear" w:color="auto" w:fill="auto"/>
            <w:noWrap/>
            <w:vAlign w:val="center"/>
            <w:hideMark/>
          </w:tcPr>
          <w:p w14:paraId="177D79C5"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-8</w:t>
            </w:r>
          </w:p>
        </w:tc>
        <w:tc>
          <w:tcPr>
            <w:tcW w:w="1080" w:type="dxa"/>
            <w:tcBorders>
              <w:top w:val="nil"/>
              <w:left w:val="nil"/>
              <w:bottom w:val="nil"/>
              <w:right w:val="nil"/>
            </w:tcBorders>
            <w:shd w:val="clear" w:color="auto" w:fill="auto"/>
            <w:noWrap/>
            <w:vAlign w:val="center"/>
            <w:hideMark/>
          </w:tcPr>
          <w:p w14:paraId="43B52739"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-9</w:t>
            </w:r>
          </w:p>
        </w:tc>
        <w:tc>
          <w:tcPr>
            <w:tcW w:w="1080" w:type="dxa"/>
            <w:tcBorders>
              <w:top w:val="nil"/>
              <w:left w:val="nil"/>
              <w:bottom w:val="nil"/>
              <w:right w:val="nil"/>
            </w:tcBorders>
            <w:shd w:val="clear" w:color="auto" w:fill="auto"/>
            <w:noWrap/>
            <w:vAlign w:val="center"/>
            <w:hideMark/>
          </w:tcPr>
          <w:p w14:paraId="17AE9970"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16</w:t>
            </w:r>
          </w:p>
        </w:tc>
        <w:tc>
          <w:tcPr>
            <w:tcW w:w="1080" w:type="dxa"/>
            <w:tcBorders>
              <w:top w:val="nil"/>
              <w:left w:val="nil"/>
              <w:bottom w:val="nil"/>
              <w:right w:val="nil"/>
            </w:tcBorders>
            <w:shd w:val="clear" w:color="auto" w:fill="auto"/>
            <w:noWrap/>
            <w:vAlign w:val="center"/>
            <w:hideMark/>
          </w:tcPr>
          <w:p w14:paraId="20412E76"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3.90</w:t>
            </w:r>
          </w:p>
        </w:tc>
        <w:tc>
          <w:tcPr>
            <w:tcW w:w="1080" w:type="dxa"/>
            <w:tcBorders>
              <w:top w:val="nil"/>
              <w:left w:val="nil"/>
              <w:bottom w:val="nil"/>
              <w:right w:val="nil"/>
            </w:tcBorders>
            <w:shd w:val="clear" w:color="auto" w:fill="auto"/>
            <w:noWrap/>
            <w:vAlign w:val="center"/>
            <w:hideMark/>
          </w:tcPr>
          <w:p w14:paraId="7FA0375C"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3.69</w:t>
            </w:r>
          </w:p>
        </w:tc>
        <w:tc>
          <w:tcPr>
            <w:tcW w:w="1080" w:type="dxa"/>
            <w:tcBorders>
              <w:top w:val="nil"/>
              <w:left w:val="nil"/>
              <w:bottom w:val="nil"/>
              <w:right w:val="nil"/>
            </w:tcBorders>
            <w:shd w:val="clear" w:color="auto" w:fill="auto"/>
            <w:noWrap/>
            <w:vAlign w:val="center"/>
            <w:hideMark/>
          </w:tcPr>
          <w:p w14:paraId="4078C41A"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450</w:t>
            </w:r>
          </w:p>
        </w:tc>
      </w:tr>
      <w:tr w:rsidR="008419CC" w:rsidRPr="00313D73" w14:paraId="32E35A0F" w14:textId="77777777" w:rsidTr="000634EB">
        <w:trPr>
          <w:trHeight w:val="400"/>
        </w:trPr>
        <w:tc>
          <w:tcPr>
            <w:tcW w:w="2420" w:type="dxa"/>
            <w:tcBorders>
              <w:top w:val="nil"/>
              <w:left w:val="nil"/>
              <w:bottom w:val="single" w:sz="8" w:space="0" w:color="auto"/>
              <w:right w:val="nil"/>
            </w:tcBorders>
            <w:shd w:val="clear" w:color="auto" w:fill="auto"/>
            <w:vAlign w:val="center"/>
            <w:hideMark/>
          </w:tcPr>
          <w:p w14:paraId="6D442943" w14:textId="77777777" w:rsidR="008419CC" w:rsidRPr="00313D73" w:rsidRDefault="008419CC" w:rsidP="000634EB">
            <w:pP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Right cerebellum</w:t>
            </w:r>
          </w:p>
        </w:tc>
        <w:tc>
          <w:tcPr>
            <w:tcW w:w="1080" w:type="dxa"/>
            <w:tcBorders>
              <w:top w:val="nil"/>
              <w:left w:val="nil"/>
              <w:bottom w:val="single" w:sz="8" w:space="0" w:color="auto"/>
              <w:right w:val="nil"/>
            </w:tcBorders>
            <w:shd w:val="clear" w:color="auto" w:fill="auto"/>
            <w:noWrap/>
            <w:vAlign w:val="center"/>
            <w:hideMark/>
          </w:tcPr>
          <w:p w14:paraId="6AEFE174"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18</w:t>
            </w:r>
          </w:p>
        </w:tc>
        <w:tc>
          <w:tcPr>
            <w:tcW w:w="1080" w:type="dxa"/>
            <w:tcBorders>
              <w:top w:val="nil"/>
              <w:left w:val="nil"/>
              <w:bottom w:val="single" w:sz="8" w:space="0" w:color="auto"/>
              <w:right w:val="nil"/>
            </w:tcBorders>
            <w:shd w:val="clear" w:color="auto" w:fill="auto"/>
            <w:noWrap/>
            <w:vAlign w:val="center"/>
            <w:hideMark/>
          </w:tcPr>
          <w:p w14:paraId="0FA9118F"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-69</w:t>
            </w:r>
          </w:p>
        </w:tc>
        <w:tc>
          <w:tcPr>
            <w:tcW w:w="1080" w:type="dxa"/>
            <w:tcBorders>
              <w:top w:val="nil"/>
              <w:left w:val="nil"/>
              <w:bottom w:val="single" w:sz="8" w:space="0" w:color="auto"/>
              <w:right w:val="nil"/>
            </w:tcBorders>
            <w:shd w:val="clear" w:color="auto" w:fill="auto"/>
            <w:noWrap/>
            <w:vAlign w:val="center"/>
            <w:hideMark/>
          </w:tcPr>
          <w:p w14:paraId="64135C82"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-58</w:t>
            </w:r>
          </w:p>
        </w:tc>
        <w:tc>
          <w:tcPr>
            <w:tcW w:w="1080" w:type="dxa"/>
            <w:tcBorders>
              <w:top w:val="nil"/>
              <w:left w:val="nil"/>
              <w:bottom w:val="single" w:sz="8" w:space="0" w:color="auto"/>
              <w:right w:val="nil"/>
            </w:tcBorders>
            <w:shd w:val="clear" w:color="auto" w:fill="auto"/>
            <w:noWrap/>
            <w:vAlign w:val="center"/>
            <w:hideMark/>
          </w:tcPr>
          <w:p w14:paraId="55D0E4F5"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3.71</w:t>
            </w:r>
          </w:p>
        </w:tc>
        <w:tc>
          <w:tcPr>
            <w:tcW w:w="1080" w:type="dxa"/>
            <w:tcBorders>
              <w:top w:val="nil"/>
              <w:left w:val="nil"/>
              <w:bottom w:val="single" w:sz="8" w:space="0" w:color="auto"/>
              <w:right w:val="nil"/>
            </w:tcBorders>
            <w:shd w:val="clear" w:color="auto" w:fill="auto"/>
            <w:noWrap/>
            <w:vAlign w:val="center"/>
            <w:hideMark/>
          </w:tcPr>
          <w:p w14:paraId="49EC5CE6"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3.53</w:t>
            </w:r>
          </w:p>
        </w:tc>
        <w:tc>
          <w:tcPr>
            <w:tcW w:w="1080" w:type="dxa"/>
            <w:tcBorders>
              <w:top w:val="nil"/>
              <w:left w:val="nil"/>
              <w:bottom w:val="single" w:sz="8" w:space="0" w:color="auto"/>
              <w:right w:val="nil"/>
            </w:tcBorders>
            <w:shd w:val="clear" w:color="auto" w:fill="auto"/>
            <w:noWrap/>
            <w:vAlign w:val="center"/>
            <w:hideMark/>
          </w:tcPr>
          <w:p w14:paraId="0BB4D1DA" w14:textId="77777777" w:rsidR="008419CC" w:rsidRPr="00313D73" w:rsidRDefault="008419CC" w:rsidP="000634EB">
            <w:pPr>
              <w:jc w:val="center"/>
              <w:rPr>
                <w:rFonts w:ascii="Times New Roman" w:eastAsia="Yu Gothic" w:hAnsi="Times New Roman" w:cs="Times New Roman"/>
                <w:color w:val="000000"/>
                <w:sz w:val="18"/>
                <w:szCs w:val="18"/>
              </w:rPr>
            </w:pPr>
            <w:r w:rsidRPr="00313D73">
              <w:rPr>
                <w:rFonts w:ascii="Times New Roman" w:eastAsia="Yu Gothic" w:hAnsi="Times New Roman" w:cs="Times New Roman"/>
                <w:color w:val="000000"/>
                <w:sz w:val="18"/>
                <w:szCs w:val="18"/>
              </w:rPr>
              <w:t>282</w:t>
            </w:r>
          </w:p>
        </w:tc>
      </w:tr>
    </w:tbl>
    <w:p w14:paraId="5702BE53" w14:textId="77777777" w:rsidR="008419CC" w:rsidRDefault="008419CC" w:rsidP="008419CC">
      <w:pPr>
        <w:spacing w:line="480" w:lineRule="auto"/>
        <w:rPr>
          <w:rFonts w:ascii="Times New Roman" w:hAnsi="Times New Roman" w:cs="Times New Roman"/>
          <w:sz w:val="24"/>
        </w:rPr>
      </w:pPr>
    </w:p>
    <w:p w14:paraId="1F4C5DEE"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lastRenderedPageBreak/>
        <w:drawing>
          <wp:inline distT="0" distB="0" distL="0" distR="0" wp14:anchorId="78F961DC" wp14:editId="122C3D4B">
            <wp:extent cx="5177481" cy="6669881"/>
            <wp:effectExtent l="0" t="0" r="444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pplementatyFigure1.jpg"/>
                    <pic:cNvPicPr/>
                  </pic:nvPicPr>
                  <pic:blipFill>
                    <a:blip r:embed="rId4">
                      <a:extLst>
                        <a:ext uri="{28A0092B-C50C-407E-A947-70E740481C1C}">
                          <a14:useLocalDpi xmlns:a14="http://schemas.microsoft.com/office/drawing/2010/main" val="0"/>
                        </a:ext>
                      </a:extLst>
                    </a:blip>
                    <a:stretch>
                      <a:fillRect/>
                    </a:stretch>
                  </pic:blipFill>
                  <pic:spPr>
                    <a:xfrm>
                      <a:off x="0" y="0"/>
                      <a:ext cx="5191340" cy="6687735"/>
                    </a:xfrm>
                    <a:prstGeom prst="rect">
                      <a:avLst/>
                    </a:prstGeom>
                  </pic:spPr>
                </pic:pic>
              </a:graphicData>
            </a:graphic>
          </wp:inline>
        </w:drawing>
      </w:r>
    </w:p>
    <w:p w14:paraId="4FBC3CE4" w14:textId="0B4E4974" w:rsidR="008419CC" w:rsidRPr="00D913FB" w:rsidRDefault="008419CC" w:rsidP="008419CC">
      <w:pPr>
        <w:spacing w:line="480" w:lineRule="auto"/>
        <w:rPr>
          <w:rFonts w:ascii="Times New Roman" w:hAnsi="Times New Roman" w:cs="Times New Roman"/>
          <w:sz w:val="24"/>
          <w:lang w:val="en-US"/>
        </w:rPr>
      </w:pPr>
      <w:r w:rsidRPr="00D913FB">
        <w:rPr>
          <w:rFonts w:ascii="Times New Roman" w:hAnsi="Times New Roman" w:cs="Times New Roman"/>
          <w:sz w:val="24"/>
          <w:lang w:val="en-US"/>
        </w:rPr>
        <w:t xml:space="preserve">Supplementary </w:t>
      </w:r>
      <w:r w:rsidRPr="00D913FB">
        <w:rPr>
          <w:rFonts w:ascii="Times New Roman" w:hAnsi="Times New Roman" w:cs="Times New Roman" w:hint="eastAsia"/>
          <w:sz w:val="24"/>
          <w:lang w:val="en-US"/>
        </w:rPr>
        <w:t>F</w:t>
      </w:r>
      <w:r w:rsidR="002C074F">
        <w:rPr>
          <w:rFonts w:ascii="Times New Roman" w:hAnsi="Times New Roman" w:cs="Times New Roman"/>
          <w:sz w:val="24"/>
          <w:lang w:val="en-US"/>
        </w:rPr>
        <w:t xml:space="preserve">igure </w:t>
      </w:r>
      <w:r w:rsidR="009E2EA9">
        <w:rPr>
          <w:rFonts w:ascii="Times New Roman" w:hAnsi="Times New Roman" w:cs="Times New Roman"/>
          <w:sz w:val="24"/>
          <w:lang w:val="en-US"/>
        </w:rPr>
        <w:t>1</w:t>
      </w:r>
      <w:r w:rsidRPr="00D913FB">
        <w:rPr>
          <w:rFonts w:ascii="Times New Roman" w:hAnsi="Times New Roman" w:cs="Times New Roman"/>
          <w:sz w:val="24"/>
          <w:lang w:val="en-US"/>
        </w:rPr>
        <w:t xml:space="preserve">. Brain regions showing significantly lower GMV in patients with VLOSLP compared to healthy controls </w:t>
      </w:r>
      <w:r w:rsidR="005E126C">
        <w:rPr>
          <w:rFonts w:ascii="Times New Roman" w:hAnsi="Times New Roman" w:cs="Times New Roman"/>
          <w:sz w:val="24"/>
          <w:lang w:val="en-US"/>
        </w:rPr>
        <w:t>using</w:t>
      </w:r>
      <w:r w:rsidRPr="00D913FB">
        <w:rPr>
          <w:rFonts w:ascii="Times New Roman" w:hAnsi="Times New Roman" w:cs="Times New Roman"/>
          <w:sz w:val="24"/>
          <w:lang w:val="en-US"/>
        </w:rPr>
        <w:t xml:space="preserve"> </w:t>
      </w:r>
      <w:r w:rsidR="005E126C">
        <w:rPr>
          <w:rFonts w:ascii="Times New Roman" w:hAnsi="Times New Roman" w:cs="Times New Roman"/>
          <w:sz w:val="24"/>
          <w:lang w:val="en-US"/>
        </w:rPr>
        <w:t>a</w:t>
      </w:r>
      <w:r w:rsidRPr="00D913FB">
        <w:rPr>
          <w:rFonts w:ascii="Times New Roman" w:hAnsi="Times New Roman" w:cs="Times New Roman"/>
          <w:sz w:val="24"/>
          <w:lang w:val="en-US"/>
        </w:rPr>
        <w:t xml:space="preserve"> parametric </w:t>
      </w:r>
      <w:r w:rsidR="005E126C">
        <w:rPr>
          <w:rFonts w:ascii="Times New Roman" w:hAnsi="Times New Roman" w:cs="Times New Roman"/>
          <w:sz w:val="24"/>
          <w:lang w:val="en-US"/>
        </w:rPr>
        <w:t>approach</w:t>
      </w:r>
      <w:r w:rsidRPr="00D913FB">
        <w:rPr>
          <w:rFonts w:ascii="Times New Roman" w:hAnsi="Times New Roman" w:cs="Times New Roman"/>
          <w:sz w:val="24"/>
          <w:lang w:val="en-US"/>
        </w:rPr>
        <w:t xml:space="preserve">. Brain regions associated with lower GMV in VLOSLP are shown in red in the figure. Statistical threshold was set at uncorrected voxel-level p = 0.001 with </w:t>
      </w:r>
      <w:r w:rsidR="005E126C">
        <w:rPr>
          <w:rFonts w:ascii="Times New Roman" w:hAnsi="Times New Roman" w:cs="Times New Roman"/>
          <w:sz w:val="24"/>
          <w:lang w:val="en-US"/>
        </w:rPr>
        <w:t xml:space="preserve">a cluster extent threshold of </w:t>
      </w:r>
      <w:r w:rsidRPr="00D913FB">
        <w:rPr>
          <w:rFonts w:ascii="Times New Roman" w:hAnsi="Times New Roman" w:cs="Times New Roman"/>
          <w:sz w:val="24"/>
          <w:lang w:val="en-US"/>
        </w:rPr>
        <w:t>100 voxels.</w:t>
      </w:r>
      <w:r w:rsidRPr="00D913FB">
        <w:rPr>
          <w:rFonts w:ascii="Times New Roman" w:hAnsi="Times New Roman" w:cs="Times New Roman"/>
          <w:sz w:val="24"/>
          <w:lang w:val="en-US"/>
        </w:rPr>
        <w:br w:type="page"/>
      </w:r>
    </w:p>
    <w:p w14:paraId="0378D0F9" w14:textId="77777777" w:rsidR="008419CC" w:rsidRPr="005A59E9" w:rsidRDefault="008419CC" w:rsidP="008419CC">
      <w:pPr>
        <w:spacing w:line="480" w:lineRule="auto"/>
        <w:rPr>
          <w:rFonts w:ascii="Times New Roman" w:hAnsi="Times New Roman" w:cs="Times New Roman"/>
          <w:bCs/>
          <w:i/>
          <w:sz w:val="24"/>
          <w:lang w:val="en-US"/>
        </w:rPr>
      </w:pPr>
      <w:r w:rsidRPr="005A59E9">
        <w:rPr>
          <w:rFonts w:ascii="Times New Roman" w:hAnsi="Times New Roman" w:cs="Times New Roman"/>
          <w:bCs/>
          <w:i/>
          <w:sz w:val="24"/>
          <w:lang w:val="en-US"/>
        </w:rPr>
        <w:lastRenderedPageBreak/>
        <w:t>Multivariate source-based morphometry analysis</w:t>
      </w:r>
    </w:p>
    <w:p w14:paraId="4CF58146" w14:textId="77777777" w:rsidR="008419CC" w:rsidRPr="00D913FB" w:rsidRDefault="008419CC" w:rsidP="008419CC">
      <w:pPr>
        <w:spacing w:line="480" w:lineRule="auto"/>
        <w:rPr>
          <w:rFonts w:ascii="Times New Roman" w:hAnsi="Times New Roman" w:cs="Times New Roman"/>
          <w:sz w:val="24"/>
          <w:lang w:val="en-US"/>
        </w:rPr>
      </w:pPr>
      <w:r w:rsidRPr="00D913FB">
        <w:rPr>
          <w:rFonts w:ascii="Times New Roman" w:hAnsi="Times New Roman" w:cs="Times New Roman"/>
          <w:sz w:val="24"/>
          <w:lang w:val="en-US"/>
        </w:rPr>
        <w:t>Voxel-based morphometry (VBM) is an automated technique, which utilizes multiple univariate analyses to identify clusters of voxels which differ between two groups (e.g., lower gray matter volume (GMV) in patients with VLOSLP compared to healthy controls). In contrast to identifying multiple single regions in isolation in the univariate analysis such as VBM, identifying spatially distinct regions that show similar patterns of GM abnormalities may provide complementary information on the neurobiology of psychiatric disorders as neuronal network disorders. Source-based morphometry (SBM) is a data-driven, multivariate extension of VBM utilizing independent component analysis (ICA) to identify patterns across multiple covarying networks (Xu et al., 2009). This technique can reduce the severity of multiple comparison correction and improve sensitivity to detect GM difference between groups while also providing biologically meaningful information. Previous research into the neurobiology of schizophrenia has shown that SBM identified GMV differences that were not identified by VBM (Xu et al. 2009; Wolf et al. 2014; Gupta et al., 2015).</w:t>
      </w:r>
    </w:p>
    <w:p w14:paraId="016D49B4" w14:textId="77777777" w:rsidR="008419CC" w:rsidRPr="00D913FB" w:rsidRDefault="008419CC" w:rsidP="008419CC">
      <w:pPr>
        <w:spacing w:line="480" w:lineRule="auto"/>
        <w:rPr>
          <w:rFonts w:ascii="Times New Roman" w:hAnsi="Times New Roman" w:cs="Times New Roman"/>
          <w:sz w:val="24"/>
          <w:lang w:val="en-US" w:eastAsia="ja-JP"/>
        </w:rPr>
      </w:pPr>
      <w:r w:rsidRPr="00D913FB">
        <w:rPr>
          <w:rFonts w:ascii="Times New Roman" w:hAnsi="Times New Roman" w:cs="Times New Roman" w:hint="eastAsia"/>
          <w:sz w:val="24"/>
          <w:lang w:val="en-US" w:eastAsia="ja-JP"/>
        </w:rPr>
        <w:t>T</w:t>
      </w:r>
      <w:r w:rsidRPr="00D913FB">
        <w:rPr>
          <w:rFonts w:ascii="Times New Roman" w:hAnsi="Times New Roman" w:cs="Times New Roman"/>
          <w:sz w:val="24"/>
          <w:lang w:val="en-US" w:eastAsia="ja-JP"/>
        </w:rPr>
        <w:t>herefore, in the current study, we also conducted the SBM analysis as well as the VBM analysis.</w:t>
      </w:r>
      <w:r w:rsidRPr="00D913FB">
        <w:rPr>
          <w:rFonts w:ascii="Times New Roman" w:hAnsi="Times New Roman" w:cs="Times New Roman" w:hint="eastAsia"/>
          <w:sz w:val="24"/>
          <w:lang w:val="en-US" w:eastAsia="ja-JP"/>
        </w:rPr>
        <w:t xml:space="preserve"> </w:t>
      </w:r>
      <w:r w:rsidRPr="00D913FB">
        <w:rPr>
          <w:rFonts w:ascii="Times New Roman" w:hAnsi="Times New Roman" w:cs="Times New Roman"/>
          <w:sz w:val="24"/>
          <w:lang w:val="en-US" w:eastAsia="ja-JP"/>
        </w:rPr>
        <w:t xml:space="preserve">First, </w:t>
      </w:r>
      <w:r w:rsidRPr="00D913FB">
        <w:rPr>
          <w:rFonts w:ascii="Times New Roman" w:hAnsi="Times New Roman" w:cs="Times New Roman"/>
          <w:sz w:val="24"/>
          <w:lang w:val="en-US"/>
        </w:rPr>
        <w:t>using individual pre-processed GM image, an independent component analysis (ICA) was performed. An Infomax algorithm implemented in the SBM module of the GIFT toolbox (http://mialab.mrn.org/software/gift) was used to perform ICA decompositions. We set the number of components to 30 in accordance with similar studies (Xu et al., 2009; Gupta et al., 2015), and we used the ICASSO algorithm (</w:t>
      </w:r>
      <w:proofErr w:type="spellStart"/>
      <w:r w:rsidRPr="00D913FB">
        <w:rPr>
          <w:rFonts w:ascii="Times New Roman" w:hAnsi="Times New Roman" w:cs="Times New Roman"/>
          <w:sz w:val="24"/>
          <w:lang w:val="en-US"/>
        </w:rPr>
        <w:t>Himberg</w:t>
      </w:r>
      <w:proofErr w:type="spellEnd"/>
      <w:r w:rsidRPr="00D913FB">
        <w:rPr>
          <w:rFonts w:ascii="Times New Roman" w:hAnsi="Times New Roman" w:cs="Times New Roman"/>
          <w:sz w:val="24"/>
          <w:lang w:val="en-US"/>
        </w:rPr>
        <w:t xml:space="preserve"> et al., 2004) to increase component reliability and consistency. The ICA estimation was repeated 20 times with bootstrapping and permutation. Artifact components were identified visually and were excluded. Components with a quality index &gt;0.9 indicating stable decomposition (Allen et al., 2011) were used in subsequent analyses.</w:t>
      </w:r>
    </w:p>
    <w:p w14:paraId="58B127C0" w14:textId="77777777" w:rsidR="008419CC" w:rsidRDefault="008419CC" w:rsidP="00324862">
      <w:pPr>
        <w:spacing w:line="480" w:lineRule="auto"/>
        <w:rPr>
          <w:rFonts w:ascii="Times New Roman" w:hAnsi="Times New Roman" w:cs="Times New Roman"/>
          <w:sz w:val="24"/>
          <w:lang w:val="en-US"/>
        </w:rPr>
      </w:pPr>
      <w:r w:rsidRPr="00D913FB">
        <w:rPr>
          <w:rFonts w:ascii="Times New Roman" w:hAnsi="Times New Roman" w:cs="Times New Roman"/>
          <w:sz w:val="24"/>
          <w:lang w:val="en-US"/>
        </w:rPr>
        <w:lastRenderedPageBreak/>
        <w:t>Group comparisons were conducted by using ICA loading parameters which represent the contribution of every GMV component to the 71 participants (35 patients with VLOSLP and 36 healthy controls): thus, these parameters contain information about the relationship between each subject and each component. When the spatial component is positive, and when the loading coefficients are larger in healthy controls than in patients with VLOSLP, we interpret that GMV is larger in healthy controls for the spatial component. A multivariate analysis of covariance (MANCOVA) was used with loading parameters as dependent variables, diagnosis as a factor, and</w:t>
      </w:r>
      <w:r w:rsidR="002C074F">
        <w:rPr>
          <w:rFonts w:ascii="Times New Roman" w:hAnsi="Times New Roman" w:cs="Times New Roman"/>
          <w:sz w:val="24"/>
          <w:lang w:val="en-US"/>
        </w:rPr>
        <w:t xml:space="preserve"> age as a covariate. We set p &lt;</w:t>
      </w:r>
      <w:r w:rsidRPr="00D913FB">
        <w:rPr>
          <w:rFonts w:ascii="Times New Roman" w:hAnsi="Times New Roman" w:cs="Times New Roman"/>
          <w:sz w:val="24"/>
          <w:lang w:val="en-US"/>
        </w:rPr>
        <w:t>.05 as a statistically significant threshold. The following separate ANCOVAs including age as a covariate were conducted to identify which components differed between groups.</w:t>
      </w:r>
      <w:r w:rsidRPr="00D913FB">
        <w:rPr>
          <w:rFonts w:ascii="Times New Roman" w:hAnsi="Times New Roman" w:cs="Times New Roman" w:hint="eastAsia"/>
          <w:sz w:val="24"/>
          <w:lang w:val="en-US"/>
        </w:rPr>
        <w:t xml:space="preserve"> </w:t>
      </w:r>
      <w:r w:rsidRPr="00D913FB">
        <w:rPr>
          <w:rFonts w:ascii="Times New Roman" w:hAnsi="Times New Roman" w:cs="Times New Roman"/>
          <w:sz w:val="24"/>
          <w:lang w:val="en-US"/>
        </w:rPr>
        <w:t xml:space="preserve">For the purpose of the visualization, the source matrix was reshaped back to a 3-D image, scaled to unit standard deviations (Z maps) and </w:t>
      </w:r>
      <w:proofErr w:type="spellStart"/>
      <w:r w:rsidRPr="00D913FB">
        <w:rPr>
          <w:rFonts w:ascii="Times New Roman" w:hAnsi="Times New Roman" w:cs="Times New Roman"/>
          <w:sz w:val="24"/>
          <w:lang w:val="en-US"/>
        </w:rPr>
        <w:t>thresholded</w:t>
      </w:r>
      <w:proofErr w:type="spellEnd"/>
      <w:r w:rsidRPr="00D913FB">
        <w:rPr>
          <w:rFonts w:ascii="Times New Roman" w:hAnsi="Times New Roman" w:cs="Times New Roman"/>
          <w:sz w:val="24"/>
          <w:lang w:val="en-US"/>
        </w:rPr>
        <w:t xml:space="preserve"> at Z &gt;3.0. Detailed description of methodology for SBM can be found in a previous paper (Xu et al., 2009).</w:t>
      </w:r>
    </w:p>
    <w:p w14:paraId="1F4ED4C8" w14:textId="77777777" w:rsidR="008419CC" w:rsidRPr="00D913FB" w:rsidRDefault="008419CC" w:rsidP="00324862">
      <w:pPr>
        <w:spacing w:line="480" w:lineRule="auto"/>
        <w:rPr>
          <w:rFonts w:ascii="Times New Roman" w:hAnsi="Times New Roman" w:cs="Times New Roman"/>
          <w:sz w:val="24"/>
          <w:lang w:val="en-US"/>
        </w:rPr>
      </w:pPr>
    </w:p>
    <w:p w14:paraId="2E45CE68" w14:textId="77777777" w:rsidR="008419CC" w:rsidRPr="005A59E9" w:rsidRDefault="008419CC" w:rsidP="008419CC">
      <w:pPr>
        <w:spacing w:line="480" w:lineRule="auto"/>
        <w:rPr>
          <w:rFonts w:ascii="Times New Roman" w:hAnsi="Times New Roman" w:cs="Times New Roman"/>
          <w:bCs/>
          <w:i/>
          <w:sz w:val="24"/>
          <w:lang w:val="en-US"/>
        </w:rPr>
      </w:pPr>
      <w:r w:rsidRPr="005A59E9">
        <w:rPr>
          <w:rFonts w:ascii="Times New Roman" w:hAnsi="Times New Roman" w:cs="Times New Roman" w:hint="eastAsia"/>
          <w:bCs/>
          <w:i/>
          <w:sz w:val="24"/>
          <w:lang w:val="en-US"/>
        </w:rPr>
        <w:t>G</w:t>
      </w:r>
      <w:r w:rsidRPr="005A59E9">
        <w:rPr>
          <w:rFonts w:ascii="Times New Roman" w:hAnsi="Times New Roman" w:cs="Times New Roman"/>
          <w:bCs/>
          <w:i/>
          <w:sz w:val="24"/>
          <w:lang w:val="en-US"/>
        </w:rPr>
        <w:t>roup comparisons of structural networks</w:t>
      </w:r>
    </w:p>
    <w:p w14:paraId="470C25C7" w14:textId="1ED0E562" w:rsidR="008419CC" w:rsidRPr="00D913FB" w:rsidRDefault="008419CC" w:rsidP="008419CC">
      <w:pPr>
        <w:spacing w:line="480" w:lineRule="auto"/>
        <w:rPr>
          <w:rFonts w:ascii="Times New Roman" w:hAnsi="Times New Roman" w:cs="Times New Roman"/>
          <w:sz w:val="24"/>
          <w:lang w:val="en-US"/>
        </w:rPr>
      </w:pPr>
      <w:r w:rsidRPr="00D913FB">
        <w:rPr>
          <w:rFonts w:ascii="Times New Roman" w:hAnsi="Times New Roman" w:cs="Times New Roman"/>
          <w:sz w:val="24"/>
          <w:lang w:val="en-US"/>
        </w:rPr>
        <w:t xml:space="preserve">SBM analysis identified eight stable components in our cohort (supplementary </w:t>
      </w:r>
      <w:r w:rsidRPr="002C074F">
        <w:rPr>
          <w:rFonts w:ascii="Times New Roman" w:hAnsi="Times New Roman" w:cs="Times New Roman"/>
          <w:sz w:val="24"/>
          <w:lang w:val="en-US"/>
        </w:rPr>
        <w:t xml:space="preserve">figure </w:t>
      </w:r>
      <w:r w:rsidR="009E2EA9">
        <w:rPr>
          <w:rFonts w:ascii="Times New Roman" w:hAnsi="Times New Roman" w:cs="Times New Roman"/>
          <w:sz w:val="24"/>
          <w:lang w:val="en-US"/>
        </w:rPr>
        <w:t>2</w:t>
      </w:r>
      <w:r w:rsidRPr="002C074F">
        <w:rPr>
          <w:rFonts w:ascii="Times New Roman" w:hAnsi="Times New Roman" w:cs="Times New Roman"/>
          <w:sz w:val="24"/>
          <w:lang w:val="en-US"/>
        </w:rPr>
        <w:t>).</w:t>
      </w:r>
      <w:r w:rsidRPr="00D913FB">
        <w:rPr>
          <w:rFonts w:ascii="Times New Roman" w:hAnsi="Times New Roman" w:cs="Times New Roman"/>
          <w:sz w:val="24"/>
          <w:lang w:val="en-US"/>
        </w:rPr>
        <w:t xml:space="preserve"> There was a significant main effect of diagnosis on ICA loading parameters (F</w:t>
      </w:r>
      <w:r w:rsidRPr="00D913FB">
        <w:rPr>
          <w:rFonts w:ascii="Times New Roman" w:hAnsi="Times New Roman" w:cs="Times New Roman"/>
          <w:sz w:val="24"/>
          <w:vertAlign w:val="subscript"/>
          <w:lang w:val="en-US"/>
        </w:rPr>
        <w:t>8, 61</w:t>
      </w:r>
      <w:r w:rsidR="002C074F">
        <w:rPr>
          <w:rFonts w:ascii="Times New Roman" w:hAnsi="Times New Roman" w:cs="Times New Roman"/>
          <w:sz w:val="24"/>
          <w:lang w:val="en-US"/>
        </w:rPr>
        <w:t xml:space="preserve"> = 2.87, p = </w:t>
      </w:r>
      <w:r w:rsidRPr="00D913FB">
        <w:rPr>
          <w:rFonts w:ascii="Times New Roman" w:hAnsi="Times New Roman" w:cs="Times New Roman"/>
          <w:sz w:val="24"/>
          <w:lang w:val="en-US"/>
        </w:rPr>
        <w:t>.009). Separate univariate ANCOVAs revealed that there was a main effect of diagnosis in the component2 (thalamic and hippocampal component) (F</w:t>
      </w:r>
      <w:r w:rsidRPr="00D913FB">
        <w:rPr>
          <w:rFonts w:ascii="Times New Roman" w:hAnsi="Times New Roman" w:cs="Times New Roman"/>
          <w:sz w:val="24"/>
          <w:vertAlign w:val="subscript"/>
          <w:lang w:val="en-US"/>
        </w:rPr>
        <w:t>1, 68</w:t>
      </w:r>
      <w:r w:rsidR="002C074F">
        <w:rPr>
          <w:rFonts w:ascii="Times New Roman" w:hAnsi="Times New Roman" w:cs="Times New Roman"/>
          <w:sz w:val="24"/>
          <w:lang w:val="en-US"/>
        </w:rPr>
        <w:t xml:space="preserve"> = 15.2, p &lt;</w:t>
      </w:r>
      <w:r w:rsidRPr="00D913FB">
        <w:rPr>
          <w:rFonts w:ascii="Times New Roman" w:hAnsi="Times New Roman" w:cs="Times New Roman"/>
          <w:sz w:val="24"/>
          <w:lang w:val="en-US"/>
        </w:rPr>
        <w:t>.001) even after multiple comparisons correction.</w:t>
      </w:r>
    </w:p>
    <w:p w14:paraId="38120D66" w14:textId="77777777" w:rsidR="008419CC" w:rsidRPr="00D913FB" w:rsidRDefault="008419CC" w:rsidP="008419CC">
      <w:pPr>
        <w:spacing w:line="480" w:lineRule="auto"/>
        <w:rPr>
          <w:rFonts w:ascii="Times New Roman" w:hAnsi="Times New Roman" w:cs="Times New Roman"/>
          <w:sz w:val="24"/>
          <w:lang w:val="en-US"/>
        </w:rPr>
      </w:pPr>
    </w:p>
    <w:p w14:paraId="2798CE2F"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lastRenderedPageBreak/>
        <w:drawing>
          <wp:inline distT="0" distB="0" distL="0" distR="0" wp14:anchorId="46383033" wp14:editId="749DF914">
            <wp:extent cx="5727700" cy="1804087"/>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mponent1.jpg"/>
                    <pic:cNvPicPr/>
                  </pic:nvPicPr>
                  <pic:blipFill rotWithShape="1">
                    <a:blip r:embed="rId5">
                      <a:extLst>
                        <a:ext uri="{28A0092B-C50C-407E-A947-70E740481C1C}">
                          <a14:useLocalDpi xmlns:a14="http://schemas.microsoft.com/office/drawing/2010/main" val="0"/>
                        </a:ext>
                      </a:extLst>
                    </a:blip>
                    <a:srcRect b="32388"/>
                    <a:stretch/>
                  </pic:blipFill>
                  <pic:spPr bwMode="auto">
                    <a:xfrm>
                      <a:off x="0" y="0"/>
                      <a:ext cx="5727700" cy="1804087"/>
                    </a:xfrm>
                    <a:prstGeom prst="rect">
                      <a:avLst/>
                    </a:prstGeom>
                    <a:ln>
                      <a:noFill/>
                    </a:ln>
                    <a:extLst>
                      <a:ext uri="{53640926-AAD7-44D8-BBD7-CCE9431645EC}">
                        <a14:shadowObscured xmlns:a14="http://schemas.microsoft.com/office/drawing/2010/main"/>
                      </a:ext>
                    </a:extLst>
                  </pic:spPr>
                </pic:pic>
              </a:graphicData>
            </a:graphic>
          </wp:inline>
        </w:drawing>
      </w:r>
    </w:p>
    <w:p w14:paraId="2C2AA988"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drawing>
          <wp:inline distT="0" distB="0" distL="0" distR="0" wp14:anchorId="6B696B53" wp14:editId="4647411E">
            <wp:extent cx="5727700" cy="1902941"/>
            <wp:effectExtent l="0" t="0" r="0" b="254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mponent2.jpg"/>
                    <pic:cNvPicPr/>
                  </pic:nvPicPr>
                  <pic:blipFill rotWithShape="1">
                    <a:blip r:embed="rId6">
                      <a:extLst>
                        <a:ext uri="{28A0092B-C50C-407E-A947-70E740481C1C}">
                          <a14:useLocalDpi xmlns:a14="http://schemas.microsoft.com/office/drawing/2010/main" val="0"/>
                        </a:ext>
                      </a:extLst>
                    </a:blip>
                    <a:srcRect b="28563"/>
                    <a:stretch/>
                  </pic:blipFill>
                  <pic:spPr bwMode="auto">
                    <a:xfrm>
                      <a:off x="0" y="0"/>
                      <a:ext cx="5727700" cy="1902941"/>
                    </a:xfrm>
                    <a:prstGeom prst="rect">
                      <a:avLst/>
                    </a:prstGeom>
                    <a:ln>
                      <a:noFill/>
                    </a:ln>
                    <a:extLst>
                      <a:ext uri="{53640926-AAD7-44D8-BBD7-CCE9431645EC}">
                        <a14:shadowObscured xmlns:a14="http://schemas.microsoft.com/office/drawing/2010/main"/>
                      </a:ext>
                    </a:extLst>
                  </pic:spPr>
                </pic:pic>
              </a:graphicData>
            </a:graphic>
          </wp:inline>
        </w:drawing>
      </w:r>
    </w:p>
    <w:p w14:paraId="7BB692AE"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drawing>
          <wp:inline distT="0" distB="0" distL="0" distR="0" wp14:anchorId="369A0061" wp14:editId="4D0D52F8">
            <wp:extent cx="5727700" cy="1767016"/>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mponent3.jpg"/>
                    <pic:cNvPicPr/>
                  </pic:nvPicPr>
                  <pic:blipFill rotWithShape="1">
                    <a:blip r:embed="rId7">
                      <a:extLst>
                        <a:ext uri="{28A0092B-C50C-407E-A947-70E740481C1C}">
                          <a14:useLocalDpi xmlns:a14="http://schemas.microsoft.com/office/drawing/2010/main" val="0"/>
                        </a:ext>
                      </a:extLst>
                    </a:blip>
                    <a:srcRect b="29641"/>
                    <a:stretch/>
                  </pic:blipFill>
                  <pic:spPr bwMode="auto">
                    <a:xfrm>
                      <a:off x="0" y="0"/>
                      <a:ext cx="5727700" cy="1767016"/>
                    </a:xfrm>
                    <a:prstGeom prst="rect">
                      <a:avLst/>
                    </a:prstGeom>
                    <a:ln>
                      <a:noFill/>
                    </a:ln>
                    <a:extLst>
                      <a:ext uri="{53640926-AAD7-44D8-BBD7-CCE9431645EC}">
                        <a14:shadowObscured xmlns:a14="http://schemas.microsoft.com/office/drawing/2010/main"/>
                      </a:ext>
                    </a:extLst>
                  </pic:spPr>
                </pic:pic>
              </a:graphicData>
            </a:graphic>
          </wp:inline>
        </w:drawing>
      </w:r>
    </w:p>
    <w:p w14:paraId="262619F8"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drawing>
          <wp:inline distT="0" distB="0" distL="0" distR="0" wp14:anchorId="1334C3BF" wp14:editId="6A462D15">
            <wp:extent cx="5727700" cy="1865870"/>
            <wp:effectExtent l="0" t="0" r="0" b="127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omponent4.jpg"/>
                    <pic:cNvPicPr/>
                  </pic:nvPicPr>
                  <pic:blipFill rotWithShape="1">
                    <a:blip r:embed="rId8">
                      <a:extLst>
                        <a:ext uri="{28A0092B-C50C-407E-A947-70E740481C1C}">
                          <a14:useLocalDpi xmlns:a14="http://schemas.microsoft.com/office/drawing/2010/main" val="0"/>
                        </a:ext>
                      </a:extLst>
                    </a:blip>
                    <a:srcRect b="28559"/>
                    <a:stretch/>
                  </pic:blipFill>
                  <pic:spPr bwMode="auto">
                    <a:xfrm>
                      <a:off x="0" y="0"/>
                      <a:ext cx="5727700" cy="1865870"/>
                    </a:xfrm>
                    <a:prstGeom prst="rect">
                      <a:avLst/>
                    </a:prstGeom>
                    <a:ln>
                      <a:noFill/>
                    </a:ln>
                    <a:extLst>
                      <a:ext uri="{53640926-AAD7-44D8-BBD7-CCE9431645EC}">
                        <a14:shadowObscured xmlns:a14="http://schemas.microsoft.com/office/drawing/2010/main"/>
                      </a:ext>
                    </a:extLst>
                  </pic:spPr>
                </pic:pic>
              </a:graphicData>
            </a:graphic>
          </wp:inline>
        </w:drawing>
      </w:r>
    </w:p>
    <w:p w14:paraId="1EBF0335"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lastRenderedPageBreak/>
        <w:drawing>
          <wp:inline distT="0" distB="0" distL="0" distR="0" wp14:anchorId="213C6F66" wp14:editId="268A5DB2">
            <wp:extent cx="5727700" cy="18288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omponent5.jpg"/>
                    <pic:cNvPicPr/>
                  </pic:nvPicPr>
                  <pic:blipFill rotWithShape="1">
                    <a:blip r:embed="rId9">
                      <a:extLst>
                        <a:ext uri="{28A0092B-C50C-407E-A947-70E740481C1C}">
                          <a14:useLocalDpi xmlns:a14="http://schemas.microsoft.com/office/drawing/2010/main" val="0"/>
                        </a:ext>
                      </a:extLst>
                    </a:blip>
                    <a:srcRect b="36842"/>
                    <a:stretch/>
                  </pic:blipFill>
                  <pic:spPr bwMode="auto">
                    <a:xfrm>
                      <a:off x="0" y="0"/>
                      <a:ext cx="5727700" cy="1828800"/>
                    </a:xfrm>
                    <a:prstGeom prst="rect">
                      <a:avLst/>
                    </a:prstGeom>
                    <a:ln>
                      <a:noFill/>
                    </a:ln>
                    <a:extLst>
                      <a:ext uri="{53640926-AAD7-44D8-BBD7-CCE9431645EC}">
                        <a14:shadowObscured xmlns:a14="http://schemas.microsoft.com/office/drawing/2010/main"/>
                      </a:ext>
                    </a:extLst>
                  </pic:spPr>
                </pic:pic>
              </a:graphicData>
            </a:graphic>
          </wp:inline>
        </w:drawing>
      </w:r>
    </w:p>
    <w:p w14:paraId="20EAC001"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drawing>
          <wp:inline distT="0" distB="0" distL="0" distR="0" wp14:anchorId="25392DA3" wp14:editId="1D9893FE">
            <wp:extent cx="5727700" cy="1915298"/>
            <wp:effectExtent l="0" t="0" r="0" b="254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mponent6.jpg"/>
                    <pic:cNvPicPr/>
                  </pic:nvPicPr>
                  <pic:blipFill rotWithShape="1">
                    <a:blip r:embed="rId10">
                      <a:extLst>
                        <a:ext uri="{28A0092B-C50C-407E-A947-70E740481C1C}">
                          <a14:useLocalDpi xmlns:a14="http://schemas.microsoft.com/office/drawing/2010/main" val="0"/>
                        </a:ext>
                      </a:extLst>
                    </a:blip>
                    <a:srcRect b="33122"/>
                    <a:stretch/>
                  </pic:blipFill>
                  <pic:spPr bwMode="auto">
                    <a:xfrm>
                      <a:off x="0" y="0"/>
                      <a:ext cx="5727700" cy="1915298"/>
                    </a:xfrm>
                    <a:prstGeom prst="rect">
                      <a:avLst/>
                    </a:prstGeom>
                    <a:ln>
                      <a:noFill/>
                    </a:ln>
                    <a:extLst>
                      <a:ext uri="{53640926-AAD7-44D8-BBD7-CCE9431645EC}">
                        <a14:shadowObscured xmlns:a14="http://schemas.microsoft.com/office/drawing/2010/main"/>
                      </a:ext>
                    </a:extLst>
                  </pic:spPr>
                </pic:pic>
              </a:graphicData>
            </a:graphic>
          </wp:inline>
        </w:drawing>
      </w:r>
    </w:p>
    <w:p w14:paraId="68D49F3B"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drawing>
          <wp:inline distT="0" distB="0" distL="0" distR="0" wp14:anchorId="01723F95" wp14:editId="16FDF579">
            <wp:extent cx="5727700" cy="1668162"/>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mponent7.jpg"/>
                    <pic:cNvPicPr/>
                  </pic:nvPicPr>
                  <pic:blipFill rotWithShape="1">
                    <a:blip r:embed="rId11">
                      <a:extLst>
                        <a:ext uri="{28A0092B-C50C-407E-A947-70E740481C1C}">
                          <a14:useLocalDpi xmlns:a14="http://schemas.microsoft.com/office/drawing/2010/main" val="0"/>
                        </a:ext>
                      </a:extLst>
                    </a:blip>
                    <a:srcRect b="35167"/>
                    <a:stretch/>
                  </pic:blipFill>
                  <pic:spPr bwMode="auto">
                    <a:xfrm>
                      <a:off x="0" y="0"/>
                      <a:ext cx="5727700" cy="1668162"/>
                    </a:xfrm>
                    <a:prstGeom prst="rect">
                      <a:avLst/>
                    </a:prstGeom>
                    <a:ln>
                      <a:noFill/>
                    </a:ln>
                    <a:extLst>
                      <a:ext uri="{53640926-AAD7-44D8-BBD7-CCE9431645EC}">
                        <a14:shadowObscured xmlns:a14="http://schemas.microsoft.com/office/drawing/2010/main"/>
                      </a:ext>
                    </a:extLst>
                  </pic:spPr>
                </pic:pic>
              </a:graphicData>
            </a:graphic>
          </wp:inline>
        </w:drawing>
      </w:r>
    </w:p>
    <w:p w14:paraId="3FED9577"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drawing>
          <wp:inline distT="0" distB="0" distL="0" distR="0" wp14:anchorId="27BEDB3B" wp14:editId="5FED3538">
            <wp:extent cx="5727700" cy="18288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omponent8.jpg"/>
                    <pic:cNvPicPr/>
                  </pic:nvPicPr>
                  <pic:blipFill rotWithShape="1">
                    <a:blip r:embed="rId12">
                      <a:extLst>
                        <a:ext uri="{28A0092B-C50C-407E-A947-70E740481C1C}">
                          <a14:useLocalDpi xmlns:a14="http://schemas.microsoft.com/office/drawing/2010/main" val="0"/>
                        </a:ext>
                      </a:extLst>
                    </a:blip>
                    <a:srcRect b="30753"/>
                    <a:stretch/>
                  </pic:blipFill>
                  <pic:spPr bwMode="auto">
                    <a:xfrm>
                      <a:off x="0" y="0"/>
                      <a:ext cx="5727700" cy="1828800"/>
                    </a:xfrm>
                    <a:prstGeom prst="rect">
                      <a:avLst/>
                    </a:prstGeom>
                    <a:ln>
                      <a:noFill/>
                    </a:ln>
                    <a:extLst>
                      <a:ext uri="{53640926-AAD7-44D8-BBD7-CCE9431645EC}">
                        <a14:shadowObscured xmlns:a14="http://schemas.microsoft.com/office/drawing/2010/main"/>
                      </a:ext>
                    </a:extLst>
                  </pic:spPr>
                </pic:pic>
              </a:graphicData>
            </a:graphic>
          </wp:inline>
        </w:drawing>
      </w:r>
    </w:p>
    <w:p w14:paraId="482FC366" w14:textId="77777777" w:rsidR="008419CC" w:rsidRPr="00D913FB" w:rsidRDefault="008419CC" w:rsidP="008419CC">
      <w:pPr>
        <w:rPr>
          <w:rFonts w:ascii="Times New Roman" w:hAnsi="Times New Roman" w:cs="Times New Roman"/>
          <w:sz w:val="24"/>
          <w:lang w:val="en-US"/>
        </w:rPr>
      </w:pPr>
    </w:p>
    <w:p w14:paraId="6B67FACA" w14:textId="77777777" w:rsidR="008419CC" w:rsidRPr="00D913FB" w:rsidRDefault="008419CC" w:rsidP="008419CC">
      <w:pPr>
        <w:rPr>
          <w:rFonts w:ascii="Times New Roman" w:hAnsi="Times New Roman" w:cs="Times New Roman"/>
          <w:sz w:val="24"/>
          <w:lang w:val="en-US"/>
        </w:rPr>
      </w:pPr>
    </w:p>
    <w:p w14:paraId="0F0D1651" w14:textId="77777777" w:rsidR="008419CC" w:rsidRDefault="008419CC" w:rsidP="008419CC">
      <w:pPr>
        <w:spacing w:line="480" w:lineRule="auto"/>
        <w:rPr>
          <w:rFonts w:ascii="Times New Roman" w:hAnsi="Times New Roman" w:cs="Times New Roman"/>
          <w:sz w:val="24"/>
        </w:rPr>
      </w:pPr>
      <w:r>
        <w:rPr>
          <w:rFonts w:ascii="Times New Roman" w:hAnsi="Times New Roman" w:cs="Times New Roman"/>
          <w:noProof/>
          <w:sz w:val="24"/>
          <w:lang w:eastAsia="nl-BE"/>
        </w:rPr>
        <w:lastRenderedPageBreak/>
        <w:drawing>
          <wp:inline distT="0" distB="0" distL="0" distR="0" wp14:anchorId="2A1F922E" wp14:editId="1837AF01">
            <wp:extent cx="3262848" cy="3103685"/>
            <wp:effectExtent l="0" t="0" r="127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mponent2_thalamus_hippocampus.pdf"/>
                    <pic:cNvPicPr/>
                  </pic:nvPicPr>
                  <pic:blipFill>
                    <a:blip r:embed="rId13">
                      <a:extLst>
                        <a:ext uri="{28A0092B-C50C-407E-A947-70E740481C1C}">
                          <a14:useLocalDpi xmlns:a14="http://schemas.microsoft.com/office/drawing/2010/main" val="0"/>
                        </a:ext>
                      </a:extLst>
                    </a:blip>
                    <a:stretch>
                      <a:fillRect/>
                    </a:stretch>
                  </pic:blipFill>
                  <pic:spPr>
                    <a:xfrm>
                      <a:off x="0" y="0"/>
                      <a:ext cx="3271096" cy="3111531"/>
                    </a:xfrm>
                    <a:prstGeom prst="rect">
                      <a:avLst/>
                    </a:prstGeom>
                  </pic:spPr>
                </pic:pic>
              </a:graphicData>
            </a:graphic>
          </wp:inline>
        </w:drawing>
      </w:r>
    </w:p>
    <w:p w14:paraId="041DC984" w14:textId="333161B8" w:rsidR="008419CC" w:rsidRPr="00324862" w:rsidRDefault="00324862" w:rsidP="008419CC">
      <w:pPr>
        <w:spacing w:line="480" w:lineRule="auto"/>
        <w:rPr>
          <w:rFonts w:ascii="Times New Roman" w:hAnsi="Times New Roman" w:cs="Times New Roman"/>
          <w:sz w:val="24"/>
          <w:lang w:val="en-US"/>
        </w:rPr>
      </w:pPr>
      <w:r w:rsidRPr="00324862">
        <w:rPr>
          <w:rFonts w:ascii="Times New Roman" w:hAnsi="Times New Roman" w:cs="Times New Roman" w:hint="eastAsia"/>
          <w:sz w:val="24"/>
          <w:lang w:val="en-US"/>
        </w:rPr>
        <w:t>S</w:t>
      </w:r>
      <w:r w:rsidRPr="00324862">
        <w:rPr>
          <w:rFonts w:ascii="Times New Roman" w:hAnsi="Times New Roman" w:cs="Times New Roman"/>
          <w:sz w:val="24"/>
          <w:lang w:val="en-US"/>
        </w:rPr>
        <w:t xml:space="preserve">upplementary Figure 2. </w:t>
      </w:r>
      <w:r>
        <w:rPr>
          <w:rFonts w:ascii="Times New Roman" w:hAnsi="Times New Roman" w:cs="Times New Roman"/>
          <w:sz w:val="24"/>
          <w:lang w:val="en-US"/>
        </w:rPr>
        <w:t>(A) E</w:t>
      </w:r>
      <w:r w:rsidRPr="00D913FB">
        <w:rPr>
          <w:rFonts w:ascii="Times New Roman" w:hAnsi="Times New Roman" w:cs="Times New Roman"/>
          <w:sz w:val="24"/>
          <w:lang w:val="en-US"/>
        </w:rPr>
        <w:t>ight stable components</w:t>
      </w:r>
      <w:r w:rsidRPr="00D913FB">
        <w:rPr>
          <w:rFonts w:ascii="Times New Roman" w:hAnsi="Times New Roman" w:cs="Times New Roman" w:hint="eastAsia"/>
          <w:sz w:val="24"/>
          <w:lang w:val="en-US"/>
        </w:rPr>
        <w:t xml:space="preserve"> </w:t>
      </w:r>
      <w:r>
        <w:rPr>
          <w:rFonts w:ascii="Times New Roman" w:hAnsi="Times New Roman" w:cs="Times New Roman"/>
          <w:sz w:val="24"/>
          <w:lang w:val="en-US"/>
        </w:rPr>
        <w:t xml:space="preserve">detected in the ICA in our cohort. </w:t>
      </w:r>
      <w:r w:rsidRPr="00D913FB">
        <w:rPr>
          <w:rFonts w:ascii="Times New Roman" w:hAnsi="Times New Roman" w:cs="Times New Roman" w:hint="eastAsia"/>
          <w:sz w:val="24"/>
          <w:lang w:val="en-US"/>
        </w:rPr>
        <w:t>F</w:t>
      </w:r>
      <w:r w:rsidRPr="00D913FB">
        <w:rPr>
          <w:rFonts w:ascii="Times New Roman" w:hAnsi="Times New Roman" w:cs="Times New Roman"/>
          <w:sz w:val="24"/>
          <w:lang w:val="en-US"/>
        </w:rPr>
        <w:t>or visualization purpose, all map</w:t>
      </w:r>
      <w:r>
        <w:rPr>
          <w:rFonts w:ascii="Times New Roman" w:hAnsi="Times New Roman" w:cs="Times New Roman"/>
          <w:sz w:val="24"/>
          <w:lang w:val="en-US"/>
        </w:rPr>
        <w:t>s in the supplementary figure 2A</w:t>
      </w:r>
      <w:r w:rsidRPr="00D913FB">
        <w:rPr>
          <w:rFonts w:ascii="Times New Roman" w:hAnsi="Times New Roman" w:cs="Times New Roman"/>
          <w:sz w:val="24"/>
          <w:lang w:val="en-US"/>
        </w:rPr>
        <w:t xml:space="preserve"> were </w:t>
      </w:r>
      <w:proofErr w:type="spellStart"/>
      <w:r w:rsidRPr="00D913FB">
        <w:rPr>
          <w:rFonts w:ascii="Times New Roman" w:hAnsi="Times New Roman" w:cs="Times New Roman"/>
          <w:sz w:val="24"/>
          <w:lang w:val="en-US"/>
        </w:rPr>
        <w:t>thresholded</w:t>
      </w:r>
      <w:proofErr w:type="spellEnd"/>
      <w:r w:rsidRPr="00D913FB">
        <w:rPr>
          <w:rFonts w:ascii="Times New Roman" w:hAnsi="Times New Roman" w:cs="Times New Roman"/>
          <w:sz w:val="24"/>
          <w:lang w:val="en-US"/>
        </w:rPr>
        <w:t xml:space="preserve"> at Z &gt;3.0.</w:t>
      </w:r>
      <w:r>
        <w:rPr>
          <w:rFonts w:ascii="Times New Roman" w:hAnsi="Times New Roman" w:cs="Times New Roman"/>
          <w:sz w:val="24"/>
          <w:lang w:val="en-US"/>
        </w:rPr>
        <w:t xml:space="preserve"> (B) Lower ICA loading parameters in the thalamic and hippocampal component in the patients with VLOSLP.</w:t>
      </w:r>
    </w:p>
    <w:p w14:paraId="05C88740" w14:textId="38222FC2" w:rsidR="00324862" w:rsidRPr="00324862" w:rsidRDefault="00324862">
      <w:pPr>
        <w:rPr>
          <w:lang w:val="en-US"/>
        </w:rPr>
      </w:pPr>
      <w:r w:rsidRPr="00324862">
        <w:rPr>
          <w:lang w:val="en-US"/>
        </w:rPr>
        <w:br w:type="page"/>
      </w:r>
    </w:p>
    <w:p w14:paraId="37CB9768" w14:textId="77777777" w:rsidR="00324862" w:rsidRDefault="00324862" w:rsidP="00324862">
      <w:r w:rsidRPr="00C87C11">
        <w:rPr>
          <w:noProof/>
        </w:rPr>
        <w:lastRenderedPageBreak/>
        <w:drawing>
          <wp:inline distT="0" distB="0" distL="0" distR="0" wp14:anchorId="1CC5196C" wp14:editId="506D0100">
            <wp:extent cx="5760720" cy="4615815"/>
            <wp:effectExtent l="0" t="0" r="0" b="0"/>
            <wp:docPr id="1" name="Afbeelding 1"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グラフ, 散布図&#10;&#10;自動的に生成された説明"/>
                    <pic:cNvPicPr/>
                  </pic:nvPicPr>
                  <pic:blipFill>
                    <a:blip r:embed="rId14"/>
                    <a:stretch>
                      <a:fillRect/>
                    </a:stretch>
                  </pic:blipFill>
                  <pic:spPr>
                    <a:xfrm>
                      <a:off x="0" y="0"/>
                      <a:ext cx="5760720" cy="4615815"/>
                    </a:xfrm>
                    <a:prstGeom prst="rect">
                      <a:avLst/>
                    </a:prstGeom>
                  </pic:spPr>
                </pic:pic>
              </a:graphicData>
            </a:graphic>
          </wp:inline>
        </w:drawing>
      </w:r>
    </w:p>
    <w:p w14:paraId="187C3019" w14:textId="77777777" w:rsidR="00324862" w:rsidRDefault="00324862" w:rsidP="00324862"/>
    <w:p w14:paraId="6F4DF536" w14:textId="77777777" w:rsidR="00324862" w:rsidRDefault="00324862" w:rsidP="00324862">
      <w:pPr>
        <w:spacing w:line="480" w:lineRule="auto"/>
        <w:rPr>
          <w:rFonts w:ascii="Times New Roman" w:hAnsi="Times New Roman" w:cs="Times New Roman"/>
          <w:sz w:val="24"/>
          <w:szCs w:val="24"/>
          <w:lang w:val="en-GB"/>
        </w:rPr>
      </w:pPr>
      <w:r w:rsidRPr="00324862">
        <w:rPr>
          <w:rFonts w:ascii="Times New Roman" w:hAnsi="Times New Roman" w:cs="Times New Roman"/>
          <w:iCs/>
          <w:sz w:val="24"/>
          <w:szCs w:val="24"/>
          <w:lang w:val="en-GB"/>
        </w:rPr>
        <w:t>Supplementary Figure 3</w:t>
      </w:r>
      <w:r w:rsidRPr="00170B09">
        <w:rPr>
          <w:rFonts w:ascii="Times New Roman" w:hAnsi="Times New Roman" w:cs="Times New Roman"/>
          <w:sz w:val="24"/>
          <w:szCs w:val="24"/>
          <w:lang w:val="en-GB"/>
        </w:rPr>
        <w:t xml:space="preserve">. </w:t>
      </w:r>
      <w:r>
        <w:rPr>
          <w:rFonts w:ascii="Times New Roman" w:hAnsi="Times New Roman" w:cs="Times New Roman"/>
          <w:sz w:val="24"/>
          <w:szCs w:val="24"/>
          <w:lang w:val="en-GB"/>
        </w:rPr>
        <w:t>Partial correlation between thalamic volumes and RAVLT delayed recall in participants with VLOSLP with age as a covariate, illustrating an association between larger volumes and better performances.</w:t>
      </w:r>
    </w:p>
    <w:p w14:paraId="128EE578" w14:textId="77777777" w:rsidR="00473753" w:rsidRPr="00324862" w:rsidRDefault="00473753" w:rsidP="00324862">
      <w:pPr>
        <w:spacing w:line="480" w:lineRule="auto"/>
        <w:rPr>
          <w:lang w:val="en-GB"/>
        </w:rPr>
      </w:pPr>
    </w:p>
    <w:p w14:paraId="70241C31" w14:textId="77777777" w:rsidR="00324862" w:rsidRPr="00324862" w:rsidRDefault="00324862" w:rsidP="00324862">
      <w:pPr>
        <w:spacing w:line="480" w:lineRule="auto"/>
        <w:rPr>
          <w:lang w:val="en-US"/>
        </w:rPr>
      </w:pPr>
    </w:p>
    <w:sectPr w:rsidR="00324862" w:rsidRPr="00324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661"/>
    <w:rsid w:val="00190D7E"/>
    <w:rsid w:val="00213C3D"/>
    <w:rsid w:val="002C074F"/>
    <w:rsid w:val="00324862"/>
    <w:rsid w:val="00473753"/>
    <w:rsid w:val="005A59E9"/>
    <w:rsid w:val="005D5661"/>
    <w:rsid w:val="005E126C"/>
    <w:rsid w:val="008419CC"/>
    <w:rsid w:val="009E2EA9"/>
    <w:rsid w:val="00B35100"/>
    <w:rsid w:val="00C32237"/>
    <w:rsid w:val="00C37DD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90FDE"/>
  <w15:chartTrackingRefBased/>
  <w15:docId w15:val="{4D53CB73-EE87-48A7-9896-D468B136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E1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960</Words>
  <Characters>5477</Characters>
  <Application>Microsoft Office Word</Application>
  <DocSecurity>0</DocSecurity>
  <Lines>45</Lines>
  <Paragraphs>12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Vanassche</dc:creator>
  <cp:keywords/>
  <dc:description/>
  <cp:lastModifiedBy>Akihiro Takamiya</cp:lastModifiedBy>
  <cp:revision>2</cp:revision>
  <dcterms:created xsi:type="dcterms:W3CDTF">2023-07-07T10:22:00Z</dcterms:created>
  <dcterms:modified xsi:type="dcterms:W3CDTF">2023-07-07T10:22:00Z</dcterms:modified>
</cp:coreProperties>
</file>