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A3C" w:rsidRDefault="00D81A3C" w:rsidP="00D81A3C">
      <w:pPr>
        <w:spacing w:line="360" w:lineRule="auto"/>
        <w:rPr>
          <w:rFonts w:ascii="Times New Roman" w:hAnsi="Times New Roman" w:cs="Times New Roman"/>
          <w:b/>
        </w:rPr>
      </w:pPr>
      <w:r>
        <w:rPr>
          <w:rFonts w:ascii="Times New Roman" w:hAnsi="Times New Roman" w:cs="Times New Roman"/>
          <w:b/>
        </w:rPr>
        <w:t>Supporting Information</w:t>
      </w:r>
    </w:p>
    <w:p w:rsidR="00D81A3C" w:rsidRDefault="00D81A3C" w:rsidP="00D81A3C">
      <w:pPr>
        <w:spacing w:line="360" w:lineRule="auto"/>
        <w:rPr>
          <w:rFonts w:ascii="Times New Roman" w:hAnsi="Times New Roman" w:cs="Times New Roman"/>
          <w:b/>
        </w:rPr>
      </w:pPr>
    </w:p>
    <w:p w:rsidR="00D81A3C" w:rsidRDefault="00D81A3C" w:rsidP="00D81A3C">
      <w:pPr>
        <w:spacing w:line="360" w:lineRule="auto"/>
        <w:jc w:val="both"/>
        <w:rPr>
          <w:rFonts w:ascii="Times New Roman" w:hAnsi="Times New Roman" w:cs="Times New Roman"/>
          <w:b/>
        </w:rPr>
      </w:pPr>
      <w:r>
        <w:rPr>
          <w:rFonts w:ascii="Times New Roman" w:hAnsi="Times New Roman" w:cs="Times New Roman"/>
          <w:b/>
        </w:rPr>
        <w:t>Secondary nucleation of monomers on fibril surface dominates α-synuclein aggregation and provides an autocatalytic amyloid amplification mechanism</w:t>
      </w:r>
    </w:p>
    <w:p w:rsidR="00D81A3C" w:rsidRDefault="00D81A3C" w:rsidP="00D81A3C">
      <w:pPr>
        <w:spacing w:line="360" w:lineRule="auto"/>
        <w:jc w:val="both"/>
        <w:rPr>
          <w:rFonts w:ascii="Times New Roman" w:hAnsi="Times New Roman" w:cs="Times New Roman"/>
          <w:b/>
        </w:rPr>
      </w:pPr>
    </w:p>
    <w:p w:rsidR="00D81A3C" w:rsidRDefault="00D81A3C" w:rsidP="00D81A3C">
      <w:pPr>
        <w:spacing w:line="360" w:lineRule="auto"/>
        <w:jc w:val="center"/>
        <w:rPr>
          <w:rFonts w:ascii="Times New Roman" w:hAnsi="Times New Roman" w:cs="Times New Roman"/>
          <w:vertAlign w:val="superscript"/>
        </w:rPr>
      </w:pPr>
      <w:r>
        <w:rPr>
          <w:rFonts w:ascii="Times New Roman" w:hAnsi="Times New Roman" w:cs="Times New Roman"/>
        </w:rPr>
        <w:t>Ricardo Gaspar</w:t>
      </w:r>
      <w:r>
        <w:rPr>
          <w:rFonts w:ascii="Times New Roman" w:hAnsi="Times New Roman" w:cs="Times New Roman"/>
          <w:vertAlign w:val="superscript"/>
        </w:rPr>
        <w:t>1, 2</w:t>
      </w:r>
      <w:r>
        <w:rPr>
          <w:rFonts w:ascii="Times New Roman" w:hAnsi="Times New Roman" w:cs="Times New Roman"/>
        </w:rPr>
        <w:t>, Georg Meisl</w:t>
      </w:r>
      <w:r>
        <w:rPr>
          <w:rFonts w:ascii="Times New Roman" w:hAnsi="Times New Roman" w:cs="Times New Roman"/>
          <w:vertAlign w:val="superscript"/>
        </w:rPr>
        <w:t>3</w:t>
      </w:r>
      <w:r>
        <w:rPr>
          <w:rFonts w:ascii="Times New Roman" w:hAnsi="Times New Roman" w:cs="Times New Roman"/>
        </w:rPr>
        <w:t>, Alexander K. Buell</w:t>
      </w:r>
      <w:r>
        <w:rPr>
          <w:rFonts w:ascii="Times New Roman" w:hAnsi="Times New Roman" w:cs="Times New Roman"/>
          <w:vertAlign w:val="superscript"/>
        </w:rPr>
        <w:t>3, 4</w:t>
      </w:r>
      <w:r>
        <w:rPr>
          <w:rFonts w:ascii="Times New Roman" w:hAnsi="Times New Roman" w:cs="Times New Roman"/>
        </w:rPr>
        <w:t>, Laurence Young</w:t>
      </w:r>
      <w:r>
        <w:rPr>
          <w:rFonts w:ascii="Times New Roman" w:hAnsi="Times New Roman" w:cs="Times New Roman"/>
          <w:vertAlign w:val="superscript"/>
        </w:rPr>
        <w:t>5</w:t>
      </w:r>
      <w:r>
        <w:rPr>
          <w:rFonts w:ascii="Times New Roman" w:hAnsi="Times New Roman" w:cs="Times New Roman"/>
        </w:rPr>
        <w:t>, Clemens F. Kaminski</w:t>
      </w:r>
      <w:r>
        <w:rPr>
          <w:rFonts w:ascii="Times New Roman" w:hAnsi="Times New Roman" w:cs="Times New Roman"/>
          <w:vertAlign w:val="superscript"/>
        </w:rPr>
        <w:t>5</w:t>
      </w:r>
      <w:r>
        <w:rPr>
          <w:rFonts w:ascii="Times New Roman" w:hAnsi="Times New Roman" w:cs="Times New Roman"/>
        </w:rPr>
        <w:t>,</w:t>
      </w:r>
      <w:r>
        <w:rPr>
          <w:rFonts w:ascii="Times New Roman" w:hAnsi="Times New Roman" w:cs="Times New Roman"/>
          <w:vertAlign w:val="superscript"/>
        </w:rPr>
        <w:t xml:space="preserve"> </w:t>
      </w:r>
      <w:r>
        <w:rPr>
          <w:rFonts w:ascii="Times New Roman" w:hAnsi="Times New Roman" w:cs="Times New Roman"/>
        </w:rPr>
        <w:t>Tuomas P. J. Knowles</w:t>
      </w:r>
      <w:r>
        <w:rPr>
          <w:rFonts w:ascii="Times New Roman" w:hAnsi="Times New Roman" w:cs="Times New Roman"/>
          <w:vertAlign w:val="superscript"/>
        </w:rPr>
        <w:t>3</w:t>
      </w:r>
      <w:r>
        <w:rPr>
          <w:rFonts w:ascii="Times New Roman" w:hAnsi="Times New Roman" w:cs="Times New Roman"/>
        </w:rPr>
        <w:t>, Emma Sparr</w:t>
      </w:r>
      <w:r>
        <w:rPr>
          <w:rFonts w:ascii="Times New Roman" w:hAnsi="Times New Roman" w:cs="Times New Roman"/>
          <w:vertAlign w:val="superscript"/>
        </w:rPr>
        <w:t>1, *</w:t>
      </w:r>
      <w:r>
        <w:rPr>
          <w:rFonts w:ascii="Times New Roman" w:hAnsi="Times New Roman" w:cs="Times New Roman"/>
        </w:rPr>
        <w:t xml:space="preserve"> and Sara Linse</w:t>
      </w:r>
      <w:r>
        <w:rPr>
          <w:rFonts w:ascii="Times New Roman" w:hAnsi="Times New Roman" w:cs="Times New Roman"/>
          <w:vertAlign w:val="superscript"/>
        </w:rPr>
        <w:t>2, *</w:t>
      </w:r>
    </w:p>
    <w:p w:rsidR="00D81A3C" w:rsidRDefault="00D81A3C" w:rsidP="00D81A3C">
      <w:pPr>
        <w:spacing w:line="360" w:lineRule="auto"/>
        <w:jc w:val="center"/>
        <w:rPr>
          <w:rFonts w:ascii="Times New Roman" w:hAnsi="Times New Roman" w:cs="Times New Roman"/>
          <w:vertAlign w:val="superscript"/>
        </w:rPr>
      </w:pPr>
    </w:p>
    <w:p w:rsidR="00D81A3C" w:rsidRDefault="00D81A3C" w:rsidP="00D81A3C">
      <w:pPr>
        <w:spacing w:line="360" w:lineRule="auto"/>
        <w:jc w:val="center"/>
        <w:rPr>
          <w:rFonts w:ascii="Times New Roman" w:hAnsi="Times New Roman" w:cs="Times New Roman"/>
        </w:rPr>
      </w:pPr>
      <w:r>
        <w:rPr>
          <w:rFonts w:ascii="Times New Roman" w:hAnsi="Times New Roman" w:cs="Times New Roman"/>
        </w:rPr>
        <w:t>Departments of Physical-Chemistry</w:t>
      </w:r>
      <w:r>
        <w:rPr>
          <w:rFonts w:ascii="Times New Roman" w:hAnsi="Times New Roman" w:cs="Times New Roman"/>
          <w:vertAlign w:val="superscript"/>
        </w:rPr>
        <w:t>1</w:t>
      </w:r>
      <w:r>
        <w:rPr>
          <w:rFonts w:ascii="Times New Roman" w:hAnsi="Times New Roman" w:cs="Times New Roman"/>
        </w:rPr>
        <w:t xml:space="preserve"> and Biochemistry and Structural Biology</w:t>
      </w:r>
      <w:r>
        <w:rPr>
          <w:rFonts w:ascii="Times New Roman" w:hAnsi="Times New Roman" w:cs="Times New Roman"/>
          <w:vertAlign w:val="superscript"/>
        </w:rPr>
        <w:t>2</w:t>
      </w:r>
      <w:r>
        <w:rPr>
          <w:rFonts w:ascii="Times New Roman" w:hAnsi="Times New Roman" w:cs="Times New Roman"/>
        </w:rPr>
        <w:t>, Lund University, Sweden</w:t>
      </w:r>
    </w:p>
    <w:p w:rsidR="00D81A3C" w:rsidRDefault="00D81A3C" w:rsidP="00D81A3C">
      <w:pPr>
        <w:spacing w:line="360" w:lineRule="auto"/>
        <w:jc w:val="center"/>
        <w:rPr>
          <w:rFonts w:ascii="Times New Roman" w:hAnsi="Times New Roman" w:cs="Times New Roman"/>
        </w:rPr>
      </w:pPr>
      <w:r>
        <w:rPr>
          <w:rFonts w:ascii="Times New Roman" w:hAnsi="Times New Roman" w:cs="Times New Roman"/>
        </w:rPr>
        <w:t>Department of Chemistry</w:t>
      </w:r>
      <w:r>
        <w:rPr>
          <w:rFonts w:ascii="Times New Roman" w:hAnsi="Times New Roman" w:cs="Times New Roman"/>
          <w:vertAlign w:val="superscript"/>
        </w:rPr>
        <w:t>3</w:t>
      </w:r>
      <w:r>
        <w:rPr>
          <w:rFonts w:ascii="Times New Roman" w:hAnsi="Times New Roman" w:cs="Times New Roman"/>
        </w:rPr>
        <w:t>, University of Cambridge, United Kingdom</w:t>
      </w:r>
    </w:p>
    <w:p w:rsidR="00D81A3C" w:rsidRDefault="00D81A3C" w:rsidP="00D81A3C">
      <w:pPr>
        <w:spacing w:line="360" w:lineRule="auto"/>
        <w:jc w:val="center"/>
        <w:rPr>
          <w:rFonts w:ascii="Times New Roman" w:hAnsi="Times New Roman" w:cs="Times New Roman"/>
        </w:rPr>
      </w:pPr>
      <w:r>
        <w:rPr>
          <w:rFonts w:ascii="Times New Roman" w:hAnsi="Times New Roman" w:cs="Times New Roman"/>
        </w:rPr>
        <w:t>Institute of Physical Biology</w:t>
      </w:r>
      <w:r>
        <w:rPr>
          <w:rFonts w:ascii="Times New Roman" w:hAnsi="Times New Roman" w:cs="Times New Roman"/>
          <w:vertAlign w:val="superscript"/>
        </w:rPr>
        <w:t>4</w:t>
      </w:r>
      <w:r>
        <w:rPr>
          <w:rFonts w:ascii="Times New Roman" w:hAnsi="Times New Roman" w:cs="Times New Roman"/>
        </w:rPr>
        <w:t>, University of Düsseldorf, Germany</w:t>
      </w:r>
    </w:p>
    <w:p w:rsidR="00D81A3C" w:rsidRDefault="00D81A3C" w:rsidP="00D81A3C">
      <w:pPr>
        <w:spacing w:line="360" w:lineRule="auto"/>
        <w:jc w:val="center"/>
        <w:rPr>
          <w:rFonts w:ascii="Times New Roman" w:hAnsi="Times New Roman" w:cs="Times New Roman"/>
        </w:rPr>
      </w:pPr>
      <w:r>
        <w:rPr>
          <w:rFonts w:ascii="Times New Roman" w:hAnsi="Times New Roman" w:cs="Times New Roman"/>
        </w:rPr>
        <w:t>Department of Chemical Engineering and Biotechnology</w:t>
      </w:r>
      <w:r>
        <w:rPr>
          <w:rFonts w:ascii="Times New Roman" w:hAnsi="Times New Roman" w:cs="Times New Roman"/>
          <w:vertAlign w:val="superscript"/>
        </w:rPr>
        <w:t>5</w:t>
      </w:r>
      <w:r>
        <w:rPr>
          <w:rFonts w:ascii="Times New Roman" w:hAnsi="Times New Roman" w:cs="Times New Roman"/>
        </w:rPr>
        <w:t>, University of Cambridge, United Kingdom</w:t>
      </w:r>
    </w:p>
    <w:p w:rsidR="00D81A3C" w:rsidRDefault="00D81A3C" w:rsidP="00D81A3C">
      <w:pPr>
        <w:spacing w:line="360" w:lineRule="auto"/>
        <w:jc w:val="center"/>
        <w:rPr>
          <w:rFonts w:ascii="Times New Roman" w:hAnsi="Times New Roman" w:cs="Times New Roman"/>
          <w:b/>
        </w:rPr>
      </w:pPr>
      <w:r>
        <w:rPr>
          <w:rFonts w:ascii="Times New Roman" w:hAnsi="Times New Roman" w:cs="Times New Roman"/>
          <w:vertAlign w:val="superscript"/>
        </w:rPr>
        <w:t>*</w:t>
      </w:r>
      <w:r>
        <w:rPr>
          <w:rFonts w:ascii="Times New Roman" w:hAnsi="Times New Roman" w:cs="Times New Roman"/>
        </w:rPr>
        <w:t>Corresponding Authors: emma.sparr@fkem1.lu.se and sara.linse@biochemistry.lu.se</w:t>
      </w:r>
    </w:p>
    <w:p w:rsidR="00D81A3C" w:rsidRDefault="00D81A3C" w:rsidP="00D81A3C">
      <w:pPr>
        <w:spacing w:line="360" w:lineRule="auto"/>
        <w:jc w:val="center"/>
        <w:rPr>
          <w:rFonts w:ascii="Times New Roman" w:hAnsi="Times New Roman" w:cs="Times New Roman"/>
          <w:b/>
        </w:rPr>
      </w:pPr>
    </w:p>
    <w:p w:rsidR="00D81A3C" w:rsidRDefault="00D81A3C" w:rsidP="00D81A3C">
      <w:pPr>
        <w:spacing w:line="360" w:lineRule="auto"/>
        <w:jc w:val="both"/>
        <w:rPr>
          <w:rFonts w:ascii="Times New Roman" w:eastAsia="Times New Roman" w:hAnsi="Times New Roman" w:cs="Times New Roman"/>
          <w:b/>
        </w:rPr>
      </w:pPr>
    </w:p>
    <w:p w:rsidR="00D81A3C" w:rsidRDefault="00D81A3C" w:rsidP="00D81A3C">
      <w:pPr>
        <w:spacing w:line="360" w:lineRule="auto"/>
        <w:jc w:val="both"/>
        <w:rPr>
          <w:rFonts w:ascii="Times New Roman" w:eastAsia="Times New Roman" w:hAnsi="Times New Roman" w:cs="Times New Roman"/>
        </w:rPr>
      </w:pPr>
      <w:r>
        <w:rPr>
          <w:rFonts w:ascii="Times New Roman" w:eastAsia="Times New Roman" w:hAnsi="Times New Roman" w:cs="Times New Roman"/>
          <w:b/>
        </w:rPr>
        <w:t>S1) α-Syn protein expression and purification</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Human </w:t>
      </w:r>
      <w:r>
        <w:rPr>
          <w:rFonts w:ascii="Symbol" w:hAnsi="Symbol"/>
        </w:rPr>
        <w:t></w:t>
      </w:r>
      <w:r>
        <w:rPr>
          <w:rFonts w:ascii="Times New Roman" w:eastAsia="Times New Roman" w:hAnsi="Times New Roman" w:cs="Times New Roman"/>
        </w:rPr>
        <w:t xml:space="preserve">-syn was expressed in </w:t>
      </w:r>
      <w:r>
        <w:rPr>
          <w:rFonts w:ascii="Times New Roman" w:eastAsia="Times New Roman" w:hAnsi="Times New Roman" w:cs="Times New Roman"/>
          <w:i/>
        </w:rPr>
        <w:t>Escherichia coli</w:t>
      </w:r>
      <w:r>
        <w:rPr>
          <w:rFonts w:ascii="Times New Roman" w:eastAsia="Times New Roman" w:hAnsi="Times New Roman" w:cs="Times New Roman"/>
        </w:rPr>
        <w:t xml:space="preserve"> from the aS-pT7-7 plasmid (received from H. Lashuel, EPFL Lausanne). The plasmid was transformed into </w:t>
      </w:r>
      <w:r>
        <w:rPr>
          <w:rFonts w:ascii="Times New Roman" w:eastAsia="Times New Roman" w:hAnsi="Times New Roman" w:cs="Times New Roman"/>
          <w:i/>
        </w:rPr>
        <w:t>E. Coli</w:t>
      </w:r>
      <w:r>
        <w:rPr>
          <w:rFonts w:ascii="Times New Roman" w:eastAsia="Times New Roman" w:hAnsi="Times New Roman" w:cs="Times New Roman"/>
        </w:rPr>
        <w:t xml:space="preserve"> BL21 Star PLysS DE3 (Ca</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 xml:space="preserve">competent cells) by heat shock and grown on LB/agar plates with 50 mg/l ampicillin and 30 mg/l chloramphenicol. Single colonies were used to inoculate 50 ml overnight cultures (LB with 50 mg ampicillin per l) and 5 ml was then transferred to each 500 ml day culture of the same medium. IPTG was added when OD600 reached 0.6 and the cells were harvested 4 h later and the cell pellet frozen.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Symbol" w:hAnsi="Symbol"/>
        </w:rPr>
        <w:t></w:t>
      </w:r>
      <w:r>
        <w:rPr>
          <w:rFonts w:ascii="Times New Roman" w:eastAsia="Times New Roman" w:hAnsi="Times New Roman" w:cs="Times New Roman"/>
        </w:rPr>
        <w:t xml:space="preserve">-syn was purified using heat treatment, ion exchange and gel filtration chromatography (1) as follows: Cell pellet from a total of 4 liter culture was disrupted by sonication after being diluted 1:1 in ice-cold 10 mM Tris/HCl, 1 mM EDTA, pH 7.5 (buffer A), followed by centrifugation at 15 000 g for 10 mins (spin 1). A boiling step was used in order to eliminate contaminating proteins from </w:t>
      </w:r>
      <w:r>
        <w:rPr>
          <w:rFonts w:ascii="Times New Roman" w:eastAsia="Times New Roman" w:hAnsi="Times New Roman" w:cs="Times New Roman"/>
          <w:i/>
        </w:rPr>
        <w:t>E. coli</w:t>
      </w:r>
      <w:r>
        <w:rPr>
          <w:rFonts w:ascii="Times New Roman" w:eastAsia="Times New Roman" w:hAnsi="Times New Roman" w:cs="Times New Roman"/>
        </w:rPr>
        <w:t xml:space="preserve">. The supernatant from spin 1 was poured 1:1 into boiling buffer A and heated to 85°C followed by rapid cooling and new centrifugation (spin 2). The supernatant from spin </w:t>
      </w:r>
      <w:r>
        <w:rPr>
          <w:rFonts w:ascii="Times New Roman" w:eastAsia="Times New Roman" w:hAnsi="Times New Roman" w:cs="Times New Roman"/>
        </w:rPr>
        <w:lastRenderedPageBreak/>
        <w:t xml:space="preserve">2 was then loaded onto a 120 g DEAE cellulose column equilibrated in buffer A. The protein was eluted using a linear salt gradient from 0–0.5 M NaCl, with a total volume of 1.4 liters, and examined using agarose gel electrophoresis. Fractions containing α-syn were pooled, diluted 1:1 in buffer A, and loaded onto a 80 g DEAE sephacel column equilibrated in 10 mM Tris/HCl pH 7.5 and eluted using a 1.4 liter linear salt gradient from 0–0.5 M NaCl and were again examined using UV spectroscopy and agarose gel electrophoresis. Fractions containing pure </w:t>
      </w:r>
      <w:r>
        <w:rPr>
          <w:rFonts w:ascii="Symbol" w:hAnsi="Symbol"/>
        </w:rPr>
        <w:t></w:t>
      </w:r>
      <w:r>
        <w:rPr>
          <w:rFonts w:ascii="Times New Roman" w:eastAsia="Times New Roman" w:hAnsi="Times New Roman" w:cs="Times New Roman"/>
        </w:rPr>
        <w:t xml:space="preserve">-syn were pooled and then stored as frozen aliquots (−20°C). </w:t>
      </w:r>
      <w:proofErr w:type="gramStart"/>
      <w:r>
        <w:rPr>
          <w:rFonts w:ascii="Times New Roman" w:eastAsia="Times New Roman" w:hAnsi="Times New Roman" w:cs="Times New Roman"/>
        </w:rPr>
        <w:t>Samples before and after the purification boiling step were analyzed using sodium dodecyl sulfate-polyacrylamide gel electrophoresis (SDS-PAGE) (Figure S1A).</w:t>
      </w:r>
      <w:proofErr w:type="gramEnd"/>
    </w:p>
    <w:p w:rsidR="00D81A3C" w:rsidRDefault="00D81A3C" w:rsidP="00D81A3C">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A key procedure to achieving reproducible kinetics is to use pure monomeric α-syn as starting point. Before any kinetic experiment, a gel-filtration step is crucial to isolate monomeric α-syn in the desired degassed experimental buffer. Only protein sample corresponding to the central region of the peak is collected and used for the experiments (Figure S1B). As the reaction is very sensitive to the concentration and size of the seeds, it is vital to handle all seed solutions in the same manner. Seed fibrils of α-syn briefly sonicated in a water bath can be observed by Cryo-TEM (Figure S1C). From the Cryo-TEM images, the average size of the seed fibrils was assessed to be between 200-400 nm, in agreement with previous imaging using AFM (2). It is important to mention, that for lower seed concentrations (from ca. 30 nM) the ThT kinetic traces were not reproducible, presumably due to the difficulty to reliably titrate such low concentrations under conditions where the seed fibrils have been shown to flocculate (2).</w:t>
      </w:r>
    </w:p>
    <w:p w:rsidR="00D81A3C" w:rsidRDefault="00D81A3C" w:rsidP="00D81A3C">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noProof/>
          <w:lang w:val="pt-PT" w:eastAsia="pt-PT"/>
        </w:rPr>
        <w:lastRenderedPageBreak/>
        <w:drawing>
          <wp:anchor distT="0" distB="635" distL="114300" distR="114300" simplePos="0" relativeHeight="251659264" behindDoc="0" locked="0" layoutInCell="1" allowOverlap="1" wp14:anchorId="63672E08" wp14:editId="085DD508">
            <wp:simplePos x="0" y="0"/>
            <wp:positionH relativeFrom="margin">
              <wp:align>center</wp:align>
            </wp:positionH>
            <wp:positionV relativeFrom="margin">
              <wp:posOffset>-97790</wp:posOffset>
            </wp:positionV>
            <wp:extent cx="4199255" cy="3580765"/>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7"/>
                    <a:stretch>
                      <a:fillRect/>
                    </a:stretch>
                  </pic:blipFill>
                  <pic:spPr bwMode="auto">
                    <a:xfrm>
                      <a:off x="0" y="0"/>
                      <a:ext cx="4199255" cy="3580765"/>
                    </a:xfrm>
                    <a:prstGeom prst="rect">
                      <a:avLst/>
                    </a:prstGeom>
                  </pic:spPr>
                </pic:pic>
              </a:graphicData>
            </a:graphic>
          </wp:anchor>
        </w:drawing>
      </w: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hAnsi="Times New Roman" w:cs="Times New Roman"/>
          <w:b/>
        </w:rPr>
      </w:pPr>
    </w:p>
    <w:p w:rsidR="00D81A3C" w:rsidRDefault="00D81A3C" w:rsidP="00D81A3C">
      <w:pPr>
        <w:spacing w:line="360" w:lineRule="auto"/>
        <w:jc w:val="both"/>
        <w:rPr>
          <w:rFonts w:ascii="Times New Roman" w:hAnsi="Times New Roman" w:cs="Times New Roman"/>
          <w:b/>
        </w:rPr>
      </w:pPr>
    </w:p>
    <w:p w:rsidR="00D81A3C" w:rsidRDefault="00D81A3C" w:rsidP="00D81A3C">
      <w:pPr>
        <w:spacing w:line="360" w:lineRule="auto"/>
        <w:jc w:val="both"/>
        <w:rPr>
          <w:rFonts w:ascii="Times New Roman" w:hAnsi="Times New Roman" w:cs="Times New Roman"/>
          <w:b/>
        </w:rPr>
      </w:pPr>
    </w:p>
    <w:p w:rsidR="00D81A3C" w:rsidRDefault="00D81A3C" w:rsidP="00D81A3C">
      <w:pPr>
        <w:spacing w:line="360" w:lineRule="auto"/>
        <w:jc w:val="both"/>
        <w:rPr>
          <w:rFonts w:ascii="Times New Roman" w:hAnsi="Times New Roman" w:cs="Times New Roman"/>
          <w:b/>
        </w:rPr>
      </w:pPr>
    </w:p>
    <w:p w:rsidR="00D81A3C" w:rsidRDefault="00D81A3C" w:rsidP="00D81A3C">
      <w:pPr>
        <w:spacing w:line="360" w:lineRule="auto"/>
        <w:jc w:val="both"/>
        <w:rPr>
          <w:rFonts w:ascii="Times New Roman" w:hAnsi="Times New Roman" w:cs="Times New Roman"/>
        </w:rPr>
      </w:pPr>
      <w:r>
        <w:rPr>
          <w:rFonts w:ascii="Times New Roman" w:hAnsi="Times New Roman" w:cs="Times New Roman"/>
          <w:b/>
        </w:rPr>
        <w:t>Figure S1</w:t>
      </w:r>
      <w:r>
        <w:rPr>
          <w:rFonts w:ascii="Times New Roman" w:hAnsi="Times New Roman" w:cs="Times New Roman"/>
        </w:rPr>
        <w:t>.</w:t>
      </w:r>
      <w:r>
        <w:rPr>
          <w:rFonts w:ascii="Times New Roman" w:hAnsi="Times New Roman" w:cs="Times New Roman"/>
          <w:b/>
        </w:rPr>
        <w:t xml:space="preserve"> </w:t>
      </w:r>
      <w:proofErr w:type="gramStart"/>
      <w:r>
        <w:rPr>
          <w:rFonts w:ascii="Times New Roman" w:hAnsi="Times New Roman" w:cs="Times New Roman"/>
          <w:b/>
        </w:rPr>
        <w:t xml:space="preserve">Recombinant </w:t>
      </w:r>
      <w:r w:rsidRPr="00CF5FD1">
        <w:rPr>
          <w:rFonts w:ascii="Times New Roman" w:eastAsia="Times New Roman" w:hAnsi="Times New Roman" w:cs="Times New Roman"/>
          <w:b/>
        </w:rPr>
        <w:t>α</w:t>
      </w:r>
      <w:r>
        <w:rPr>
          <w:rFonts w:ascii="Times New Roman" w:hAnsi="Times New Roman" w:cs="Times New Roman"/>
          <w:b/>
        </w:rPr>
        <w:t>-syn protein expression and purification setup.</w:t>
      </w:r>
      <w:proofErr w:type="gramEnd"/>
      <w:r>
        <w:rPr>
          <w:rFonts w:ascii="Times New Roman" w:hAnsi="Times New Roman" w:cs="Times New Roman"/>
          <w:b/>
        </w:rPr>
        <w:t xml:space="preserve"> A:</w:t>
      </w:r>
      <w:r>
        <w:rPr>
          <w:rFonts w:ascii="Times New Roman" w:hAnsi="Times New Roman" w:cs="Times New Roman"/>
        </w:rPr>
        <w:t xml:space="preserve"> 10 µL samples taken before and after the boiling step of the purification method were run on a 12% SDS-PAGE gel. The purification method employed leads to pure recombinant monomeric </w:t>
      </w:r>
      <w:r>
        <w:rPr>
          <w:rFonts w:ascii="Times New Roman" w:eastAsia="Times New Roman" w:hAnsi="Times New Roman" w:cs="Times New Roman"/>
        </w:rPr>
        <w:t>α</w:t>
      </w:r>
      <w:r>
        <w:rPr>
          <w:rFonts w:ascii="Times New Roman" w:hAnsi="Times New Roman" w:cs="Times New Roman"/>
        </w:rPr>
        <w:t xml:space="preserve">-syn (~14,4kDa). </w:t>
      </w:r>
      <w:r>
        <w:rPr>
          <w:rFonts w:ascii="Times New Roman" w:hAnsi="Times New Roman" w:cs="Times New Roman"/>
          <w:b/>
        </w:rPr>
        <w:t>B:</w:t>
      </w:r>
      <w:r>
        <w:rPr>
          <w:rFonts w:ascii="Times New Roman" w:hAnsi="Times New Roman" w:cs="Times New Roman"/>
        </w:rPr>
        <w:t xml:space="preserve"> Gel-filtration step in 10 mM MES buffer pH 5.5 used to freshly isolate pure monomeric </w:t>
      </w:r>
      <w:r>
        <w:rPr>
          <w:rFonts w:ascii="Times New Roman" w:eastAsia="Times New Roman" w:hAnsi="Times New Roman" w:cs="Times New Roman"/>
        </w:rPr>
        <w:t>α</w:t>
      </w:r>
      <w:r>
        <w:rPr>
          <w:rFonts w:ascii="Times New Roman" w:hAnsi="Times New Roman" w:cs="Times New Roman"/>
        </w:rPr>
        <w:t xml:space="preserve">-syn which is done prior to any experiment. </w:t>
      </w:r>
      <w:r>
        <w:rPr>
          <w:rFonts w:ascii="Times New Roman" w:hAnsi="Times New Roman" w:cs="Times New Roman"/>
          <w:b/>
        </w:rPr>
        <w:t>C:</w:t>
      </w:r>
      <w:r>
        <w:rPr>
          <w:rFonts w:ascii="Times New Roman" w:hAnsi="Times New Roman" w:cs="Times New Roman"/>
        </w:rPr>
        <w:t xml:space="preserve"> Example of 5 µL fibrils formed in 10 mM MES pH 5.5 imaged by Cryo-TEM on a glow-discharged carbon grid. </w:t>
      </w:r>
    </w:p>
    <w:p w:rsidR="00D81A3C" w:rsidRDefault="00D81A3C" w:rsidP="00D81A3C">
      <w:pPr>
        <w:spacing w:line="360" w:lineRule="auto"/>
        <w:jc w:val="both"/>
        <w:rPr>
          <w:rFonts w:ascii="Times New Roman" w:hAnsi="Times New Roman" w:cs="Times New Roman"/>
        </w:rPr>
      </w:pPr>
    </w:p>
    <w:p w:rsidR="00D81A3C" w:rsidRDefault="00D81A3C" w:rsidP="00D81A3C">
      <w:pPr>
        <w:spacing w:line="360" w:lineRule="auto"/>
        <w:jc w:val="both"/>
        <w:rPr>
          <w:rFonts w:ascii="Times New Roman" w:hAnsi="Times New Roman" w:cs="Times New Roman"/>
          <w:b/>
        </w:rPr>
      </w:pPr>
    </w:p>
    <w:p w:rsidR="00D81A3C" w:rsidRDefault="00D81A3C" w:rsidP="00D81A3C">
      <w:pPr>
        <w:spacing w:line="360" w:lineRule="auto"/>
        <w:jc w:val="both"/>
        <w:rPr>
          <w:rFonts w:ascii="Times New Roman" w:eastAsia="Times New Roman" w:hAnsi="Times New Roman" w:cs="Times New Roman"/>
        </w:rPr>
      </w:pPr>
      <w:r>
        <w:rPr>
          <w:rFonts w:ascii="Times New Roman" w:hAnsi="Times New Roman" w:cs="Times New Roman"/>
          <w:b/>
        </w:rPr>
        <w:t>S2) ThT dye optimization setup for kinetic studies</w:t>
      </w:r>
      <w:r>
        <w:rPr>
          <w:rFonts w:ascii="Times New Roman" w:eastAsia="Times New Roman" w:hAnsi="Times New Roman" w:cs="Times New Roman"/>
          <w:color w:val="FF0000"/>
        </w:rPr>
        <w:t xml:space="preserve">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The method used to monitor the aggregation process relies on the enhanced fluorescence intensity of ThT bound to fibrils (3). A conversion of the fluorescence signal to aggregate mass requires that the signal intensity is proportional to the amount of fibrils formed. The molecular origin of the binding of ThT to amyloid fibrils is still unclear and the ThT affinity and quantum yields are influenced by several factors (4). Therefore preliminary optimization studies were conducted </w:t>
      </w:r>
      <w:r>
        <w:rPr>
          <w:rFonts w:ascii="Times New Roman" w:eastAsia="Times New Roman" w:hAnsi="Times New Roman" w:cs="Times New Roman"/>
        </w:rPr>
        <w:lastRenderedPageBreak/>
        <w:t xml:space="preserve">specifically for our solution conditions. Initially, a set of solutions with 40, 60 and 100 µM preformed α-syn seeds were titrated with ThT to concentrations ranging from 10 µM up to 200 µM in PS plates. From figure S2, the first observation that can be made is that the fluorescence intensity from ThT dye bound to the fibril structure is proportional to the amount of fibrillar mass. From figure S2, it is also evident that the fluorescence of the dye decreases at higher dye concentrations. This is likely to be due to the so-called “inner filter effect” (5) and/or self-quenching. These studies indicated 20 µM as the ideal concentration of ThT to be used in our assays yielding reasonable fluorescence yield and a linear report on the concentration of fibrils. </w:t>
      </w:r>
    </w:p>
    <w:p w:rsidR="00040346" w:rsidRDefault="00040346"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040346" w:rsidRDefault="00040346"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bookmarkStart w:id="0" w:name="_GoBack"/>
      <w:bookmarkEnd w:id="0"/>
    </w:p>
    <w:p w:rsidR="00D81A3C" w:rsidRDefault="00040346"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pt-PT" w:eastAsia="pt-PT"/>
        </w:rPr>
        <w:drawing>
          <wp:inline distT="0" distB="0" distL="0" distR="0">
            <wp:extent cx="5274310" cy="4190965"/>
            <wp:effectExtent l="0" t="0" r="2540" b="0"/>
            <wp:docPr id="4" name="Picture 4" descr="C:\Users\Cristina\Documents\2 - Ricardo Gaspar Papers_Conf_CV\Publications\AS_Aggregation Mechanism (2017)\figures\Figures\Fig S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ocuments\2 - Ricardo Gaspar Papers_Conf_CV\Publications\AS_Aggregation Mechanism (2017)\figures\Figures\Fig SI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190965"/>
                    </a:xfrm>
                    <a:prstGeom prst="rect">
                      <a:avLst/>
                    </a:prstGeom>
                    <a:noFill/>
                    <a:ln>
                      <a:noFill/>
                    </a:ln>
                  </pic:spPr>
                </pic:pic>
              </a:graphicData>
            </a:graphic>
          </wp:inline>
        </w:drawing>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rPr>
      </w:pPr>
    </w:p>
    <w:p w:rsidR="00D81A3C" w:rsidRDefault="00D81A3C" w:rsidP="00D81A3C">
      <w:pPr>
        <w:spacing w:line="360" w:lineRule="auto"/>
        <w:jc w:val="both"/>
        <w:rPr>
          <w:rFonts w:ascii="Times New Roman" w:hAnsi="Times New Roman" w:cs="Times New Roman"/>
          <w:b/>
        </w:rPr>
      </w:pPr>
    </w:p>
    <w:p w:rsidR="00D81A3C" w:rsidRDefault="00D81A3C" w:rsidP="00D81A3C">
      <w:pPr>
        <w:spacing w:line="360" w:lineRule="auto"/>
        <w:jc w:val="both"/>
        <w:rPr>
          <w:rFonts w:ascii="Times New Roman" w:hAnsi="Times New Roman" w:cs="Times New Roman"/>
        </w:rPr>
      </w:pPr>
      <w:r>
        <w:rPr>
          <w:rFonts w:ascii="Times New Roman" w:hAnsi="Times New Roman" w:cs="Times New Roman"/>
          <w:b/>
        </w:rPr>
        <w:t>Figure S2.</w:t>
      </w:r>
      <w:r>
        <w:rPr>
          <w:rFonts w:ascii="Times New Roman" w:hAnsi="Times New Roman" w:cs="Times New Roman"/>
        </w:rPr>
        <w:t xml:space="preserve"> </w:t>
      </w:r>
      <w:r>
        <w:rPr>
          <w:rFonts w:ascii="Times New Roman" w:hAnsi="Times New Roman" w:cs="Times New Roman"/>
          <w:b/>
        </w:rPr>
        <w:t xml:space="preserve">ThT titration of different concentrations of α-syn preformed seed fibrils A: </w:t>
      </w:r>
      <w:r>
        <w:rPr>
          <w:rFonts w:ascii="Times New Roman" w:hAnsi="Times New Roman" w:cs="Times New Roman"/>
        </w:rPr>
        <w:t xml:space="preserve">100 µM </w:t>
      </w:r>
      <w:r>
        <w:rPr>
          <w:rFonts w:ascii="Times New Roman" w:hAnsi="Times New Roman" w:cs="Times New Roman"/>
          <w:b/>
        </w:rPr>
        <w:t xml:space="preserve">B: </w:t>
      </w:r>
      <w:r>
        <w:rPr>
          <w:rFonts w:ascii="Times New Roman" w:hAnsi="Times New Roman" w:cs="Times New Roman"/>
        </w:rPr>
        <w:t>60 µM</w:t>
      </w:r>
      <w:r>
        <w:rPr>
          <w:rFonts w:ascii="Times New Roman" w:hAnsi="Times New Roman" w:cs="Times New Roman"/>
          <w:b/>
        </w:rPr>
        <w:t xml:space="preserve"> C: </w:t>
      </w:r>
      <w:r>
        <w:rPr>
          <w:rFonts w:ascii="Times New Roman" w:hAnsi="Times New Roman" w:cs="Times New Roman"/>
        </w:rPr>
        <w:t>40 µM</w:t>
      </w:r>
      <w:r>
        <w:rPr>
          <w:rFonts w:ascii="Times New Roman" w:hAnsi="Times New Roman" w:cs="Times New Roman"/>
          <w:b/>
        </w:rPr>
        <w:t xml:space="preserve"> in 10 mM MES pH 5.5 at 37ºC under quiescent conditions. </w:t>
      </w:r>
      <w:r>
        <w:rPr>
          <w:rFonts w:ascii="Times New Roman" w:hAnsi="Times New Roman" w:cs="Times New Roman"/>
        </w:rPr>
        <w:t xml:space="preserve">The figures show averages of two traces that are shown in bold and are plotted as ThT intensity as a function of time. </w:t>
      </w:r>
      <w:r>
        <w:rPr>
          <w:rFonts w:ascii="Times New Roman" w:hAnsi="Times New Roman" w:cs="Times New Roman"/>
          <w:b/>
        </w:rPr>
        <w:t xml:space="preserve">D: </w:t>
      </w:r>
      <w:r>
        <w:rPr>
          <w:rFonts w:ascii="Times New Roman" w:hAnsi="Times New Roman" w:cs="Times New Roman"/>
        </w:rPr>
        <w:t>ThT</w:t>
      </w:r>
      <w:r>
        <w:rPr>
          <w:rFonts w:ascii="Times New Roman" w:eastAsia="Times New Roman" w:hAnsi="Times New Roman" w:cs="Times New Roman"/>
        </w:rPr>
        <w:t xml:space="preserve"> fluorescence intensity </w:t>
      </w:r>
      <w:r>
        <w:rPr>
          <w:rFonts w:ascii="Times New Roman" w:eastAsia="Times New Roman" w:hAnsi="Times New Roman" w:cs="Times New Roman"/>
        </w:rPr>
        <w:lastRenderedPageBreak/>
        <w:t xml:space="preserve">at the plateau plotted as a function of the respective ThT concentration, for each concentration of preformed seed fibrils tested. Arrow and dotted line indicate </w:t>
      </w:r>
      <w:r>
        <w:rPr>
          <w:rFonts w:ascii="Times New Roman" w:hAnsi="Times New Roman" w:cs="Times New Roman"/>
        </w:rPr>
        <w:t>the optimal concentration for ThT (20 µM) accessed to have a linear relationship between fluorescence intensity and aggregate concentration.</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ab/>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A second set of experiments based on monitoring α-syn aggregation </w:t>
      </w:r>
      <w:r>
        <w:rPr>
          <w:rFonts w:ascii="Times New Roman" w:eastAsia="Times New Roman" w:hAnsi="Times New Roman" w:cs="Times New Roman"/>
          <w:i/>
        </w:rPr>
        <w:t xml:space="preserve">per se </w:t>
      </w:r>
      <w:r>
        <w:rPr>
          <w:rFonts w:ascii="Times New Roman" w:eastAsia="Times New Roman" w:hAnsi="Times New Roman" w:cs="Times New Roman"/>
        </w:rPr>
        <w:t xml:space="preserve">from monomer to fibrils in PS plates in the presence of different concentrations of ThT was also performed. The decrease of fluorescence intensity at elevated dye concentrations was also observed here (see above). Although low concentrations of ThT seem ideal in terms of fluorescence yield, it is additionally crucial that the concentration of dye in the sample is sufficient, so that decreases in fluorescence do not occur as a result of complete depletion of ThT from the solution at high concentration of β-sheet enriched α-syn fibrils. Overall, both experiments pointed to 20 µM as the ideal ThT concentration for studies with α-syn and for our solution conditions.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eastAsia="Times New Roman" w:hAnsi="Times New Roman" w:cs="Times New Roman"/>
        </w:rPr>
      </w:pPr>
      <w:r>
        <w:rPr>
          <w:rFonts w:ascii="Times New Roman" w:eastAsia="Times New Roman" w:hAnsi="Times New Roman" w:cs="Times New Roman"/>
          <w:b/>
        </w:rPr>
        <w:t>S3) Non-seeded aggregation kinetic experiments: Role of surfaces</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FF0000"/>
        </w:rPr>
      </w:pPr>
      <w:proofErr w:type="gramStart"/>
      <w:r>
        <w:rPr>
          <w:rFonts w:ascii="Times New Roman" w:eastAsia="Times New Roman" w:hAnsi="Times New Roman" w:cs="Times New Roman"/>
        </w:rPr>
        <w:t>α-Syn</w:t>
      </w:r>
      <w:proofErr w:type="gramEnd"/>
      <w:r>
        <w:rPr>
          <w:rFonts w:ascii="Times New Roman" w:eastAsia="Times New Roman" w:hAnsi="Times New Roman" w:cs="Times New Roman"/>
        </w:rPr>
        <w:t xml:space="preserve"> aggregation is strongly influenced by intrinsic and extrinsic factors. To investigate the role of surfaces, reactions starting from monomeric α-syn were monitored in untreated polystyrene (PS) plates as well as non-binding PS plates coated with PEG. Interestingly, no aggregation of α-syn was detected during the time frame of the experiment (up to 100 h) in the PEGylated plates, whereas reproducible kinetic traces with typical sigmodal curves were observed in PS plates (Figure S3A). This highlights the importance of heterogeneous nucleation of α-syn on the PS surface. Another striking observation from the current experiments in PS plates is that α-syn aggregation kinetics appears independent of the peptide concentration at high monomer concentrations (above ca. 30 µM, Figure S3B). To characterize the aggregation mechanism of α-syn in the absence of catalyzing foreign surfaces, all further experiments were conducted in non-binding PEGylated PS plates in the presence of seeds. </w:t>
      </w:r>
    </w:p>
    <w:p w:rsidR="00D81A3C" w:rsidRDefault="00D22786"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noProof/>
          <w:lang w:val="pt-PT" w:eastAsia="pt-PT"/>
        </w:rPr>
      </w:pPr>
      <w:r>
        <w:rPr>
          <w:rFonts w:ascii="Times New Roman" w:eastAsia="Times New Roman" w:hAnsi="Times New Roman" w:cs="Times New Roman"/>
          <w:noProof/>
          <w:lang w:val="pt-PT" w:eastAsia="pt-PT"/>
        </w:rPr>
        <w:lastRenderedPageBreak/>
        <w:drawing>
          <wp:inline distT="0" distB="0" distL="0" distR="0">
            <wp:extent cx="5274310" cy="2523258"/>
            <wp:effectExtent l="0" t="0" r="2540" b="0"/>
            <wp:docPr id="2" name="Picture 2" descr="C:\Users\Cristina\Desktop\SI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SI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523258"/>
                    </a:xfrm>
                    <a:prstGeom prst="rect">
                      <a:avLst/>
                    </a:prstGeom>
                    <a:noFill/>
                    <a:ln>
                      <a:noFill/>
                    </a:ln>
                  </pic:spPr>
                </pic:pic>
              </a:graphicData>
            </a:graphic>
          </wp:inline>
        </w:drawing>
      </w:r>
    </w:p>
    <w:p w:rsidR="00D22786" w:rsidRDefault="00D22786"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spacing w:line="360" w:lineRule="auto"/>
        <w:jc w:val="both"/>
        <w:rPr>
          <w:rFonts w:ascii="Times New Roman" w:hAnsi="Times New Roman" w:cs="Times New Roman"/>
        </w:rPr>
      </w:pPr>
      <w:r>
        <w:rPr>
          <w:rFonts w:ascii="Times New Roman" w:hAnsi="Times New Roman" w:cs="Times New Roman"/>
          <w:b/>
        </w:rPr>
        <w:t>Figure S3. Non-Seeded</w:t>
      </w:r>
      <w:r>
        <w:rPr>
          <w:rFonts w:ascii="Times New Roman" w:hAnsi="Times New Roman" w:cs="Times New Roman"/>
        </w:rPr>
        <w:t xml:space="preserve"> </w:t>
      </w:r>
      <w:r>
        <w:rPr>
          <w:rFonts w:ascii="Times New Roman" w:hAnsi="Times New Roman" w:cs="Times New Roman"/>
          <w:b/>
        </w:rPr>
        <w:t>aggregation kinetics of α-syn.</w:t>
      </w:r>
      <w:r>
        <w:rPr>
          <w:rFonts w:ascii="Times New Roman" w:hAnsi="Times New Roman" w:cs="Times New Roman"/>
        </w:rPr>
        <w:t xml:space="preserve"> </w:t>
      </w:r>
      <w:r>
        <w:rPr>
          <w:rFonts w:ascii="Times New Roman" w:hAnsi="Times New Roman" w:cs="Times New Roman"/>
          <w:b/>
        </w:rPr>
        <w:t>A:</w:t>
      </w:r>
      <w:r>
        <w:rPr>
          <w:rFonts w:ascii="Times New Roman" w:hAnsi="Times New Roman" w:cs="Times New Roman"/>
        </w:rPr>
        <w:t xml:space="preserve"> Aggregation kinetics for 30 µM α-syn in plain PS plates (black) and in non-binding PEGylated PS plates (blue).</w:t>
      </w:r>
      <w:r>
        <w:rPr>
          <w:rFonts w:ascii="Times New Roman" w:hAnsi="Times New Roman" w:cs="Times New Roman"/>
          <w:b/>
        </w:rPr>
        <w:t xml:space="preserve"> B: </w:t>
      </w:r>
      <w:r>
        <w:rPr>
          <w:rFonts w:ascii="Times New Roman" w:hAnsi="Times New Roman" w:cs="Times New Roman"/>
        </w:rPr>
        <w:t xml:space="preserve">α-Syn aggregation kinetics for different monomer concentrations (10-50 µM) in plain PS plates. All experiments were performed in 10 mM MES pH 5.5 at 37ºC and under quiescent conditions. The figures show averages of three traces as solid lines with individual traces as dotted lines.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S4) QCM-D experiments: Sensor and fibril preparation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rPr>
        <w:t>For QCM experiments, the preparation of the sensor surfaces closely followed the protocols described in (6) Pre-formed fibrils were diluted to 20 µM in PBS buffer, sonicated for 4 min using a probe sonicator (pulsed, 3s on, 3s off, 20% amplitude on a 500 W ultrasonic homogenizer, Cole Parmer, Hanwell, UK) and then 2-Iminothiolane (Traut's reagent) was added at a final concentration of 1 mg/ml. This compound covalently attaches to proteins by reacting with free amine groups, in particular, but not only, the N-terminus, and releases a free thiol group, which in turn enables covalent attachment to the gold-coated surface of the QCM sensor. After 5 min incubation, 80 µl of the fibril suspension was added onto each of the QCM sensors that had been cleaned prior to incubation using hot NH</w:t>
      </w:r>
      <w:r>
        <w:rPr>
          <w:rFonts w:ascii="Times New Roman" w:eastAsia="Times New Roman" w:hAnsi="Times New Roman" w:cs="Times New Roman"/>
          <w:vertAlign w:val="subscript"/>
        </w:rPr>
        <w:t>3</w:t>
      </w:r>
      <w:r>
        <w:rPr>
          <w:rFonts w:ascii="Times New Roman" w:eastAsia="Times New Roman" w:hAnsi="Times New Roman" w:cs="Times New Roman"/>
        </w:rPr>
        <w:t>/H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solution (80ºC, 30 min) and 20 min of UV/O3 treatment. After 1 h incubation at room temperature under an atmosphere of saturated humidity, the sensors were washed with PBS buffer and incubated for 15 min with a 1% volume solution of mPEG thiol in PBS buffer (Polypure, Norway). Then the sensors were washed with water and dried with </w:t>
      </w:r>
      <w:r>
        <w:rPr>
          <w:rFonts w:ascii="Times New Roman" w:eastAsia="Times New Roman" w:hAnsi="Times New Roman" w:cs="Times New Roman"/>
        </w:rPr>
        <w:lastRenderedPageBreak/>
        <w:t>nitrogen, immediately followed by insertion into the microbalance. The sensors were then incubated at 37ºC in PBS buffer until a stable baseline was achieved, and subsequently the experiment could be initiated.</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In order to probe whether the surface density of fibrils was comparable on the different sensors, the sensors were incubated with 20 µM α-syn in PBS, and the very similar rate of change of frequency induced by the fibril elongation confirmed very similar surface concentration of fibrils on the sensors (data not shown).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eastAsia="Times New Roman" w:hAnsi="Times New Roman" w:cs="Times New Roman"/>
        </w:rPr>
        <w:tab/>
        <w:t>For the main experiments, several overtones of the fundamental frequency, as well as the associated dissipation values were simultaneously monitored. For simplicity, we restrict our analysis to the frequency and dissipation of the overtone N = 3. The fundamental frequency is often found not to yield useful data, due to poor energy trapping, therefore it is mostly not considered in the analysis. For rough, viscoelastic layers, the amplitude of the frequency response decreases with increasing overtone number, leading to a decrease in the signal-to-noise ratio. Therefore the overtone with N = 3 is best suited for our analysis. The differential response of the different overtones in principle contains information about the structural and viscoelastic properties of the protein surface adsorbed layer. However, there are no analytical theories available to us that allow for modeling of the complex layer consisting of a random network of amyloid fibrils on a surface. We have recently shown through empirical calibration experiments, combined with solutions of the reaction-diffusion dynamics towards the surface, that the mass sensitivity of a QCM for the process of amyloid fibril growth is several times higher than expected for a smooth rigid adsorbed layer (7), highlighting the importance of trapped water for the frequency response.</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b/>
        </w:rPr>
        <w:t>S5) Integrated Rate Law</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rPr>
        <w:tab/>
        <w:t xml:space="preserve">The global data analysis was performed using the </w:t>
      </w:r>
      <w:proofErr w:type="spellStart"/>
      <w:r>
        <w:rPr>
          <w:rFonts w:ascii="Times New Roman" w:eastAsia="Times New Roman" w:hAnsi="Times New Roman" w:cs="Times New Roman"/>
        </w:rPr>
        <w:t>AmyloFit</w:t>
      </w:r>
      <w:proofErr w:type="spellEnd"/>
      <w:r>
        <w:rPr>
          <w:rFonts w:ascii="Times New Roman" w:eastAsia="Times New Roman" w:hAnsi="Times New Roman" w:cs="Times New Roman"/>
        </w:rPr>
        <w:t xml:space="preserve"> platform for analysis and fitting of protein aggregation data (8).</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color w:val="FF0000"/>
        </w:rPr>
        <w:tab/>
      </w:r>
      <w:r>
        <w:rPr>
          <w:rFonts w:ascii="Times New Roman" w:eastAsia="Times New Roman" w:hAnsi="Times New Roman" w:cs="Times New Roman"/>
        </w:rPr>
        <w:t xml:space="preserve">Here we show that a positive curvature in the kinetic curves implies an increase in aggregate number. The differential equation for the mass concentration of aggregates, </w:t>
      </w:r>
      <w:proofErr w:type="gramStart"/>
      <w:r>
        <w:rPr>
          <w:rFonts w:ascii="Times New Roman" w:eastAsia="Times New Roman" w:hAnsi="Times New Roman" w:cs="Times New Roman"/>
          <w:i/>
        </w:rPr>
        <w:t>M(</w:t>
      </w:r>
      <w:proofErr w:type="gramEnd"/>
      <w:r>
        <w:rPr>
          <w:rFonts w:ascii="Times New Roman" w:eastAsia="Times New Roman" w:hAnsi="Times New Roman" w:cs="Times New Roman"/>
          <w:i/>
        </w:rPr>
        <w:t>t)</w:t>
      </w:r>
      <w:r>
        <w:rPr>
          <w:rFonts w:ascii="Times New Roman" w:eastAsia="Times New Roman" w:hAnsi="Times New Roman" w:cs="Times New Roman"/>
        </w:rPr>
        <w:t>, is given by (8):</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8472B7"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rPr>
      </w:pPr>
      <m:oMath>
        <m:eqArr>
          <m:eqArrPr>
            <m:ctrlPr>
              <w:rPr>
                <w:rFonts w:ascii="Cambria Math" w:hAnsi="Cambria Math"/>
              </w:rPr>
            </m:ctrlPr>
          </m:eqArrPr>
          <m:e>
            <m:f>
              <m:fPr>
                <m:ctrlPr>
                  <w:rPr>
                    <w:rFonts w:ascii="Cambria Math" w:hAnsi="Cambria Math"/>
                  </w:rPr>
                </m:ctrlPr>
              </m:fPr>
              <m:num>
                <m:r>
                  <w:rPr>
                    <w:rFonts w:ascii="Cambria Math" w:hAnsi="Cambria Math"/>
                  </w:rPr>
                  <m:t>dM</m:t>
                </m:r>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m:t>
                </m:r>
              </m:sub>
            </m:sSub>
            <m:r>
              <w:rPr>
                <w:rFonts w:ascii="Cambria Math" w:hAnsi="Cambria Math"/>
              </w:rPr>
              <m:t>+m</m:t>
            </m:r>
            <m:d>
              <m:dPr>
                <m:ctrlPr>
                  <w:rPr>
                    <w:rFonts w:ascii="Cambria Math" w:hAnsi="Cambria Math"/>
                  </w:rPr>
                </m:ctrlPr>
              </m:dPr>
              <m:e>
                <m:r>
                  <w:rPr>
                    <w:rFonts w:ascii="Cambria Math" w:hAnsi="Cambria Math"/>
                  </w:rPr>
                  <m:t>t</m:t>
                </m:r>
              </m:e>
            </m:d>
            <m:r>
              <w:rPr>
                <w:rFonts w:ascii="Cambria Math" w:hAnsi="Cambria Math"/>
              </w:rPr>
              <m:t>P</m:t>
            </m:r>
            <m:d>
              <m:dPr>
                <m:ctrlPr>
                  <w:rPr>
                    <w:rFonts w:ascii="Cambria Math" w:hAnsi="Cambria Math"/>
                  </w:rPr>
                </m:ctrlPr>
              </m:dPr>
              <m:e>
                <m:r>
                  <w:rPr>
                    <w:rFonts w:ascii="Cambria Math" w:hAnsi="Cambria Math"/>
                  </w:rPr>
                  <m:t>t</m:t>
                </m:r>
              </m:e>
            </m:d>
            <m:r>
              <w:rPr>
                <w:rFonts w:ascii="Cambria Math" w:hAnsi="Cambria Math"/>
              </w:rPr>
              <m:t xml:space="preserve">                    </m:t>
            </m:r>
            <m:d>
              <m:dPr>
                <m:ctrlPr>
                  <w:rPr>
                    <w:rFonts w:ascii="Cambria Math" w:hAnsi="Cambria Math"/>
                  </w:rPr>
                </m:ctrlPr>
              </m:dPr>
              <m:e>
                <m:r>
                  <w:rPr>
                    <w:rFonts w:ascii="Cambria Math" w:hAnsi="Cambria Math"/>
                  </w:rPr>
                  <m:t>1</m:t>
                </m:r>
              </m:e>
            </m:d>
          </m:e>
        </m:eqArr>
      </m:oMath>
      <w:r w:rsidR="00D81A3C">
        <w:rPr>
          <w:rFonts w:ascii="Times New Roman" w:eastAsia="Times New Roman" w:hAnsi="Times New Roman" w:cs="Times New Roman"/>
        </w:rPr>
        <w:t xml:space="preserve">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xml:space="preserve"> </w:t>
      </w:r>
      <m:oMath>
        <m:eqArr>
          <m:eqArrPr>
            <m:ctrlPr>
              <w:rPr>
                <w:rFonts w:ascii="Cambria Math" w:hAnsi="Cambria Math"/>
              </w:rPr>
            </m:ctrlPr>
          </m:eqArrPr>
          <m:e>
            <m:sSub>
              <m:sSubPr>
                <m:ctrlPr>
                  <w:rPr>
                    <w:rFonts w:ascii="Cambria Math" w:hAnsi="Cambria Math"/>
                  </w:rPr>
                </m:ctrlPr>
              </m:sSubPr>
              <m:e>
                <m:r>
                  <w:rPr>
                    <w:rFonts w:ascii="Cambria Math" w:hAnsi="Cambria Math"/>
                  </w:rPr>
                  <m:t>k</m:t>
                </m:r>
              </m:e>
              <m:sub>
                <m:r>
                  <w:rPr>
                    <w:rFonts w:ascii="Cambria Math" w:hAnsi="Cambria Math"/>
                  </w:rPr>
                  <m:t>+</m:t>
                </m:r>
              </m:sub>
            </m:sSub>
          </m:e>
        </m:eqArr>
      </m:oMath>
      <w:r>
        <w:rPr>
          <w:rFonts w:ascii="Times New Roman" w:eastAsia="Times New Roman" w:hAnsi="Times New Roman" w:cs="Times New Roman"/>
        </w:rPr>
        <w:t xml:space="preserve"> is the elongation rate constant, </w:t>
      </w:r>
      <m:oMath>
        <m:r>
          <w:rPr>
            <w:rFonts w:ascii="Cambria Math" w:hAnsi="Cambria Math"/>
          </w:rPr>
          <m:t>m</m:t>
        </m:r>
        <m:d>
          <m:dPr>
            <m:ctrlPr>
              <w:rPr>
                <w:rFonts w:ascii="Cambria Math" w:hAnsi="Cambria Math"/>
              </w:rPr>
            </m:ctrlPr>
          </m:dPr>
          <m:e>
            <m:r>
              <w:rPr>
                <w:rFonts w:ascii="Cambria Math" w:hAnsi="Cambria Math"/>
              </w:rPr>
              <m:t>t</m:t>
            </m:r>
          </m:e>
        </m:d>
      </m:oMath>
      <w:r>
        <w:rPr>
          <w:rFonts w:ascii="Times New Roman" w:eastAsia="Times New Roman" w:hAnsi="Times New Roman" w:cs="Times New Roman"/>
        </w:rPr>
        <w:t xml:space="preserve"> is the monomer concentration and </w:t>
      </w:r>
      <m:oMath>
        <m:r>
          <w:rPr>
            <w:rFonts w:ascii="Cambria Math" w:hAnsi="Cambria Math"/>
          </w:rPr>
          <m:t>P</m:t>
        </m:r>
        <m:d>
          <m:dPr>
            <m:ctrlPr>
              <w:rPr>
                <w:rFonts w:ascii="Cambria Math" w:hAnsi="Cambria Math"/>
              </w:rPr>
            </m:ctrlPr>
          </m:dPr>
          <m:e>
            <m:r>
              <w:rPr>
                <w:rFonts w:ascii="Cambria Math" w:hAnsi="Cambria Math"/>
              </w:rPr>
              <m:t>t</m:t>
            </m:r>
          </m:e>
        </m:d>
      </m:oMath>
      <w:r>
        <w:rPr>
          <w:rFonts w:ascii="Times New Roman" w:eastAsia="Times New Roman" w:hAnsi="Times New Roman" w:cs="Times New Roman"/>
        </w:rPr>
        <w:t xml:space="preserve"> is the number concentration of aggregates. Positive curvature </w:t>
      </w:r>
      <w:proofErr w:type="gramStart"/>
      <w:r>
        <w:rPr>
          <w:rFonts w:ascii="Times New Roman" w:eastAsia="Times New Roman" w:hAnsi="Times New Roman" w:cs="Times New Roman"/>
        </w:rPr>
        <w:t xml:space="preserve">means </w:t>
      </w:r>
      <w:proofErr w:type="gramEnd"/>
      <m:oMath>
        <m:f>
          <m:fPr>
            <m:type m:val="lin"/>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m:t>
            </m:r>
          </m:num>
          <m:den>
            <m:sSup>
              <m:sSupPr>
                <m:ctrlPr>
                  <w:rPr>
                    <w:rFonts w:ascii="Cambria Math" w:hAnsi="Cambria Math"/>
                  </w:rPr>
                </m:ctrlPr>
              </m:sSupPr>
              <m:e>
                <m:r>
                  <w:rPr>
                    <w:rFonts w:ascii="Cambria Math" w:hAnsi="Cambria Math"/>
                  </w:rPr>
                  <m:t>dt</m:t>
                </m:r>
              </m:e>
              <m:sup>
                <m:r>
                  <w:rPr>
                    <w:rFonts w:ascii="Cambria Math" w:hAnsi="Cambria Math"/>
                  </w:rPr>
                  <m:t>2</m:t>
                </m:r>
              </m:sup>
            </m:sSup>
          </m:den>
        </m:f>
        <m:r>
          <w:rPr>
            <w:rFonts w:ascii="Cambria Math" w:hAnsi="Cambria Math"/>
          </w:rPr>
          <m:t>&gt;0</m:t>
        </m:r>
      </m:oMath>
      <w:r>
        <w:rPr>
          <w:rFonts w:ascii="Times New Roman" w:eastAsia="Times New Roman" w:hAnsi="Times New Roman" w:cs="Times New Roman"/>
        </w:rPr>
        <w:t xml:space="preserve">, therefore: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D81A3C" w:rsidRDefault="008472B7"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rPr>
      </w:pPr>
      <m:oMathPara>
        <m:oMath>
          <m:eqArr>
            <m:eqArrPr>
              <m:ctrlPr>
                <w:rPr>
                  <w:rFonts w:ascii="Cambria Math" w:hAnsi="Cambria Math"/>
                </w:rPr>
              </m:ctrlPr>
            </m:eqArrPr>
            <m:e>
              <m:f>
                <m:fPr>
                  <m:ctrlPr>
                    <w:rPr>
                      <w:rFonts w:ascii="Cambria Math" w:hAnsi="Cambria Math"/>
                    </w:rPr>
                  </m:ctrlPr>
                </m:fPr>
                <m:num>
                  <m:r>
                    <w:rPr>
                      <w:rFonts w:ascii="Cambria Math" w:hAnsi="Cambria Math"/>
                    </w:rPr>
                    <m:t>d</m:t>
                  </m:r>
                </m:num>
                <m:den>
                  <m:r>
                    <w:rPr>
                      <w:rFonts w:ascii="Cambria Math" w:hAnsi="Cambria Math"/>
                    </w:rPr>
                    <m:t>dt</m:t>
                  </m:r>
                </m:den>
              </m:f>
              <m:sSub>
                <m:sSubPr>
                  <m:ctrlPr>
                    <w:rPr>
                      <w:rFonts w:ascii="Cambria Math" w:hAnsi="Cambria Math"/>
                    </w:rPr>
                  </m:ctrlPr>
                </m:sSubPr>
                <m:e>
                  <m:r>
                    <w:rPr>
                      <w:rFonts w:ascii="Cambria Math" w:hAnsi="Cambria Math"/>
                    </w:rPr>
                    <m:t>k</m:t>
                  </m:r>
                </m:e>
                <m:sub>
                  <m:r>
                    <w:rPr>
                      <w:rFonts w:ascii="Cambria Math" w:hAnsi="Cambria Math"/>
                    </w:rPr>
                    <m:t>+</m:t>
                  </m:r>
                </m:sub>
              </m:sSub>
              <m:r>
                <w:rPr>
                  <w:rFonts w:ascii="Cambria Math" w:hAnsi="Cambria Math"/>
                </w:rPr>
                <m:t>m</m:t>
              </m:r>
              <m:d>
                <m:dPr>
                  <m:ctrlPr>
                    <w:rPr>
                      <w:rFonts w:ascii="Cambria Math" w:hAnsi="Cambria Math"/>
                    </w:rPr>
                  </m:ctrlPr>
                </m:dPr>
                <m:e>
                  <m:r>
                    <w:rPr>
                      <w:rFonts w:ascii="Cambria Math" w:hAnsi="Cambria Math"/>
                    </w:rPr>
                    <m:t>t</m:t>
                  </m:r>
                </m:e>
              </m:d>
              <m:r>
                <w:rPr>
                  <w:rFonts w:ascii="Cambria Math" w:hAnsi="Cambria Math"/>
                </w:rPr>
                <m:t>P</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m:t>
                  </m:r>
                </m:sub>
              </m:sSub>
              <m:d>
                <m:dPr>
                  <m:ctrlPr>
                    <w:rPr>
                      <w:rFonts w:ascii="Cambria Math" w:hAnsi="Cambria Math"/>
                    </w:rPr>
                  </m:ctrlPr>
                </m:dPr>
                <m:e>
                  <m:f>
                    <m:fPr>
                      <m:ctrlPr>
                        <w:rPr>
                          <w:rFonts w:ascii="Cambria Math" w:hAnsi="Cambria Math"/>
                        </w:rPr>
                      </m:ctrlPr>
                    </m:fPr>
                    <m:num>
                      <m:r>
                        <w:rPr>
                          <w:rFonts w:ascii="Cambria Math" w:hAnsi="Cambria Math"/>
                        </w:rPr>
                        <m:t>dm</m:t>
                      </m:r>
                    </m:num>
                    <m:den>
                      <m:r>
                        <w:rPr>
                          <w:rFonts w:ascii="Cambria Math" w:hAnsi="Cambria Math"/>
                        </w:rPr>
                        <m:t>dt</m:t>
                      </m:r>
                    </m:den>
                  </m:f>
                  <m:r>
                    <w:rPr>
                      <w:rFonts w:ascii="Cambria Math" w:hAnsi="Cambria Math"/>
                    </w:rPr>
                    <m:t>P</m:t>
                  </m:r>
                  <m:d>
                    <m:dPr>
                      <m:ctrlPr>
                        <w:rPr>
                          <w:rFonts w:ascii="Cambria Math" w:hAnsi="Cambria Math"/>
                        </w:rPr>
                      </m:ctrlPr>
                    </m:dPr>
                    <m:e>
                      <m:r>
                        <w:rPr>
                          <w:rFonts w:ascii="Cambria Math" w:hAnsi="Cambria Math"/>
                        </w:rPr>
                        <m:t>t</m:t>
                      </m:r>
                    </m:e>
                  </m:d>
                  <m:r>
                    <w:rPr>
                      <w:rFonts w:ascii="Cambria Math" w:hAnsi="Cambria Math"/>
                    </w:rPr>
                    <m:t>+m</m:t>
                  </m:r>
                  <m:d>
                    <m:dPr>
                      <m:ctrlPr>
                        <w:rPr>
                          <w:rFonts w:ascii="Cambria Math" w:hAnsi="Cambria Math"/>
                        </w:rPr>
                      </m:ctrlPr>
                    </m:dPr>
                    <m:e>
                      <m:r>
                        <w:rPr>
                          <w:rFonts w:ascii="Cambria Math" w:hAnsi="Cambria Math"/>
                        </w:rPr>
                        <m:t>t</m:t>
                      </m:r>
                    </m:e>
                  </m:d>
                  <m:f>
                    <m:fPr>
                      <m:ctrlPr>
                        <w:rPr>
                          <w:rFonts w:ascii="Cambria Math" w:hAnsi="Cambria Math"/>
                        </w:rPr>
                      </m:ctrlPr>
                    </m:fPr>
                    <m:num>
                      <m:r>
                        <w:rPr>
                          <w:rFonts w:ascii="Cambria Math" w:hAnsi="Cambria Math"/>
                        </w:rPr>
                        <m:t>dP</m:t>
                      </m:r>
                    </m:num>
                    <m:den>
                      <m:r>
                        <w:rPr>
                          <w:rFonts w:ascii="Cambria Math" w:hAnsi="Cambria Math"/>
                        </w:rPr>
                        <m:t>dt</m:t>
                      </m:r>
                    </m:den>
                  </m:f>
                </m:e>
              </m:d>
              <m:r>
                <w:rPr>
                  <w:rFonts w:ascii="Cambria Math" w:hAnsi="Cambria Math"/>
                </w:rPr>
                <m:t xml:space="preserve">&gt;0                    </m:t>
              </m:r>
              <m:d>
                <m:dPr>
                  <m:ctrlPr>
                    <w:rPr>
                      <w:rFonts w:ascii="Cambria Math" w:hAnsi="Cambria Math"/>
                    </w:rPr>
                  </m:ctrlPr>
                </m:dPr>
                <m:e>
                  <m:r>
                    <w:rPr>
                      <w:rFonts w:ascii="Cambria Math" w:hAnsi="Cambria Math"/>
                    </w:rPr>
                    <m:t>2</m:t>
                  </m:r>
                </m:e>
              </m:d>
            </m:e>
          </m:eqArr>
        </m:oMath>
      </m:oMathPara>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 the monomer concentration will decrease during the aggregation </w:t>
      </w:r>
      <w:proofErr w:type="gramStart"/>
      <w:r>
        <w:rPr>
          <w:rFonts w:ascii="Times New Roman" w:eastAsia="Times New Roman" w:hAnsi="Times New Roman" w:cs="Times New Roman"/>
        </w:rPr>
        <w:t xml:space="preserve">reaction </w:t>
      </w:r>
      <w:proofErr w:type="gramEnd"/>
      <m:oMath>
        <m:f>
          <m:fPr>
            <m:type m:val="lin"/>
            <m:ctrlPr>
              <w:rPr>
                <w:rFonts w:ascii="Cambria Math" w:hAnsi="Cambria Math"/>
              </w:rPr>
            </m:ctrlPr>
          </m:fPr>
          <m:num>
            <m:r>
              <w:rPr>
                <w:rFonts w:ascii="Cambria Math" w:hAnsi="Cambria Math"/>
              </w:rPr>
              <m:t>dm</m:t>
            </m:r>
          </m:num>
          <m:den>
            <m:r>
              <w:rPr>
                <w:rFonts w:ascii="Cambria Math" w:hAnsi="Cambria Math"/>
              </w:rPr>
              <m:t>dt</m:t>
            </m:r>
          </m:den>
        </m:f>
        <m:r>
          <w:rPr>
            <w:rFonts w:ascii="Cambria Math" w:hAnsi="Cambria Math"/>
          </w:rPr>
          <m:t>&lt;0</m:t>
        </m:r>
      </m:oMath>
      <w:r>
        <w:rPr>
          <w:rFonts w:ascii="Times New Roman" w:eastAsia="Times New Roman" w:hAnsi="Times New Roman" w:cs="Times New Roman"/>
        </w:rPr>
        <w:t xml:space="preserve">, moreover both </w:t>
      </w:r>
      <m:oMath>
        <m:r>
          <w:rPr>
            <w:rFonts w:ascii="Cambria Math" w:hAnsi="Cambria Math"/>
          </w:rPr>
          <m:t>m</m:t>
        </m:r>
        <m:d>
          <m:dPr>
            <m:ctrlPr>
              <w:rPr>
                <w:rFonts w:ascii="Cambria Math" w:hAnsi="Cambria Math"/>
              </w:rPr>
            </m:ctrlPr>
          </m:dPr>
          <m:e>
            <m:r>
              <w:rPr>
                <w:rFonts w:ascii="Cambria Math" w:hAnsi="Cambria Math"/>
              </w:rPr>
              <m:t>t</m:t>
            </m:r>
          </m:e>
        </m:d>
      </m:oMath>
      <w:r>
        <w:rPr>
          <w:rFonts w:ascii="Times New Roman" w:eastAsia="Times New Roman" w:hAnsi="Times New Roman" w:cs="Times New Roman"/>
        </w:rPr>
        <w:t xml:space="preserve"> and </w:t>
      </w:r>
      <m:oMath>
        <m:r>
          <w:rPr>
            <w:rFonts w:ascii="Cambria Math" w:hAnsi="Cambria Math"/>
          </w:rPr>
          <m:t>P</m:t>
        </m:r>
        <m:d>
          <m:dPr>
            <m:ctrlPr>
              <w:rPr>
                <w:rFonts w:ascii="Cambria Math" w:hAnsi="Cambria Math"/>
              </w:rPr>
            </m:ctrlPr>
          </m:dPr>
          <m:e>
            <m:r>
              <w:rPr>
                <w:rFonts w:ascii="Cambria Math" w:hAnsi="Cambria Math"/>
              </w:rPr>
              <m:t>t</m:t>
            </m:r>
          </m:e>
        </m:d>
      </m:oMath>
      <w:r>
        <w:rPr>
          <w:rFonts w:ascii="Times New Roman" w:eastAsia="Times New Roman" w:hAnsi="Times New Roman" w:cs="Times New Roman"/>
        </w:rPr>
        <w:t xml:space="preserve"> are non-negative, it hence follows that </w:t>
      </w:r>
      <m:oMath>
        <m:f>
          <m:fPr>
            <m:type m:val="lin"/>
            <m:ctrlPr>
              <w:rPr>
                <w:rFonts w:ascii="Cambria Math" w:hAnsi="Cambria Math"/>
              </w:rPr>
            </m:ctrlPr>
          </m:fPr>
          <m:num>
            <m:r>
              <w:rPr>
                <w:rFonts w:ascii="Cambria Math" w:hAnsi="Cambria Math"/>
              </w:rPr>
              <m:t>dP</m:t>
            </m:r>
          </m:num>
          <m:den>
            <m:r>
              <w:rPr>
                <w:rFonts w:ascii="Cambria Math" w:hAnsi="Cambria Math"/>
              </w:rPr>
              <m:t>dt</m:t>
            </m:r>
          </m:den>
        </m:f>
        <m:r>
          <w:rPr>
            <w:rFonts w:ascii="Cambria Math" w:hAnsi="Cambria Math"/>
          </w:rPr>
          <m:t>&gt;0</m:t>
        </m:r>
      </m:oMath>
      <w:r>
        <w:rPr>
          <w:rFonts w:ascii="Times New Roman" w:eastAsia="Times New Roman" w:hAnsi="Times New Roman" w:cs="Times New Roman"/>
        </w:rPr>
        <w:t xml:space="preserve"> which corresponds to an increase in the number concentration of fibrils. Therefore a positive curvature in the aggregate mass concentration implies an increase in the number of fibrils. Note that no specific assumption about the functional form </w:t>
      </w:r>
      <m:oMath>
        <m:r>
          <w:rPr>
            <w:rFonts w:ascii="Cambria Math" w:hAnsi="Cambria Math"/>
          </w:rPr>
          <m:t>P</m:t>
        </m:r>
        <m:d>
          <m:dPr>
            <m:ctrlPr>
              <w:rPr>
                <w:rFonts w:ascii="Cambria Math" w:hAnsi="Cambria Math"/>
              </w:rPr>
            </m:ctrlPr>
          </m:dPr>
          <m:e>
            <m:r>
              <w:rPr>
                <w:rFonts w:ascii="Cambria Math" w:hAnsi="Cambria Math"/>
              </w:rPr>
              <m:t>t</m:t>
            </m:r>
          </m:e>
        </m:d>
      </m:oMath>
      <w:r>
        <w:rPr>
          <w:rFonts w:ascii="Times New Roman" w:eastAsia="Times New Roman" w:hAnsi="Times New Roman" w:cs="Times New Roman"/>
        </w:rPr>
        <w:t xml:space="preserve"> was necessary in this proof.   </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S6 and S7) Two-color </w:t>
      </w:r>
      <w:r>
        <w:rPr>
          <w:rFonts w:ascii="Times New Roman" w:eastAsia="Times New Roman" w:hAnsi="Times New Roman" w:cs="Times New Roman"/>
          <w:b/>
          <w:i/>
        </w:rPr>
        <w:t>d</w:t>
      </w:r>
      <w:r>
        <w:rPr>
          <w:rFonts w:ascii="Times New Roman" w:eastAsia="Times New Roman" w:hAnsi="Times New Roman" w:cs="Times New Roman"/>
          <w:b/>
        </w:rPr>
        <w:t>STORM approach</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labeling α-syn cysteine variant (N122C), lyophilized peptide was dissolved in 6M </w:t>
      </w:r>
      <w:proofErr w:type="spellStart"/>
      <w:r>
        <w:rPr>
          <w:rFonts w:ascii="Times New Roman" w:eastAsia="Times New Roman" w:hAnsi="Times New Roman" w:cs="Times New Roman"/>
        </w:rPr>
        <w:t>GuHCl</w:t>
      </w:r>
      <w:proofErr w:type="spellEnd"/>
      <w:r>
        <w:rPr>
          <w:rFonts w:ascii="Times New Roman" w:eastAsia="Times New Roman" w:hAnsi="Times New Roman" w:cs="Times New Roman"/>
        </w:rPr>
        <w:t xml:space="preserve"> with 1mM DTT in order to reduce disulfide bonds. A gel filtration step was followed in order to isolate monomer in 20mM sodium phosphate pH 8 and remove DTT. The concentration of peptide was obtained measuring the UV absorbance at 280 nm. Added to the peptide sample, 1.5 equi</w:t>
      </w:r>
      <w:r w:rsidR="00131012">
        <w:rPr>
          <w:rFonts w:ascii="Times New Roman" w:eastAsia="Times New Roman" w:hAnsi="Times New Roman" w:cs="Times New Roman"/>
        </w:rPr>
        <w:t>valents of dye, either Alexa Fl</w:t>
      </w:r>
      <w:r>
        <w:rPr>
          <w:rFonts w:ascii="Times New Roman" w:eastAsia="Times New Roman" w:hAnsi="Times New Roman" w:cs="Times New Roman"/>
        </w:rPr>
        <w:t>u</w:t>
      </w:r>
      <w:r w:rsidR="00131012">
        <w:rPr>
          <w:rFonts w:ascii="Times New Roman" w:eastAsia="Times New Roman" w:hAnsi="Times New Roman" w:cs="Times New Roman"/>
        </w:rPr>
        <w:t>or 647 (AF647) or Alexa Fl</w:t>
      </w:r>
      <w:r>
        <w:rPr>
          <w:rFonts w:ascii="Times New Roman" w:eastAsia="Times New Roman" w:hAnsi="Times New Roman" w:cs="Times New Roman"/>
        </w:rPr>
        <w:t>u</w:t>
      </w:r>
      <w:r w:rsidR="00131012">
        <w:rPr>
          <w:rFonts w:ascii="Times New Roman" w:eastAsia="Times New Roman" w:hAnsi="Times New Roman" w:cs="Times New Roman"/>
        </w:rPr>
        <w:t>o</w:t>
      </w:r>
      <w:r>
        <w:rPr>
          <w:rFonts w:ascii="Times New Roman" w:eastAsia="Times New Roman" w:hAnsi="Times New Roman" w:cs="Times New Roman"/>
        </w:rPr>
        <w:t>r 568 (AF568) and was left incubating for 2 h. Gel filtration was again performed to isolate the monomer in our experimental buffer, 10 mM MES pH 5.5 and remove excess free dye. The monomeric fraction collected was analyzed by SDS-PAGE (Figure S6 A and B).</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rPr>
      </w:pPr>
      <w:r>
        <w:rPr>
          <w:noProof/>
          <w:lang w:val="pt-PT" w:eastAsia="pt-PT"/>
        </w:rPr>
        <w:lastRenderedPageBreak/>
        <w:drawing>
          <wp:inline distT="0" distB="0" distL="0" distR="0" wp14:anchorId="55774900" wp14:editId="5C386296">
            <wp:extent cx="5274310" cy="2819400"/>
            <wp:effectExtent l="0" t="0" r="0" b="0"/>
            <wp:docPr id="11" name="Picture 9" descr="C:\Users\Cristina\Documents\2 - Ricardo Gaspar Papers_Conf_CV\Papers\AS_Seeding Mechanism (submitted)\figures\Figures\Figure\FigdSTORM\Dstorm\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C:\Users\Cristina\Documents\2 - Ricardo Gaspar Papers_Conf_CV\Papers\AS_Seeding Mechanism (submitted)\figures\Figures\Figure\FigdSTORM\Dstorm\Picture1.tif"/>
                    <pic:cNvPicPr>
                      <a:picLocks noChangeAspect="1" noChangeArrowheads="1"/>
                    </pic:cNvPicPr>
                  </pic:nvPicPr>
                  <pic:blipFill>
                    <a:blip r:embed="rId10"/>
                    <a:stretch>
                      <a:fillRect/>
                    </a:stretch>
                  </pic:blipFill>
                  <pic:spPr bwMode="auto">
                    <a:xfrm>
                      <a:off x="0" y="0"/>
                      <a:ext cx="5274310" cy="2819400"/>
                    </a:xfrm>
                    <a:prstGeom prst="rect">
                      <a:avLst/>
                    </a:prstGeom>
                  </pic:spPr>
                </pic:pic>
              </a:graphicData>
            </a:graphic>
          </wp:inline>
        </w:drawing>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Pr>
          <w:rFonts w:ascii="Times New Roman" w:hAnsi="Times New Roman" w:cs="Times New Roman"/>
          <w:b/>
        </w:rPr>
        <w:t>Figure S6</w:t>
      </w:r>
      <w:r>
        <w:rPr>
          <w:rFonts w:ascii="Times New Roman" w:hAnsi="Times New Roman" w:cs="Times New Roman"/>
        </w:rPr>
        <w:t>.</w:t>
      </w:r>
      <w:r>
        <w:rPr>
          <w:rFonts w:ascii="Times New Roman" w:hAnsi="Times New Roman" w:cs="Times New Roman"/>
          <w:b/>
        </w:rPr>
        <w:t xml:space="preserve"> </w:t>
      </w:r>
      <w:proofErr w:type="gramStart"/>
      <w:r>
        <w:rPr>
          <w:rFonts w:ascii="Times New Roman" w:eastAsia="Times New Roman" w:hAnsi="Times New Roman" w:cs="Times New Roman"/>
          <w:b/>
        </w:rPr>
        <w:t>α</w:t>
      </w:r>
      <w:r>
        <w:rPr>
          <w:rFonts w:ascii="Times New Roman" w:hAnsi="Times New Roman" w:cs="Times New Roman"/>
          <w:b/>
        </w:rPr>
        <w:t>-Syn</w:t>
      </w:r>
      <w:proofErr w:type="gramEnd"/>
      <w:r>
        <w:rPr>
          <w:rFonts w:ascii="Times New Roman" w:hAnsi="Times New Roman" w:cs="Times New Roman"/>
          <w:b/>
        </w:rPr>
        <w:t xml:space="preserve"> cysteine variant N122C labeling and purification setup. </w:t>
      </w:r>
      <w:r>
        <w:rPr>
          <w:rFonts w:ascii="Times New Roman" w:hAnsi="Times New Roman" w:cs="Times New Roman"/>
        </w:rPr>
        <w:t xml:space="preserve">10 µL samples taken after gel filtration were run on a 12% SDS-PAGE gel. In gel </w:t>
      </w:r>
      <w:r>
        <w:rPr>
          <w:rFonts w:ascii="Times New Roman" w:hAnsi="Times New Roman" w:cs="Times New Roman"/>
          <w:b/>
        </w:rPr>
        <w:t>A</w:t>
      </w:r>
      <w:r>
        <w:rPr>
          <w:rFonts w:ascii="Times New Roman" w:hAnsi="Times New Roman" w:cs="Times New Roman"/>
        </w:rPr>
        <w:t xml:space="preserve">, stained with coomasie, three bands are visible corresponding to (from left to right) a control α-syn WT sample, α-syn labeled with AF647 and α-syn labeled with AF568. In </w:t>
      </w:r>
      <w:r>
        <w:rPr>
          <w:rFonts w:ascii="Times New Roman" w:hAnsi="Times New Roman" w:cs="Times New Roman"/>
          <w:b/>
        </w:rPr>
        <w:t>B</w:t>
      </w:r>
      <w:r>
        <w:rPr>
          <w:rFonts w:ascii="Times New Roman" w:hAnsi="Times New Roman" w:cs="Times New Roman"/>
        </w:rPr>
        <w:t xml:space="preserve">, the same gel before coomasie staining, where only two bands are visible (from left to right), </w:t>
      </w:r>
      <w:proofErr w:type="gramStart"/>
      <w:r>
        <w:rPr>
          <w:rFonts w:ascii="Times New Roman" w:hAnsi="Times New Roman" w:cs="Times New Roman"/>
        </w:rPr>
        <w:t>α</w:t>
      </w:r>
      <w:proofErr w:type="gramEnd"/>
      <w:r>
        <w:rPr>
          <w:rFonts w:ascii="Times New Roman" w:hAnsi="Times New Roman" w:cs="Times New Roman"/>
        </w:rPr>
        <w:t>-Syn labeled with AF568 (purple) and AF647 (green). A clear band around ~14,4kDa is visible for each sample.</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FF0000"/>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FF0000"/>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Dye labels were evaluated in terms of interfering with the aggregation process using ThT kinetics studies (S6 A and B). </w:t>
      </w:r>
      <w:proofErr w:type="gramStart"/>
      <w:r>
        <w:rPr>
          <w:rFonts w:ascii="Times New Roman" w:eastAsia="Times New Roman" w:hAnsi="Times New Roman" w:cs="Times New Roman"/>
          <w:i/>
        </w:rPr>
        <w:t>d</w:t>
      </w:r>
      <w:r>
        <w:rPr>
          <w:rFonts w:ascii="Times New Roman" w:eastAsia="Times New Roman" w:hAnsi="Times New Roman" w:cs="Times New Roman"/>
        </w:rPr>
        <w:t>STORM</w:t>
      </w:r>
      <w:proofErr w:type="gramEnd"/>
      <w:r>
        <w:rPr>
          <w:rFonts w:ascii="Times New Roman" w:eastAsia="Times New Roman" w:hAnsi="Times New Roman" w:cs="Times New Roman"/>
        </w:rPr>
        <w:t xml:space="preserve"> images were taken of seeds fibrils labeled with Alexa Fluor dyes with different labeling densities in order to optimize image quality. In parallel seeding aggregation kinetic studies (S7 A and B), were performed to evaluate the interference of these dyes in terms of aggregation kinetics. It was shown that a 1:20 ratio of labeled α-syn to unlabeled peptide was the optimal in terms of labeling density and unperturbed aggregation kinetics (S7 A and B).</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FF0000"/>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color w:val="FF0000"/>
        </w:rPr>
      </w:pPr>
    </w:p>
    <w:p w:rsidR="00D81A3C" w:rsidRDefault="00204D62"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rPr>
      </w:pPr>
      <w:r>
        <w:rPr>
          <w:rFonts w:ascii="Times New Roman" w:hAnsi="Times New Roman" w:cs="Times New Roman"/>
          <w:b/>
          <w:noProof/>
          <w:lang w:val="pt-PT" w:eastAsia="pt-PT"/>
        </w:rPr>
        <w:lastRenderedPageBreak/>
        <w:drawing>
          <wp:inline distT="0" distB="0" distL="0" distR="0">
            <wp:extent cx="5274310" cy="2286876"/>
            <wp:effectExtent l="0" t="0" r="2540" b="0"/>
            <wp:docPr id="3" name="Picture 3" descr="C:\Users\Cristina\Desktop\SI Alexady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SI Alexadye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286876"/>
                    </a:xfrm>
                    <a:prstGeom prst="rect">
                      <a:avLst/>
                    </a:prstGeom>
                    <a:noFill/>
                    <a:ln>
                      <a:noFill/>
                    </a:ln>
                  </pic:spPr>
                </pic:pic>
              </a:graphicData>
            </a:graphic>
          </wp:inline>
        </w:drawing>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color w:val="FF0000"/>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FF0000"/>
        </w:rPr>
      </w:pPr>
      <w:r>
        <w:rPr>
          <w:rFonts w:ascii="Times New Roman" w:hAnsi="Times New Roman" w:cs="Times New Roman"/>
          <w:b/>
        </w:rPr>
        <w:t>Figure S7</w:t>
      </w:r>
      <w:r>
        <w:rPr>
          <w:rFonts w:ascii="Times New Roman" w:hAnsi="Times New Roman" w:cs="Times New Roman"/>
        </w:rPr>
        <w:t>.</w:t>
      </w:r>
      <w:r>
        <w:rPr>
          <w:rFonts w:ascii="Times New Roman" w:hAnsi="Times New Roman" w:cs="Times New Roman"/>
          <w:b/>
        </w:rPr>
        <w:t xml:space="preserve"> </w:t>
      </w:r>
      <w:proofErr w:type="gramStart"/>
      <w:r>
        <w:rPr>
          <w:rFonts w:ascii="Times New Roman" w:eastAsia="Times New Roman" w:hAnsi="Times New Roman" w:cs="Times New Roman"/>
          <w:b/>
        </w:rPr>
        <w:t>S</w:t>
      </w:r>
      <w:r>
        <w:rPr>
          <w:rFonts w:ascii="Times New Roman" w:hAnsi="Times New Roman" w:cs="Times New Roman"/>
          <w:b/>
        </w:rPr>
        <w:t xml:space="preserve">eeded </w:t>
      </w:r>
      <w:r>
        <w:rPr>
          <w:rFonts w:ascii="Times New Roman" w:eastAsia="Times New Roman" w:hAnsi="Times New Roman" w:cs="Times New Roman"/>
          <w:b/>
        </w:rPr>
        <w:t>α-syn</w:t>
      </w:r>
      <w:r>
        <w:rPr>
          <w:rFonts w:ascii="Times New Roman" w:hAnsi="Times New Roman" w:cs="Times New Roman"/>
          <w:b/>
        </w:rPr>
        <w:t xml:space="preserve"> aggregation kinetics to evaluate the interference of Alexa Fluor dyes.</w:t>
      </w:r>
      <w:proofErr w:type="gramEnd"/>
      <w:r>
        <w:rPr>
          <w:rFonts w:ascii="Times New Roman" w:hAnsi="Times New Roman" w:cs="Times New Roman"/>
          <w:b/>
        </w:rPr>
        <w:t xml:space="preserve"> </w:t>
      </w:r>
      <w:r>
        <w:rPr>
          <w:rFonts w:ascii="Times New Roman" w:hAnsi="Times New Roman" w:cs="Times New Roman"/>
        </w:rPr>
        <w:t xml:space="preserve">A fixed total monomer concentration of 30 µM was supplemented with a fixed 10% unlabeled seed concentration. Different labeling densities were tested for each labeling dye, </w:t>
      </w:r>
      <w:r>
        <w:rPr>
          <w:rFonts w:ascii="Times New Roman" w:hAnsi="Times New Roman" w:cs="Times New Roman"/>
          <w:b/>
        </w:rPr>
        <w:t xml:space="preserve">A: </w:t>
      </w:r>
      <w:r>
        <w:rPr>
          <w:rFonts w:ascii="Times New Roman" w:hAnsi="Times New Roman" w:cs="Times New Roman"/>
        </w:rPr>
        <w:t xml:space="preserve">Alexa Fluor 647 (AF647, red lines) and </w:t>
      </w:r>
      <w:r>
        <w:rPr>
          <w:rFonts w:ascii="Times New Roman" w:hAnsi="Times New Roman" w:cs="Times New Roman"/>
          <w:b/>
        </w:rPr>
        <w:t>B:</w:t>
      </w:r>
      <w:r>
        <w:rPr>
          <w:rFonts w:ascii="Times New Roman" w:hAnsi="Times New Roman" w:cs="Times New Roman"/>
        </w:rPr>
        <w:t xml:space="preserve"> Alexa Fluor 568 (AF568, green lines), comparing in both cases to kinetic traces of unlabeled α-syn (black line). Averages of three traces are shown as solid lines. All figures show ThT intensity as a function of time (non-normalized data). All experiments were performed in 10 mM MES pH 5.5 in non-binding PEGylated plates at 37ºC and under quiescent conditions.</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rPr>
      </w:pP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Pr>
          <w:rFonts w:ascii="Times New Roman" w:hAnsi="Times New Roman" w:cs="Times New Roman"/>
          <w:b/>
        </w:rPr>
        <w:t>References</w:t>
      </w:r>
    </w:p>
    <w:p w:rsidR="00D81A3C" w:rsidRDefault="00D81A3C" w:rsidP="00D81A3C">
      <w:pPr>
        <w:spacing w:line="360" w:lineRule="auto"/>
        <w:jc w:val="both"/>
        <w:rPr>
          <w:rFonts w:ascii="Times New Roman" w:hAnsi="Times New Roman" w:cs="Times New Roman"/>
        </w:rPr>
      </w:pPr>
      <w:r>
        <w:rPr>
          <w:rFonts w:ascii="Times New Roman" w:hAnsi="Times New Roman" w:cs="Times New Roman"/>
        </w:rPr>
        <w:t xml:space="preserve">(1) Grey M, Linse S, Nilsson H, Brundin P and Sparr E (2011). </w:t>
      </w:r>
      <w:proofErr w:type="gramStart"/>
      <w:r>
        <w:rPr>
          <w:rFonts w:ascii="Times New Roman" w:hAnsi="Times New Roman" w:cs="Times New Roman"/>
        </w:rPr>
        <w:t>Membrane interaction of α-synuclein in different aggregation states.</w:t>
      </w:r>
      <w:proofErr w:type="gramEnd"/>
      <w:r>
        <w:rPr>
          <w:rFonts w:ascii="Times New Roman" w:hAnsi="Times New Roman" w:cs="Times New Roman"/>
        </w:rPr>
        <w:t xml:space="preserve"> </w:t>
      </w:r>
      <w:r>
        <w:rPr>
          <w:rFonts w:ascii="Times New Roman" w:hAnsi="Times New Roman" w:cs="Times New Roman"/>
          <w:i/>
        </w:rPr>
        <w:t xml:space="preserve">Journal of Parkinson´s Disease I: </w:t>
      </w:r>
      <w:r>
        <w:rPr>
          <w:rFonts w:ascii="Times New Roman" w:hAnsi="Times New Roman" w:cs="Times New Roman"/>
        </w:rPr>
        <w:t>359-371.</w:t>
      </w:r>
    </w:p>
    <w:p w:rsidR="00D81A3C" w:rsidRDefault="00D81A3C" w:rsidP="00D81A3C">
      <w:pPr>
        <w:spacing w:line="360" w:lineRule="auto"/>
        <w:jc w:val="both"/>
        <w:rPr>
          <w:rFonts w:ascii="Times New Roman" w:hAnsi="Times New Roman" w:cs="Times New Roman"/>
        </w:rPr>
      </w:pPr>
      <w:r>
        <w:rPr>
          <w:rFonts w:ascii="Times New Roman" w:hAnsi="Times New Roman" w:cs="Times New Roman"/>
        </w:rPr>
        <w:t xml:space="preserve">(2) Buell AK, Galvagnion C, Gaspar R, Sparr E, Vendruscolo M, Knowles TPJ, Linse S and Dobson CM (2014). Solution conditions determine the relative importance of nucleation and growth processes in α-synuclein aggregation. </w:t>
      </w:r>
      <w:r>
        <w:rPr>
          <w:rFonts w:ascii="Times New Roman" w:hAnsi="Times New Roman" w:cs="Times New Roman"/>
          <w:i/>
        </w:rPr>
        <w:t xml:space="preserve">Proc. Natl. Acad. Sci. USA </w:t>
      </w:r>
      <w:r>
        <w:rPr>
          <w:rFonts w:ascii="Times New Roman" w:hAnsi="Times New Roman" w:cs="Times New Roman"/>
        </w:rPr>
        <w:t>111(</w:t>
      </w:r>
      <w:r>
        <w:rPr>
          <w:rFonts w:ascii="Times New Roman" w:hAnsi="Times New Roman" w:cs="Times New Roman"/>
          <w:b/>
        </w:rPr>
        <w:t>21</w:t>
      </w:r>
      <w:r>
        <w:rPr>
          <w:rFonts w:ascii="Times New Roman" w:hAnsi="Times New Roman" w:cs="Times New Roman"/>
        </w:rPr>
        <w:t>): 7671-7676.</w:t>
      </w:r>
    </w:p>
    <w:p w:rsidR="00D81A3C" w:rsidRDefault="00D81A3C" w:rsidP="00D81A3C">
      <w:pPr>
        <w:spacing w:line="360" w:lineRule="auto"/>
        <w:jc w:val="both"/>
        <w:rPr>
          <w:rFonts w:ascii="Times New Roman" w:hAnsi="Times New Roman" w:cs="Times New Roman"/>
          <w:lang w:val="pt-PT"/>
        </w:rPr>
      </w:pPr>
      <w:r>
        <w:rPr>
          <w:rFonts w:ascii="Times New Roman" w:hAnsi="Times New Roman" w:cs="Times New Roman"/>
        </w:rPr>
        <w:t xml:space="preserve">(3) Levine H (2008). Thioflavin-T interaction with synthetic Alzheimer´s Disease β-Amyloid peptides: detection of amyloid aggregation in solution. </w:t>
      </w:r>
      <w:r>
        <w:rPr>
          <w:rFonts w:ascii="Times New Roman" w:hAnsi="Times New Roman" w:cs="Times New Roman"/>
          <w:i/>
          <w:lang w:val="pt-PT"/>
        </w:rPr>
        <w:t xml:space="preserve">Protein Sci. </w:t>
      </w:r>
      <w:r>
        <w:rPr>
          <w:rFonts w:ascii="Times New Roman" w:hAnsi="Times New Roman" w:cs="Times New Roman"/>
          <w:lang w:val="pt-PT"/>
        </w:rPr>
        <w:t>2: 404-410.</w:t>
      </w:r>
    </w:p>
    <w:p w:rsidR="00D81A3C" w:rsidRDefault="00D81A3C" w:rsidP="00D81A3C">
      <w:pPr>
        <w:spacing w:line="360" w:lineRule="auto"/>
        <w:jc w:val="both"/>
        <w:rPr>
          <w:rFonts w:ascii="Times New Roman" w:hAnsi="Times New Roman" w:cs="Times New Roman"/>
        </w:rPr>
      </w:pPr>
      <w:r>
        <w:rPr>
          <w:rFonts w:ascii="Times New Roman" w:hAnsi="Times New Roman" w:cs="Times New Roman"/>
          <w:lang w:val="pt-PT"/>
        </w:rPr>
        <w:lastRenderedPageBreak/>
        <w:t xml:space="preserve">(4) Coelho-Cerqueira E, Pinheiro AS and Follmer C (2014). </w:t>
      </w:r>
      <w:r>
        <w:rPr>
          <w:rFonts w:ascii="Times New Roman" w:hAnsi="Times New Roman" w:cs="Times New Roman"/>
        </w:rPr>
        <w:t xml:space="preserve">Pitfalls associated with the use of Thioflavin-T to monitor anti-fibrillogenic activity. </w:t>
      </w:r>
      <w:proofErr w:type="spellStart"/>
      <w:proofErr w:type="gramStart"/>
      <w:r>
        <w:rPr>
          <w:rFonts w:ascii="Times New Roman" w:hAnsi="Times New Roman" w:cs="Times New Roman"/>
          <w:i/>
        </w:rPr>
        <w:t>Bioorg</w:t>
      </w:r>
      <w:proofErr w:type="spellEnd"/>
      <w:r>
        <w:rPr>
          <w:rFonts w:ascii="Times New Roman" w:hAnsi="Times New Roman" w:cs="Times New Roman"/>
          <w:i/>
        </w:rPr>
        <w:t>.</w:t>
      </w:r>
      <w:proofErr w:type="gramEnd"/>
      <w:r>
        <w:rPr>
          <w:rFonts w:ascii="Times New Roman" w:hAnsi="Times New Roman" w:cs="Times New Roman"/>
          <w:i/>
        </w:rPr>
        <w:t xml:space="preserve"> Med. Chem. Lett. </w:t>
      </w:r>
      <w:r>
        <w:rPr>
          <w:rFonts w:ascii="Times New Roman" w:hAnsi="Times New Roman" w:cs="Times New Roman"/>
        </w:rPr>
        <w:t>24(</w:t>
      </w:r>
      <w:r>
        <w:rPr>
          <w:rFonts w:ascii="Times New Roman" w:hAnsi="Times New Roman" w:cs="Times New Roman"/>
          <w:b/>
        </w:rPr>
        <w:t>14</w:t>
      </w:r>
      <w:r>
        <w:rPr>
          <w:rFonts w:ascii="Times New Roman" w:hAnsi="Times New Roman" w:cs="Times New Roman"/>
        </w:rPr>
        <w:t>): 3194-8.</w:t>
      </w:r>
    </w:p>
    <w:p w:rsidR="00D81A3C" w:rsidRDefault="00D81A3C" w:rsidP="00D81A3C">
      <w:pPr>
        <w:spacing w:line="360" w:lineRule="auto"/>
        <w:jc w:val="both"/>
        <w:rPr>
          <w:rFonts w:ascii="Times New Roman" w:hAnsi="Times New Roman" w:cs="Times New Roman"/>
        </w:rPr>
      </w:pPr>
      <w:r w:rsidRPr="00442F9F">
        <w:rPr>
          <w:rFonts w:ascii="Times New Roman" w:hAnsi="Times New Roman" w:cs="Times New Roman"/>
          <w:lang w:val="sv-SE"/>
        </w:rPr>
        <w:t xml:space="preserve">(5) Fonin AV, Sulatskaya AI, Kuznetsova IM and Turoverov KK (2014). </w:t>
      </w:r>
      <w:proofErr w:type="gramStart"/>
      <w:r>
        <w:rPr>
          <w:rFonts w:ascii="Times New Roman" w:hAnsi="Times New Roman" w:cs="Times New Roman"/>
        </w:rPr>
        <w:t>Fluorescence of dyes in solutions with high absorbance.</w:t>
      </w:r>
      <w:proofErr w:type="gramEnd"/>
      <w:r>
        <w:rPr>
          <w:rFonts w:ascii="Times New Roman" w:hAnsi="Times New Roman" w:cs="Times New Roman"/>
        </w:rPr>
        <w:t xml:space="preserve"> </w:t>
      </w:r>
      <w:proofErr w:type="gramStart"/>
      <w:r>
        <w:rPr>
          <w:rFonts w:ascii="Times New Roman" w:hAnsi="Times New Roman" w:cs="Times New Roman"/>
        </w:rPr>
        <w:t>Inner filter effect correction.</w:t>
      </w:r>
      <w:proofErr w:type="gramEnd"/>
      <w:r>
        <w:rPr>
          <w:rFonts w:ascii="Times New Roman" w:hAnsi="Times New Roman" w:cs="Times New Roman"/>
        </w:rPr>
        <w:t xml:space="preserve"> </w:t>
      </w:r>
      <w:proofErr w:type="spellStart"/>
      <w:r>
        <w:rPr>
          <w:rFonts w:ascii="Times New Roman" w:hAnsi="Times New Roman" w:cs="Times New Roman"/>
          <w:i/>
        </w:rPr>
        <w:t>PLoS</w:t>
      </w:r>
      <w:proofErr w:type="spellEnd"/>
      <w:r>
        <w:rPr>
          <w:rFonts w:ascii="Times New Roman" w:hAnsi="Times New Roman" w:cs="Times New Roman"/>
          <w:i/>
        </w:rPr>
        <w:t xml:space="preserve"> ONE </w:t>
      </w:r>
      <w:r>
        <w:rPr>
          <w:rFonts w:ascii="Times New Roman" w:hAnsi="Times New Roman" w:cs="Times New Roman"/>
        </w:rPr>
        <w:t>9(</w:t>
      </w:r>
      <w:r>
        <w:rPr>
          <w:rFonts w:ascii="Times New Roman" w:hAnsi="Times New Roman" w:cs="Times New Roman"/>
          <w:b/>
        </w:rPr>
        <w:t>7</w:t>
      </w:r>
      <w:r>
        <w:rPr>
          <w:rFonts w:ascii="Times New Roman" w:hAnsi="Times New Roman" w:cs="Times New Roman"/>
        </w:rPr>
        <w:t xml:space="preserve">): e103878. </w:t>
      </w:r>
    </w:p>
    <w:p w:rsidR="00D81A3C" w:rsidRDefault="00D81A3C" w:rsidP="00D81A3C">
      <w:pPr>
        <w:spacing w:line="360" w:lineRule="auto"/>
        <w:jc w:val="both"/>
        <w:rPr>
          <w:rFonts w:ascii="Times New Roman" w:hAnsi="Times New Roman" w:cs="Times New Roman"/>
        </w:rPr>
      </w:pPr>
      <w:r>
        <w:rPr>
          <w:rFonts w:ascii="Times New Roman" w:hAnsi="Times New Roman" w:cs="Times New Roman"/>
        </w:rPr>
        <w:t xml:space="preserve">(6) Buell AK, White DA, Meier C, Welland ME, Knowles TPJ and Dobson CM (2010). </w:t>
      </w:r>
      <w:proofErr w:type="gramStart"/>
      <w:r>
        <w:rPr>
          <w:rFonts w:ascii="Times New Roman" w:hAnsi="Times New Roman" w:cs="Times New Roman"/>
        </w:rPr>
        <w:t>Surface attachment of protein fibrils via covalent modification strategies.</w:t>
      </w:r>
      <w:proofErr w:type="gramEnd"/>
      <w:r>
        <w:rPr>
          <w:rFonts w:ascii="Times New Roman" w:hAnsi="Times New Roman" w:cs="Times New Roman"/>
        </w:rPr>
        <w:t xml:space="preserve"> </w:t>
      </w:r>
      <w:r>
        <w:rPr>
          <w:rFonts w:ascii="Times New Roman" w:hAnsi="Times New Roman" w:cs="Times New Roman"/>
          <w:i/>
        </w:rPr>
        <w:t>J. Phys. Chem. B.</w:t>
      </w:r>
      <w:r>
        <w:rPr>
          <w:rFonts w:ascii="Times New Roman" w:hAnsi="Times New Roman" w:cs="Times New Roman"/>
        </w:rPr>
        <w:t xml:space="preserve"> 114(</w:t>
      </w:r>
      <w:r>
        <w:rPr>
          <w:rFonts w:ascii="Times New Roman" w:hAnsi="Times New Roman" w:cs="Times New Roman"/>
          <w:b/>
        </w:rPr>
        <w:t>34</w:t>
      </w:r>
      <w:r>
        <w:rPr>
          <w:rFonts w:ascii="Times New Roman" w:hAnsi="Times New Roman" w:cs="Times New Roman"/>
        </w:rPr>
        <w:t xml:space="preserve">): 10925-38. </w:t>
      </w:r>
    </w:p>
    <w:p w:rsidR="00D81A3C" w:rsidRDefault="00D81A3C" w:rsidP="00D81A3C">
      <w:pPr>
        <w:spacing w:line="360" w:lineRule="auto"/>
        <w:jc w:val="both"/>
        <w:rPr>
          <w:rFonts w:ascii="Times New Roman" w:hAnsi="Times New Roman" w:cs="Times New Roman"/>
        </w:rPr>
      </w:pPr>
      <w:r>
        <w:rPr>
          <w:rFonts w:ascii="Times New Roman" w:hAnsi="Times New Roman" w:cs="Times New Roman"/>
        </w:rPr>
        <w:t>(7)</w:t>
      </w:r>
      <w:r>
        <w:rPr>
          <w:rFonts w:ascii="Times New Roman" w:eastAsia="Times New Roman" w:hAnsi="Times New Roman" w:cs="Times New Roman"/>
        </w:rPr>
        <w:t xml:space="preserve"> Michaels TCT, Buell AK, Terentjev EM and Knowles TPJ (2014). </w:t>
      </w:r>
      <w:proofErr w:type="gramStart"/>
      <w:r>
        <w:rPr>
          <w:rFonts w:ascii="Times New Roman" w:eastAsia="Times New Roman" w:hAnsi="Times New Roman" w:cs="Times New Roman"/>
        </w:rPr>
        <w:t>Quantitative analysis of diffusive reactions at the solid-liquid interface in finite systems.</w:t>
      </w:r>
      <w:proofErr w:type="gramEnd"/>
      <w:r>
        <w:rPr>
          <w:rFonts w:ascii="Times New Roman" w:eastAsia="Times New Roman" w:hAnsi="Times New Roman" w:cs="Times New Roman"/>
        </w:rPr>
        <w:t xml:space="preserve"> </w:t>
      </w:r>
      <w:r>
        <w:rPr>
          <w:rFonts w:ascii="Times New Roman" w:eastAsia="Times New Roman" w:hAnsi="Times New Roman" w:cs="Times New Roman"/>
          <w:i/>
        </w:rPr>
        <w:t>J. Phys. Chem. Lett.</w:t>
      </w:r>
      <w:r>
        <w:rPr>
          <w:rFonts w:ascii="Times New Roman" w:eastAsia="Times New Roman" w:hAnsi="Times New Roman" w:cs="Times New Roman"/>
        </w:rPr>
        <w:t xml:space="preserve"> 5(</w:t>
      </w:r>
      <w:r>
        <w:rPr>
          <w:rFonts w:ascii="Times New Roman" w:eastAsia="Times New Roman" w:hAnsi="Times New Roman" w:cs="Times New Roman"/>
          <w:b/>
        </w:rPr>
        <w:t>4</w:t>
      </w:r>
      <w:r>
        <w:rPr>
          <w:rFonts w:ascii="Times New Roman" w:eastAsia="Times New Roman" w:hAnsi="Times New Roman" w:cs="Times New Roman"/>
        </w:rPr>
        <w:t>): 695-699.</w:t>
      </w:r>
    </w:p>
    <w:p w:rsidR="00D81A3C" w:rsidRDefault="00D81A3C" w:rsidP="00D81A3C">
      <w:pPr>
        <w:spacing w:line="360" w:lineRule="auto"/>
        <w:jc w:val="both"/>
        <w:rPr>
          <w:rFonts w:ascii="Times New Roman" w:hAnsi="Times New Roman" w:cs="Times New Roman"/>
        </w:rPr>
      </w:pPr>
      <w:r>
        <w:rPr>
          <w:rFonts w:ascii="Times New Roman" w:hAnsi="Times New Roman" w:cs="Times New Roman"/>
        </w:rPr>
        <w:t xml:space="preserve">(8) </w:t>
      </w:r>
      <w:r>
        <w:rPr>
          <w:rFonts w:ascii="Times New Roman" w:eastAsia="Times New Roman" w:hAnsi="Times New Roman" w:cs="Times New Roman"/>
        </w:rPr>
        <w:t xml:space="preserve">Meisl G, </w:t>
      </w:r>
      <w:proofErr w:type="spellStart"/>
      <w:r>
        <w:rPr>
          <w:rFonts w:ascii="Times New Roman" w:eastAsia="Times New Roman" w:hAnsi="Times New Roman" w:cs="Times New Roman"/>
        </w:rPr>
        <w:t>Kirkegaard</w:t>
      </w:r>
      <w:proofErr w:type="spellEnd"/>
      <w:r>
        <w:rPr>
          <w:rFonts w:ascii="Times New Roman" w:eastAsia="Times New Roman" w:hAnsi="Times New Roman" w:cs="Times New Roman"/>
        </w:rPr>
        <w:t xml:space="preserve"> JB, Arosio P, Michaels TC, Vendruscolo M, Dobson CM, Linse S and Knowles TPJ (2016). </w:t>
      </w:r>
      <w:proofErr w:type="gramStart"/>
      <w:r>
        <w:rPr>
          <w:rFonts w:ascii="Times New Roman" w:eastAsia="Times New Roman" w:hAnsi="Times New Roman" w:cs="Times New Roman"/>
        </w:rPr>
        <w:t>Molecular mechanisms of protein aggregation from global fitting of kinetic models.</w:t>
      </w:r>
      <w:proofErr w:type="gramEnd"/>
      <w:r>
        <w:rPr>
          <w:rFonts w:ascii="Times New Roman" w:eastAsia="Times New Roman" w:hAnsi="Times New Roman" w:cs="Times New Roman"/>
        </w:rPr>
        <w:t xml:space="preserve"> </w:t>
      </w:r>
      <w:r w:rsidRPr="00AC0671">
        <w:rPr>
          <w:rFonts w:ascii="Times New Roman" w:eastAsia="Times New Roman" w:hAnsi="Times New Roman" w:cs="Times New Roman"/>
          <w:i/>
        </w:rPr>
        <w:t xml:space="preserve">Nat. </w:t>
      </w:r>
      <w:proofErr w:type="spellStart"/>
      <w:r w:rsidRPr="00AC0671">
        <w:rPr>
          <w:rFonts w:ascii="Times New Roman" w:eastAsia="Times New Roman" w:hAnsi="Times New Roman" w:cs="Times New Roman"/>
          <w:i/>
        </w:rPr>
        <w:t>Protoc</w:t>
      </w:r>
      <w:proofErr w:type="spellEnd"/>
      <w:r w:rsidRPr="00AC0671">
        <w:rPr>
          <w:rFonts w:ascii="Times New Roman" w:eastAsia="Times New Roman" w:hAnsi="Times New Roman" w:cs="Times New Roman"/>
          <w:i/>
        </w:rPr>
        <w:t>.</w:t>
      </w:r>
      <w:r w:rsidRPr="00AC0671">
        <w:rPr>
          <w:rFonts w:ascii="Times New Roman" w:eastAsia="Times New Roman" w:hAnsi="Times New Roman" w:cs="Times New Roman"/>
        </w:rPr>
        <w:t xml:space="preserve"> 11(</w:t>
      </w:r>
      <w:r w:rsidRPr="00AC0671">
        <w:rPr>
          <w:rFonts w:ascii="Times New Roman" w:eastAsia="Times New Roman" w:hAnsi="Times New Roman" w:cs="Times New Roman"/>
          <w:b/>
        </w:rPr>
        <w:t>2</w:t>
      </w:r>
      <w:r w:rsidRPr="00AC0671">
        <w:rPr>
          <w:rFonts w:ascii="Times New Roman" w:eastAsia="Times New Roman" w:hAnsi="Times New Roman" w:cs="Times New Roman"/>
        </w:rPr>
        <w:t>): 252-72.</w:t>
      </w:r>
    </w:p>
    <w:p w:rsidR="00D81A3C" w:rsidRDefault="00D81A3C" w:rsidP="00D8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rPr>
      </w:pPr>
    </w:p>
    <w:p w:rsidR="00D81A3C" w:rsidRDefault="00D81A3C" w:rsidP="00D81A3C"/>
    <w:p w:rsidR="00D81A3C" w:rsidRDefault="00D81A3C" w:rsidP="00D81A3C">
      <w:pPr>
        <w:tabs>
          <w:tab w:val="left" w:pos="1725"/>
        </w:tabs>
      </w:pPr>
    </w:p>
    <w:p w:rsidR="0099403E" w:rsidRDefault="0099403E"/>
    <w:sectPr w:rsidR="0099403E">
      <w:footerReference w:type="even" r:id="rId12"/>
      <w:footerReference w:type="default" r:id="rId13"/>
      <w:pgSz w:w="11906" w:h="16838"/>
      <w:pgMar w:top="1440" w:right="1800" w:bottom="1440" w:left="1800" w:header="0" w:footer="708"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2B7" w:rsidRDefault="008472B7">
      <w:r>
        <w:separator/>
      </w:r>
    </w:p>
  </w:endnote>
  <w:endnote w:type="continuationSeparator" w:id="0">
    <w:p w:rsidR="008472B7" w:rsidRDefault="00847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Droid Sans Fallback">
    <w:altName w:val="MS Gothic"/>
    <w:charset w:val="80"/>
    <w:family w:val="auto"/>
    <w:pitch w:val="variable"/>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F85" w:rsidRDefault="00D81A3C">
    <w:pPr>
      <w:pStyle w:val="Footer"/>
    </w:pPr>
    <w:r>
      <w:fldChar w:fldCharType="begin"/>
    </w:r>
    <w:r>
      <w:instrText>PAGE</w:instrText>
    </w:r>
    <w:r>
      <w:fldChar w:fldCharType="separate"/>
    </w:r>
    <w:r>
      <w:rPr>
        <w:noProof/>
      </w:rPr>
      <w:t>36</w:t>
    </w:r>
    <w:r>
      <w:fldChar w:fldCharType="end"/>
    </w:r>
  </w:p>
  <w:p w:rsidR="00A55F85" w:rsidRDefault="008472B7">
    <w:pPr>
      <w:pStyle w:val="Footer"/>
      <w:ind w:right="360"/>
    </w:pPr>
  </w:p>
  <w:p w:rsidR="00A55F85" w:rsidRDefault="008472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F85" w:rsidRDefault="00D81A3C">
    <w:pPr>
      <w:pStyle w:val="Footer"/>
    </w:pPr>
    <w:r>
      <w:fldChar w:fldCharType="begin"/>
    </w:r>
    <w:r>
      <w:instrText>PAGE</w:instrText>
    </w:r>
    <w:r>
      <w:fldChar w:fldCharType="separate"/>
    </w:r>
    <w:r w:rsidR="00040346">
      <w:rPr>
        <w:noProof/>
      </w:rPr>
      <w:t>11</w:t>
    </w:r>
    <w:r>
      <w:fldChar w:fldCharType="end"/>
    </w:r>
  </w:p>
  <w:p w:rsidR="00A55F85" w:rsidRDefault="008472B7">
    <w:pPr>
      <w:pStyle w:val="Footer"/>
      <w:ind w:right="360"/>
    </w:pPr>
  </w:p>
  <w:p w:rsidR="00A55F85" w:rsidRDefault="008472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2B7" w:rsidRDefault="008472B7">
      <w:r>
        <w:separator/>
      </w:r>
    </w:p>
  </w:footnote>
  <w:footnote w:type="continuationSeparator" w:id="0">
    <w:p w:rsidR="008472B7" w:rsidRDefault="008472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A3C"/>
    <w:rsid w:val="000024F6"/>
    <w:rsid w:val="00003009"/>
    <w:rsid w:val="00012670"/>
    <w:rsid w:val="000174C1"/>
    <w:rsid w:val="00024565"/>
    <w:rsid w:val="00024B9A"/>
    <w:rsid w:val="00026A22"/>
    <w:rsid w:val="000363CA"/>
    <w:rsid w:val="00036CC6"/>
    <w:rsid w:val="00040346"/>
    <w:rsid w:val="00042AAB"/>
    <w:rsid w:val="000434F2"/>
    <w:rsid w:val="0004681D"/>
    <w:rsid w:val="000470AF"/>
    <w:rsid w:val="0005222B"/>
    <w:rsid w:val="00054243"/>
    <w:rsid w:val="00055994"/>
    <w:rsid w:val="0005753D"/>
    <w:rsid w:val="000620E3"/>
    <w:rsid w:val="00062A58"/>
    <w:rsid w:val="00063134"/>
    <w:rsid w:val="00075230"/>
    <w:rsid w:val="0007774B"/>
    <w:rsid w:val="00083A69"/>
    <w:rsid w:val="00093AA3"/>
    <w:rsid w:val="000969B9"/>
    <w:rsid w:val="000A1A38"/>
    <w:rsid w:val="000A2075"/>
    <w:rsid w:val="000B24BB"/>
    <w:rsid w:val="000B2FFF"/>
    <w:rsid w:val="000B32F3"/>
    <w:rsid w:val="000B62DB"/>
    <w:rsid w:val="000C2415"/>
    <w:rsid w:val="000C3A76"/>
    <w:rsid w:val="000C428E"/>
    <w:rsid w:val="000C53BB"/>
    <w:rsid w:val="000C6684"/>
    <w:rsid w:val="000D0029"/>
    <w:rsid w:val="000D1F04"/>
    <w:rsid w:val="000D622A"/>
    <w:rsid w:val="000E2CF7"/>
    <w:rsid w:val="000E4C8A"/>
    <w:rsid w:val="000E629A"/>
    <w:rsid w:val="000E7AAF"/>
    <w:rsid w:val="000F2D35"/>
    <w:rsid w:val="000F4001"/>
    <w:rsid w:val="000F4255"/>
    <w:rsid w:val="000F49FA"/>
    <w:rsid w:val="000F6A8B"/>
    <w:rsid w:val="000F7BA5"/>
    <w:rsid w:val="00105BBA"/>
    <w:rsid w:val="00106FC9"/>
    <w:rsid w:val="00111C98"/>
    <w:rsid w:val="001139F4"/>
    <w:rsid w:val="00114578"/>
    <w:rsid w:val="00121063"/>
    <w:rsid w:val="00124C02"/>
    <w:rsid w:val="00124D64"/>
    <w:rsid w:val="00126DD1"/>
    <w:rsid w:val="00127E22"/>
    <w:rsid w:val="00131012"/>
    <w:rsid w:val="00134777"/>
    <w:rsid w:val="00137D48"/>
    <w:rsid w:val="001422F5"/>
    <w:rsid w:val="00143A47"/>
    <w:rsid w:val="0014590C"/>
    <w:rsid w:val="00147EC7"/>
    <w:rsid w:val="00150F7C"/>
    <w:rsid w:val="001527F3"/>
    <w:rsid w:val="001538C9"/>
    <w:rsid w:val="00155AC0"/>
    <w:rsid w:val="00155F10"/>
    <w:rsid w:val="00164161"/>
    <w:rsid w:val="00170F64"/>
    <w:rsid w:val="0017147F"/>
    <w:rsid w:val="00171D1D"/>
    <w:rsid w:val="00173677"/>
    <w:rsid w:val="001741EA"/>
    <w:rsid w:val="001752D7"/>
    <w:rsid w:val="0018331F"/>
    <w:rsid w:val="00186405"/>
    <w:rsid w:val="0018707D"/>
    <w:rsid w:val="00194847"/>
    <w:rsid w:val="001A002A"/>
    <w:rsid w:val="001A1848"/>
    <w:rsid w:val="001A2CCB"/>
    <w:rsid w:val="001A3193"/>
    <w:rsid w:val="001A71AA"/>
    <w:rsid w:val="001B5158"/>
    <w:rsid w:val="001B6B41"/>
    <w:rsid w:val="001C06F7"/>
    <w:rsid w:val="001D16E6"/>
    <w:rsid w:val="001D4F52"/>
    <w:rsid w:val="001E09AF"/>
    <w:rsid w:val="001E0B00"/>
    <w:rsid w:val="001E0DB4"/>
    <w:rsid w:val="001E2EAF"/>
    <w:rsid w:val="001E7694"/>
    <w:rsid w:val="001F1272"/>
    <w:rsid w:val="001F21FB"/>
    <w:rsid w:val="001F4A38"/>
    <w:rsid w:val="001F5955"/>
    <w:rsid w:val="001F5FFB"/>
    <w:rsid w:val="001F7755"/>
    <w:rsid w:val="002000B2"/>
    <w:rsid w:val="0020029A"/>
    <w:rsid w:val="0020285A"/>
    <w:rsid w:val="00203B73"/>
    <w:rsid w:val="002041C0"/>
    <w:rsid w:val="00204A0D"/>
    <w:rsid w:val="00204D62"/>
    <w:rsid w:val="00215B11"/>
    <w:rsid w:val="00215C94"/>
    <w:rsid w:val="002220A1"/>
    <w:rsid w:val="0022268E"/>
    <w:rsid w:val="00226F0D"/>
    <w:rsid w:val="002309C2"/>
    <w:rsid w:val="002431A3"/>
    <w:rsid w:val="002463F2"/>
    <w:rsid w:val="002520E5"/>
    <w:rsid w:val="00256525"/>
    <w:rsid w:val="00265F51"/>
    <w:rsid w:val="002730A5"/>
    <w:rsid w:val="00274D40"/>
    <w:rsid w:val="00276C53"/>
    <w:rsid w:val="0028751D"/>
    <w:rsid w:val="002876BF"/>
    <w:rsid w:val="002938F4"/>
    <w:rsid w:val="00295157"/>
    <w:rsid w:val="00297F60"/>
    <w:rsid w:val="002A3064"/>
    <w:rsid w:val="002A7117"/>
    <w:rsid w:val="002B0938"/>
    <w:rsid w:val="002B48E4"/>
    <w:rsid w:val="002B7B5D"/>
    <w:rsid w:val="002C0B49"/>
    <w:rsid w:val="002C126C"/>
    <w:rsid w:val="002C21E2"/>
    <w:rsid w:val="002C3B69"/>
    <w:rsid w:val="002C6A8F"/>
    <w:rsid w:val="002D29B3"/>
    <w:rsid w:val="002D3B91"/>
    <w:rsid w:val="002D63D5"/>
    <w:rsid w:val="002E0BC4"/>
    <w:rsid w:val="002F285D"/>
    <w:rsid w:val="002F6B07"/>
    <w:rsid w:val="002F7E59"/>
    <w:rsid w:val="0030015B"/>
    <w:rsid w:val="00300722"/>
    <w:rsid w:val="003045B8"/>
    <w:rsid w:val="00317F15"/>
    <w:rsid w:val="003243A9"/>
    <w:rsid w:val="003335E9"/>
    <w:rsid w:val="00335604"/>
    <w:rsid w:val="00336369"/>
    <w:rsid w:val="00344229"/>
    <w:rsid w:val="003453A4"/>
    <w:rsid w:val="00351BF6"/>
    <w:rsid w:val="00356E30"/>
    <w:rsid w:val="0036025A"/>
    <w:rsid w:val="00360FD0"/>
    <w:rsid w:val="00370A64"/>
    <w:rsid w:val="00371A1A"/>
    <w:rsid w:val="00372729"/>
    <w:rsid w:val="00382F3F"/>
    <w:rsid w:val="00385398"/>
    <w:rsid w:val="003856CE"/>
    <w:rsid w:val="00386B7A"/>
    <w:rsid w:val="00387E75"/>
    <w:rsid w:val="00394D20"/>
    <w:rsid w:val="003A25F5"/>
    <w:rsid w:val="003A2BF7"/>
    <w:rsid w:val="003B250C"/>
    <w:rsid w:val="003B45B9"/>
    <w:rsid w:val="003B5111"/>
    <w:rsid w:val="003B5188"/>
    <w:rsid w:val="003C1786"/>
    <w:rsid w:val="003C1B8A"/>
    <w:rsid w:val="003C273E"/>
    <w:rsid w:val="003C65A5"/>
    <w:rsid w:val="003C718A"/>
    <w:rsid w:val="003D2B93"/>
    <w:rsid w:val="003E047B"/>
    <w:rsid w:val="003F04C9"/>
    <w:rsid w:val="003F06C6"/>
    <w:rsid w:val="003F132C"/>
    <w:rsid w:val="0040534C"/>
    <w:rsid w:val="0041263D"/>
    <w:rsid w:val="00412704"/>
    <w:rsid w:val="00414DB6"/>
    <w:rsid w:val="00417106"/>
    <w:rsid w:val="0041716D"/>
    <w:rsid w:val="004310C9"/>
    <w:rsid w:val="00434D7E"/>
    <w:rsid w:val="004403A9"/>
    <w:rsid w:val="0045062D"/>
    <w:rsid w:val="00451A31"/>
    <w:rsid w:val="0045744E"/>
    <w:rsid w:val="0046105C"/>
    <w:rsid w:val="0046522D"/>
    <w:rsid w:val="00466DAC"/>
    <w:rsid w:val="0047163E"/>
    <w:rsid w:val="0047367F"/>
    <w:rsid w:val="004868FA"/>
    <w:rsid w:val="0049073B"/>
    <w:rsid w:val="00490FD0"/>
    <w:rsid w:val="004917B3"/>
    <w:rsid w:val="00492A6B"/>
    <w:rsid w:val="00493992"/>
    <w:rsid w:val="00494631"/>
    <w:rsid w:val="00494C60"/>
    <w:rsid w:val="004952CA"/>
    <w:rsid w:val="004A1020"/>
    <w:rsid w:val="004A6958"/>
    <w:rsid w:val="004B17CB"/>
    <w:rsid w:val="004B573D"/>
    <w:rsid w:val="004B5FDC"/>
    <w:rsid w:val="004C5E8D"/>
    <w:rsid w:val="004D42B2"/>
    <w:rsid w:val="004D5F49"/>
    <w:rsid w:val="004E0378"/>
    <w:rsid w:val="004E24E7"/>
    <w:rsid w:val="004E3E18"/>
    <w:rsid w:val="004E69E5"/>
    <w:rsid w:val="004F0E2D"/>
    <w:rsid w:val="004F46CC"/>
    <w:rsid w:val="004F718A"/>
    <w:rsid w:val="00501BDF"/>
    <w:rsid w:val="005047F9"/>
    <w:rsid w:val="005065C0"/>
    <w:rsid w:val="00507CEA"/>
    <w:rsid w:val="005102CC"/>
    <w:rsid w:val="0051382F"/>
    <w:rsid w:val="00515202"/>
    <w:rsid w:val="005213F4"/>
    <w:rsid w:val="00534E9C"/>
    <w:rsid w:val="00536418"/>
    <w:rsid w:val="00537834"/>
    <w:rsid w:val="00537E60"/>
    <w:rsid w:val="00537FBF"/>
    <w:rsid w:val="00541715"/>
    <w:rsid w:val="005443CC"/>
    <w:rsid w:val="005465E3"/>
    <w:rsid w:val="00553521"/>
    <w:rsid w:val="00554332"/>
    <w:rsid w:val="005560C2"/>
    <w:rsid w:val="005603D5"/>
    <w:rsid w:val="005624DE"/>
    <w:rsid w:val="00562556"/>
    <w:rsid w:val="00563DD9"/>
    <w:rsid w:val="00570185"/>
    <w:rsid w:val="00575887"/>
    <w:rsid w:val="00576BAC"/>
    <w:rsid w:val="00577833"/>
    <w:rsid w:val="00580F07"/>
    <w:rsid w:val="00581394"/>
    <w:rsid w:val="00581476"/>
    <w:rsid w:val="005827A5"/>
    <w:rsid w:val="00582B82"/>
    <w:rsid w:val="005A3A6D"/>
    <w:rsid w:val="005A69CF"/>
    <w:rsid w:val="005C08B5"/>
    <w:rsid w:val="005C1E12"/>
    <w:rsid w:val="005C3AD2"/>
    <w:rsid w:val="005D3CB8"/>
    <w:rsid w:val="005D62B5"/>
    <w:rsid w:val="005E4656"/>
    <w:rsid w:val="005F0026"/>
    <w:rsid w:val="005F15C0"/>
    <w:rsid w:val="005F1D05"/>
    <w:rsid w:val="005F38AF"/>
    <w:rsid w:val="006005B4"/>
    <w:rsid w:val="0060317A"/>
    <w:rsid w:val="006050BA"/>
    <w:rsid w:val="00614059"/>
    <w:rsid w:val="00614102"/>
    <w:rsid w:val="0061619D"/>
    <w:rsid w:val="00617839"/>
    <w:rsid w:val="00623F1C"/>
    <w:rsid w:val="006262B6"/>
    <w:rsid w:val="00630817"/>
    <w:rsid w:val="00635E5D"/>
    <w:rsid w:val="0064003E"/>
    <w:rsid w:val="00640BE4"/>
    <w:rsid w:val="00646DE3"/>
    <w:rsid w:val="00647D7C"/>
    <w:rsid w:val="00650CD6"/>
    <w:rsid w:val="006549C5"/>
    <w:rsid w:val="0066033D"/>
    <w:rsid w:val="00661F66"/>
    <w:rsid w:val="0066297E"/>
    <w:rsid w:val="00663955"/>
    <w:rsid w:val="006826E4"/>
    <w:rsid w:val="00686BF5"/>
    <w:rsid w:val="00693789"/>
    <w:rsid w:val="00694280"/>
    <w:rsid w:val="00697087"/>
    <w:rsid w:val="00697283"/>
    <w:rsid w:val="006A1280"/>
    <w:rsid w:val="006B0DCF"/>
    <w:rsid w:val="006B178F"/>
    <w:rsid w:val="006B489F"/>
    <w:rsid w:val="006B4B4E"/>
    <w:rsid w:val="006B580B"/>
    <w:rsid w:val="006C02D3"/>
    <w:rsid w:val="006C26F3"/>
    <w:rsid w:val="006D18BC"/>
    <w:rsid w:val="006D59EE"/>
    <w:rsid w:val="006E0A9C"/>
    <w:rsid w:val="006E7550"/>
    <w:rsid w:val="006F5561"/>
    <w:rsid w:val="006F64B8"/>
    <w:rsid w:val="006F666C"/>
    <w:rsid w:val="006F7B85"/>
    <w:rsid w:val="00700DE1"/>
    <w:rsid w:val="00701D3A"/>
    <w:rsid w:val="00706989"/>
    <w:rsid w:val="00706E19"/>
    <w:rsid w:val="007077BC"/>
    <w:rsid w:val="00710F1B"/>
    <w:rsid w:val="00717767"/>
    <w:rsid w:val="00720BEB"/>
    <w:rsid w:val="00722B9F"/>
    <w:rsid w:val="007232FE"/>
    <w:rsid w:val="007258EB"/>
    <w:rsid w:val="00734D53"/>
    <w:rsid w:val="00736D01"/>
    <w:rsid w:val="0074070A"/>
    <w:rsid w:val="007409BC"/>
    <w:rsid w:val="00741F3B"/>
    <w:rsid w:val="00743223"/>
    <w:rsid w:val="00745529"/>
    <w:rsid w:val="00750586"/>
    <w:rsid w:val="0075129A"/>
    <w:rsid w:val="00752E53"/>
    <w:rsid w:val="00753AC5"/>
    <w:rsid w:val="0075631C"/>
    <w:rsid w:val="00757DB5"/>
    <w:rsid w:val="00760B50"/>
    <w:rsid w:val="007638E3"/>
    <w:rsid w:val="00770962"/>
    <w:rsid w:val="00775DE1"/>
    <w:rsid w:val="0078239D"/>
    <w:rsid w:val="00782B9F"/>
    <w:rsid w:val="007909D7"/>
    <w:rsid w:val="00791C36"/>
    <w:rsid w:val="00792F81"/>
    <w:rsid w:val="00794458"/>
    <w:rsid w:val="007A31A8"/>
    <w:rsid w:val="007A5C0B"/>
    <w:rsid w:val="007B1D58"/>
    <w:rsid w:val="007B2230"/>
    <w:rsid w:val="007B2278"/>
    <w:rsid w:val="007B4134"/>
    <w:rsid w:val="007C1383"/>
    <w:rsid w:val="007C597F"/>
    <w:rsid w:val="007C59D4"/>
    <w:rsid w:val="007C71F7"/>
    <w:rsid w:val="007D3B39"/>
    <w:rsid w:val="007E5675"/>
    <w:rsid w:val="007F0C2A"/>
    <w:rsid w:val="007F0E91"/>
    <w:rsid w:val="007F53B2"/>
    <w:rsid w:val="007F5A93"/>
    <w:rsid w:val="008001D7"/>
    <w:rsid w:val="00805620"/>
    <w:rsid w:val="008077AC"/>
    <w:rsid w:val="00807D92"/>
    <w:rsid w:val="00811130"/>
    <w:rsid w:val="00811309"/>
    <w:rsid w:val="008115D6"/>
    <w:rsid w:val="008117FF"/>
    <w:rsid w:val="008121F2"/>
    <w:rsid w:val="0081500E"/>
    <w:rsid w:val="008159E6"/>
    <w:rsid w:val="00822339"/>
    <w:rsid w:val="008232DD"/>
    <w:rsid w:val="00825188"/>
    <w:rsid w:val="00830F4D"/>
    <w:rsid w:val="0083132E"/>
    <w:rsid w:val="00832DB9"/>
    <w:rsid w:val="008355DA"/>
    <w:rsid w:val="00837DC7"/>
    <w:rsid w:val="008436AC"/>
    <w:rsid w:val="00843C36"/>
    <w:rsid w:val="008451D9"/>
    <w:rsid w:val="008472B7"/>
    <w:rsid w:val="00855D4B"/>
    <w:rsid w:val="0086479A"/>
    <w:rsid w:val="008649DB"/>
    <w:rsid w:val="008713A7"/>
    <w:rsid w:val="0087203F"/>
    <w:rsid w:val="00873BAA"/>
    <w:rsid w:val="00874457"/>
    <w:rsid w:val="00875A3C"/>
    <w:rsid w:val="0087616C"/>
    <w:rsid w:val="0088265D"/>
    <w:rsid w:val="00882F8A"/>
    <w:rsid w:val="00885E78"/>
    <w:rsid w:val="00891E0D"/>
    <w:rsid w:val="008953BD"/>
    <w:rsid w:val="008A0024"/>
    <w:rsid w:val="008A62DB"/>
    <w:rsid w:val="008A6859"/>
    <w:rsid w:val="008A7AC5"/>
    <w:rsid w:val="008B624E"/>
    <w:rsid w:val="008B7C1E"/>
    <w:rsid w:val="008C1DEE"/>
    <w:rsid w:val="008C7F47"/>
    <w:rsid w:val="008D1334"/>
    <w:rsid w:val="008D3E71"/>
    <w:rsid w:val="008D4F48"/>
    <w:rsid w:val="008D5008"/>
    <w:rsid w:val="008E06AB"/>
    <w:rsid w:val="008E1269"/>
    <w:rsid w:val="008E3485"/>
    <w:rsid w:val="008F0C0E"/>
    <w:rsid w:val="008F2622"/>
    <w:rsid w:val="008F504A"/>
    <w:rsid w:val="008F72C6"/>
    <w:rsid w:val="00900D7D"/>
    <w:rsid w:val="00901534"/>
    <w:rsid w:val="00921A69"/>
    <w:rsid w:val="00925E84"/>
    <w:rsid w:val="0092660E"/>
    <w:rsid w:val="00930681"/>
    <w:rsid w:val="00934260"/>
    <w:rsid w:val="00935814"/>
    <w:rsid w:val="00941F59"/>
    <w:rsid w:val="00942E2B"/>
    <w:rsid w:val="0094421E"/>
    <w:rsid w:val="00946301"/>
    <w:rsid w:val="009531A2"/>
    <w:rsid w:val="00955CEA"/>
    <w:rsid w:val="00957C0A"/>
    <w:rsid w:val="00962275"/>
    <w:rsid w:val="0096411F"/>
    <w:rsid w:val="009730B3"/>
    <w:rsid w:val="009741E9"/>
    <w:rsid w:val="00974649"/>
    <w:rsid w:val="00976E9C"/>
    <w:rsid w:val="00985F46"/>
    <w:rsid w:val="00986004"/>
    <w:rsid w:val="00987F44"/>
    <w:rsid w:val="009907A8"/>
    <w:rsid w:val="009922D3"/>
    <w:rsid w:val="0099403E"/>
    <w:rsid w:val="009A164D"/>
    <w:rsid w:val="009A19A0"/>
    <w:rsid w:val="009A24AE"/>
    <w:rsid w:val="009A43C8"/>
    <w:rsid w:val="009A5F4C"/>
    <w:rsid w:val="009A7C1E"/>
    <w:rsid w:val="009B3799"/>
    <w:rsid w:val="009B4598"/>
    <w:rsid w:val="009C0AC5"/>
    <w:rsid w:val="009C1782"/>
    <w:rsid w:val="009C19D8"/>
    <w:rsid w:val="009C3F68"/>
    <w:rsid w:val="009C3F86"/>
    <w:rsid w:val="009C4229"/>
    <w:rsid w:val="009C6E9C"/>
    <w:rsid w:val="009C79E8"/>
    <w:rsid w:val="009D1FFB"/>
    <w:rsid w:val="009D2A88"/>
    <w:rsid w:val="009D5C72"/>
    <w:rsid w:val="009D79EB"/>
    <w:rsid w:val="009E7F86"/>
    <w:rsid w:val="009F0F29"/>
    <w:rsid w:val="009F192D"/>
    <w:rsid w:val="009F2513"/>
    <w:rsid w:val="009F6945"/>
    <w:rsid w:val="009F7D27"/>
    <w:rsid w:val="009F7E6C"/>
    <w:rsid w:val="00A0247A"/>
    <w:rsid w:val="00A06E0C"/>
    <w:rsid w:val="00A101D1"/>
    <w:rsid w:val="00A254F6"/>
    <w:rsid w:val="00A25F0A"/>
    <w:rsid w:val="00A27136"/>
    <w:rsid w:val="00A35254"/>
    <w:rsid w:val="00A46D8F"/>
    <w:rsid w:val="00A471EC"/>
    <w:rsid w:val="00A505A5"/>
    <w:rsid w:val="00A52533"/>
    <w:rsid w:val="00A5463B"/>
    <w:rsid w:val="00A54D76"/>
    <w:rsid w:val="00A61ACC"/>
    <w:rsid w:val="00A64A30"/>
    <w:rsid w:val="00A64A7A"/>
    <w:rsid w:val="00A66275"/>
    <w:rsid w:val="00A71DE4"/>
    <w:rsid w:val="00A73685"/>
    <w:rsid w:val="00A743DD"/>
    <w:rsid w:val="00A76751"/>
    <w:rsid w:val="00A77FB0"/>
    <w:rsid w:val="00A82FC5"/>
    <w:rsid w:val="00A83BEF"/>
    <w:rsid w:val="00A84F1E"/>
    <w:rsid w:val="00A93B41"/>
    <w:rsid w:val="00A94D86"/>
    <w:rsid w:val="00A9727E"/>
    <w:rsid w:val="00AA382D"/>
    <w:rsid w:val="00AA631D"/>
    <w:rsid w:val="00AB0A96"/>
    <w:rsid w:val="00AB4103"/>
    <w:rsid w:val="00AB456D"/>
    <w:rsid w:val="00AB52CA"/>
    <w:rsid w:val="00AC1676"/>
    <w:rsid w:val="00AC23B7"/>
    <w:rsid w:val="00AF01AC"/>
    <w:rsid w:val="00AF55A3"/>
    <w:rsid w:val="00AF6D3B"/>
    <w:rsid w:val="00B00B7D"/>
    <w:rsid w:val="00B01DD5"/>
    <w:rsid w:val="00B05BD0"/>
    <w:rsid w:val="00B05ECB"/>
    <w:rsid w:val="00B0611A"/>
    <w:rsid w:val="00B0692F"/>
    <w:rsid w:val="00B149FF"/>
    <w:rsid w:val="00B16A6F"/>
    <w:rsid w:val="00B17F4F"/>
    <w:rsid w:val="00B20968"/>
    <w:rsid w:val="00B320D4"/>
    <w:rsid w:val="00B3763F"/>
    <w:rsid w:val="00B46642"/>
    <w:rsid w:val="00B57A70"/>
    <w:rsid w:val="00B67030"/>
    <w:rsid w:val="00B7100B"/>
    <w:rsid w:val="00B72369"/>
    <w:rsid w:val="00B7294C"/>
    <w:rsid w:val="00B72BFE"/>
    <w:rsid w:val="00B73FB1"/>
    <w:rsid w:val="00B75A65"/>
    <w:rsid w:val="00B80E9D"/>
    <w:rsid w:val="00B915D5"/>
    <w:rsid w:val="00B9195A"/>
    <w:rsid w:val="00B92976"/>
    <w:rsid w:val="00B92C05"/>
    <w:rsid w:val="00B94A99"/>
    <w:rsid w:val="00B95AA8"/>
    <w:rsid w:val="00B96AEE"/>
    <w:rsid w:val="00B9703B"/>
    <w:rsid w:val="00BA7851"/>
    <w:rsid w:val="00BB0050"/>
    <w:rsid w:val="00BB1AA7"/>
    <w:rsid w:val="00BB22A7"/>
    <w:rsid w:val="00BB3AD7"/>
    <w:rsid w:val="00BC040E"/>
    <w:rsid w:val="00BC3A15"/>
    <w:rsid w:val="00BD0A7E"/>
    <w:rsid w:val="00BE0454"/>
    <w:rsid w:val="00BF4098"/>
    <w:rsid w:val="00C02CFD"/>
    <w:rsid w:val="00C07AF6"/>
    <w:rsid w:val="00C07B1F"/>
    <w:rsid w:val="00C10542"/>
    <w:rsid w:val="00C11BA4"/>
    <w:rsid w:val="00C144D7"/>
    <w:rsid w:val="00C14D0D"/>
    <w:rsid w:val="00C21F2A"/>
    <w:rsid w:val="00C2545A"/>
    <w:rsid w:val="00C26E30"/>
    <w:rsid w:val="00C2744C"/>
    <w:rsid w:val="00C31795"/>
    <w:rsid w:val="00C35CB3"/>
    <w:rsid w:val="00C3643A"/>
    <w:rsid w:val="00C521AB"/>
    <w:rsid w:val="00C522AA"/>
    <w:rsid w:val="00C549CE"/>
    <w:rsid w:val="00C60136"/>
    <w:rsid w:val="00C63608"/>
    <w:rsid w:val="00C72E70"/>
    <w:rsid w:val="00C73487"/>
    <w:rsid w:val="00C741CF"/>
    <w:rsid w:val="00C75A00"/>
    <w:rsid w:val="00C81F67"/>
    <w:rsid w:val="00C82360"/>
    <w:rsid w:val="00C82649"/>
    <w:rsid w:val="00C84FAE"/>
    <w:rsid w:val="00C91213"/>
    <w:rsid w:val="00C966A5"/>
    <w:rsid w:val="00CA4501"/>
    <w:rsid w:val="00CA61C2"/>
    <w:rsid w:val="00CA6D7F"/>
    <w:rsid w:val="00CB1B29"/>
    <w:rsid w:val="00CB20DA"/>
    <w:rsid w:val="00CB30E1"/>
    <w:rsid w:val="00CB429D"/>
    <w:rsid w:val="00CB76DC"/>
    <w:rsid w:val="00CC1966"/>
    <w:rsid w:val="00CC3424"/>
    <w:rsid w:val="00CC3ACB"/>
    <w:rsid w:val="00CC574D"/>
    <w:rsid w:val="00CD024A"/>
    <w:rsid w:val="00CD1B93"/>
    <w:rsid w:val="00CD1BB9"/>
    <w:rsid w:val="00CD5AAD"/>
    <w:rsid w:val="00CE7721"/>
    <w:rsid w:val="00CF2232"/>
    <w:rsid w:val="00CF5FD1"/>
    <w:rsid w:val="00CF699C"/>
    <w:rsid w:val="00CF79DF"/>
    <w:rsid w:val="00D00AA1"/>
    <w:rsid w:val="00D060D9"/>
    <w:rsid w:val="00D07D1A"/>
    <w:rsid w:val="00D12BA5"/>
    <w:rsid w:val="00D13179"/>
    <w:rsid w:val="00D132DA"/>
    <w:rsid w:val="00D13817"/>
    <w:rsid w:val="00D147B2"/>
    <w:rsid w:val="00D16193"/>
    <w:rsid w:val="00D21FA3"/>
    <w:rsid w:val="00D22786"/>
    <w:rsid w:val="00D2714B"/>
    <w:rsid w:val="00D2718C"/>
    <w:rsid w:val="00D31AE3"/>
    <w:rsid w:val="00D333E9"/>
    <w:rsid w:val="00D45B47"/>
    <w:rsid w:val="00D5257C"/>
    <w:rsid w:val="00D71040"/>
    <w:rsid w:val="00D72957"/>
    <w:rsid w:val="00D72963"/>
    <w:rsid w:val="00D73FB1"/>
    <w:rsid w:val="00D76AB2"/>
    <w:rsid w:val="00D804AA"/>
    <w:rsid w:val="00D81A3C"/>
    <w:rsid w:val="00D83A33"/>
    <w:rsid w:val="00D85D87"/>
    <w:rsid w:val="00D8724F"/>
    <w:rsid w:val="00D901F2"/>
    <w:rsid w:val="00D9117F"/>
    <w:rsid w:val="00D97B21"/>
    <w:rsid w:val="00DA3D80"/>
    <w:rsid w:val="00DB1CE1"/>
    <w:rsid w:val="00DB2F7B"/>
    <w:rsid w:val="00DC3D08"/>
    <w:rsid w:val="00DC49A5"/>
    <w:rsid w:val="00DC5CF1"/>
    <w:rsid w:val="00DD1066"/>
    <w:rsid w:val="00DD6F8C"/>
    <w:rsid w:val="00DE1524"/>
    <w:rsid w:val="00DE530B"/>
    <w:rsid w:val="00DF0B19"/>
    <w:rsid w:val="00DF2152"/>
    <w:rsid w:val="00DF29A7"/>
    <w:rsid w:val="00DF5705"/>
    <w:rsid w:val="00DF68DA"/>
    <w:rsid w:val="00E002D7"/>
    <w:rsid w:val="00E018DC"/>
    <w:rsid w:val="00E01D37"/>
    <w:rsid w:val="00E02352"/>
    <w:rsid w:val="00E068DC"/>
    <w:rsid w:val="00E06CE3"/>
    <w:rsid w:val="00E105E5"/>
    <w:rsid w:val="00E1261A"/>
    <w:rsid w:val="00E21ABE"/>
    <w:rsid w:val="00E239F8"/>
    <w:rsid w:val="00E24426"/>
    <w:rsid w:val="00E26FE9"/>
    <w:rsid w:val="00E32D7E"/>
    <w:rsid w:val="00E342DA"/>
    <w:rsid w:val="00E3711D"/>
    <w:rsid w:val="00E40158"/>
    <w:rsid w:val="00E40DF9"/>
    <w:rsid w:val="00E423E7"/>
    <w:rsid w:val="00E43A6C"/>
    <w:rsid w:val="00E4434B"/>
    <w:rsid w:val="00E452A7"/>
    <w:rsid w:val="00E4732D"/>
    <w:rsid w:val="00E52130"/>
    <w:rsid w:val="00E52612"/>
    <w:rsid w:val="00E5564C"/>
    <w:rsid w:val="00E5567F"/>
    <w:rsid w:val="00E575D3"/>
    <w:rsid w:val="00E5772D"/>
    <w:rsid w:val="00E61058"/>
    <w:rsid w:val="00E6643D"/>
    <w:rsid w:val="00E6658E"/>
    <w:rsid w:val="00E7339E"/>
    <w:rsid w:val="00E757C9"/>
    <w:rsid w:val="00E8472F"/>
    <w:rsid w:val="00E90085"/>
    <w:rsid w:val="00E904B2"/>
    <w:rsid w:val="00E92008"/>
    <w:rsid w:val="00E94177"/>
    <w:rsid w:val="00E95177"/>
    <w:rsid w:val="00E96733"/>
    <w:rsid w:val="00E96739"/>
    <w:rsid w:val="00E97F25"/>
    <w:rsid w:val="00EA19B7"/>
    <w:rsid w:val="00EA2508"/>
    <w:rsid w:val="00EA6CAD"/>
    <w:rsid w:val="00EB00E7"/>
    <w:rsid w:val="00EB6ACE"/>
    <w:rsid w:val="00EC3659"/>
    <w:rsid w:val="00EC3887"/>
    <w:rsid w:val="00EC3F05"/>
    <w:rsid w:val="00EC4F3A"/>
    <w:rsid w:val="00EC4FF1"/>
    <w:rsid w:val="00EC749E"/>
    <w:rsid w:val="00ED352D"/>
    <w:rsid w:val="00ED3C35"/>
    <w:rsid w:val="00ED5335"/>
    <w:rsid w:val="00ED5C68"/>
    <w:rsid w:val="00EE1DB8"/>
    <w:rsid w:val="00EE2EEA"/>
    <w:rsid w:val="00EE4EF6"/>
    <w:rsid w:val="00EF33AA"/>
    <w:rsid w:val="00EF39E4"/>
    <w:rsid w:val="00EF3F71"/>
    <w:rsid w:val="00EF4AAD"/>
    <w:rsid w:val="00EF77AC"/>
    <w:rsid w:val="00F0673F"/>
    <w:rsid w:val="00F07EF3"/>
    <w:rsid w:val="00F12230"/>
    <w:rsid w:val="00F13843"/>
    <w:rsid w:val="00F20460"/>
    <w:rsid w:val="00F21090"/>
    <w:rsid w:val="00F24174"/>
    <w:rsid w:val="00F24192"/>
    <w:rsid w:val="00F256A6"/>
    <w:rsid w:val="00F26B35"/>
    <w:rsid w:val="00F40EBA"/>
    <w:rsid w:val="00F417BB"/>
    <w:rsid w:val="00F4370A"/>
    <w:rsid w:val="00F464ED"/>
    <w:rsid w:val="00F47209"/>
    <w:rsid w:val="00F5025E"/>
    <w:rsid w:val="00F51A2D"/>
    <w:rsid w:val="00F562B4"/>
    <w:rsid w:val="00F63B40"/>
    <w:rsid w:val="00F70A1F"/>
    <w:rsid w:val="00F71181"/>
    <w:rsid w:val="00F77F34"/>
    <w:rsid w:val="00F861C1"/>
    <w:rsid w:val="00F8778F"/>
    <w:rsid w:val="00F949D5"/>
    <w:rsid w:val="00F95638"/>
    <w:rsid w:val="00FA0C9A"/>
    <w:rsid w:val="00FA4F98"/>
    <w:rsid w:val="00FA59EF"/>
    <w:rsid w:val="00FA5A90"/>
    <w:rsid w:val="00FA5E2F"/>
    <w:rsid w:val="00FA5FA6"/>
    <w:rsid w:val="00FB2E6F"/>
    <w:rsid w:val="00FB41B4"/>
    <w:rsid w:val="00FB5679"/>
    <w:rsid w:val="00FB5681"/>
    <w:rsid w:val="00FB5981"/>
    <w:rsid w:val="00FB60A1"/>
    <w:rsid w:val="00FB7FD8"/>
    <w:rsid w:val="00FC454C"/>
    <w:rsid w:val="00FC457E"/>
    <w:rsid w:val="00FD2DEE"/>
    <w:rsid w:val="00FD38DB"/>
    <w:rsid w:val="00FD4DE3"/>
    <w:rsid w:val="00FE52A5"/>
    <w:rsid w:val="00FE739F"/>
    <w:rsid w:val="00FE75EF"/>
    <w:rsid w:val="00FF5B7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A3C"/>
    <w:pPr>
      <w:suppressAutoHyphens/>
      <w:spacing w:after="0" w:line="240" w:lineRule="auto"/>
    </w:pPr>
    <w:rPr>
      <w:rFonts w:ascii="Cambria" w:eastAsia="Droid Sans Fallback" w:hAnsi="Cambria" w:cs="Cambria"/>
      <w:color w:val="00000A"/>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81A3C"/>
    <w:pPr>
      <w:suppressLineNumbers/>
      <w:tabs>
        <w:tab w:val="center" w:pos="4153"/>
        <w:tab w:val="right" w:pos="8306"/>
      </w:tabs>
    </w:pPr>
  </w:style>
  <w:style w:type="character" w:customStyle="1" w:styleId="FooterChar">
    <w:name w:val="Footer Char"/>
    <w:basedOn w:val="DefaultParagraphFont"/>
    <w:link w:val="Footer"/>
    <w:rsid w:val="00D81A3C"/>
    <w:rPr>
      <w:rFonts w:ascii="Cambria" w:eastAsia="Droid Sans Fallback" w:hAnsi="Cambria" w:cs="Cambria"/>
      <w:color w:val="00000A"/>
      <w:sz w:val="24"/>
      <w:szCs w:val="24"/>
      <w:lang w:val="en-US" w:eastAsia="zh-CN"/>
    </w:rPr>
  </w:style>
  <w:style w:type="paragraph" w:styleId="BalloonText">
    <w:name w:val="Balloon Text"/>
    <w:basedOn w:val="Normal"/>
    <w:link w:val="BalloonTextChar"/>
    <w:uiPriority w:val="99"/>
    <w:semiHidden/>
    <w:unhideWhenUsed/>
    <w:rsid w:val="00D81A3C"/>
    <w:rPr>
      <w:rFonts w:ascii="Tahoma" w:hAnsi="Tahoma" w:cs="Tahoma"/>
      <w:sz w:val="16"/>
      <w:szCs w:val="16"/>
    </w:rPr>
  </w:style>
  <w:style w:type="character" w:customStyle="1" w:styleId="BalloonTextChar">
    <w:name w:val="Balloon Text Char"/>
    <w:basedOn w:val="DefaultParagraphFont"/>
    <w:link w:val="BalloonText"/>
    <w:uiPriority w:val="99"/>
    <w:semiHidden/>
    <w:rsid w:val="00D81A3C"/>
    <w:rPr>
      <w:rFonts w:ascii="Tahoma" w:eastAsia="Droid Sans Fallback" w:hAnsi="Tahoma" w:cs="Tahoma"/>
      <w:color w:val="00000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A3C"/>
    <w:pPr>
      <w:suppressAutoHyphens/>
      <w:spacing w:after="0" w:line="240" w:lineRule="auto"/>
    </w:pPr>
    <w:rPr>
      <w:rFonts w:ascii="Cambria" w:eastAsia="Droid Sans Fallback" w:hAnsi="Cambria" w:cs="Cambria"/>
      <w:color w:val="00000A"/>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81A3C"/>
    <w:pPr>
      <w:suppressLineNumbers/>
      <w:tabs>
        <w:tab w:val="center" w:pos="4153"/>
        <w:tab w:val="right" w:pos="8306"/>
      </w:tabs>
    </w:pPr>
  </w:style>
  <w:style w:type="character" w:customStyle="1" w:styleId="FooterChar">
    <w:name w:val="Footer Char"/>
    <w:basedOn w:val="DefaultParagraphFont"/>
    <w:link w:val="Footer"/>
    <w:rsid w:val="00D81A3C"/>
    <w:rPr>
      <w:rFonts w:ascii="Cambria" w:eastAsia="Droid Sans Fallback" w:hAnsi="Cambria" w:cs="Cambria"/>
      <w:color w:val="00000A"/>
      <w:sz w:val="24"/>
      <w:szCs w:val="24"/>
      <w:lang w:val="en-US" w:eastAsia="zh-CN"/>
    </w:rPr>
  </w:style>
  <w:style w:type="paragraph" w:styleId="BalloonText">
    <w:name w:val="Balloon Text"/>
    <w:basedOn w:val="Normal"/>
    <w:link w:val="BalloonTextChar"/>
    <w:uiPriority w:val="99"/>
    <w:semiHidden/>
    <w:unhideWhenUsed/>
    <w:rsid w:val="00D81A3C"/>
    <w:rPr>
      <w:rFonts w:ascii="Tahoma" w:hAnsi="Tahoma" w:cs="Tahoma"/>
      <w:sz w:val="16"/>
      <w:szCs w:val="16"/>
    </w:rPr>
  </w:style>
  <w:style w:type="character" w:customStyle="1" w:styleId="BalloonTextChar">
    <w:name w:val="Balloon Text Char"/>
    <w:basedOn w:val="DefaultParagraphFont"/>
    <w:link w:val="BalloonText"/>
    <w:uiPriority w:val="99"/>
    <w:semiHidden/>
    <w:rsid w:val="00D81A3C"/>
    <w:rPr>
      <w:rFonts w:ascii="Tahoma" w:eastAsia="Droid Sans Fallback" w:hAnsi="Tahoma" w:cs="Tahoma"/>
      <w:color w:val="00000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2637</Words>
  <Characters>14246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dc:creator>
  <cp:lastModifiedBy>Ricardo</cp:lastModifiedBy>
  <cp:revision>10</cp:revision>
  <dcterms:created xsi:type="dcterms:W3CDTF">2016-12-14T08:53:00Z</dcterms:created>
  <dcterms:modified xsi:type="dcterms:W3CDTF">2017-03-06T16:26:00Z</dcterms:modified>
</cp:coreProperties>
</file>