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292" w:rsidRDefault="00CC1EBA" w:rsidP="00E024D4">
      <w:pPr>
        <w:pStyle w:val="SubtitlesPaper"/>
        <w:spacing w:before="0" w:after="0"/>
      </w:pPr>
      <w:r>
        <w:t>Supplementary material</w:t>
      </w:r>
    </w:p>
    <w:p w:rsidR="00CA4292" w:rsidRPr="00E024D4" w:rsidRDefault="00CA4292" w:rsidP="00B40F12">
      <w:pPr>
        <w:pStyle w:val="SubtitlesPaper"/>
        <w:spacing w:before="240" w:after="720" w:line="480" w:lineRule="auto"/>
        <w:rPr>
          <w:sz w:val="22"/>
        </w:rPr>
      </w:pPr>
      <w:r w:rsidRPr="00E024D4">
        <w:rPr>
          <w:sz w:val="22"/>
        </w:rPr>
        <w:t>for “Late Plio-Pleistocene humidity fluctuations in the western Qaidam Basin (NE Tibetan Plateau) revealed by an integrated magnetic-palynological record from lacustrine sediments” by Herb et al.</w:t>
      </w:r>
    </w:p>
    <w:p w:rsidR="00CA4292" w:rsidRPr="0002660B" w:rsidRDefault="00CA4292" w:rsidP="005E1304">
      <w:pPr>
        <w:pStyle w:val="berschrift4"/>
        <w:rPr>
          <w:i/>
        </w:rPr>
      </w:pPr>
      <w:r w:rsidRPr="0002660B">
        <w:rPr>
          <w:i/>
        </w:rPr>
        <w:t>FORC diagrams</w:t>
      </w:r>
    </w:p>
    <w:p w:rsidR="00CA4292" w:rsidRDefault="009169EB" w:rsidP="00CA4292">
      <w:pPr>
        <w:pStyle w:val="StandardPaper"/>
        <w:ind w:firstLine="0"/>
      </w:pPr>
      <w:r w:rsidRPr="00482CAE">
        <w:t>First-order reversal curve (</w:t>
      </w:r>
      <w:r w:rsidR="00CA4292">
        <w:t>FORC</w:t>
      </w:r>
      <w:r>
        <w:t>)</w:t>
      </w:r>
      <w:r w:rsidR="00CA4292">
        <w:t xml:space="preserve"> results are investigated as an additional tool to understand the controlling factors of </w:t>
      </w:r>
      <w:r w:rsidR="00CA4292" w:rsidRPr="00DD061B">
        <w:t>χ</w:t>
      </w:r>
      <w:r w:rsidR="00CA4292" w:rsidRPr="00482CAE">
        <w:t xml:space="preserve"> </w:t>
      </w:r>
      <w:r w:rsidR="00CA4292">
        <w:t xml:space="preserve">variation along core SG-1. </w:t>
      </w:r>
      <w:r w:rsidR="00CA4292" w:rsidRPr="00482CAE">
        <w:t>The abscissa of a FORC diagram (H</w:t>
      </w:r>
      <w:r w:rsidR="00CA4292" w:rsidRPr="00482CAE">
        <w:rPr>
          <w:vertAlign w:val="subscript"/>
        </w:rPr>
        <w:t>c</w:t>
      </w:r>
      <w:r w:rsidR="00CA4292" w:rsidRPr="00482CAE">
        <w:t>) shows the coercivity</w:t>
      </w:r>
      <w:r w:rsidR="00CA4292">
        <w:t xml:space="preserve"> </w:t>
      </w:r>
      <w:r w:rsidR="00CA4292" w:rsidRPr="00482CAE">
        <w:t>pattern reflecting magnetic grain size (i.e., magnetic domain state) for a given magnetic mineralogy, the ordinate (H</w:t>
      </w:r>
      <w:r w:rsidR="00CA4292" w:rsidRPr="00482CAE">
        <w:rPr>
          <w:vertAlign w:val="subscript"/>
        </w:rPr>
        <w:t>u</w:t>
      </w:r>
      <w:r w:rsidR="00CA4292" w:rsidRPr="00482CAE">
        <w:t xml:space="preserve">) </w:t>
      </w:r>
      <w:r w:rsidR="00CA4292" w:rsidRPr="004C2EA9">
        <w:t xml:space="preserve">represents the degree of magnetic interaction between and within (i.e., between domains) magnetic grains of a sample whereby a wider vertical scattering identifies stronger magnetostatic interaction between particles </w:t>
      </w:r>
      <w:r w:rsidR="00CA4292" w:rsidRPr="004C2EA9">
        <w:rPr>
          <w:noProof/>
        </w:rPr>
        <w:t>(Roberts et al., 2000; Muxworthy, 2013)</w:t>
      </w:r>
      <w:r w:rsidR="00CA4292" w:rsidRPr="004C2EA9">
        <w:t>. FORC diagrams of samples from the χ</w:t>
      </w:r>
      <w:r w:rsidR="00CA4292" w:rsidRPr="004C2EA9">
        <w:rPr>
          <w:vertAlign w:val="subscript"/>
        </w:rPr>
        <w:t>l</w:t>
      </w:r>
      <w:r w:rsidR="00CA4292" w:rsidRPr="00482CAE">
        <w:t xml:space="preserve"> group (</w:t>
      </w:r>
      <w:r w:rsidR="00CA4292">
        <w:t xml:space="preserve">Suppl. </w:t>
      </w:r>
      <w:r w:rsidR="00CA4292" w:rsidRPr="00482CAE">
        <w:t xml:space="preserve">Fig. </w:t>
      </w:r>
      <w:r w:rsidR="00CA4292">
        <w:t>1</w:t>
      </w:r>
      <w:r w:rsidR="00CA4292" w:rsidRPr="00482CAE">
        <w:t>a) are not uniform, which is consistent with</w:t>
      </w:r>
      <w:r w:rsidR="00CA4292">
        <w:t xml:space="preserve"> </w:t>
      </w:r>
      <w:r w:rsidR="00CA4292" w:rsidRPr="00482CAE">
        <w:t>the high scatter</w:t>
      </w:r>
      <w:r w:rsidR="00CA4292">
        <w:t xml:space="preserve"> </w:t>
      </w:r>
      <w:r w:rsidR="00CA4292" w:rsidRPr="00482CAE">
        <w:t xml:space="preserve">of the low </w:t>
      </w:r>
      <w:r w:rsidR="00CA4292" w:rsidRPr="00482CAE">
        <w:rPr>
          <w:rFonts w:cs="Times New Roman"/>
        </w:rPr>
        <w:t>χ</w:t>
      </w:r>
      <w:r w:rsidR="00CA4292">
        <w:rPr>
          <w:rFonts w:cs="Times New Roman"/>
        </w:rPr>
        <w:t xml:space="preserve"> </w:t>
      </w:r>
      <w:r w:rsidR="00CA4292" w:rsidRPr="00482CAE">
        <w:t>data observed in the Day Plot</w:t>
      </w:r>
      <w:r w:rsidR="00CA4292">
        <w:t xml:space="preserve"> </w:t>
      </w:r>
      <w:r w:rsidR="00CA4292" w:rsidRPr="00482CAE">
        <w:t>(</w:t>
      </w:r>
      <w:r w:rsidR="00CA4292">
        <w:t xml:space="preserve">Suppl. </w:t>
      </w:r>
      <w:r w:rsidR="00CA4292" w:rsidRPr="00482CAE">
        <w:t xml:space="preserve">Fig. </w:t>
      </w:r>
      <w:r w:rsidR="00CA4292">
        <w:t>2</w:t>
      </w:r>
      <w:r w:rsidR="00CA4292" w:rsidRPr="00482CAE">
        <w:t>). The common behavior in most χ</w:t>
      </w:r>
      <w:r w:rsidR="00CA4292" w:rsidRPr="00482CAE">
        <w:rPr>
          <w:vertAlign w:val="subscript"/>
        </w:rPr>
        <w:t>l</w:t>
      </w:r>
      <w:r w:rsidR="00CA4292" w:rsidRPr="00482CAE">
        <w:t xml:space="preserve"> diagrams is a pronounced maximum near the origin, which diffuses along the H</w:t>
      </w:r>
      <w:r w:rsidR="00CA4292" w:rsidRPr="00482CAE">
        <w:rPr>
          <w:vertAlign w:val="subscript"/>
        </w:rPr>
        <w:t>c</w:t>
      </w:r>
      <w:r w:rsidR="00CA4292" w:rsidRPr="00482CAE">
        <w:t xml:space="preserve"> axis. That points to particles in the multi-domain (MD) to </w:t>
      </w:r>
      <w:r w:rsidR="00CA4292" w:rsidRPr="00482CAE">
        <w:rPr>
          <w:rFonts w:cs="Times New Roman"/>
        </w:rPr>
        <w:t>pseudo-single-domain (PSD)</w:t>
      </w:r>
      <w:r w:rsidR="00CA4292" w:rsidRPr="00482CAE">
        <w:t xml:space="preserve"> range</w:t>
      </w:r>
      <w:r w:rsidR="00CA4292">
        <w:t xml:space="preserve"> </w:t>
      </w:r>
      <w:r w:rsidR="00CA4292" w:rsidRPr="00482CAE">
        <w:rPr>
          <w:noProof/>
        </w:rPr>
        <w:t>(Roberts et al., 2000; Muxworthy and Roberts, 2007)</w:t>
      </w:r>
      <w:r w:rsidR="00CA4292" w:rsidRPr="00482CAE">
        <w:t>. Some samples of the χ</w:t>
      </w:r>
      <w:r w:rsidR="00CA4292" w:rsidRPr="00482CAE">
        <w:rPr>
          <w:vertAlign w:val="subscript"/>
        </w:rPr>
        <w:t>l</w:t>
      </w:r>
      <w:r w:rsidR="00CA4292" w:rsidRPr="00482CAE">
        <w:t xml:space="preserve"> group (e.g., sample at 202.92 m depth) show FORC distributions partly comparable with the ones of the χ</w:t>
      </w:r>
      <w:r w:rsidR="00CA4292" w:rsidRPr="00482CAE">
        <w:rPr>
          <w:vertAlign w:val="subscript"/>
        </w:rPr>
        <w:t>h</w:t>
      </w:r>
      <w:r w:rsidR="00CA4292" w:rsidRPr="00482CAE">
        <w:t xml:space="preserve"> group (</w:t>
      </w:r>
      <w:r w:rsidR="00CA4292">
        <w:t xml:space="preserve">Suppl. </w:t>
      </w:r>
      <w:r w:rsidR="00CA4292" w:rsidRPr="00482CAE">
        <w:t xml:space="preserve">Fig. </w:t>
      </w:r>
      <w:r w:rsidR="00CA4292">
        <w:t>1</w:t>
      </w:r>
      <w:r w:rsidR="00CA4292" w:rsidRPr="00482CAE">
        <w:t>c). Also</w:t>
      </w:r>
      <w:r w:rsidR="00CA4292">
        <w:t xml:space="preserve"> </w:t>
      </w:r>
      <w:r w:rsidR="00CA4292" w:rsidRPr="00482CAE">
        <w:t>in the Day Plot</w:t>
      </w:r>
      <w:r w:rsidR="00CA4292">
        <w:t xml:space="preserve"> </w:t>
      </w:r>
      <w:r w:rsidR="00CA4292" w:rsidRPr="00482CAE">
        <w:t>these samples</w:t>
      </w:r>
      <w:r w:rsidR="00CA4292">
        <w:t xml:space="preserve"> </w:t>
      </w:r>
      <w:r w:rsidR="00CA4292" w:rsidRPr="00482CAE">
        <w:t>are located in the same range as χ</w:t>
      </w:r>
      <w:r w:rsidR="00CA4292" w:rsidRPr="00482CAE">
        <w:rPr>
          <w:vertAlign w:val="subscript"/>
        </w:rPr>
        <w:t>h</w:t>
      </w:r>
      <w:r w:rsidR="00CA4292" w:rsidRPr="00482CAE">
        <w:t xml:space="preserve"> samples </w:t>
      </w:r>
      <w:r w:rsidR="00465DC0" w:rsidRPr="00482CAE">
        <w:t>(</w:t>
      </w:r>
      <w:r w:rsidR="00465DC0">
        <w:t xml:space="preserve">Suppl. </w:t>
      </w:r>
      <w:r w:rsidR="00465DC0" w:rsidRPr="00482CAE">
        <w:t xml:space="preserve">Fig. </w:t>
      </w:r>
      <w:r w:rsidR="00465DC0">
        <w:t>2</w:t>
      </w:r>
      <w:r w:rsidR="00465DC0" w:rsidRPr="00482CAE">
        <w:t xml:space="preserve">) </w:t>
      </w:r>
      <w:r w:rsidR="00CA4292" w:rsidRPr="00482CAE">
        <w:t xml:space="preserve">pointing to an additional small PSD to </w:t>
      </w:r>
      <w:r w:rsidR="00CA4292" w:rsidRPr="00482CAE">
        <w:rPr>
          <w:rFonts w:cs="Times New Roman"/>
        </w:rPr>
        <w:t>single-domain (SD)</w:t>
      </w:r>
      <w:r w:rsidR="00CA4292" w:rsidRPr="00482CAE">
        <w:t xml:space="preserve"> component</w:t>
      </w:r>
      <w:r>
        <w:t xml:space="preserve"> </w:t>
      </w:r>
      <w:r w:rsidRPr="00482CAE">
        <w:rPr>
          <w:noProof/>
        </w:rPr>
        <w:t>(Roberts et al., 2000; Muxworthy and Roberts, 2007)</w:t>
      </w:r>
      <w:r w:rsidR="00CA4292" w:rsidRPr="00482CAE">
        <w:t>. FORC diagrams of samples from the χ</w:t>
      </w:r>
      <w:r w:rsidR="00CA4292" w:rsidRPr="00482CAE">
        <w:rPr>
          <w:vertAlign w:val="subscript"/>
        </w:rPr>
        <w:t>h</w:t>
      </w:r>
      <w:r w:rsidR="00CA4292" w:rsidRPr="00482CAE">
        <w:t xml:space="preserve"> group all have a well-defined distribution maximum close to H</w:t>
      </w:r>
      <w:r w:rsidR="00CA4292" w:rsidRPr="00482CAE">
        <w:rPr>
          <w:vertAlign w:val="subscript"/>
        </w:rPr>
        <w:t>u</w:t>
      </w:r>
      <w:r w:rsidR="00CA4292" w:rsidRPr="00482CAE">
        <w:t> = 0 and H</w:t>
      </w:r>
      <w:r w:rsidR="00CA4292" w:rsidRPr="00482CAE">
        <w:rPr>
          <w:vertAlign w:val="subscript"/>
        </w:rPr>
        <w:t>c</w:t>
      </w:r>
      <w:r w:rsidR="00CA4292">
        <w:rPr>
          <w:vertAlign w:val="subscript"/>
        </w:rPr>
        <w:t xml:space="preserve"> </w:t>
      </w:r>
      <w:r w:rsidR="00CA4292" w:rsidRPr="00482CAE">
        <w:t>around</w:t>
      </w:r>
      <w:r w:rsidR="00CA4292">
        <w:t xml:space="preserve"> </w:t>
      </w:r>
      <w:r w:rsidR="00CA4292" w:rsidRPr="00482CAE">
        <w:t>~40 mT (values range between ~20 and 50 mT); the oval contours are mostly axis-symmetric concerning the abscissa. These observations point to a predominant SD behavior (i.e., dominating spin rotations) with strong interactions; only a minor contribution of larger PSD particles is identifiable in some samples by a shift and</w:t>
      </w:r>
      <w:r w:rsidR="00CA4292">
        <w:t xml:space="preserve"> slight</w:t>
      </w:r>
      <w:r w:rsidR="00CA4292" w:rsidRPr="00482CAE">
        <w:t xml:space="preserve"> widening of the distribution towards the ordinate</w:t>
      </w:r>
      <w:r w:rsidR="00CA4292">
        <w:t xml:space="preserve"> </w:t>
      </w:r>
      <w:r w:rsidR="00CA4292" w:rsidRPr="00482CAE">
        <w:rPr>
          <w:noProof/>
        </w:rPr>
        <w:t>(Muxworthy and Dunlop, 2002; Carvallo et al., 2005)</w:t>
      </w:r>
      <w:r w:rsidR="00CA4292" w:rsidRPr="00482CAE">
        <w:t>.</w:t>
      </w:r>
      <w:r w:rsidR="00CA4292">
        <w:t xml:space="preserve"> </w:t>
      </w:r>
      <w:r w:rsidR="00CA4292" w:rsidRPr="00482CAE">
        <w:t xml:space="preserve">The vertical spread of the FORC </w:t>
      </w:r>
      <w:r w:rsidR="00CA4292" w:rsidRPr="00E14E32">
        <w:t>diagrams tends to be smaller in the χ</w:t>
      </w:r>
      <w:r w:rsidR="00CA4292" w:rsidRPr="00E14E32">
        <w:rPr>
          <w:vertAlign w:val="subscript"/>
        </w:rPr>
        <w:t>l</w:t>
      </w:r>
      <w:r w:rsidR="00CA4292" w:rsidRPr="00E14E32">
        <w:t xml:space="preserve"> group than in the χ</w:t>
      </w:r>
      <w:r w:rsidR="00CA4292" w:rsidRPr="00E14E32">
        <w:rPr>
          <w:vertAlign w:val="subscript"/>
        </w:rPr>
        <w:t>h</w:t>
      </w:r>
      <w:r w:rsidR="00CA4292" w:rsidRPr="00E14E32">
        <w:t xml:space="preserve"> group, indicating less magnetic interaction in χ</w:t>
      </w:r>
      <w:r w:rsidR="00CA4292" w:rsidRPr="00E14E32">
        <w:rPr>
          <w:vertAlign w:val="subscript"/>
        </w:rPr>
        <w:t>l</w:t>
      </w:r>
      <w:r w:rsidR="00CA4292" w:rsidRPr="00E14E32">
        <w:t xml:space="preserve"> samples. In summary, the FORC results can be related to the physical grain sizes of magnetite particles: samples from the χ</w:t>
      </w:r>
      <w:r w:rsidR="00CA4292" w:rsidRPr="00E14E32">
        <w:rPr>
          <w:vertAlign w:val="subscript"/>
        </w:rPr>
        <w:t>h</w:t>
      </w:r>
      <w:r w:rsidR="00CA4292" w:rsidRPr="00E14E32">
        <w:t xml:space="preserve"> group are characterized by small particles below </w:t>
      </w:r>
      <w:r w:rsidR="00CA4292">
        <w:t xml:space="preserve">about </w:t>
      </w:r>
      <w:r w:rsidR="00CA4292" w:rsidRPr="00E14E32">
        <w:t xml:space="preserve">a few </w:t>
      </w:r>
      <w:r w:rsidR="00CA4292" w:rsidRPr="00E14E32">
        <w:rPr>
          <w:rFonts w:cs="Times New Roman"/>
        </w:rPr>
        <w:t>μ</w:t>
      </w:r>
      <w:r w:rsidR="00CA4292" w:rsidRPr="00E14E32">
        <w:t>m</w:t>
      </w:r>
      <w:r w:rsidR="00CA4292">
        <w:t xml:space="preserve"> (</w:t>
      </w:r>
      <w:r w:rsidR="00CA4292" w:rsidRPr="006524FA">
        <w:t xml:space="preserve">Stacey and Banerjee, 1974; </w:t>
      </w:r>
      <w:r w:rsidR="00CA4292" w:rsidRPr="004D115C">
        <w:t>Dunlop and Özdemir, 1997)</w:t>
      </w:r>
      <w:r w:rsidR="00CA4292" w:rsidRPr="00E14E32">
        <w:t>, while samples from the χ</w:t>
      </w:r>
      <w:r w:rsidR="00CA4292" w:rsidRPr="00E14E32">
        <w:rPr>
          <w:vertAlign w:val="subscript"/>
        </w:rPr>
        <w:t>l</w:t>
      </w:r>
      <w:r w:rsidR="00CA4292" w:rsidRPr="00E14E32">
        <w:t xml:space="preserve"> group contain a wide range of particle sizes mainly above </w:t>
      </w:r>
      <w:r w:rsidR="00CA4292">
        <w:t xml:space="preserve">about </w:t>
      </w:r>
      <w:r w:rsidR="00CA4292" w:rsidRPr="00E14E32">
        <w:t xml:space="preserve">10 </w:t>
      </w:r>
      <w:r w:rsidR="00CA4292" w:rsidRPr="00E14E32">
        <w:rPr>
          <w:rFonts w:cs="Times New Roman"/>
        </w:rPr>
        <w:t>μ</w:t>
      </w:r>
      <w:r w:rsidR="00CA4292" w:rsidRPr="00E14E32">
        <w:t>m</w:t>
      </w:r>
      <w:r w:rsidR="00CA4292">
        <w:t xml:space="preserve"> (</w:t>
      </w:r>
      <w:r w:rsidR="00CA4292" w:rsidRPr="006524FA">
        <w:t xml:space="preserve">Stacey and Banerjee, 1974; </w:t>
      </w:r>
      <w:r w:rsidR="00CA4292" w:rsidRPr="004D115C">
        <w:t>Dunlop and Özdemir, 1997</w:t>
      </w:r>
      <w:r w:rsidR="00CA4292">
        <w:t>)</w:t>
      </w:r>
      <w:r w:rsidR="00CA4292" w:rsidRPr="00E14E32">
        <w:t>.</w:t>
      </w:r>
    </w:p>
    <w:p w:rsidR="00185DC9" w:rsidRDefault="00185DC9" w:rsidP="00CA4292">
      <w:pPr>
        <w:pStyle w:val="BibPaper"/>
      </w:pPr>
    </w:p>
    <w:p w:rsidR="00185DC9" w:rsidRDefault="00CC1EBA" w:rsidP="00CC1EBA">
      <w:pPr>
        <w:pStyle w:val="BibPaper"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528621" cy="8555603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_Figure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859" cy="856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92" w:rsidRPr="007D55E3" w:rsidRDefault="00CA4292" w:rsidP="00CC1EBA">
      <w:pPr>
        <w:pStyle w:val="BibPaper"/>
        <w:keepLines/>
        <w:spacing w:after="1320" w:line="360" w:lineRule="auto"/>
        <w:ind w:left="567" w:right="567" w:firstLine="0"/>
      </w:pPr>
      <w:r w:rsidRPr="007D55E3">
        <w:t>Suppl</w:t>
      </w:r>
      <w:r w:rsidR="00E07E9B" w:rsidRPr="007D55E3">
        <w:t>ementary</w:t>
      </w:r>
      <w:r w:rsidRPr="007D55E3">
        <w:t xml:space="preserve"> Fig</w:t>
      </w:r>
      <w:r w:rsidR="00E07E9B" w:rsidRPr="007D55E3">
        <w:t>ure</w:t>
      </w:r>
      <w:r w:rsidRPr="007D55E3">
        <w:t xml:space="preserve"> 1: FORC diagrams of samples with (a) low and (c) high χ</w:t>
      </w:r>
      <w:r w:rsidR="009169EB" w:rsidRPr="007D55E3">
        <w:t xml:space="preserve"> values</w:t>
      </w:r>
      <w:r w:rsidRPr="007D55E3">
        <w:t xml:space="preserve">, (b) χ </w:t>
      </w:r>
      <w:r w:rsidRPr="007D55E3">
        <w:rPr>
          <w:noProof/>
        </w:rPr>
        <w:t xml:space="preserve">(11-point simple moving average; data from Zhang et al., 2012) </w:t>
      </w:r>
      <w:r w:rsidRPr="007D55E3">
        <w:t>with depth locations of the samples in the χ</w:t>
      </w:r>
      <w:r w:rsidRPr="007D55E3">
        <w:rPr>
          <w:vertAlign w:val="subscript"/>
        </w:rPr>
        <w:t>l</w:t>
      </w:r>
      <w:r w:rsidRPr="007D55E3">
        <w:t xml:space="preserve"> (blue) and χ</w:t>
      </w:r>
      <w:r w:rsidRPr="007D55E3">
        <w:rPr>
          <w:vertAlign w:val="subscript"/>
        </w:rPr>
        <w:t>h</w:t>
      </w:r>
      <w:r w:rsidRPr="007D55E3">
        <w:t xml:space="preserve"> group (red).</w:t>
      </w:r>
      <w:bookmarkStart w:id="0" w:name="_GoBack"/>
      <w:bookmarkEnd w:id="0"/>
    </w:p>
    <w:p w:rsidR="00185DC9" w:rsidRPr="00482CAE" w:rsidRDefault="00CC1EBA" w:rsidP="00CC1EBA">
      <w:pPr>
        <w:pStyle w:val="BibPaper"/>
        <w:spacing w:after="0"/>
        <w:jc w:val="center"/>
      </w:pPr>
      <w:r>
        <w:rPr>
          <w:noProof/>
        </w:rPr>
        <w:drawing>
          <wp:inline distT="0" distB="0" distL="0" distR="0">
            <wp:extent cx="4682357" cy="5028532"/>
            <wp:effectExtent l="0" t="0" r="4445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_Figure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48" cy="504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92" w:rsidRPr="00482CAE" w:rsidRDefault="00CA4292" w:rsidP="00CC1EBA">
      <w:pPr>
        <w:pStyle w:val="BibPaper"/>
        <w:spacing w:line="360" w:lineRule="auto"/>
        <w:ind w:left="567" w:right="567" w:firstLine="0"/>
      </w:pPr>
      <w:r>
        <w:t>Suppl</w:t>
      </w:r>
      <w:r w:rsidR="00E07E9B">
        <w:t>ementary</w:t>
      </w:r>
      <w:r>
        <w:t xml:space="preserve"> </w:t>
      </w:r>
      <w:r w:rsidRPr="00482CAE">
        <w:t>Fig</w:t>
      </w:r>
      <w:r w:rsidR="00E07E9B">
        <w:t>ure</w:t>
      </w:r>
      <w:r w:rsidRPr="00482CAE">
        <w:t xml:space="preserve"> </w:t>
      </w:r>
      <w:r>
        <w:t>2</w:t>
      </w:r>
      <w:r w:rsidRPr="00482CAE">
        <w:t xml:space="preserve">: Day plot (Day et al., 1977) of the 40 samples used for palynological analysis (stratigraphic positions in </w:t>
      </w:r>
      <w:r>
        <w:t xml:space="preserve">Suppl. </w:t>
      </w:r>
      <w:r w:rsidRPr="00482CAE">
        <w:t xml:space="preserve">Fig. </w:t>
      </w:r>
      <w:r w:rsidR="009169EB">
        <w:t>1</w:t>
      </w:r>
      <w:r w:rsidR="009169EB" w:rsidRPr="00482CAE">
        <w:t>b</w:t>
      </w:r>
      <w:r>
        <w:t>; data</w:t>
      </w:r>
      <w:r w:rsidR="00D03DC4">
        <w:t xml:space="preserve"> partly</w:t>
      </w:r>
      <w:r>
        <w:t xml:space="preserve"> from Herb et al., 2013</w:t>
      </w:r>
      <w:r w:rsidRPr="00482CAE">
        <w:t>);</w:t>
      </w:r>
      <w:r>
        <w:t xml:space="preserve"> </w:t>
      </w:r>
      <w:r w:rsidRPr="00482CAE">
        <w:t>included parameters are saturation magnetization (M</w:t>
      </w:r>
      <w:r w:rsidRPr="00482CAE">
        <w:rPr>
          <w:vertAlign w:val="subscript"/>
        </w:rPr>
        <w:t>s</w:t>
      </w:r>
      <w:r w:rsidRPr="00482CAE">
        <w:t>), remanent saturation magnetization (M</w:t>
      </w:r>
      <w:r w:rsidRPr="00482CAE">
        <w:rPr>
          <w:vertAlign w:val="subscript"/>
        </w:rPr>
        <w:t>rs</w:t>
      </w:r>
      <w:r w:rsidRPr="00482CAE">
        <w:t>), coercivity (H</w:t>
      </w:r>
      <w:r w:rsidRPr="00482CAE">
        <w:rPr>
          <w:vertAlign w:val="subscript"/>
        </w:rPr>
        <w:t>c</w:t>
      </w:r>
      <w:r w:rsidRPr="00482CAE">
        <w:t>), and coercivity of remanence (H</w:t>
      </w:r>
      <w:r w:rsidRPr="00482CAE">
        <w:rPr>
          <w:vertAlign w:val="subscript"/>
        </w:rPr>
        <w:t>cr</w:t>
      </w:r>
      <w:r w:rsidRPr="00482CAE">
        <w:t>). Theoretical mixing curves for magnetite after Dunlop (2002) are indicated.</w:t>
      </w:r>
    </w:p>
    <w:p w:rsidR="00B86E97" w:rsidRDefault="00CA4292" w:rsidP="00C817DE">
      <w:pPr>
        <w:pStyle w:val="berschrift4"/>
        <w:pageBreakBefore/>
        <w:rPr>
          <w:b w:val="0"/>
        </w:rPr>
      </w:pPr>
      <w:r w:rsidRPr="00E024D4">
        <w:rPr>
          <w:i/>
        </w:rPr>
        <w:t>References supplementary material</w:t>
      </w:r>
    </w:p>
    <w:p w:rsidR="00770896" w:rsidRPr="00482CAE" w:rsidRDefault="00770896" w:rsidP="005E1304">
      <w:pPr>
        <w:pStyle w:val="BibPaper"/>
        <w:spacing w:after="180" w:line="360" w:lineRule="auto"/>
      </w:pPr>
      <w:bookmarkStart w:id="1" w:name="_ENREF_7"/>
      <w:bookmarkStart w:id="2" w:name="_ENREF_35"/>
      <w:bookmarkStart w:id="3" w:name="_ENREF_39"/>
      <w:r w:rsidRPr="00482CAE">
        <w:t>Carvallo, C., Dunlop, D.J., Özdemir, Ö., 2005.</w:t>
      </w:r>
      <w:r>
        <w:t xml:space="preserve"> </w:t>
      </w:r>
      <w:r w:rsidRPr="00482CAE">
        <w:t>Experimental comparison of FORC and remanent</w:t>
      </w:r>
      <w:r>
        <w:t xml:space="preserve"> </w:t>
      </w:r>
      <w:r w:rsidRPr="00482CAE">
        <w:t>Preisach diagrams.</w:t>
      </w:r>
      <w:r>
        <w:t xml:space="preserve"> </w:t>
      </w:r>
      <w:r w:rsidRPr="00482CAE">
        <w:t>Geophysical Journal International 162, 747–754.</w:t>
      </w:r>
      <w:bookmarkEnd w:id="1"/>
    </w:p>
    <w:p w:rsidR="00770896" w:rsidRPr="00482CAE" w:rsidRDefault="00770896" w:rsidP="005E1304">
      <w:pPr>
        <w:pStyle w:val="BibPaper"/>
        <w:spacing w:after="180" w:line="360" w:lineRule="auto"/>
      </w:pPr>
      <w:bookmarkStart w:id="4" w:name="_ENREF_12"/>
      <w:r w:rsidRPr="00482CAE">
        <w:t>Day, R., Fuller, M., Schmidt, V.A., 1977. Hysteresis properties of titanomagnetites: grain-size and compositional dependence. Physics of the Earth and Planetary Interiors 13, 260–267.</w:t>
      </w:r>
      <w:bookmarkEnd w:id="4"/>
    </w:p>
    <w:p w:rsidR="00770896" w:rsidRDefault="00770896" w:rsidP="005E1304">
      <w:pPr>
        <w:pStyle w:val="BibPaper"/>
        <w:spacing w:after="180" w:line="360" w:lineRule="auto"/>
      </w:pPr>
      <w:r w:rsidRPr="00482CAE">
        <w:t>Dunlop, D.J., 2002. Theory and application of the Day plot (</w:t>
      </w:r>
      <w:r w:rsidRPr="000B41E1">
        <w:rPr>
          <w:i/>
        </w:rPr>
        <w:t>M</w:t>
      </w:r>
      <w:r w:rsidRPr="000B41E1">
        <w:rPr>
          <w:vertAlign w:val="subscript"/>
        </w:rPr>
        <w:t>rs</w:t>
      </w:r>
      <w:r w:rsidRPr="00482CAE">
        <w:t>/</w:t>
      </w:r>
      <w:r w:rsidRPr="000B41E1">
        <w:rPr>
          <w:i/>
        </w:rPr>
        <w:t>M</w:t>
      </w:r>
      <w:r w:rsidRPr="000B41E1">
        <w:rPr>
          <w:vertAlign w:val="subscript"/>
        </w:rPr>
        <w:t>s</w:t>
      </w:r>
      <w:r w:rsidRPr="00482CAE">
        <w:t xml:space="preserve"> versus </w:t>
      </w:r>
      <w:r w:rsidRPr="000B41E1">
        <w:rPr>
          <w:i/>
        </w:rPr>
        <w:t>H</w:t>
      </w:r>
      <w:r w:rsidRPr="000B41E1">
        <w:rPr>
          <w:vertAlign w:val="subscript"/>
        </w:rPr>
        <w:t>cr</w:t>
      </w:r>
      <w:r w:rsidRPr="00482CAE">
        <w:t>/</w:t>
      </w:r>
      <w:r w:rsidRPr="000B41E1">
        <w:rPr>
          <w:i/>
        </w:rPr>
        <w:t>H</w:t>
      </w:r>
      <w:r w:rsidRPr="000B41E1">
        <w:rPr>
          <w:vertAlign w:val="subscript"/>
        </w:rPr>
        <w:t>c</w:t>
      </w:r>
      <w:r w:rsidRPr="00482CAE">
        <w:t>), 1. Theoretical curves and tests using titanomagnetite data. Journal of Geophysical Research 107, doi:10.1029/2001JB000486.</w:t>
      </w:r>
    </w:p>
    <w:p w:rsidR="00320927" w:rsidRDefault="00320927" w:rsidP="005E1304">
      <w:pPr>
        <w:pStyle w:val="BibPaper"/>
        <w:spacing w:after="180" w:line="360" w:lineRule="auto"/>
      </w:pPr>
      <w:r w:rsidRPr="00320927">
        <w:t>Dunlop, D.J., Özdemir, O., 1997. Rock magnetism: fundamentals and frontiers. Cambridge University Press, Cambridge.</w:t>
      </w:r>
    </w:p>
    <w:p w:rsidR="00770896" w:rsidRPr="00482CAE" w:rsidRDefault="00770896" w:rsidP="005E1304">
      <w:pPr>
        <w:pStyle w:val="BibPaper"/>
        <w:spacing w:after="180" w:line="360" w:lineRule="auto"/>
      </w:pPr>
      <w:r w:rsidRPr="00482CAE">
        <w:t>Herb, C., Zhang, W.L., Koutsodendris, A., Appel, E., Fang, X.M., Pross, J., 2013.</w:t>
      </w:r>
      <w:r>
        <w:t xml:space="preserve"> </w:t>
      </w:r>
      <w:r w:rsidRPr="00482CAE">
        <w:t>Environmental implications of the magnetic record in Pleistocene lacustrine sediments of the Qaidam Basin, NE Tibetan Plateau.</w:t>
      </w:r>
      <w:r>
        <w:t xml:space="preserve"> </w:t>
      </w:r>
      <w:r w:rsidRPr="00482CAE">
        <w:t>Quaternary International 313–314, 218–229.</w:t>
      </w:r>
    </w:p>
    <w:p w:rsidR="00770896" w:rsidRPr="00482CAE" w:rsidRDefault="00770896" w:rsidP="005E1304">
      <w:pPr>
        <w:pStyle w:val="BibPaper"/>
        <w:spacing w:after="180" w:line="360" w:lineRule="auto"/>
      </w:pPr>
      <w:r w:rsidRPr="00482CAE">
        <w:t>Muxworthy, A.R., 2013. The role of magnetic interactions in natural systems. Astronomy &amp; Geophysics 54, 31–35.</w:t>
      </w:r>
      <w:bookmarkEnd w:id="2"/>
    </w:p>
    <w:p w:rsidR="00770896" w:rsidRPr="00482CAE" w:rsidRDefault="00770896" w:rsidP="005E1304">
      <w:pPr>
        <w:pStyle w:val="BibPaper"/>
        <w:spacing w:after="180" w:line="360" w:lineRule="auto"/>
      </w:pPr>
      <w:bookmarkStart w:id="5" w:name="_ENREF_36"/>
      <w:r w:rsidRPr="00482CAE">
        <w:t>Muxworthy, A.R., Dunlop, D.J., 2002. First-order reversal curve (FORC) diagrams for pseudo-single-domain magnetites at high temperature. Earth and Planetary Science Letters 203, 369–382.</w:t>
      </w:r>
      <w:bookmarkEnd w:id="5"/>
    </w:p>
    <w:p w:rsidR="00770896" w:rsidRPr="009169EB" w:rsidRDefault="00770896" w:rsidP="005E1304">
      <w:pPr>
        <w:pStyle w:val="BibPaper"/>
        <w:spacing w:after="180" w:line="360" w:lineRule="auto"/>
        <w:rPr>
          <w:lang w:val="de-DE"/>
        </w:rPr>
      </w:pPr>
      <w:bookmarkStart w:id="6" w:name="_ENREF_37"/>
      <w:r w:rsidRPr="00482CAE">
        <w:t>Muxworthy, A.R., Roberts, A.P., 2007. First-order reversal curve (FORC) diagrams</w:t>
      </w:r>
      <w:r w:rsidR="00172646">
        <w:t>. I</w:t>
      </w:r>
      <w:r w:rsidRPr="00482CAE">
        <w:t xml:space="preserve">n: Gubbins, D., Herrero-Bervera, E. (Eds.), Encylopedia of Geomagnetism and Paleomagnetism. </w:t>
      </w:r>
      <w:r w:rsidRPr="00752E6F">
        <w:rPr>
          <w:lang w:val="de-DE"/>
        </w:rPr>
        <w:t>Springer, Dordrecht, pp. 266–272.</w:t>
      </w:r>
      <w:bookmarkEnd w:id="6"/>
    </w:p>
    <w:p w:rsidR="00770896" w:rsidRPr="00482CAE" w:rsidRDefault="00770896" w:rsidP="005E1304">
      <w:pPr>
        <w:pStyle w:val="BibPaper"/>
        <w:spacing w:after="180" w:line="360" w:lineRule="auto"/>
      </w:pPr>
      <w:r w:rsidRPr="009169EB">
        <w:rPr>
          <w:lang w:val="de-DE"/>
        </w:rPr>
        <w:t xml:space="preserve">Roberts, A.P., Pike, C.R., Verosub, K.L., 2000. </w:t>
      </w:r>
      <w:r w:rsidRPr="00482CAE">
        <w:t>First-order reversal curve diagrams: a new tool for characterizing the magnetic properties of natural samples. Journal of Geophysical Research 105, 28461–28475.</w:t>
      </w:r>
      <w:bookmarkEnd w:id="3"/>
    </w:p>
    <w:p w:rsidR="00770896" w:rsidRDefault="00770896" w:rsidP="005E1304">
      <w:pPr>
        <w:pStyle w:val="BibPaper"/>
        <w:spacing w:after="180" w:line="360" w:lineRule="auto"/>
      </w:pPr>
      <w:r>
        <w:t>S</w:t>
      </w:r>
      <w:r w:rsidRPr="00CE6BFF">
        <w:t>tacey, F.D., Banerjee, S.K., 1974. The physical principles of rock magnetism. Elsevier, Amsterdam.</w:t>
      </w:r>
    </w:p>
    <w:p w:rsidR="00770896" w:rsidRPr="00482CAE" w:rsidRDefault="00770896" w:rsidP="005E1304">
      <w:pPr>
        <w:pStyle w:val="BibPaper"/>
        <w:spacing w:after="180" w:line="360" w:lineRule="auto"/>
      </w:pPr>
      <w:bookmarkStart w:id="7" w:name="_ENREF_53"/>
      <w:r w:rsidRPr="00482CAE">
        <w:t>Zhang, W.L., Appel, E., Fang, X.M., Yan, M.D., Song, C.H., Cao, L.W., 2012.</w:t>
      </w:r>
      <w:r>
        <w:t xml:space="preserve"> </w:t>
      </w:r>
      <w:r w:rsidRPr="00482CAE">
        <w:t>Paleoclimatic implications of magnetic susceptibility in Late Pliocene–Quaternary sediments from deep drilling core SG-1 in the western Qaidam Basin (NE Tibetan Plateau). Journal of Geophysical Research 117, B06101, doi:10.1029/2011JB008949.</w:t>
      </w:r>
      <w:bookmarkEnd w:id="7"/>
    </w:p>
    <w:sectPr w:rsidR="00770896" w:rsidRPr="00482CAE" w:rsidSect="007D55E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9FF" w:rsidRDefault="006E19FF">
      <w:pPr>
        <w:spacing w:after="0" w:line="240" w:lineRule="auto"/>
      </w:pPr>
      <w:r>
        <w:separator/>
      </w:r>
    </w:p>
  </w:endnote>
  <w:endnote w:type="continuationSeparator" w:id="0">
    <w:p w:rsidR="006E19FF" w:rsidRDefault="006E1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0242328"/>
      <w:docPartObj>
        <w:docPartGallery w:val="Page Numbers (Bottom of Page)"/>
        <w:docPartUnique/>
      </w:docPartObj>
    </w:sdtPr>
    <w:sdtEndPr/>
    <w:sdtContent>
      <w:p w:rsidR="00634F15" w:rsidRDefault="00CA429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9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34F15" w:rsidRDefault="006E19F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9FF" w:rsidRDefault="006E19FF">
      <w:pPr>
        <w:spacing w:after="0" w:line="240" w:lineRule="auto"/>
      </w:pPr>
      <w:r>
        <w:separator/>
      </w:r>
    </w:p>
  </w:footnote>
  <w:footnote w:type="continuationSeparator" w:id="0">
    <w:p w:rsidR="006E19FF" w:rsidRDefault="006E19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B03"/>
    <w:rsid w:val="00026EA3"/>
    <w:rsid w:val="000312B7"/>
    <w:rsid w:val="00172646"/>
    <w:rsid w:val="00185DC9"/>
    <w:rsid w:val="00274FE8"/>
    <w:rsid w:val="00320927"/>
    <w:rsid w:val="00425369"/>
    <w:rsid w:val="00465DC0"/>
    <w:rsid w:val="004E3D91"/>
    <w:rsid w:val="00503B03"/>
    <w:rsid w:val="00510DF0"/>
    <w:rsid w:val="005701E4"/>
    <w:rsid w:val="005E1304"/>
    <w:rsid w:val="00656A71"/>
    <w:rsid w:val="006E19FF"/>
    <w:rsid w:val="00744AD3"/>
    <w:rsid w:val="00770896"/>
    <w:rsid w:val="007D55E3"/>
    <w:rsid w:val="007E11DC"/>
    <w:rsid w:val="009169EB"/>
    <w:rsid w:val="009237DF"/>
    <w:rsid w:val="009B60DD"/>
    <w:rsid w:val="00B40F12"/>
    <w:rsid w:val="00BC77C3"/>
    <w:rsid w:val="00C817DE"/>
    <w:rsid w:val="00C84C9D"/>
    <w:rsid w:val="00CA4292"/>
    <w:rsid w:val="00CC1EBA"/>
    <w:rsid w:val="00D03DC4"/>
    <w:rsid w:val="00DA4BC0"/>
    <w:rsid w:val="00DD5FDA"/>
    <w:rsid w:val="00E024D4"/>
    <w:rsid w:val="00E07E9B"/>
    <w:rsid w:val="00EE523B"/>
    <w:rsid w:val="00FE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CA4292"/>
    <w:pPr>
      <w:spacing w:line="480" w:lineRule="auto"/>
      <w:ind w:firstLine="357"/>
      <w:jc w:val="both"/>
    </w:pPr>
    <w:rPr>
      <w:rFonts w:ascii="Times New Roman" w:hAnsi="Times New Roman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A42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aliases w:val="Subsubtitle_Paper2"/>
    <w:basedOn w:val="Standard"/>
    <w:next w:val="Standard"/>
    <w:link w:val="berschrift4Zchn"/>
    <w:uiPriority w:val="9"/>
    <w:unhideWhenUsed/>
    <w:qFormat/>
    <w:rsid w:val="00CA4292"/>
    <w:pPr>
      <w:keepNext/>
      <w:keepLines/>
      <w:spacing w:before="360" w:after="160"/>
      <w:ind w:firstLine="0"/>
      <w:outlineLvl w:val="3"/>
    </w:pPr>
    <w:rPr>
      <w:rFonts w:eastAsiaTheme="majorEastAsia" w:cstheme="majorBidi"/>
      <w:b/>
      <w:bCs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aliases w:val="Subsubtitle_Paper2 Zchn"/>
    <w:basedOn w:val="Absatz-Standardschriftart"/>
    <w:link w:val="berschrift4"/>
    <w:uiPriority w:val="9"/>
    <w:rsid w:val="00CA4292"/>
    <w:rPr>
      <w:rFonts w:ascii="Times New Roman" w:eastAsiaTheme="majorEastAsia" w:hAnsi="Times New Roman" w:cstheme="majorBidi"/>
      <w:b/>
      <w:bCs/>
      <w:iCs/>
      <w:sz w:val="24"/>
    </w:rPr>
  </w:style>
  <w:style w:type="paragraph" w:customStyle="1" w:styleId="StandardPaper">
    <w:name w:val="Standard_Paper"/>
    <w:basedOn w:val="Standard"/>
    <w:next w:val="Standard"/>
    <w:qFormat/>
    <w:rsid w:val="00CA4292"/>
  </w:style>
  <w:style w:type="paragraph" w:styleId="Fuzeile">
    <w:name w:val="footer"/>
    <w:basedOn w:val="Standard"/>
    <w:link w:val="FuzeileZchn"/>
    <w:uiPriority w:val="99"/>
    <w:unhideWhenUsed/>
    <w:rsid w:val="00CA4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4292"/>
    <w:rPr>
      <w:rFonts w:ascii="Times New Roman" w:hAnsi="Times New Roman"/>
    </w:rPr>
  </w:style>
  <w:style w:type="paragraph" w:customStyle="1" w:styleId="SubtitlesPaper">
    <w:name w:val="Subtitles_Paper"/>
    <w:basedOn w:val="berschrift3"/>
    <w:qFormat/>
    <w:rsid w:val="00CA4292"/>
    <w:pPr>
      <w:spacing w:before="720" w:after="240" w:line="360" w:lineRule="auto"/>
      <w:ind w:firstLine="0"/>
    </w:pPr>
    <w:rPr>
      <w:rFonts w:ascii="Times New Roman" w:hAnsi="Times New Roman"/>
      <w:color w:val="auto"/>
      <w:sz w:val="28"/>
    </w:rPr>
  </w:style>
  <w:style w:type="paragraph" w:customStyle="1" w:styleId="BibPaper">
    <w:name w:val="Bib_Paper"/>
    <w:basedOn w:val="StandardPaper"/>
    <w:qFormat/>
    <w:rsid w:val="00CA4292"/>
    <w:pPr>
      <w:spacing w:after="240"/>
      <w:ind w:left="357" w:hanging="357"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A42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Zeilennummer">
    <w:name w:val="line number"/>
    <w:basedOn w:val="Absatz-Standardschriftart"/>
    <w:uiPriority w:val="99"/>
    <w:semiHidden/>
    <w:unhideWhenUsed/>
    <w:rsid w:val="00CA4292"/>
  </w:style>
  <w:style w:type="paragraph" w:styleId="Kopfzeile">
    <w:name w:val="header"/>
    <w:basedOn w:val="Standard"/>
    <w:link w:val="KopfzeileZchn"/>
    <w:uiPriority w:val="99"/>
    <w:unhideWhenUsed/>
    <w:rsid w:val="00770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0896"/>
    <w:rPr>
      <w:rFonts w:ascii="Times New Roman" w:hAnsi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1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CA4292"/>
    <w:pPr>
      <w:spacing w:line="480" w:lineRule="auto"/>
      <w:ind w:firstLine="357"/>
      <w:jc w:val="both"/>
    </w:pPr>
    <w:rPr>
      <w:rFonts w:ascii="Times New Roman" w:hAnsi="Times New Roman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A42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aliases w:val="Subsubtitle_Paper2"/>
    <w:basedOn w:val="Standard"/>
    <w:next w:val="Standard"/>
    <w:link w:val="berschrift4Zchn"/>
    <w:uiPriority w:val="9"/>
    <w:unhideWhenUsed/>
    <w:qFormat/>
    <w:rsid w:val="00CA4292"/>
    <w:pPr>
      <w:keepNext/>
      <w:keepLines/>
      <w:spacing w:before="360" w:after="160"/>
      <w:ind w:firstLine="0"/>
      <w:outlineLvl w:val="3"/>
    </w:pPr>
    <w:rPr>
      <w:rFonts w:eastAsiaTheme="majorEastAsia" w:cstheme="majorBidi"/>
      <w:b/>
      <w:bCs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aliases w:val="Subsubtitle_Paper2 Zchn"/>
    <w:basedOn w:val="Absatz-Standardschriftart"/>
    <w:link w:val="berschrift4"/>
    <w:uiPriority w:val="9"/>
    <w:rsid w:val="00CA4292"/>
    <w:rPr>
      <w:rFonts w:ascii="Times New Roman" w:eastAsiaTheme="majorEastAsia" w:hAnsi="Times New Roman" w:cstheme="majorBidi"/>
      <w:b/>
      <w:bCs/>
      <w:iCs/>
      <w:sz w:val="24"/>
    </w:rPr>
  </w:style>
  <w:style w:type="paragraph" w:customStyle="1" w:styleId="StandardPaper">
    <w:name w:val="Standard_Paper"/>
    <w:basedOn w:val="Standard"/>
    <w:next w:val="Standard"/>
    <w:qFormat/>
    <w:rsid w:val="00CA4292"/>
  </w:style>
  <w:style w:type="paragraph" w:styleId="Fuzeile">
    <w:name w:val="footer"/>
    <w:basedOn w:val="Standard"/>
    <w:link w:val="FuzeileZchn"/>
    <w:uiPriority w:val="99"/>
    <w:unhideWhenUsed/>
    <w:rsid w:val="00CA4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4292"/>
    <w:rPr>
      <w:rFonts w:ascii="Times New Roman" w:hAnsi="Times New Roman"/>
    </w:rPr>
  </w:style>
  <w:style w:type="paragraph" w:customStyle="1" w:styleId="SubtitlesPaper">
    <w:name w:val="Subtitles_Paper"/>
    <w:basedOn w:val="berschrift3"/>
    <w:qFormat/>
    <w:rsid w:val="00CA4292"/>
    <w:pPr>
      <w:spacing w:before="720" w:after="240" w:line="360" w:lineRule="auto"/>
      <w:ind w:firstLine="0"/>
    </w:pPr>
    <w:rPr>
      <w:rFonts w:ascii="Times New Roman" w:hAnsi="Times New Roman"/>
      <w:color w:val="auto"/>
      <w:sz w:val="28"/>
    </w:rPr>
  </w:style>
  <w:style w:type="paragraph" w:customStyle="1" w:styleId="BibPaper">
    <w:name w:val="Bib_Paper"/>
    <w:basedOn w:val="StandardPaper"/>
    <w:qFormat/>
    <w:rsid w:val="00CA4292"/>
    <w:pPr>
      <w:spacing w:after="240"/>
      <w:ind w:left="357" w:hanging="357"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A42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Zeilennummer">
    <w:name w:val="line number"/>
    <w:basedOn w:val="Absatz-Standardschriftart"/>
    <w:uiPriority w:val="99"/>
    <w:semiHidden/>
    <w:unhideWhenUsed/>
    <w:rsid w:val="00CA4292"/>
  </w:style>
  <w:style w:type="paragraph" w:styleId="Kopfzeile">
    <w:name w:val="header"/>
    <w:basedOn w:val="Standard"/>
    <w:link w:val="KopfzeileZchn"/>
    <w:uiPriority w:val="99"/>
    <w:unhideWhenUsed/>
    <w:rsid w:val="00770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0896"/>
    <w:rPr>
      <w:rFonts w:ascii="Times New Roman" w:hAnsi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1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811</Words>
  <Characters>4625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</vt:vector>
  </HeadingPairs>
  <TitlesOfParts>
    <vt:vector size="3" baseType="lpstr">
      <vt:lpstr/>
      <vt:lpstr>        Supplementary material</vt:lpstr>
      <vt:lpstr>        for “Late Plio-Pleistocene humidity fluctuations in the western Qaidam Basin (NE</vt:lpstr>
    </vt:vector>
  </TitlesOfParts>
  <Company/>
  <LinksUpToDate>false</LinksUpToDate>
  <CharactersWithSpaces>5426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20</cp:revision>
  <cp:lastPrinted>2015-02-11T17:13:00Z</cp:lastPrinted>
  <dcterms:created xsi:type="dcterms:W3CDTF">2015-02-02T15:07:00Z</dcterms:created>
  <dcterms:modified xsi:type="dcterms:W3CDTF">2015-02-11T17:13:00Z</dcterms:modified>
</cp:coreProperties>
</file>