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7F" w:rsidRDefault="00B77C56" w:rsidP="00C17E7F">
      <w:pPr>
        <w:spacing w:line="480" w:lineRule="auto"/>
        <w:jc w:val="both"/>
        <w:rPr>
          <w:rFonts w:ascii="Times New Roman" w:hAnsi="Times New Roman" w:cs="Times New Roman"/>
          <w:sz w:val="24"/>
          <w:szCs w:val="24"/>
        </w:rPr>
      </w:pPr>
      <w:r>
        <w:rPr>
          <w:rFonts w:ascii="Times New Roman" w:hAnsi="Times New Roman" w:cs="Times New Roman"/>
          <w:i/>
          <w:sz w:val="24"/>
          <w:szCs w:val="24"/>
        </w:rPr>
        <w:t>Supplementary Data 1</w:t>
      </w:r>
      <w:r w:rsidR="00C17E7F" w:rsidRPr="00C17E7F">
        <w:rPr>
          <w:rFonts w:ascii="Times New Roman" w:hAnsi="Times New Roman" w:cs="Times New Roman"/>
          <w:sz w:val="24"/>
          <w:szCs w:val="24"/>
        </w:rPr>
        <w:t xml:space="preserve"> </w:t>
      </w:r>
    </w:p>
    <w:p w:rsidR="00F25C66" w:rsidRDefault="00F25C66" w:rsidP="00C17E7F">
      <w:pPr>
        <w:spacing w:line="480" w:lineRule="auto"/>
        <w:jc w:val="both"/>
        <w:rPr>
          <w:rFonts w:ascii="Times New Roman" w:hAnsi="Times New Roman" w:cs="Times New Roman"/>
          <w:sz w:val="24"/>
          <w:szCs w:val="24"/>
        </w:rPr>
      </w:pPr>
      <w:r>
        <w:rPr>
          <w:rFonts w:ascii="Times New Roman" w:hAnsi="Times New Roman" w:cs="Times New Roman"/>
          <w:sz w:val="24"/>
          <w:szCs w:val="24"/>
        </w:rPr>
        <w:t>Optically Stimulated Luminescence Dating</w:t>
      </w:r>
    </w:p>
    <w:p w:rsidR="00F25C66" w:rsidRPr="00F25C66" w:rsidRDefault="00F25C66" w:rsidP="00F25C66">
      <w:pPr>
        <w:pStyle w:val="BodyTextIndent"/>
        <w:spacing w:after="0" w:line="480" w:lineRule="auto"/>
        <w:ind w:left="0"/>
        <w:jc w:val="both"/>
        <w:rPr>
          <w:rFonts w:ascii="Times New Roman" w:eastAsiaTheme="minorEastAsia" w:hAnsi="Times New Roman" w:cs="Times New Roman"/>
          <w:sz w:val="24"/>
          <w:szCs w:val="24"/>
        </w:rPr>
      </w:pPr>
      <w:r w:rsidRPr="00F25C66">
        <w:rPr>
          <w:rFonts w:ascii="Times New Roman" w:eastAsiaTheme="minorEastAsia" w:hAnsi="Times New Roman" w:cs="Times New Roman"/>
          <w:sz w:val="24"/>
          <w:szCs w:val="24"/>
        </w:rPr>
        <w:t>The OSL technique relies on the fact that, the luminescence clock of sediment resets to zero by day light exposure during erosion and transportation of minerals constituting the sediments (Aitken, 1998). This implies that at the time of burial, the luminescence in the mineral is typically zero or a near zero residual value. On deposition, day light exposure ceases and a re-induction of luminescence via irradiation from local radioactivity begins and this continues unabated until sample excavation. For fluvial deposits from the Himalaya, two complication can arise.  First, sediments deposited in high energy fluvial environments may experience heterogeneous and/or incomplete zeroing. If not corrected for, it may lead to overestimated ages. Second, quartz in the Himalayan region has low OSL sensitivity and hence minor contamination from feldspars can affect the results (Ray and Srivastava, 2010). Both factors are however manageable by careful sample preparation and measurement strategy. In the present study, the bleaching analysis indicated sediments to be well bleached (discussed later) and therefore the weighted mean of the palaeodoses was considered in final age calculations.</w:t>
      </w:r>
      <w:r w:rsidRPr="00F25C66" w:rsidDel="000D5F6B">
        <w:rPr>
          <w:rFonts w:ascii="Times New Roman" w:eastAsiaTheme="minorEastAsia" w:hAnsi="Times New Roman" w:cs="Times New Roman"/>
          <w:sz w:val="24"/>
          <w:szCs w:val="24"/>
        </w:rPr>
        <w:t xml:space="preserve"> </w:t>
      </w:r>
      <w:r w:rsidRPr="00F25C66">
        <w:rPr>
          <w:rFonts w:ascii="Times New Roman" w:eastAsiaTheme="minorEastAsia" w:hAnsi="Times New Roman" w:cs="Times New Roman"/>
          <w:sz w:val="24"/>
          <w:szCs w:val="24"/>
        </w:rPr>
        <w:t xml:space="preserve"> </w:t>
      </w:r>
    </w:p>
    <w:p w:rsidR="00F25C66" w:rsidRDefault="00E24CE6" w:rsidP="00E24CE6">
      <w:pPr>
        <w:autoSpaceDE w:val="0"/>
        <w:autoSpaceDN w:val="0"/>
        <w:adjustRightInd w:val="0"/>
        <w:spacing w:after="0" w:line="480" w:lineRule="auto"/>
        <w:rPr>
          <w:rFonts w:ascii="Times New Roman" w:eastAsiaTheme="minorEastAsia" w:hAnsi="Times New Roman" w:cs="Times New Roman"/>
          <w:sz w:val="24"/>
        </w:rPr>
      </w:pPr>
      <w:r w:rsidRPr="00E24CE6">
        <w:rPr>
          <w:rFonts w:ascii="Times New Roman" w:eastAsiaTheme="minorEastAsia" w:hAnsi="Times New Roman" w:cs="Times New Roman"/>
          <w:i/>
          <w:iCs/>
          <w:sz w:val="24"/>
        </w:rPr>
        <w:t>Laboratory Protocol:</w:t>
      </w:r>
      <w:r>
        <w:rPr>
          <w:rFonts w:ascii="Times New Roman" w:eastAsiaTheme="minorEastAsia" w:hAnsi="Times New Roman" w:cs="Times New Roman"/>
          <w:sz w:val="24"/>
        </w:rPr>
        <w:t xml:space="preserve"> </w:t>
      </w:r>
      <w:r w:rsidR="00F25C66">
        <w:rPr>
          <w:rFonts w:ascii="Times New Roman" w:eastAsiaTheme="minorEastAsia" w:hAnsi="Times New Roman" w:cs="Times New Roman"/>
          <w:sz w:val="24"/>
        </w:rPr>
        <w:t xml:space="preserve">Standard chemical pretreatment was given to all samples to separate clean quartz at the Luminescence dating lab at the Wadia Institute of Himalayan Geology (Srivastava et al., 2006; 2008).  90-150 µm fraction was etched using 40% HF for 80 min, followed by 40 min treatment with 12 N </w:t>
      </w:r>
      <w:proofErr w:type="spellStart"/>
      <w:r w:rsidR="00F25C66">
        <w:rPr>
          <w:rFonts w:ascii="Times New Roman" w:eastAsiaTheme="minorEastAsia" w:hAnsi="Times New Roman" w:cs="Times New Roman"/>
          <w:sz w:val="24"/>
        </w:rPr>
        <w:t>HCl</w:t>
      </w:r>
      <w:proofErr w:type="spellEnd"/>
      <w:r w:rsidR="00F25C66">
        <w:rPr>
          <w:rFonts w:ascii="Times New Roman" w:eastAsiaTheme="minorEastAsia" w:hAnsi="Times New Roman" w:cs="Times New Roman"/>
          <w:sz w:val="24"/>
        </w:rPr>
        <w:t xml:space="preserve"> to remove 10-15 µm alpha affected the outer skin of the grain and dissolved feldspars. Feldspar contamination was tested using Infrared Stimulated Luminescence (IRSL) (Supplementary Fig. 1sa). </w:t>
      </w:r>
    </w:p>
    <w:p w:rsidR="00F25C66" w:rsidRDefault="00F25C66" w:rsidP="00E24CE6">
      <w:pPr>
        <w:pStyle w:val="BodyTextIndent3"/>
      </w:pPr>
      <w:r>
        <w:t xml:space="preserve">The luminescence of quartz grains was measured on a </w:t>
      </w:r>
      <w:proofErr w:type="spellStart"/>
      <w:r>
        <w:t>Riso</w:t>
      </w:r>
      <w:proofErr w:type="spellEnd"/>
      <w:r>
        <w:t xml:space="preserve"> TL/ OSL-20 system with a 40 sec, blue LEDs stimulation (470 nm) with sample temperature of 125 °C. Light detection was </w:t>
      </w:r>
      <w:r>
        <w:lastRenderedPageBreak/>
        <w:t xml:space="preserve">using an EMI 9235QA PMT coupled to Schott BG-39 and Hoya U-340 optical filters. A 5-points single aliquot regeneration (SAR) protocol with an IR prewash with preheat of 220 °C/10 s and cut heat of 160 °C was used for palaeodose estimation (Murray and </w:t>
      </w:r>
      <w:proofErr w:type="spellStart"/>
      <w:r>
        <w:t>Wintle</w:t>
      </w:r>
      <w:proofErr w:type="spellEnd"/>
      <w:r>
        <w:t>, 2000;</w:t>
      </w:r>
      <w:r w:rsidRPr="00F12DCB">
        <w:t xml:space="preserve"> </w:t>
      </w:r>
      <w:r>
        <w:t xml:space="preserve">Jain and </w:t>
      </w:r>
      <w:proofErr w:type="spellStart"/>
      <w:r>
        <w:t>Singhvi</w:t>
      </w:r>
      <w:proofErr w:type="spellEnd"/>
      <w:r>
        <w:t xml:space="preserve">, 2001).  The palaeodose of 30-35 discs was calculated using photon counts of initial 5 channels (1 channel = 0.16 s) of the shine-down curve. Typical acceptance criterion was a preheat plateau of 220° C, low recuperation &lt;5%, dose recovery test and recycling ratios within 10%; (see Supplementary data-1A, Figure 2s). For dose rate calculations, U, </w:t>
      </w:r>
      <w:proofErr w:type="spellStart"/>
      <w:r>
        <w:t>Th</w:t>
      </w:r>
      <w:proofErr w:type="spellEnd"/>
      <w:r>
        <w:t xml:space="preserve"> and K concentrations were measured using XRF and ICP-MS. </w:t>
      </w:r>
    </w:p>
    <w:p w:rsidR="00C17E7F" w:rsidRPr="00692A6F" w:rsidRDefault="00C17E7F" w:rsidP="00F25C66">
      <w:pPr>
        <w:spacing w:line="480" w:lineRule="auto"/>
        <w:ind w:firstLine="720"/>
        <w:jc w:val="both"/>
        <w:rPr>
          <w:rFonts w:ascii="Times New Roman" w:hAnsi="Times New Roman" w:cs="Times New Roman"/>
          <w:sz w:val="24"/>
          <w:szCs w:val="24"/>
        </w:rPr>
      </w:pPr>
      <w:r w:rsidRPr="00692A6F">
        <w:rPr>
          <w:rFonts w:ascii="Times New Roman" w:hAnsi="Times New Roman" w:cs="Times New Roman"/>
          <w:sz w:val="24"/>
          <w:szCs w:val="24"/>
        </w:rPr>
        <w:t xml:space="preserve">Infrared Stimulated Luminescence </w:t>
      </w:r>
      <w:r>
        <w:rPr>
          <w:rFonts w:ascii="Times New Roman" w:hAnsi="Times New Roman" w:cs="Times New Roman"/>
          <w:sz w:val="24"/>
          <w:szCs w:val="24"/>
        </w:rPr>
        <w:t>(IRSL) is performed on all samples to check the feldspar contamination (Fig 1sa)</w:t>
      </w:r>
      <w:r w:rsidRPr="00692A6F">
        <w:rPr>
          <w:rFonts w:ascii="Times New Roman" w:hAnsi="Times New Roman" w:cs="Times New Roman"/>
          <w:sz w:val="24"/>
          <w:szCs w:val="24"/>
        </w:rPr>
        <w:t>.</w:t>
      </w:r>
      <w:r w:rsidR="004855DC">
        <w:rPr>
          <w:rFonts w:ascii="Times New Roman" w:hAnsi="Times New Roman" w:cs="Times New Roman"/>
          <w:sz w:val="24"/>
          <w:szCs w:val="24"/>
        </w:rPr>
        <w:t xml:space="preserve"> </w:t>
      </w:r>
      <w:r w:rsidR="004855DC">
        <w:rPr>
          <w:rFonts w:ascii="Times New Roman" w:eastAsiaTheme="minorEastAsia" w:hAnsi="Times New Roman" w:cs="Times New Roman"/>
          <w:sz w:val="24"/>
        </w:rPr>
        <w:t>Those samples showed more than 200 IRSL counts under IRSL stimulation, were re-etched with 40 % HF for 10 min and retested for their IRSL stimulation (Fig. 1sb).</w:t>
      </w:r>
    </w:p>
    <w:p w:rsidR="001A3E23" w:rsidRPr="00BE5042" w:rsidRDefault="00B77C56" w:rsidP="00315EF8">
      <w:pPr>
        <w:spacing w:line="480" w:lineRule="auto"/>
        <w:jc w:val="both"/>
        <w:rPr>
          <w:rFonts w:ascii="Times New Roman" w:hAnsi="Times New Roman" w:cs="Times New Roman"/>
          <w:i/>
          <w:sz w:val="24"/>
          <w:szCs w:val="24"/>
        </w:rPr>
      </w:pPr>
      <w:r>
        <w:rPr>
          <w:rFonts w:ascii="Times New Roman" w:hAnsi="Times New Roman" w:cs="Times New Roman"/>
          <w:i/>
          <w:sz w:val="24"/>
          <w:szCs w:val="24"/>
        </w:rPr>
        <w:t>(A)</w:t>
      </w:r>
      <w:r>
        <w:rPr>
          <w:rFonts w:ascii="Times New Roman" w:hAnsi="Times New Roman" w:cs="Times New Roman"/>
          <w:i/>
          <w:sz w:val="24"/>
          <w:szCs w:val="24"/>
        </w:rPr>
        <w:tab/>
      </w:r>
      <w:r w:rsidR="001A3E23" w:rsidRPr="00BE5042">
        <w:rPr>
          <w:rFonts w:ascii="Times New Roman" w:hAnsi="Times New Roman" w:cs="Times New Roman"/>
          <w:i/>
          <w:sz w:val="24"/>
          <w:szCs w:val="24"/>
        </w:rPr>
        <w:t>Dose recovery</w:t>
      </w:r>
      <w:r w:rsidR="007C38C7">
        <w:rPr>
          <w:rFonts w:ascii="Times New Roman" w:hAnsi="Times New Roman" w:cs="Times New Roman"/>
          <w:i/>
          <w:sz w:val="24"/>
          <w:szCs w:val="24"/>
        </w:rPr>
        <w:t>,</w:t>
      </w:r>
      <w:r w:rsidR="001A3E23" w:rsidRPr="00BE5042">
        <w:rPr>
          <w:rFonts w:ascii="Times New Roman" w:hAnsi="Times New Roman" w:cs="Times New Roman"/>
          <w:i/>
          <w:sz w:val="24"/>
          <w:szCs w:val="24"/>
        </w:rPr>
        <w:t xml:space="preserve"> Preheat Plateau </w:t>
      </w:r>
      <w:r w:rsidR="007C38C7" w:rsidRPr="00BE5042">
        <w:rPr>
          <w:rFonts w:ascii="Times New Roman" w:hAnsi="Times New Roman" w:cs="Times New Roman"/>
          <w:i/>
          <w:sz w:val="24"/>
          <w:szCs w:val="24"/>
        </w:rPr>
        <w:t xml:space="preserve">and </w:t>
      </w:r>
      <w:r w:rsidR="007C38C7">
        <w:rPr>
          <w:rFonts w:ascii="Times New Roman" w:hAnsi="Times New Roman" w:cs="Times New Roman"/>
          <w:i/>
          <w:sz w:val="24"/>
          <w:szCs w:val="24"/>
        </w:rPr>
        <w:t>dose distribution</w:t>
      </w:r>
    </w:p>
    <w:p w:rsidR="00CE2227" w:rsidRDefault="00F44C06" w:rsidP="00315EF8">
      <w:pPr>
        <w:spacing w:line="480" w:lineRule="auto"/>
        <w:jc w:val="both"/>
        <w:rPr>
          <w:rFonts w:ascii="Times New Roman" w:hAnsi="Times New Roman" w:cs="Times New Roman"/>
          <w:sz w:val="24"/>
          <w:szCs w:val="24"/>
        </w:rPr>
      </w:pPr>
      <w:r w:rsidRPr="007C319E">
        <w:rPr>
          <w:rFonts w:ascii="Times New Roman" w:hAnsi="Times New Roman" w:cs="Times New Roman"/>
          <w:sz w:val="24"/>
          <w:szCs w:val="24"/>
        </w:rPr>
        <w:t xml:space="preserve">The influence of preheat on the palaeodose measurement can be tested using </w:t>
      </w:r>
      <w:r w:rsidRPr="00C17E7F">
        <w:rPr>
          <w:rFonts w:ascii="Times New Roman" w:hAnsi="Times New Roman" w:cs="Times New Roman"/>
          <w:sz w:val="24"/>
          <w:szCs w:val="24"/>
        </w:rPr>
        <w:t>Dose recovery</w:t>
      </w:r>
      <w:r w:rsidRPr="007C319E">
        <w:rPr>
          <w:rFonts w:ascii="Times New Roman" w:hAnsi="Times New Roman" w:cs="Times New Roman"/>
          <w:sz w:val="24"/>
          <w:szCs w:val="24"/>
        </w:rPr>
        <w:t xml:space="preserve"> and </w:t>
      </w:r>
      <w:r w:rsidR="00C17E7F">
        <w:rPr>
          <w:rFonts w:ascii="Times New Roman" w:hAnsi="Times New Roman" w:cs="Times New Roman"/>
          <w:sz w:val="24"/>
          <w:szCs w:val="24"/>
        </w:rPr>
        <w:t>P</w:t>
      </w:r>
      <w:r w:rsidRPr="007C319E">
        <w:rPr>
          <w:rFonts w:ascii="Times New Roman" w:hAnsi="Times New Roman" w:cs="Times New Roman"/>
          <w:sz w:val="24"/>
          <w:szCs w:val="24"/>
        </w:rPr>
        <w:t>reheat plateau test</w:t>
      </w:r>
      <w:r w:rsidR="000975EF" w:rsidRPr="007C319E">
        <w:rPr>
          <w:rFonts w:ascii="Times New Roman" w:hAnsi="Times New Roman" w:cs="Times New Roman"/>
          <w:sz w:val="24"/>
          <w:szCs w:val="24"/>
        </w:rPr>
        <w:t>s</w:t>
      </w:r>
      <w:r w:rsidRPr="007C319E">
        <w:rPr>
          <w:rFonts w:ascii="Times New Roman" w:hAnsi="Times New Roman" w:cs="Times New Roman"/>
          <w:sz w:val="24"/>
          <w:szCs w:val="24"/>
        </w:rPr>
        <w:t xml:space="preserve">. The dose recovery test incorporates bleaching without heating </w:t>
      </w:r>
      <w:r w:rsidR="00AF23D7">
        <w:rPr>
          <w:rFonts w:ascii="Times New Roman" w:hAnsi="Times New Roman" w:cs="Times New Roman"/>
          <w:sz w:val="24"/>
          <w:szCs w:val="24"/>
        </w:rPr>
        <w:t xml:space="preserve">followed by administering </w:t>
      </w:r>
      <w:r w:rsidRPr="007C319E">
        <w:rPr>
          <w:rFonts w:ascii="Times New Roman" w:hAnsi="Times New Roman" w:cs="Times New Roman"/>
          <w:sz w:val="24"/>
          <w:szCs w:val="24"/>
        </w:rPr>
        <w:t xml:space="preserve">a known dose </w:t>
      </w:r>
      <w:r w:rsidR="00AF23D7">
        <w:rPr>
          <w:rFonts w:ascii="Times New Roman" w:hAnsi="Times New Roman" w:cs="Times New Roman"/>
          <w:sz w:val="24"/>
          <w:szCs w:val="24"/>
        </w:rPr>
        <w:t xml:space="preserve">and its </w:t>
      </w:r>
      <w:r w:rsidRPr="007C319E">
        <w:rPr>
          <w:rFonts w:ascii="Times New Roman" w:hAnsi="Times New Roman" w:cs="Times New Roman"/>
          <w:sz w:val="24"/>
          <w:szCs w:val="24"/>
        </w:rPr>
        <w:t>recover</w:t>
      </w:r>
      <w:r w:rsidR="00AF23D7">
        <w:rPr>
          <w:rFonts w:ascii="Times New Roman" w:hAnsi="Times New Roman" w:cs="Times New Roman"/>
          <w:sz w:val="24"/>
          <w:szCs w:val="24"/>
        </w:rPr>
        <w:t>y</w:t>
      </w:r>
      <w:r w:rsidRPr="007C319E">
        <w:rPr>
          <w:rFonts w:ascii="Times New Roman" w:hAnsi="Times New Roman" w:cs="Times New Roman"/>
          <w:sz w:val="24"/>
          <w:szCs w:val="24"/>
        </w:rPr>
        <w:t xml:space="preserve"> using S</w:t>
      </w:r>
      <w:r w:rsidR="00AF23D7">
        <w:rPr>
          <w:rFonts w:ascii="Times New Roman" w:hAnsi="Times New Roman" w:cs="Times New Roman"/>
          <w:sz w:val="24"/>
          <w:szCs w:val="24"/>
        </w:rPr>
        <w:t xml:space="preserve">ingle </w:t>
      </w:r>
      <w:r w:rsidRPr="007C319E">
        <w:rPr>
          <w:rFonts w:ascii="Times New Roman" w:hAnsi="Times New Roman" w:cs="Times New Roman"/>
          <w:sz w:val="24"/>
          <w:szCs w:val="24"/>
        </w:rPr>
        <w:t>A</w:t>
      </w:r>
      <w:r w:rsidR="00AF23D7">
        <w:rPr>
          <w:rFonts w:ascii="Times New Roman" w:hAnsi="Times New Roman" w:cs="Times New Roman"/>
          <w:sz w:val="24"/>
          <w:szCs w:val="24"/>
        </w:rPr>
        <w:t xml:space="preserve">liquot </w:t>
      </w:r>
      <w:r w:rsidRPr="007C319E">
        <w:rPr>
          <w:rFonts w:ascii="Times New Roman" w:hAnsi="Times New Roman" w:cs="Times New Roman"/>
          <w:sz w:val="24"/>
          <w:szCs w:val="24"/>
        </w:rPr>
        <w:t>R</w:t>
      </w:r>
      <w:r w:rsidR="00AF23D7">
        <w:rPr>
          <w:rFonts w:ascii="Times New Roman" w:hAnsi="Times New Roman" w:cs="Times New Roman"/>
          <w:sz w:val="24"/>
          <w:szCs w:val="24"/>
        </w:rPr>
        <w:t>egeneration (SAR)</w:t>
      </w:r>
      <w:r w:rsidRPr="007C319E">
        <w:rPr>
          <w:rFonts w:ascii="Times New Roman" w:hAnsi="Times New Roman" w:cs="Times New Roman"/>
          <w:sz w:val="24"/>
          <w:szCs w:val="24"/>
        </w:rPr>
        <w:t xml:space="preserve"> protocol at different preheat temperatures (200° C to 260° C)</w:t>
      </w:r>
      <w:r w:rsidR="00B10BDD">
        <w:rPr>
          <w:rFonts w:ascii="Times New Roman" w:hAnsi="Times New Roman" w:cs="Times New Roman"/>
          <w:sz w:val="24"/>
          <w:szCs w:val="24"/>
        </w:rPr>
        <w:t xml:space="preserve">, for preheat plateau test, the preheating was </w:t>
      </w:r>
      <w:r w:rsidR="00AF23D7">
        <w:rPr>
          <w:rFonts w:ascii="Times New Roman" w:hAnsi="Times New Roman" w:cs="Times New Roman"/>
          <w:sz w:val="24"/>
          <w:szCs w:val="24"/>
        </w:rPr>
        <w:t xml:space="preserve">done at </w:t>
      </w:r>
      <w:r w:rsidR="00B10BDD">
        <w:rPr>
          <w:rFonts w:ascii="Times New Roman" w:hAnsi="Times New Roman" w:cs="Times New Roman"/>
          <w:sz w:val="24"/>
          <w:szCs w:val="24"/>
        </w:rPr>
        <w:t>increment</w:t>
      </w:r>
      <w:r w:rsidR="00AF23D7">
        <w:rPr>
          <w:rFonts w:ascii="Times New Roman" w:hAnsi="Times New Roman" w:cs="Times New Roman"/>
          <w:sz w:val="24"/>
          <w:szCs w:val="24"/>
        </w:rPr>
        <w:t>al temperatures between</w:t>
      </w:r>
      <w:r w:rsidR="00B10BDD">
        <w:rPr>
          <w:rFonts w:ascii="Times New Roman" w:hAnsi="Times New Roman" w:cs="Times New Roman"/>
          <w:sz w:val="24"/>
          <w:szCs w:val="24"/>
        </w:rPr>
        <w:t xml:space="preserve"> 180</w:t>
      </w:r>
      <w:r w:rsidR="00B10BDD" w:rsidRPr="007C319E">
        <w:rPr>
          <w:rFonts w:ascii="Times New Roman" w:hAnsi="Times New Roman" w:cs="Times New Roman"/>
          <w:sz w:val="24"/>
          <w:szCs w:val="24"/>
        </w:rPr>
        <w:t>° C</w:t>
      </w:r>
      <w:r w:rsidRPr="007C319E">
        <w:rPr>
          <w:rFonts w:ascii="Times New Roman" w:hAnsi="Times New Roman" w:cs="Times New Roman"/>
          <w:sz w:val="24"/>
          <w:szCs w:val="24"/>
        </w:rPr>
        <w:t xml:space="preserve"> </w:t>
      </w:r>
      <w:r w:rsidR="00B10BDD">
        <w:rPr>
          <w:rFonts w:ascii="Times New Roman" w:hAnsi="Times New Roman" w:cs="Times New Roman"/>
          <w:sz w:val="24"/>
          <w:szCs w:val="24"/>
        </w:rPr>
        <w:t>to 270</w:t>
      </w:r>
      <w:r w:rsidR="00B10BDD" w:rsidRPr="007C319E">
        <w:rPr>
          <w:rFonts w:ascii="Times New Roman" w:hAnsi="Times New Roman" w:cs="Times New Roman"/>
          <w:sz w:val="24"/>
          <w:szCs w:val="24"/>
        </w:rPr>
        <w:t xml:space="preserve">° C </w:t>
      </w:r>
      <w:r w:rsidRPr="007C319E">
        <w:rPr>
          <w:rFonts w:ascii="Times New Roman" w:hAnsi="Times New Roman" w:cs="Times New Roman"/>
          <w:sz w:val="24"/>
          <w:szCs w:val="24"/>
        </w:rPr>
        <w:t xml:space="preserve">(Murray and </w:t>
      </w:r>
      <w:proofErr w:type="spellStart"/>
      <w:r w:rsidRPr="007C319E">
        <w:rPr>
          <w:rFonts w:ascii="Times New Roman" w:hAnsi="Times New Roman" w:cs="Times New Roman"/>
          <w:sz w:val="24"/>
          <w:szCs w:val="24"/>
        </w:rPr>
        <w:t>Wintle</w:t>
      </w:r>
      <w:proofErr w:type="spellEnd"/>
      <w:r w:rsidRPr="007C319E">
        <w:rPr>
          <w:rFonts w:ascii="Times New Roman" w:hAnsi="Times New Roman" w:cs="Times New Roman"/>
          <w:sz w:val="24"/>
          <w:szCs w:val="24"/>
        </w:rPr>
        <w:t xml:space="preserve">, 2003; </w:t>
      </w:r>
      <w:proofErr w:type="spellStart"/>
      <w:r w:rsidRPr="007C319E">
        <w:rPr>
          <w:rFonts w:ascii="Times New Roman" w:hAnsi="Times New Roman" w:cs="Times New Roman"/>
          <w:sz w:val="24"/>
          <w:szCs w:val="24"/>
        </w:rPr>
        <w:t>Buylaert</w:t>
      </w:r>
      <w:proofErr w:type="spellEnd"/>
      <w:r w:rsidRPr="007C319E">
        <w:rPr>
          <w:rFonts w:ascii="Times New Roman" w:hAnsi="Times New Roman" w:cs="Times New Roman"/>
          <w:sz w:val="24"/>
          <w:szCs w:val="24"/>
        </w:rPr>
        <w:t xml:space="preserve"> et al., 2008). In this test, the sample were bleached with blue light at </w:t>
      </w:r>
      <w:r w:rsidR="001B56CD">
        <w:rPr>
          <w:rFonts w:ascii="Times New Roman" w:hAnsi="Times New Roman" w:cs="Times New Roman"/>
          <w:sz w:val="24"/>
          <w:szCs w:val="24"/>
        </w:rPr>
        <w:t>room temperature</w:t>
      </w:r>
      <w:r w:rsidRPr="007C319E">
        <w:rPr>
          <w:rFonts w:ascii="Times New Roman" w:hAnsi="Times New Roman" w:cs="Times New Roman"/>
          <w:sz w:val="24"/>
          <w:szCs w:val="24"/>
        </w:rPr>
        <w:t xml:space="preserve"> for 40 seconds followed by β - irradiation (laboratory dose)</w:t>
      </w:r>
      <w:r w:rsidR="007C319E" w:rsidRPr="007C319E">
        <w:rPr>
          <w:rFonts w:ascii="Times New Roman" w:hAnsi="Times New Roman" w:cs="Times New Roman"/>
          <w:sz w:val="24"/>
          <w:szCs w:val="24"/>
        </w:rPr>
        <w:t xml:space="preserve"> equivalent to palaeo</w:t>
      </w:r>
      <w:r w:rsidRPr="007C319E">
        <w:rPr>
          <w:rFonts w:ascii="Times New Roman" w:hAnsi="Times New Roman" w:cs="Times New Roman"/>
          <w:sz w:val="24"/>
          <w:szCs w:val="24"/>
        </w:rPr>
        <w:t>dose (D</w:t>
      </w:r>
      <w:r w:rsidRPr="007C319E">
        <w:rPr>
          <w:rFonts w:ascii="Times New Roman" w:hAnsi="Times New Roman" w:cs="Times New Roman"/>
          <w:sz w:val="24"/>
          <w:szCs w:val="24"/>
          <w:vertAlign w:val="subscript"/>
        </w:rPr>
        <w:t>e</w:t>
      </w:r>
      <w:r w:rsidRPr="007C319E">
        <w:rPr>
          <w:rFonts w:ascii="Times New Roman" w:hAnsi="Times New Roman" w:cs="Times New Roman"/>
          <w:sz w:val="24"/>
          <w:szCs w:val="24"/>
        </w:rPr>
        <w:t>) and recovered using SAR</w:t>
      </w:r>
      <w:r w:rsidR="00761350" w:rsidRPr="007C319E">
        <w:rPr>
          <w:rFonts w:ascii="Times New Roman" w:hAnsi="Times New Roman" w:cs="Times New Roman"/>
          <w:sz w:val="24"/>
          <w:szCs w:val="24"/>
        </w:rPr>
        <w:t xml:space="preserve"> protocol</w:t>
      </w:r>
      <w:r w:rsidRPr="007C319E">
        <w:rPr>
          <w:rFonts w:ascii="Times New Roman" w:hAnsi="Times New Roman" w:cs="Times New Roman"/>
          <w:sz w:val="24"/>
          <w:szCs w:val="24"/>
        </w:rPr>
        <w:t xml:space="preserve">. </w:t>
      </w:r>
      <w:r w:rsidR="00C0233F" w:rsidRPr="007C319E">
        <w:rPr>
          <w:rFonts w:ascii="Times New Roman" w:hAnsi="Times New Roman" w:cs="Times New Roman"/>
          <w:sz w:val="24"/>
          <w:szCs w:val="24"/>
        </w:rPr>
        <w:t xml:space="preserve">14 samples out of 33, were subjected to check the suitability of preheat temperature through </w:t>
      </w:r>
      <w:r w:rsidRPr="007C319E">
        <w:rPr>
          <w:rFonts w:ascii="Times New Roman" w:hAnsi="Times New Roman" w:cs="Times New Roman"/>
          <w:sz w:val="24"/>
          <w:szCs w:val="24"/>
        </w:rPr>
        <w:t>these</w:t>
      </w:r>
      <w:r w:rsidR="00C0233F" w:rsidRPr="007C319E">
        <w:rPr>
          <w:rFonts w:ascii="Times New Roman" w:hAnsi="Times New Roman" w:cs="Times New Roman"/>
          <w:sz w:val="24"/>
          <w:szCs w:val="24"/>
        </w:rPr>
        <w:t xml:space="preserve"> tests. </w:t>
      </w:r>
      <w:r w:rsidR="00014190" w:rsidRPr="007C319E">
        <w:rPr>
          <w:rFonts w:ascii="Times New Roman" w:hAnsi="Times New Roman" w:cs="Times New Roman"/>
          <w:sz w:val="24"/>
          <w:szCs w:val="24"/>
        </w:rPr>
        <w:t>The recuperation ratio become</w:t>
      </w:r>
      <w:r w:rsidR="00AF23D7">
        <w:rPr>
          <w:rFonts w:ascii="Times New Roman" w:hAnsi="Times New Roman" w:cs="Times New Roman"/>
          <w:sz w:val="24"/>
          <w:szCs w:val="24"/>
        </w:rPr>
        <w:t>s</w:t>
      </w:r>
      <w:r w:rsidR="00014190" w:rsidRPr="007C319E">
        <w:rPr>
          <w:rFonts w:ascii="Times New Roman" w:hAnsi="Times New Roman" w:cs="Times New Roman"/>
          <w:sz w:val="24"/>
          <w:szCs w:val="24"/>
        </w:rPr>
        <w:t xml:space="preserve"> important for </w:t>
      </w:r>
      <w:r w:rsidR="00B10BDD">
        <w:rPr>
          <w:rFonts w:ascii="Times New Roman" w:hAnsi="Times New Roman" w:cs="Times New Roman"/>
          <w:sz w:val="24"/>
          <w:szCs w:val="24"/>
        </w:rPr>
        <w:t>these tests</w:t>
      </w:r>
      <w:r w:rsidR="00014190" w:rsidRPr="007C319E">
        <w:rPr>
          <w:rFonts w:ascii="Times New Roman" w:hAnsi="Times New Roman" w:cs="Times New Roman"/>
          <w:sz w:val="24"/>
          <w:szCs w:val="24"/>
        </w:rPr>
        <w:t xml:space="preserve"> when two temperatures having approximately same palaeodose. </w:t>
      </w:r>
      <w:r w:rsidR="0017041A">
        <w:rPr>
          <w:rFonts w:ascii="Times New Roman" w:hAnsi="Times New Roman" w:cs="Times New Roman"/>
          <w:sz w:val="24"/>
          <w:szCs w:val="24"/>
        </w:rPr>
        <w:t xml:space="preserve">The </w:t>
      </w:r>
      <w:r w:rsidR="0017041A" w:rsidRPr="007C319E">
        <w:rPr>
          <w:rFonts w:ascii="Times New Roman" w:hAnsi="Times New Roman" w:cs="Times New Roman"/>
          <w:sz w:val="24"/>
          <w:szCs w:val="24"/>
        </w:rPr>
        <w:t>preheat plateau</w:t>
      </w:r>
      <w:r w:rsidR="0017041A">
        <w:rPr>
          <w:rFonts w:ascii="Times New Roman" w:hAnsi="Times New Roman" w:cs="Times New Roman"/>
          <w:sz w:val="24"/>
          <w:szCs w:val="24"/>
        </w:rPr>
        <w:t xml:space="preserve"> as shown in the </w:t>
      </w:r>
      <w:r w:rsidR="0017041A" w:rsidRPr="007C319E">
        <w:rPr>
          <w:rFonts w:ascii="Times New Roman" w:hAnsi="Times New Roman" w:cs="Times New Roman"/>
          <w:sz w:val="24"/>
          <w:szCs w:val="24"/>
        </w:rPr>
        <w:lastRenderedPageBreak/>
        <w:t xml:space="preserve">figure </w:t>
      </w:r>
      <w:r w:rsidR="00C17E7F">
        <w:rPr>
          <w:rFonts w:ascii="Times New Roman" w:hAnsi="Times New Roman" w:cs="Times New Roman"/>
          <w:sz w:val="24"/>
          <w:szCs w:val="24"/>
        </w:rPr>
        <w:t>2</w:t>
      </w:r>
      <w:r w:rsidR="0017041A" w:rsidRPr="007C319E">
        <w:rPr>
          <w:rFonts w:ascii="Times New Roman" w:hAnsi="Times New Roman" w:cs="Times New Roman"/>
          <w:sz w:val="24"/>
          <w:szCs w:val="24"/>
        </w:rPr>
        <w:t>s (</w:t>
      </w:r>
      <w:r w:rsidR="0017041A">
        <w:rPr>
          <w:rFonts w:ascii="Times New Roman" w:hAnsi="Times New Roman" w:cs="Times New Roman"/>
          <w:sz w:val="24"/>
          <w:szCs w:val="24"/>
        </w:rPr>
        <w:t>a</w:t>
      </w:r>
      <w:r w:rsidR="0017041A" w:rsidRPr="007C319E">
        <w:rPr>
          <w:rFonts w:ascii="Times New Roman" w:hAnsi="Times New Roman" w:cs="Times New Roman"/>
          <w:sz w:val="24"/>
          <w:szCs w:val="24"/>
        </w:rPr>
        <w:t>)</w:t>
      </w:r>
      <w:r w:rsidR="0017041A">
        <w:rPr>
          <w:rFonts w:ascii="Times New Roman" w:hAnsi="Times New Roman" w:cs="Times New Roman"/>
          <w:sz w:val="24"/>
          <w:szCs w:val="24"/>
        </w:rPr>
        <w:t xml:space="preserve"> is </w:t>
      </w:r>
      <w:r w:rsidR="0017041A" w:rsidRPr="007C319E">
        <w:rPr>
          <w:rFonts w:ascii="Times New Roman" w:hAnsi="Times New Roman" w:cs="Times New Roman"/>
          <w:sz w:val="24"/>
          <w:szCs w:val="24"/>
        </w:rPr>
        <w:t xml:space="preserve">almost flat </w:t>
      </w:r>
      <w:r w:rsidR="0017041A">
        <w:rPr>
          <w:rFonts w:ascii="Times New Roman" w:hAnsi="Times New Roman" w:cs="Times New Roman"/>
          <w:sz w:val="24"/>
          <w:szCs w:val="24"/>
        </w:rPr>
        <w:t>between</w:t>
      </w:r>
      <w:r w:rsidR="0017041A" w:rsidRPr="007C319E">
        <w:rPr>
          <w:rFonts w:ascii="Times New Roman" w:hAnsi="Times New Roman" w:cs="Times New Roman"/>
          <w:sz w:val="24"/>
          <w:szCs w:val="24"/>
        </w:rPr>
        <w:t xml:space="preserve"> 2</w:t>
      </w:r>
      <w:r w:rsidR="0017041A">
        <w:rPr>
          <w:rFonts w:ascii="Times New Roman" w:hAnsi="Times New Roman" w:cs="Times New Roman"/>
          <w:sz w:val="24"/>
          <w:szCs w:val="24"/>
        </w:rPr>
        <w:t>0</w:t>
      </w:r>
      <w:r w:rsidR="0017041A" w:rsidRPr="007C319E">
        <w:rPr>
          <w:rFonts w:ascii="Times New Roman" w:hAnsi="Times New Roman" w:cs="Times New Roman"/>
          <w:sz w:val="24"/>
          <w:szCs w:val="24"/>
        </w:rPr>
        <w:t xml:space="preserve">0° C </w:t>
      </w:r>
      <w:r w:rsidR="0017041A">
        <w:rPr>
          <w:rFonts w:ascii="Times New Roman" w:hAnsi="Times New Roman" w:cs="Times New Roman"/>
          <w:sz w:val="24"/>
          <w:szCs w:val="24"/>
        </w:rPr>
        <w:t>to</w:t>
      </w:r>
      <w:r w:rsidR="0017041A" w:rsidRPr="007C319E">
        <w:rPr>
          <w:rFonts w:ascii="Times New Roman" w:hAnsi="Times New Roman" w:cs="Times New Roman"/>
          <w:sz w:val="24"/>
          <w:szCs w:val="24"/>
        </w:rPr>
        <w:t xml:space="preserve"> 240° C</w:t>
      </w:r>
      <w:r w:rsidR="0017041A">
        <w:rPr>
          <w:rFonts w:ascii="Times New Roman" w:hAnsi="Times New Roman" w:cs="Times New Roman"/>
          <w:sz w:val="24"/>
          <w:szCs w:val="24"/>
        </w:rPr>
        <w:t xml:space="preserve"> and the dose recovery is more precise at 220</w:t>
      </w:r>
      <w:r w:rsidR="0017041A" w:rsidRPr="007C319E">
        <w:rPr>
          <w:rFonts w:ascii="Times New Roman" w:hAnsi="Times New Roman" w:cs="Times New Roman"/>
          <w:sz w:val="24"/>
          <w:szCs w:val="24"/>
        </w:rPr>
        <w:t>° C</w:t>
      </w:r>
      <w:r w:rsidR="0017041A">
        <w:rPr>
          <w:rFonts w:ascii="Times New Roman" w:hAnsi="Times New Roman" w:cs="Times New Roman"/>
          <w:sz w:val="24"/>
          <w:szCs w:val="24"/>
        </w:rPr>
        <w:t>. H</w:t>
      </w:r>
      <w:r w:rsidR="0017041A" w:rsidRPr="007C319E">
        <w:rPr>
          <w:rFonts w:ascii="Times New Roman" w:hAnsi="Times New Roman" w:cs="Times New Roman"/>
          <w:sz w:val="24"/>
          <w:szCs w:val="24"/>
        </w:rPr>
        <w:t>ence these tests shows that 220° C is well suited for palaeodose measurements.</w:t>
      </w:r>
      <w:r w:rsidR="0017041A">
        <w:rPr>
          <w:rFonts w:ascii="Times New Roman" w:hAnsi="Times New Roman" w:cs="Times New Roman"/>
          <w:sz w:val="24"/>
          <w:szCs w:val="24"/>
        </w:rPr>
        <w:t xml:space="preserve"> </w:t>
      </w:r>
      <w:r w:rsidR="00AF23D7">
        <w:rPr>
          <w:rFonts w:ascii="Times New Roman" w:hAnsi="Times New Roman" w:cs="Times New Roman"/>
          <w:sz w:val="24"/>
          <w:szCs w:val="24"/>
        </w:rPr>
        <w:t xml:space="preserve">Figure </w:t>
      </w:r>
      <w:r w:rsidR="00C17E7F">
        <w:rPr>
          <w:rFonts w:ascii="Times New Roman" w:hAnsi="Times New Roman" w:cs="Times New Roman"/>
          <w:sz w:val="24"/>
          <w:szCs w:val="24"/>
        </w:rPr>
        <w:t>2</w:t>
      </w:r>
      <w:r w:rsidR="00AF23D7">
        <w:rPr>
          <w:rFonts w:ascii="Times New Roman" w:hAnsi="Times New Roman" w:cs="Times New Roman"/>
          <w:sz w:val="24"/>
          <w:szCs w:val="24"/>
        </w:rPr>
        <w:t xml:space="preserve">s (b) shows </w:t>
      </w:r>
      <w:r w:rsidR="00315EF8" w:rsidRPr="007C319E">
        <w:rPr>
          <w:rFonts w:ascii="Times New Roman" w:hAnsi="Times New Roman" w:cs="Times New Roman"/>
          <w:sz w:val="24"/>
          <w:szCs w:val="24"/>
        </w:rPr>
        <w:t>recuperation ratio of each al</w:t>
      </w:r>
      <w:r w:rsidR="00AF23D7">
        <w:rPr>
          <w:rFonts w:ascii="Times New Roman" w:hAnsi="Times New Roman" w:cs="Times New Roman"/>
          <w:sz w:val="24"/>
          <w:szCs w:val="24"/>
        </w:rPr>
        <w:t>iquot as</w:t>
      </w:r>
      <w:r w:rsidR="00315EF8" w:rsidRPr="007C319E">
        <w:rPr>
          <w:rFonts w:ascii="Times New Roman" w:hAnsi="Times New Roman" w:cs="Times New Roman"/>
          <w:sz w:val="24"/>
          <w:szCs w:val="24"/>
        </w:rPr>
        <w:t xml:space="preserve"> plot</w:t>
      </w:r>
      <w:r w:rsidR="00AF23D7">
        <w:rPr>
          <w:rFonts w:ascii="Times New Roman" w:hAnsi="Times New Roman" w:cs="Times New Roman"/>
          <w:sz w:val="24"/>
          <w:szCs w:val="24"/>
        </w:rPr>
        <w:t>ted</w:t>
      </w:r>
      <w:r w:rsidR="00315EF8" w:rsidRPr="007C319E">
        <w:rPr>
          <w:rFonts w:ascii="Times New Roman" w:hAnsi="Times New Roman" w:cs="Times New Roman"/>
          <w:sz w:val="24"/>
          <w:szCs w:val="24"/>
        </w:rPr>
        <w:t xml:space="preserve"> against </w:t>
      </w:r>
      <w:r w:rsidR="00AF23D7">
        <w:rPr>
          <w:rFonts w:ascii="Times New Roman" w:hAnsi="Times New Roman" w:cs="Times New Roman"/>
          <w:sz w:val="24"/>
          <w:szCs w:val="24"/>
        </w:rPr>
        <w:t xml:space="preserve">different </w:t>
      </w:r>
      <w:r w:rsidR="00315EF8" w:rsidRPr="007C319E">
        <w:rPr>
          <w:rFonts w:ascii="Times New Roman" w:hAnsi="Times New Roman" w:cs="Times New Roman"/>
          <w:sz w:val="24"/>
          <w:szCs w:val="24"/>
        </w:rPr>
        <w:t>preheat temperature</w:t>
      </w:r>
      <w:r w:rsidR="00AF23D7">
        <w:rPr>
          <w:rFonts w:ascii="Times New Roman" w:hAnsi="Times New Roman" w:cs="Times New Roman"/>
          <w:sz w:val="24"/>
          <w:szCs w:val="24"/>
        </w:rPr>
        <w:t>s</w:t>
      </w:r>
      <w:r w:rsidR="0017041A">
        <w:rPr>
          <w:rFonts w:ascii="Times New Roman" w:hAnsi="Times New Roman" w:cs="Times New Roman"/>
          <w:sz w:val="24"/>
          <w:szCs w:val="24"/>
        </w:rPr>
        <w:t>. The ratio</w:t>
      </w:r>
      <w:r w:rsidR="00A311A1">
        <w:rPr>
          <w:rFonts w:ascii="Times New Roman" w:hAnsi="Times New Roman" w:cs="Times New Roman"/>
          <w:sz w:val="24"/>
          <w:szCs w:val="24"/>
        </w:rPr>
        <w:t xml:space="preserve"> is minimum between 200-240 </w:t>
      </w:r>
      <w:r w:rsidR="00A311A1" w:rsidRPr="007C319E">
        <w:rPr>
          <w:rFonts w:ascii="Times New Roman" w:hAnsi="Times New Roman" w:cs="Times New Roman"/>
          <w:sz w:val="24"/>
          <w:szCs w:val="24"/>
        </w:rPr>
        <w:t>° C</w:t>
      </w:r>
      <w:r w:rsidR="00A311A1" w:rsidRPr="00A311A1">
        <w:rPr>
          <w:rFonts w:ascii="Times New Roman" w:hAnsi="Times New Roman" w:cs="Times New Roman"/>
          <w:sz w:val="24"/>
          <w:szCs w:val="24"/>
        </w:rPr>
        <w:t xml:space="preserve"> </w:t>
      </w:r>
      <w:r w:rsidR="00A311A1">
        <w:rPr>
          <w:rFonts w:ascii="Times New Roman" w:hAnsi="Times New Roman" w:cs="Times New Roman"/>
          <w:sz w:val="24"/>
          <w:szCs w:val="24"/>
        </w:rPr>
        <w:t>on the sample LD-1047</w:t>
      </w:r>
      <w:r w:rsidR="00315EF8" w:rsidRPr="007C319E">
        <w:rPr>
          <w:rFonts w:ascii="Times New Roman" w:hAnsi="Times New Roman" w:cs="Times New Roman"/>
          <w:sz w:val="24"/>
          <w:szCs w:val="24"/>
        </w:rPr>
        <w:t>.</w:t>
      </w:r>
      <w:r w:rsidR="00AF23D7">
        <w:rPr>
          <w:rFonts w:ascii="Times New Roman" w:hAnsi="Times New Roman" w:cs="Times New Roman"/>
          <w:sz w:val="24"/>
          <w:szCs w:val="24"/>
        </w:rPr>
        <w:t xml:space="preserve"> F</w:t>
      </w:r>
      <w:r w:rsidR="00014190" w:rsidRPr="007C319E">
        <w:rPr>
          <w:rFonts w:ascii="Times New Roman" w:hAnsi="Times New Roman" w:cs="Times New Roman"/>
          <w:sz w:val="24"/>
          <w:szCs w:val="24"/>
        </w:rPr>
        <w:t xml:space="preserve">igure </w:t>
      </w:r>
      <w:r w:rsidR="00C17E7F">
        <w:rPr>
          <w:rFonts w:ascii="Times New Roman" w:hAnsi="Times New Roman" w:cs="Times New Roman"/>
          <w:sz w:val="24"/>
          <w:szCs w:val="24"/>
        </w:rPr>
        <w:t>2</w:t>
      </w:r>
      <w:r w:rsidR="00014190" w:rsidRPr="007C319E">
        <w:rPr>
          <w:rFonts w:ascii="Times New Roman" w:hAnsi="Times New Roman" w:cs="Times New Roman"/>
          <w:sz w:val="24"/>
          <w:szCs w:val="24"/>
        </w:rPr>
        <w:t>s</w:t>
      </w:r>
      <w:r w:rsidR="00E95E20" w:rsidRPr="007C319E">
        <w:rPr>
          <w:rFonts w:ascii="Times New Roman" w:hAnsi="Times New Roman" w:cs="Times New Roman"/>
          <w:sz w:val="24"/>
          <w:szCs w:val="24"/>
        </w:rPr>
        <w:t xml:space="preserve"> (</w:t>
      </w:r>
      <w:r w:rsidR="00A311A1">
        <w:rPr>
          <w:rFonts w:ascii="Times New Roman" w:hAnsi="Times New Roman" w:cs="Times New Roman"/>
          <w:sz w:val="24"/>
          <w:szCs w:val="24"/>
        </w:rPr>
        <w:t>b</w:t>
      </w:r>
      <w:r w:rsidR="00E95E20" w:rsidRPr="007C319E">
        <w:rPr>
          <w:rFonts w:ascii="Times New Roman" w:hAnsi="Times New Roman" w:cs="Times New Roman"/>
          <w:sz w:val="24"/>
          <w:szCs w:val="24"/>
        </w:rPr>
        <w:t>)</w:t>
      </w:r>
      <w:r w:rsidR="00AF23D7">
        <w:rPr>
          <w:rFonts w:ascii="Times New Roman" w:hAnsi="Times New Roman" w:cs="Times New Roman"/>
          <w:sz w:val="24"/>
          <w:szCs w:val="24"/>
        </w:rPr>
        <w:t xml:space="preserve"> </w:t>
      </w:r>
      <w:r w:rsidR="00A311A1">
        <w:rPr>
          <w:rFonts w:ascii="Times New Roman" w:hAnsi="Times New Roman" w:cs="Times New Roman"/>
          <w:sz w:val="24"/>
          <w:szCs w:val="24"/>
        </w:rPr>
        <w:t xml:space="preserve">also </w:t>
      </w:r>
      <w:r w:rsidR="00AF23D7">
        <w:rPr>
          <w:rFonts w:ascii="Times New Roman" w:hAnsi="Times New Roman" w:cs="Times New Roman"/>
          <w:sz w:val="24"/>
          <w:szCs w:val="24"/>
        </w:rPr>
        <w:t xml:space="preserve">exhibits results of dose recovery test </w:t>
      </w:r>
      <w:r w:rsidR="00A311A1">
        <w:rPr>
          <w:rFonts w:ascii="Times New Roman" w:hAnsi="Times New Roman" w:cs="Times New Roman"/>
          <w:sz w:val="24"/>
          <w:szCs w:val="24"/>
        </w:rPr>
        <w:t xml:space="preserve">on the same sample </w:t>
      </w:r>
      <w:r w:rsidR="00AF23D7">
        <w:rPr>
          <w:rFonts w:ascii="Times New Roman" w:hAnsi="Times New Roman" w:cs="Times New Roman"/>
          <w:sz w:val="24"/>
          <w:szCs w:val="24"/>
        </w:rPr>
        <w:t>where</w:t>
      </w:r>
      <w:r w:rsidR="00E95E20" w:rsidRPr="007C319E">
        <w:rPr>
          <w:rFonts w:ascii="Times New Roman" w:hAnsi="Times New Roman" w:cs="Times New Roman"/>
          <w:sz w:val="24"/>
          <w:szCs w:val="24"/>
        </w:rPr>
        <w:t xml:space="preserve"> </w:t>
      </w:r>
      <w:r w:rsidR="00B10BDD">
        <w:rPr>
          <w:rFonts w:ascii="Times New Roman" w:hAnsi="Times New Roman" w:cs="Times New Roman"/>
          <w:sz w:val="24"/>
          <w:szCs w:val="24"/>
        </w:rPr>
        <w:t>133</w:t>
      </w:r>
      <w:r w:rsidR="00B10BDD" w:rsidRPr="007C319E">
        <w:rPr>
          <w:rFonts w:ascii="Times New Roman" w:hAnsi="Times New Roman" w:cs="Times New Roman"/>
          <w:sz w:val="24"/>
          <w:szCs w:val="24"/>
        </w:rPr>
        <w:t xml:space="preserve"> </w:t>
      </w:r>
      <w:proofErr w:type="spellStart"/>
      <w:r w:rsidR="00E95E20" w:rsidRPr="007C319E">
        <w:rPr>
          <w:rFonts w:ascii="Times New Roman" w:hAnsi="Times New Roman" w:cs="Times New Roman"/>
          <w:sz w:val="24"/>
          <w:szCs w:val="24"/>
        </w:rPr>
        <w:t>Gy</w:t>
      </w:r>
      <w:proofErr w:type="spellEnd"/>
      <w:r w:rsidR="00E95E20" w:rsidRPr="007C319E">
        <w:rPr>
          <w:rFonts w:ascii="Times New Roman" w:hAnsi="Times New Roman" w:cs="Times New Roman"/>
          <w:sz w:val="24"/>
          <w:szCs w:val="24"/>
        </w:rPr>
        <w:t xml:space="preserve"> </w:t>
      </w:r>
      <w:r w:rsidR="00AF23D7">
        <w:rPr>
          <w:rFonts w:ascii="Times New Roman" w:hAnsi="Times New Roman" w:cs="Times New Roman"/>
          <w:sz w:val="24"/>
          <w:szCs w:val="24"/>
        </w:rPr>
        <w:t>of laboratory</w:t>
      </w:r>
      <w:r w:rsidR="00E95E20" w:rsidRPr="007C319E">
        <w:rPr>
          <w:rFonts w:ascii="Times New Roman" w:hAnsi="Times New Roman" w:cs="Times New Roman"/>
          <w:sz w:val="24"/>
          <w:szCs w:val="24"/>
        </w:rPr>
        <w:t xml:space="preserve"> dose </w:t>
      </w:r>
      <w:r w:rsidR="00AF23D7">
        <w:rPr>
          <w:rFonts w:ascii="Times New Roman" w:hAnsi="Times New Roman" w:cs="Times New Roman"/>
          <w:sz w:val="24"/>
          <w:szCs w:val="24"/>
        </w:rPr>
        <w:t xml:space="preserve">was </w:t>
      </w:r>
      <w:r w:rsidR="00E95E20" w:rsidRPr="007C319E">
        <w:rPr>
          <w:rFonts w:ascii="Times New Roman" w:hAnsi="Times New Roman" w:cs="Times New Roman"/>
          <w:sz w:val="24"/>
          <w:szCs w:val="24"/>
        </w:rPr>
        <w:t>given</w:t>
      </w:r>
      <w:r w:rsidR="00AF23D7">
        <w:rPr>
          <w:rFonts w:ascii="Times New Roman" w:hAnsi="Times New Roman" w:cs="Times New Roman"/>
          <w:sz w:val="24"/>
          <w:szCs w:val="24"/>
        </w:rPr>
        <w:t xml:space="preserve"> and</w:t>
      </w:r>
      <w:r w:rsidR="00E95E20" w:rsidRPr="007C319E">
        <w:rPr>
          <w:rFonts w:ascii="Times New Roman" w:hAnsi="Times New Roman" w:cs="Times New Roman"/>
          <w:sz w:val="24"/>
          <w:szCs w:val="24"/>
        </w:rPr>
        <w:t xml:space="preserve"> was recovered at </w:t>
      </w:r>
      <w:r w:rsidR="002A5857">
        <w:rPr>
          <w:rFonts w:ascii="Times New Roman" w:hAnsi="Times New Roman" w:cs="Times New Roman"/>
          <w:sz w:val="24"/>
          <w:szCs w:val="24"/>
        </w:rPr>
        <w:t xml:space="preserve">all the temperature from </w:t>
      </w:r>
      <w:r w:rsidR="00E95E20" w:rsidRPr="007C319E">
        <w:rPr>
          <w:rFonts w:ascii="Times New Roman" w:hAnsi="Times New Roman" w:cs="Times New Roman"/>
          <w:sz w:val="24"/>
          <w:szCs w:val="24"/>
        </w:rPr>
        <w:t xml:space="preserve">200° C </w:t>
      </w:r>
      <w:r w:rsidR="002A5857">
        <w:rPr>
          <w:rFonts w:ascii="Times New Roman" w:hAnsi="Times New Roman" w:cs="Times New Roman"/>
          <w:sz w:val="24"/>
          <w:szCs w:val="24"/>
        </w:rPr>
        <w:t xml:space="preserve">to </w:t>
      </w:r>
      <w:r w:rsidR="00E95E20" w:rsidRPr="007C319E">
        <w:rPr>
          <w:rFonts w:ascii="Times New Roman" w:hAnsi="Times New Roman" w:cs="Times New Roman"/>
          <w:sz w:val="24"/>
          <w:szCs w:val="24"/>
        </w:rPr>
        <w:t>2</w:t>
      </w:r>
      <w:r w:rsidR="002A5857">
        <w:rPr>
          <w:rFonts w:ascii="Times New Roman" w:hAnsi="Times New Roman" w:cs="Times New Roman"/>
          <w:sz w:val="24"/>
          <w:szCs w:val="24"/>
        </w:rPr>
        <w:t>6</w:t>
      </w:r>
      <w:r w:rsidR="00E95E20" w:rsidRPr="007C319E">
        <w:rPr>
          <w:rFonts w:ascii="Times New Roman" w:hAnsi="Times New Roman" w:cs="Times New Roman"/>
          <w:sz w:val="24"/>
          <w:szCs w:val="24"/>
        </w:rPr>
        <w:t>0° C</w:t>
      </w:r>
      <w:r w:rsidR="00A311A1">
        <w:rPr>
          <w:rFonts w:ascii="Times New Roman" w:hAnsi="Times New Roman" w:cs="Times New Roman"/>
          <w:sz w:val="24"/>
          <w:szCs w:val="24"/>
        </w:rPr>
        <w:t>. T</w:t>
      </w:r>
      <w:r w:rsidR="002A5857">
        <w:rPr>
          <w:rFonts w:ascii="Times New Roman" w:hAnsi="Times New Roman" w:cs="Times New Roman"/>
          <w:sz w:val="24"/>
          <w:szCs w:val="24"/>
        </w:rPr>
        <w:t>he</w:t>
      </w:r>
      <w:r w:rsidR="00A311A1">
        <w:rPr>
          <w:rFonts w:ascii="Times New Roman" w:hAnsi="Times New Roman" w:cs="Times New Roman"/>
          <w:sz w:val="24"/>
          <w:szCs w:val="24"/>
        </w:rPr>
        <w:t xml:space="preserve"> plot </w:t>
      </w:r>
      <w:r w:rsidR="0017041A">
        <w:rPr>
          <w:rFonts w:ascii="Times New Roman" w:hAnsi="Times New Roman" w:cs="Times New Roman"/>
          <w:sz w:val="24"/>
          <w:szCs w:val="24"/>
        </w:rPr>
        <w:t>also indicates minimum</w:t>
      </w:r>
      <w:r w:rsidR="002A5857">
        <w:rPr>
          <w:rFonts w:ascii="Times New Roman" w:hAnsi="Times New Roman" w:cs="Times New Roman"/>
          <w:sz w:val="24"/>
          <w:szCs w:val="24"/>
        </w:rPr>
        <w:t xml:space="preserve"> scattering of palaeodose</w:t>
      </w:r>
      <w:r w:rsidR="0017041A">
        <w:rPr>
          <w:rFonts w:ascii="Times New Roman" w:hAnsi="Times New Roman" w:cs="Times New Roman"/>
          <w:sz w:val="24"/>
          <w:szCs w:val="24"/>
        </w:rPr>
        <w:t xml:space="preserve"> between</w:t>
      </w:r>
      <w:r w:rsidR="002A5857">
        <w:rPr>
          <w:rFonts w:ascii="Times New Roman" w:hAnsi="Times New Roman" w:cs="Times New Roman"/>
          <w:sz w:val="24"/>
          <w:szCs w:val="24"/>
        </w:rPr>
        <w:t xml:space="preserve"> 200</w:t>
      </w:r>
      <w:r w:rsidR="002A5857" w:rsidRPr="007C319E">
        <w:rPr>
          <w:rFonts w:ascii="Times New Roman" w:hAnsi="Times New Roman" w:cs="Times New Roman"/>
          <w:sz w:val="24"/>
          <w:szCs w:val="24"/>
        </w:rPr>
        <w:t>° C</w:t>
      </w:r>
      <w:r w:rsidR="002A5857">
        <w:rPr>
          <w:rFonts w:ascii="Times New Roman" w:hAnsi="Times New Roman" w:cs="Times New Roman"/>
          <w:sz w:val="24"/>
          <w:szCs w:val="24"/>
        </w:rPr>
        <w:t xml:space="preserve"> and 220</w:t>
      </w:r>
      <w:r w:rsidR="002A5857" w:rsidRPr="007C319E">
        <w:rPr>
          <w:rFonts w:ascii="Times New Roman" w:hAnsi="Times New Roman" w:cs="Times New Roman"/>
          <w:sz w:val="24"/>
          <w:szCs w:val="24"/>
        </w:rPr>
        <w:t>° C</w:t>
      </w:r>
      <w:r w:rsidR="002A5857">
        <w:rPr>
          <w:rFonts w:ascii="Times New Roman" w:hAnsi="Times New Roman" w:cs="Times New Roman"/>
          <w:sz w:val="24"/>
          <w:szCs w:val="24"/>
        </w:rPr>
        <w:t>.</w:t>
      </w:r>
      <w:r w:rsidR="00E95E20" w:rsidRPr="007C319E">
        <w:rPr>
          <w:rFonts w:ascii="Times New Roman" w:hAnsi="Times New Roman" w:cs="Times New Roman"/>
          <w:sz w:val="24"/>
          <w:szCs w:val="24"/>
        </w:rPr>
        <w:t xml:space="preserve"> </w:t>
      </w:r>
    </w:p>
    <w:p w:rsidR="0076435E" w:rsidRDefault="0076435E" w:rsidP="00315EF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7041A">
        <w:rPr>
          <w:rFonts w:ascii="Times New Roman" w:hAnsi="Times New Roman" w:cs="Times New Roman"/>
          <w:sz w:val="24"/>
          <w:szCs w:val="24"/>
        </w:rPr>
        <w:t>P</w:t>
      </w:r>
      <w:r>
        <w:rPr>
          <w:rFonts w:ascii="Times New Roman" w:hAnsi="Times New Roman" w:cs="Times New Roman"/>
          <w:sz w:val="24"/>
          <w:szCs w:val="24"/>
        </w:rPr>
        <w:t xml:space="preserve">robable density distribution, radial </w:t>
      </w:r>
      <w:r w:rsidR="004D0405">
        <w:rPr>
          <w:rFonts w:ascii="Times New Roman" w:hAnsi="Times New Roman" w:cs="Times New Roman"/>
          <w:sz w:val="24"/>
          <w:szCs w:val="24"/>
        </w:rPr>
        <w:t>plots of paleodoses</w:t>
      </w:r>
      <w:r>
        <w:rPr>
          <w:rFonts w:ascii="Times New Roman" w:hAnsi="Times New Roman" w:cs="Times New Roman"/>
          <w:sz w:val="24"/>
          <w:szCs w:val="24"/>
        </w:rPr>
        <w:t>, natural luminescence decay with time, sensitivity corrected growth curve</w:t>
      </w:r>
      <w:r w:rsidR="00142A35">
        <w:rPr>
          <w:rFonts w:ascii="Times New Roman" w:hAnsi="Times New Roman" w:cs="Times New Roman"/>
          <w:sz w:val="24"/>
          <w:szCs w:val="24"/>
        </w:rPr>
        <w:t xml:space="preserve"> and shine down curve</w:t>
      </w:r>
      <w:r>
        <w:rPr>
          <w:rFonts w:ascii="Times New Roman" w:hAnsi="Times New Roman" w:cs="Times New Roman"/>
          <w:sz w:val="24"/>
          <w:szCs w:val="24"/>
        </w:rPr>
        <w:t xml:space="preserve"> were also checked before palaeodose calculations</w:t>
      </w:r>
      <w:r w:rsidR="00C17E7F">
        <w:rPr>
          <w:rFonts w:ascii="Times New Roman" w:hAnsi="Times New Roman" w:cs="Times New Roman"/>
          <w:sz w:val="24"/>
          <w:szCs w:val="24"/>
        </w:rPr>
        <w:t xml:space="preserve"> (Fig. 3</w:t>
      </w:r>
      <w:r w:rsidR="00142A35">
        <w:rPr>
          <w:rFonts w:ascii="Times New Roman" w:hAnsi="Times New Roman" w:cs="Times New Roman"/>
          <w:sz w:val="24"/>
          <w:szCs w:val="24"/>
        </w:rPr>
        <w:t>s)</w:t>
      </w:r>
      <w:r>
        <w:rPr>
          <w:rFonts w:ascii="Times New Roman" w:hAnsi="Times New Roman" w:cs="Times New Roman"/>
          <w:sz w:val="24"/>
          <w:szCs w:val="24"/>
        </w:rPr>
        <w:t xml:space="preserve">. The probable density distribution </w:t>
      </w:r>
      <w:r w:rsidR="0017041A">
        <w:rPr>
          <w:rFonts w:ascii="Times New Roman" w:hAnsi="Times New Roman" w:cs="Times New Roman"/>
          <w:sz w:val="24"/>
          <w:szCs w:val="24"/>
        </w:rPr>
        <w:t>of the tested samples show a bimodal d</w:t>
      </w:r>
      <w:r w:rsidR="00C17E7F">
        <w:rPr>
          <w:rFonts w:ascii="Times New Roman" w:hAnsi="Times New Roman" w:cs="Times New Roman"/>
          <w:sz w:val="24"/>
          <w:szCs w:val="24"/>
        </w:rPr>
        <w:t>istribution of paleodoses (Fig.3</w:t>
      </w:r>
      <w:r w:rsidR="0017041A">
        <w:rPr>
          <w:rFonts w:ascii="Times New Roman" w:hAnsi="Times New Roman" w:cs="Times New Roman"/>
          <w:sz w:val="24"/>
          <w:szCs w:val="24"/>
        </w:rPr>
        <w:t>sa)</w:t>
      </w:r>
      <w:r>
        <w:rPr>
          <w:rFonts w:ascii="Times New Roman" w:hAnsi="Times New Roman" w:cs="Times New Roman"/>
          <w:sz w:val="24"/>
          <w:szCs w:val="24"/>
        </w:rPr>
        <w:t xml:space="preserve"> which </w:t>
      </w:r>
      <w:r w:rsidR="0017041A">
        <w:rPr>
          <w:rFonts w:ascii="Times New Roman" w:hAnsi="Times New Roman" w:cs="Times New Roman"/>
          <w:sz w:val="24"/>
          <w:szCs w:val="24"/>
        </w:rPr>
        <w:t>may</w:t>
      </w:r>
      <w:r>
        <w:rPr>
          <w:rFonts w:ascii="Times New Roman" w:hAnsi="Times New Roman" w:cs="Times New Roman"/>
          <w:sz w:val="24"/>
          <w:szCs w:val="24"/>
        </w:rPr>
        <w:t xml:space="preserve"> suggest</w:t>
      </w:r>
      <w:r w:rsidR="0017041A">
        <w:rPr>
          <w:rFonts w:ascii="Times New Roman" w:hAnsi="Times New Roman" w:cs="Times New Roman"/>
          <w:sz w:val="24"/>
          <w:szCs w:val="24"/>
        </w:rPr>
        <w:t xml:space="preserve"> inhomogeneous</w:t>
      </w:r>
      <w:r>
        <w:rPr>
          <w:rFonts w:ascii="Times New Roman" w:hAnsi="Times New Roman" w:cs="Times New Roman"/>
          <w:sz w:val="24"/>
          <w:szCs w:val="24"/>
        </w:rPr>
        <w:t xml:space="preserve"> bleaching history </w:t>
      </w:r>
      <w:r w:rsidR="00435B9D">
        <w:rPr>
          <w:rFonts w:ascii="Times New Roman" w:hAnsi="Times New Roman" w:cs="Times New Roman"/>
          <w:sz w:val="24"/>
          <w:szCs w:val="24"/>
        </w:rPr>
        <w:t>of the sample. Similarly radial plot</w:t>
      </w:r>
      <w:r w:rsidR="0017041A">
        <w:rPr>
          <w:rFonts w:ascii="Times New Roman" w:hAnsi="Times New Roman" w:cs="Times New Roman"/>
          <w:sz w:val="24"/>
          <w:szCs w:val="24"/>
        </w:rPr>
        <w:t xml:space="preserve"> shows</w:t>
      </w:r>
      <w:r w:rsidR="00E164DA">
        <w:rPr>
          <w:rFonts w:ascii="Times New Roman" w:hAnsi="Times New Roman" w:cs="Times New Roman"/>
          <w:sz w:val="24"/>
          <w:szCs w:val="24"/>
        </w:rPr>
        <w:t xml:space="preserve"> large number of aliquots lied </w:t>
      </w:r>
      <w:r w:rsidR="004D0405">
        <w:rPr>
          <w:rFonts w:ascii="Times New Roman" w:hAnsi="Times New Roman" w:cs="Times New Roman"/>
          <w:sz w:val="24"/>
          <w:szCs w:val="24"/>
        </w:rPr>
        <w:t>with</w:t>
      </w:r>
      <w:r w:rsidR="00E164DA">
        <w:rPr>
          <w:rFonts w:ascii="Times New Roman" w:hAnsi="Times New Roman" w:cs="Times New Roman"/>
          <w:sz w:val="24"/>
          <w:szCs w:val="24"/>
        </w:rPr>
        <w:t>in 2 σ error limit</w:t>
      </w:r>
      <w:r w:rsidR="00C17E7F">
        <w:rPr>
          <w:rFonts w:ascii="Times New Roman" w:hAnsi="Times New Roman" w:cs="Times New Roman"/>
          <w:sz w:val="24"/>
          <w:szCs w:val="24"/>
        </w:rPr>
        <w:t xml:space="preserve"> (Fig. 3</w:t>
      </w:r>
      <w:r w:rsidR="0017041A">
        <w:rPr>
          <w:rFonts w:ascii="Times New Roman" w:hAnsi="Times New Roman" w:cs="Times New Roman"/>
          <w:sz w:val="24"/>
          <w:szCs w:val="24"/>
        </w:rPr>
        <w:t>sb)</w:t>
      </w:r>
      <w:r w:rsidR="00E164DA">
        <w:rPr>
          <w:rFonts w:ascii="Times New Roman" w:hAnsi="Times New Roman" w:cs="Times New Roman"/>
          <w:sz w:val="24"/>
          <w:szCs w:val="24"/>
        </w:rPr>
        <w:t xml:space="preserve">. </w:t>
      </w:r>
      <w:r w:rsidR="0017041A">
        <w:rPr>
          <w:rFonts w:ascii="Times New Roman" w:hAnsi="Times New Roman" w:cs="Times New Roman"/>
          <w:sz w:val="24"/>
          <w:szCs w:val="24"/>
        </w:rPr>
        <w:t xml:space="preserve">Figure </w:t>
      </w:r>
      <w:r w:rsidR="00C17E7F">
        <w:rPr>
          <w:rFonts w:ascii="Times New Roman" w:hAnsi="Times New Roman" w:cs="Times New Roman"/>
          <w:sz w:val="24"/>
          <w:szCs w:val="24"/>
        </w:rPr>
        <w:t>3</w:t>
      </w:r>
      <w:r w:rsidR="0017041A">
        <w:rPr>
          <w:rFonts w:ascii="Times New Roman" w:hAnsi="Times New Roman" w:cs="Times New Roman"/>
          <w:sz w:val="24"/>
          <w:szCs w:val="24"/>
        </w:rPr>
        <w:t>s</w:t>
      </w:r>
      <w:r w:rsidR="00FF5ECC">
        <w:rPr>
          <w:rFonts w:ascii="Times New Roman" w:hAnsi="Times New Roman" w:cs="Times New Roman"/>
          <w:sz w:val="24"/>
          <w:szCs w:val="24"/>
        </w:rPr>
        <w:t xml:space="preserve">c shows a typical quartz shine down curve as luminescence signal dropped down to less than 10% </w:t>
      </w:r>
      <w:r w:rsidR="00C17E7F">
        <w:rPr>
          <w:rFonts w:ascii="Times New Roman" w:hAnsi="Times New Roman" w:cs="Times New Roman"/>
          <w:sz w:val="24"/>
          <w:szCs w:val="24"/>
        </w:rPr>
        <w:t>in 10s. Figure 3</w:t>
      </w:r>
      <w:r w:rsidR="00FF5ECC">
        <w:rPr>
          <w:rFonts w:ascii="Times New Roman" w:hAnsi="Times New Roman" w:cs="Times New Roman"/>
          <w:sz w:val="24"/>
          <w:szCs w:val="24"/>
        </w:rPr>
        <w:t xml:space="preserve">sd shows a typical SAR growth curve. </w:t>
      </w:r>
      <w:r w:rsidR="00E24CE6">
        <w:rPr>
          <w:rFonts w:ascii="Times New Roman" w:hAnsi="Times New Roman" w:cs="Times New Roman"/>
          <w:sz w:val="24"/>
          <w:szCs w:val="24"/>
        </w:rPr>
        <w:t>Figures 4a to 4d show radial plots of all the samples.</w:t>
      </w:r>
    </w:p>
    <w:p w:rsidR="00D32BA9" w:rsidRPr="00D32BA9" w:rsidRDefault="00B77C56" w:rsidP="00D32BA9">
      <w:pPr>
        <w:jc w:val="both"/>
        <w:rPr>
          <w:rFonts w:ascii="Times New Roman" w:hAnsi="Times New Roman" w:cs="Times New Roman"/>
          <w:i/>
          <w:iCs/>
          <w:sz w:val="24"/>
        </w:rPr>
      </w:pPr>
      <w:r>
        <w:rPr>
          <w:rFonts w:ascii="Times New Roman" w:hAnsi="Times New Roman" w:cs="Times New Roman"/>
          <w:i/>
          <w:iCs/>
          <w:sz w:val="24"/>
        </w:rPr>
        <w:t>(B)</w:t>
      </w:r>
      <w:r>
        <w:rPr>
          <w:rFonts w:ascii="Times New Roman" w:hAnsi="Times New Roman" w:cs="Times New Roman"/>
          <w:i/>
          <w:iCs/>
          <w:sz w:val="24"/>
        </w:rPr>
        <w:tab/>
      </w:r>
      <w:r w:rsidR="00D32BA9" w:rsidRPr="00D32BA9">
        <w:rPr>
          <w:rFonts w:ascii="Times New Roman" w:hAnsi="Times New Roman" w:cs="Times New Roman"/>
          <w:i/>
          <w:iCs/>
          <w:sz w:val="24"/>
        </w:rPr>
        <w:t xml:space="preserve">Bleaching history </w:t>
      </w:r>
    </w:p>
    <w:p w:rsidR="00D32BA9" w:rsidRDefault="00BC75C1" w:rsidP="00D32BA9">
      <w:pPr>
        <w:spacing w:line="480" w:lineRule="auto"/>
        <w:jc w:val="both"/>
        <w:rPr>
          <w:rFonts w:ascii="Times New Roman" w:hAnsi="Times New Roman" w:cs="Times New Roman"/>
          <w:sz w:val="24"/>
        </w:rPr>
      </w:pPr>
      <w:r>
        <w:rPr>
          <w:rFonts w:ascii="Times New Roman" w:hAnsi="Times New Roman" w:cs="Times New Roman"/>
          <w:sz w:val="24"/>
        </w:rPr>
        <w:t>We performed bleaching test on all samples as per the methods suggested by Clarke (1996) and</w:t>
      </w:r>
      <w:r w:rsidR="00D32BA9">
        <w:rPr>
          <w:rFonts w:ascii="Times New Roman" w:hAnsi="Times New Roman" w:cs="Times New Roman"/>
          <w:sz w:val="24"/>
        </w:rPr>
        <w:t xml:space="preserve"> </w:t>
      </w:r>
      <w:proofErr w:type="spellStart"/>
      <w:r w:rsidR="00D32BA9">
        <w:rPr>
          <w:rFonts w:ascii="Times New Roman" w:hAnsi="Times New Roman" w:cs="Times New Roman"/>
          <w:sz w:val="24"/>
        </w:rPr>
        <w:t>Colls</w:t>
      </w:r>
      <w:proofErr w:type="spellEnd"/>
      <w:r w:rsidR="00D32BA9">
        <w:rPr>
          <w:rFonts w:ascii="Times New Roman" w:hAnsi="Times New Roman" w:cs="Times New Roman"/>
          <w:sz w:val="24"/>
        </w:rPr>
        <w:t xml:space="preserve"> et al.</w:t>
      </w:r>
      <w:r>
        <w:rPr>
          <w:rFonts w:ascii="Times New Roman" w:hAnsi="Times New Roman" w:cs="Times New Roman"/>
          <w:sz w:val="24"/>
        </w:rPr>
        <w:t xml:space="preserve"> (</w:t>
      </w:r>
      <w:r w:rsidR="00D32BA9">
        <w:rPr>
          <w:rFonts w:ascii="Times New Roman" w:hAnsi="Times New Roman" w:cs="Times New Roman"/>
          <w:sz w:val="24"/>
        </w:rPr>
        <w:t xml:space="preserve">2001). </w:t>
      </w:r>
      <w:r>
        <w:rPr>
          <w:rFonts w:ascii="Times New Roman" w:hAnsi="Times New Roman" w:cs="Times New Roman"/>
          <w:sz w:val="24"/>
        </w:rPr>
        <w:t>In this method t</w:t>
      </w:r>
      <w:r w:rsidR="00D32BA9">
        <w:rPr>
          <w:rFonts w:ascii="Times New Roman" w:hAnsi="Times New Roman" w:cs="Times New Roman"/>
          <w:sz w:val="24"/>
        </w:rPr>
        <w:t>he ratio of standard deviation to the mean palaeodose</w:t>
      </w:r>
      <w:r w:rsidR="006C2ADB">
        <w:rPr>
          <w:rFonts w:ascii="Times New Roman" w:hAnsi="Times New Roman" w:cs="Times New Roman"/>
          <w:sz w:val="24"/>
        </w:rPr>
        <w:t>,</w:t>
      </w:r>
      <w:r>
        <w:rPr>
          <w:rFonts w:ascii="Times New Roman" w:hAnsi="Times New Roman" w:cs="Times New Roman"/>
          <w:sz w:val="24"/>
        </w:rPr>
        <w:t xml:space="preserve"> called as</w:t>
      </w:r>
      <w:r w:rsidR="00D32BA9">
        <w:rPr>
          <w:rFonts w:ascii="Times New Roman" w:hAnsi="Times New Roman" w:cs="Times New Roman"/>
          <w:sz w:val="24"/>
        </w:rPr>
        <w:t xml:space="preserve"> coefficient of variation (S</w:t>
      </w:r>
      <w:r w:rsidR="00D32BA9" w:rsidRPr="00203ECD">
        <w:rPr>
          <w:rFonts w:ascii="Times New Roman" w:hAnsi="Times New Roman" w:cs="Times New Roman"/>
          <w:sz w:val="24"/>
          <w:vertAlign w:val="subscript"/>
        </w:rPr>
        <w:t>n</w:t>
      </w:r>
      <w:r w:rsidR="00D32BA9">
        <w:rPr>
          <w:rFonts w:ascii="Times New Roman" w:hAnsi="Times New Roman" w:cs="Times New Roman"/>
          <w:sz w:val="24"/>
        </w:rPr>
        <w:t>)</w:t>
      </w:r>
      <w:r w:rsidR="006C2ADB">
        <w:rPr>
          <w:rFonts w:ascii="Times New Roman" w:hAnsi="Times New Roman" w:cs="Times New Roman"/>
          <w:sz w:val="24"/>
        </w:rPr>
        <w:t>,</w:t>
      </w:r>
      <w:r>
        <w:rPr>
          <w:rFonts w:ascii="Times New Roman" w:hAnsi="Times New Roman" w:cs="Times New Roman"/>
          <w:sz w:val="24"/>
        </w:rPr>
        <w:t xml:space="preserve"> provides measure of bleaching</w:t>
      </w:r>
      <w:r w:rsidR="00D32BA9">
        <w:rPr>
          <w:rFonts w:ascii="Times New Roman" w:hAnsi="Times New Roman" w:cs="Times New Roman"/>
          <w:sz w:val="24"/>
        </w:rPr>
        <w:t>. The values of S</w:t>
      </w:r>
      <w:r w:rsidR="00D32BA9" w:rsidRPr="00203ECD">
        <w:rPr>
          <w:rFonts w:ascii="Times New Roman" w:hAnsi="Times New Roman" w:cs="Times New Roman"/>
          <w:sz w:val="24"/>
          <w:vertAlign w:val="subscript"/>
        </w:rPr>
        <w:t>n</w:t>
      </w:r>
      <w:r w:rsidR="00D32BA9" w:rsidRPr="00203ECD">
        <w:rPr>
          <w:rFonts w:ascii="Times New Roman" w:hAnsi="Times New Roman" w:cs="Times New Roman"/>
          <w:sz w:val="24"/>
        </w:rPr>
        <w:t xml:space="preserve">, </w:t>
      </w:r>
      <w:r w:rsidR="00D32BA9">
        <w:rPr>
          <w:rFonts w:ascii="Times New Roman" w:hAnsi="Times New Roman" w:cs="Times New Roman"/>
          <w:sz w:val="24"/>
        </w:rPr>
        <w:t xml:space="preserve">&lt; 0.05 refers to well-bleached; 0.05-0.1, refers to moderately well bleached; 0.1 - 0.15, moderately partially bleached; &gt; 0.15, partially bleached (Clarke, 1996). </w:t>
      </w:r>
      <w:r>
        <w:rPr>
          <w:rFonts w:ascii="Times New Roman" w:hAnsi="Times New Roman" w:cs="Times New Roman"/>
          <w:sz w:val="24"/>
        </w:rPr>
        <w:t xml:space="preserve"> Likewise, </w:t>
      </w:r>
      <w:r w:rsidR="006C2ADB">
        <w:rPr>
          <w:rFonts w:ascii="Times New Roman" w:hAnsi="Times New Roman" w:cs="Times New Roman"/>
          <w:sz w:val="24"/>
        </w:rPr>
        <w:t xml:space="preserve">in </w:t>
      </w:r>
      <w:r w:rsidR="00D32BA9">
        <w:rPr>
          <w:rFonts w:ascii="Times New Roman" w:hAnsi="Times New Roman" w:cs="Times New Roman"/>
          <w:sz w:val="24"/>
        </w:rPr>
        <w:t>well bleached sample, natural intensity of each aliquot</w:t>
      </w:r>
      <w:r w:rsidR="006C2ADB">
        <w:rPr>
          <w:rFonts w:ascii="Times New Roman" w:hAnsi="Times New Roman" w:cs="Times New Roman"/>
          <w:sz w:val="24"/>
        </w:rPr>
        <w:t xml:space="preserve"> </w:t>
      </w:r>
      <w:r w:rsidR="00D32BA9">
        <w:rPr>
          <w:rFonts w:ascii="Times New Roman" w:hAnsi="Times New Roman" w:cs="Times New Roman"/>
          <w:sz w:val="24"/>
        </w:rPr>
        <w:t>may vary</w:t>
      </w:r>
      <w:r w:rsidR="006C2ADB">
        <w:rPr>
          <w:rFonts w:ascii="Times New Roman" w:hAnsi="Times New Roman" w:cs="Times New Roman"/>
          <w:sz w:val="24"/>
        </w:rPr>
        <w:t xml:space="preserve"> significantly but this should be independent of scattering in the palaeodose</w:t>
      </w:r>
      <w:r w:rsidR="00D32BA9">
        <w:rPr>
          <w:rFonts w:ascii="Times New Roman" w:hAnsi="Times New Roman" w:cs="Times New Roman"/>
          <w:sz w:val="24"/>
        </w:rPr>
        <w:t>. Thus, the correlation coefficient (R</w:t>
      </w:r>
      <w:r w:rsidR="00D32BA9" w:rsidRPr="005235A5">
        <w:rPr>
          <w:rFonts w:ascii="Times New Roman" w:hAnsi="Times New Roman" w:cs="Times New Roman"/>
          <w:sz w:val="24"/>
          <w:vertAlign w:val="superscript"/>
        </w:rPr>
        <w:t>2</w:t>
      </w:r>
      <w:r w:rsidR="00D32BA9">
        <w:rPr>
          <w:rFonts w:ascii="Times New Roman" w:hAnsi="Times New Roman" w:cs="Times New Roman"/>
          <w:sz w:val="24"/>
        </w:rPr>
        <w:t xml:space="preserve">) of palaeodose and their natural intensities </w:t>
      </w:r>
      <w:r w:rsidR="006C2ADB">
        <w:rPr>
          <w:rFonts w:ascii="Times New Roman" w:hAnsi="Times New Roman" w:cs="Times New Roman"/>
          <w:sz w:val="24"/>
        </w:rPr>
        <w:t xml:space="preserve">of each aliquot </w:t>
      </w:r>
      <w:r w:rsidR="006C2ADB">
        <w:rPr>
          <w:rFonts w:ascii="Times New Roman" w:hAnsi="Times New Roman" w:cs="Times New Roman"/>
          <w:sz w:val="24"/>
        </w:rPr>
        <w:lastRenderedPageBreak/>
        <w:t>should be able to tell about bleaching</w:t>
      </w:r>
      <w:r w:rsidR="00D32BA9">
        <w:rPr>
          <w:rFonts w:ascii="Times New Roman" w:hAnsi="Times New Roman" w:cs="Times New Roman"/>
          <w:sz w:val="24"/>
        </w:rPr>
        <w:t xml:space="preserve"> history (</w:t>
      </w:r>
      <w:proofErr w:type="spellStart"/>
      <w:r w:rsidR="00D32BA9">
        <w:rPr>
          <w:rFonts w:ascii="Times New Roman" w:hAnsi="Times New Roman" w:cs="Times New Roman"/>
          <w:sz w:val="24"/>
        </w:rPr>
        <w:t>Colls</w:t>
      </w:r>
      <w:proofErr w:type="spellEnd"/>
      <w:r w:rsidR="00D32BA9">
        <w:rPr>
          <w:rFonts w:ascii="Times New Roman" w:hAnsi="Times New Roman" w:cs="Times New Roman"/>
          <w:sz w:val="24"/>
        </w:rPr>
        <w:t xml:space="preserve"> et al., 2001). The correlation coefficient (R</w:t>
      </w:r>
      <w:r w:rsidR="00D32BA9" w:rsidRPr="005235A5">
        <w:rPr>
          <w:rFonts w:ascii="Times New Roman" w:hAnsi="Times New Roman" w:cs="Times New Roman"/>
          <w:sz w:val="24"/>
          <w:vertAlign w:val="superscript"/>
        </w:rPr>
        <w:t>2</w:t>
      </w:r>
      <w:r w:rsidR="00D32BA9">
        <w:rPr>
          <w:rFonts w:ascii="Times New Roman" w:hAnsi="Times New Roman" w:cs="Times New Roman"/>
          <w:sz w:val="24"/>
        </w:rPr>
        <w:t>), &lt; 0.</w:t>
      </w:r>
      <w:r w:rsidR="00551FF6">
        <w:rPr>
          <w:rFonts w:ascii="Times New Roman" w:hAnsi="Times New Roman" w:cs="Times New Roman"/>
          <w:sz w:val="24"/>
        </w:rPr>
        <w:t>6</w:t>
      </w:r>
      <w:r w:rsidR="00D32BA9">
        <w:rPr>
          <w:rFonts w:ascii="Times New Roman" w:hAnsi="Times New Roman" w:cs="Times New Roman"/>
          <w:sz w:val="24"/>
        </w:rPr>
        <w:t xml:space="preserve"> r</w:t>
      </w:r>
      <w:r w:rsidR="00551FF6">
        <w:rPr>
          <w:rFonts w:ascii="Times New Roman" w:hAnsi="Times New Roman" w:cs="Times New Roman"/>
          <w:sz w:val="24"/>
        </w:rPr>
        <w:t>efers to well bleached and &gt; 0.6</w:t>
      </w:r>
      <w:r w:rsidR="00D32BA9">
        <w:rPr>
          <w:rFonts w:ascii="Times New Roman" w:hAnsi="Times New Roman" w:cs="Times New Roman"/>
          <w:sz w:val="24"/>
        </w:rPr>
        <w:t xml:space="preserve"> partially bleached</w:t>
      </w:r>
      <w:r w:rsidR="005D0EA5">
        <w:rPr>
          <w:rFonts w:ascii="Times New Roman" w:hAnsi="Times New Roman" w:cs="Times New Roman"/>
          <w:sz w:val="24"/>
        </w:rPr>
        <w:t xml:space="preserve"> and the results indicated that all the 33 samples are well bleached (table 1s)</w:t>
      </w:r>
      <w:r w:rsidR="00D32BA9">
        <w:rPr>
          <w:rFonts w:ascii="Times New Roman" w:hAnsi="Times New Roman" w:cs="Times New Roman"/>
          <w:sz w:val="24"/>
        </w:rPr>
        <w:t>. The coefficient of variation</w:t>
      </w:r>
      <w:r w:rsidR="006C2ADB">
        <w:rPr>
          <w:rFonts w:ascii="Times New Roman" w:hAnsi="Times New Roman" w:cs="Times New Roman"/>
          <w:sz w:val="24"/>
        </w:rPr>
        <w:t xml:space="preserve"> (S</w:t>
      </w:r>
      <w:r w:rsidR="006C2ADB" w:rsidRPr="00203ECD">
        <w:rPr>
          <w:rFonts w:ascii="Times New Roman" w:hAnsi="Times New Roman" w:cs="Times New Roman"/>
          <w:sz w:val="24"/>
          <w:vertAlign w:val="subscript"/>
        </w:rPr>
        <w:t>n</w:t>
      </w:r>
      <w:r w:rsidR="006C2ADB">
        <w:rPr>
          <w:rFonts w:ascii="Times New Roman" w:hAnsi="Times New Roman" w:cs="Times New Roman"/>
          <w:sz w:val="24"/>
        </w:rPr>
        <w:t>)</w:t>
      </w:r>
      <w:r w:rsidR="00C760D2">
        <w:rPr>
          <w:rFonts w:ascii="Times New Roman" w:hAnsi="Times New Roman" w:cs="Times New Roman"/>
          <w:sz w:val="24"/>
        </w:rPr>
        <w:t xml:space="preserve"> and correlation coefficient</w:t>
      </w:r>
      <w:r w:rsidR="006C2ADB">
        <w:rPr>
          <w:rFonts w:ascii="Times New Roman" w:hAnsi="Times New Roman" w:cs="Times New Roman"/>
          <w:sz w:val="24"/>
        </w:rPr>
        <w:t xml:space="preserve"> (R</w:t>
      </w:r>
      <w:r w:rsidR="006C2ADB" w:rsidRPr="005235A5">
        <w:rPr>
          <w:rFonts w:ascii="Times New Roman" w:hAnsi="Times New Roman" w:cs="Times New Roman"/>
          <w:sz w:val="24"/>
          <w:vertAlign w:val="superscript"/>
        </w:rPr>
        <w:t>2</w:t>
      </w:r>
      <w:r w:rsidR="006C2ADB">
        <w:rPr>
          <w:rFonts w:ascii="Times New Roman" w:hAnsi="Times New Roman" w:cs="Times New Roman"/>
          <w:sz w:val="24"/>
        </w:rPr>
        <w:t>)</w:t>
      </w:r>
      <w:r w:rsidR="00C760D2">
        <w:rPr>
          <w:rFonts w:ascii="Times New Roman" w:hAnsi="Times New Roman" w:cs="Times New Roman"/>
          <w:sz w:val="24"/>
        </w:rPr>
        <w:t xml:space="preserve"> both </w:t>
      </w:r>
      <w:r w:rsidR="00D32BA9">
        <w:rPr>
          <w:rFonts w:ascii="Times New Roman" w:hAnsi="Times New Roman" w:cs="Times New Roman"/>
          <w:sz w:val="24"/>
        </w:rPr>
        <w:t xml:space="preserve">show </w:t>
      </w:r>
      <w:r w:rsidR="00C15B63">
        <w:rPr>
          <w:rFonts w:ascii="Times New Roman" w:hAnsi="Times New Roman" w:cs="Times New Roman"/>
          <w:sz w:val="24"/>
        </w:rPr>
        <w:t>21</w:t>
      </w:r>
      <w:r w:rsidR="00C760D2">
        <w:rPr>
          <w:rFonts w:ascii="Times New Roman" w:hAnsi="Times New Roman" w:cs="Times New Roman"/>
          <w:sz w:val="24"/>
        </w:rPr>
        <w:t xml:space="preserve"> samples are moderately </w:t>
      </w:r>
      <w:r w:rsidR="00C15B63">
        <w:rPr>
          <w:rFonts w:ascii="Times New Roman" w:hAnsi="Times New Roman" w:cs="Times New Roman"/>
          <w:sz w:val="24"/>
        </w:rPr>
        <w:t>to well bleached, shown in Table 1s.</w:t>
      </w:r>
      <w:r w:rsidR="00D32BA9">
        <w:rPr>
          <w:rFonts w:ascii="Times New Roman" w:hAnsi="Times New Roman" w:cs="Times New Roman"/>
          <w:sz w:val="24"/>
        </w:rPr>
        <w:t xml:space="preserve"> </w:t>
      </w:r>
      <w:r w:rsidR="00444DAA">
        <w:rPr>
          <w:rFonts w:ascii="Times New Roman" w:hAnsi="Times New Roman" w:cs="Times New Roman"/>
          <w:sz w:val="24"/>
        </w:rPr>
        <w:t>Therefore to calculate the ages we utilized the weighted mean of all the paleodoses.</w:t>
      </w:r>
    </w:p>
    <w:p w:rsidR="00EA070A" w:rsidRDefault="00EA070A" w:rsidP="00692A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Reference</w:t>
      </w:r>
    </w:p>
    <w:p w:rsidR="00EA070A" w:rsidRDefault="00EA070A" w:rsidP="00692A6F">
      <w:pPr>
        <w:spacing w:after="0" w:line="480" w:lineRule="auto"/>
        <w:ind w:left="360" w:hanging="360"/>
        <w:rPr>
          <w:rFonts w:ascii="Times New Roman" w:eastAsia="Times New Roman" w:hAnsi="Times New Roman" w:cs="Times New Roman"/>
          <w:sz w:val="24"/>
          <w:szCs w:val="24"/>
          <w:lang w:bidi="hi-IN"/>
        </w:rPr>
      </w:pPr>
      <w:proofErr w:type="spellStart"/>
      <w:r w:rsidRPr="00EA070A">
        <w:rPr>
          <w:rFonts w:ascii="Times New Roman" w:eastAsia="Times New Roman" w:hAnsi="Times New Roman" w:cs="Times New Roman"/>
          <w:sz w:val="24"/>
          <w:szCs w:val="24"/>
          <w:lang w:bidi="hi-IN"/>
        </w:rPr>
        <w:t>B</w:t>
      </w:r>
      <w:r>
        <w:rPr>
          <w:rFonts w:ascii="Times New Roman" w:eastAsia="Times New Roman" w:hAnsi="Times New Roman" w:cs="Times New Roman"/>
          <w:sz w:val="24"/>
          <w:szCs w:val="24"/>
          <w:lang w:bidi="hi-IN"/>
        </w:rPr>
        <w:t>uylaert</w:t>
      </w:r>
      <w:proofErr w:type="spellEnd"/>
      <w:r>
        <w:rPr>
          <w:rFonts w:ascii="Times New Roman" w:eastAsia="Times New Roman" w:hAnsi="Times New Roman" w:cs="Times New Roman"/>
          <w:sz w:val="24"/>
          <w:szCs w:val="24"/>
          <w:lang w:bidi="hi-IN"/>
        </w:rPr>
        <w:t xml:space="preserve">, J.P., Murray, A.S., </w:t>
      </w:r>
      <w:proofErr w:type="spellStart"/>
      <w:r>
        <w:rPr>
          <w:rFonts w:ascii="Times New Roman" w:eastAsia="Times New Roman" w:hAnsi="Times New Roman" w:cs="Times New Roman"/>
          <w:sz w:val="24"/>
          <w:szCs w:val="24"/>
          <w:lang w:bidi="hi-IN"/>
        </w:rPr>
        <w:t>Huot</w:t>
      </w:r>
      <w:proofErr w:type="spellEnd"/>
      <w:r>
        <w:rPr>
          <w:rFonts w:ascii="Times New Roman" w:eastAsia="Times New Roman" w:hAnsi="Times New Roman" w:cs="Times New Roman"/>
          <w:sz w:val="24"/>
          <w:szCs w:val="24"/>
          <w:lang w:bidi="hi-IN"/>
        </w:rPr>
        <w:t>, S., 2008</w:t>
      </w:r>
      <w:r w:rsidRPr="00EA070A">
        <w:rPr>
          <w:rFonts w:ascii="Times New Roman" w:eastAsia="Times New Roman" w:hAnsi="Times New Roman" w:cs="Times New Roman"/>
          <w:sz w:val="24"/>
          <w:szCs w:val="24"/>
          <w:lang w:bidi="hi-IN"/>
        </w:rPr>
        <w:t xml:space="preserve">. Optical dating of an </w:t>
      </w:r>
      <w:proofErr w:type="spellStart"/>
      <w:r w:rsidRPr="00EA070A">
        <w:rPr>
          <w:rFonts w:ascii="Times New Roman" w:eastAsia="Times New Roman" w:hAnsi="Times New Roman" w:cs="Times New Roman"/>
          <w:sz w:val="24"/>
          <w:szCs w:val="24"/>
          <w:lang w:bidi="hi-IN"/>
        </w:rPr>
        <w:t>Eemian</w:t>
      </w:r>
      <w:proofErr w:type="spellEnd"/>
      <w:r w:rsidRPr="00EA070A">
        <w:rPr>
          <w:rFonts w:ascii="Times New Roman" w:eastAsia="Times New Roman" w:hAnsi="Times New Roman" w:cs="Times New Roman"/>
          <w:sz w:val="24"/>
          <w:szCs w:val="24"/>
          <w:lang w:bidi="hi-IN"/>
        </w:rPr>
        <w:t xml:space="preserve"> site in Northern Russia using K-feldspar. Radiation Measurements, 43, 715-720.</w:t>
      </w:r>
    </w:p>
    <w:p w:rsidR="00D32BA9" w:rsidRPr="00D32BA9" w:rsidRDefault="00D32BA9" w:rsidP="00D32BA9">
      <w:pPr>
        <w:spacing w:after="0" w:line="480" w:lineRule="auto"/>
        <w:ind w:left="360" w:hanging="360"/>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Clarke, M.L., </w:t>
      </w:r>
      <w:r w:rsidRPr="00D32BA9">
        <w:rPr>
          <w:rFonts w:ascii="Times New Roman" w:eastAsia="Times New Roman" w:hAnsi="Times New Roman" w:cs="Times New Roman"/>
          <w:sz w:val="24"/>
          <w:szCs w:val="24"/>
          <w:lang w:bidi="hi-IN"/>
        </w:rPr>
        <w:t>1996. IRSL dating of sands: bleaching characteristics at deposition inferred from the use of single aliquots. Radiation Measurements, 26, 611-620.</w:t>
      </w:r>
    </w:p>
    <w:p w:rsidR="00D32BA9" w:rsidRPr="00D32BA9" w:rsidRDefault="00D32BA9" w:rsidP="00D32BA9">
      <w:pPr>
        <w:spacing w:after="0" w:line="480" w:lineRule="auto"/>
        <w:ind w:left="360" w:hanging="360"/>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Colls</w:t>
      </w:r>
      <w:proofErr w:type="spellEnd"/>
      <w:r>
        <w:rPr>
          <w:rFonts w:ascii="Times New Roman" w:eastAsia="Times New Roman" w:hAnsi="Times New Roman" w:cs="Times New Roman"/>
          <w:sz w:val="24"/>
          <w:szCs w:val="24"/>
          <w:lang w:bidi="hi-IN"/>
        </w:rPr>
        <w:t xml:space="preserve">, A.E., Stokes, S., Blum, M.D., </w:t>
      </w:r>
      <w:proofErr w:type="spellStart"/>
      <w:r w:rsidRPr="00D32BA9">
        <w:rPr>
          <w:rFonts w:ascii="Times New Roman" w:eastAsia="Times New Roman" w:hAnsi="Times New Roman" w:cs="Times New Roman"/>
          <w:sz w:val="24"/>
          <w:szCs w:val="24"/>
          <w:lang w:bidi="hi-IN"/>
        </w:rPr>
        <w:t>Straffin</w:t>
      </w:r>
      <w:proofErr w:type="spellEnd"/>
      <w:r w:rsidRPr="00D32BA9">
        <w:rPr>
          <w:rFonts w:ascii="Times New Roman" w:eastAsia="Times New Roman" w:hAnsi="Times New Roman" w:cs="Times New Roman"/>
          <w:sz w:val="24"/>
          <w:szCs w:val="24"/>
          <w:lang w:bidi="hi-IN"/>
        </w:rPr>
        <w:t>, E.</w:t>
      </w:r>
      <w:r>
        <w:rPr>
          <w:rFonts w:ascii="Times New Roman" w:eastAsia="Times New Roman" w:hAnsi="Times New Roman" w:cs="Times New Roman"/>
          <w:sz w:val="24"/>
          <w:szCs w:val="24"/>
          <w:lang w:bidi="hi-IN"/>
        </w:rPr>
        <w:t>,</w:t>
      </w:r>
      <w:r w:rsidRPr="00D32BA9">
        <w:rPr>
          <w:rFonts w:ascii="Times New Roman" w:eastAsia="Times New Roman" w:hAnsi="Times New Roman" w:cs="Times New Roman"/>
          <w:sz w:val="24"/>
          <w:szCs w:val="24"/>
          <w:lang w:bidi="hi-IN"/>
        </w:rPr>
        <w:t xml:space="preserve"> 2001. Age limits on the Late Quaternary evolution of the upper Loire River. Quaternary Science Reviews, 20, 743-750.</w:t>
      </w:r>
    </w:p>
    <w:p w:rsidR="00F25C66" w:rsidRDefault="00F25C66" w:rsidP="00F25C66">
      <w:pPr>
        <w:autoSpaceDE w:val="0"/>
        <w:autoSpaceDN w:val="0"/>
        <w:adjustRightInd w:val="0"/>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Jain, M., </w:t>
      </w:r>
      <w:proofErr w:type="spellStart"/>
      <w:r>
        <w:rPr>
          <w:rFonts w:ascii="Times New Roman" w:hAnsi="Times New Roman" w:cs="Times New Roman"/>
          <w:sz w:val="24"/>
          <w:szCs w:val="24"/>
        </w:rPr>
        <w:t>Singhvi</w:t>
      </w:r>
      <w:proofErr w:type="spellEnd"/>
      <w:r>
        <w:rPr>
          <w:rFonts w:ascii="Times New Roman" w:hAnsi="Times New Roman" w:cs="Times New Roman"/>
          <w:sz w:val="24"/>
          <w:szCs w:val="24"/>
        </w:rPr>
        <w:t>, A.K., 2001. Limits to depletion of blue-green light stimulated luminescence in feldspars: implications for quartz dating. Radiation Measurements 33, 883-892.</w:t>
      </w:r>
    </w:p>
    <w:p w:rsidR="00EA070A" w:rsidRDefault="00EA070A" w:rsidP="00D32BA9">
      <w:pPr>
        <w:spacing w:after="0" w:line="480" w:lineRule="auto"/>
        <w:ind w:left="360" w:hanging="360"/>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Murray, A.</w:t>
      </w:r>
      <w:r w:rsidRPr="00EA070A">
        <w:rPr>
          <w:rFonts w:ascii="Times New Roman" w:eastAsia="Times New Roman" w:hAnsi="Times New Roman" w:cs="Times New Roman"/>
          <w:sz w:val="24"/>
          <w:szCs w:val="24"/>
          <w:lang w:bidi="hi-IN"/>
        </w:rPr>
        <w:t xml:space="preserve">S., </w:t>
      </w:r>
      <w:proofErr w:type="spellStart"/>
      <w:r>
        <w:rPr>
          <w:rFonts w:ascii="Times New Roman" w:eastAsia="Times New Roman" w:hAnsi="Times New Roman" w:cs="Times New Roman"/>
          <w:sz w:val="24"/>
          <w:szCs w:val="24"/>
          <w:lang w:bidi="hi-IN"/>
        </w:rPr>
        <w:t>Wintle</w:t>
      </w:r>
      <w:proofErr w:type="spellEnd"/>
      <w:r>
        <w:rPr>
          <w:rFonts w:ascii="Times New Roman" w:eastAsia="Times New Roman" w:hAnsi="Times New Roman" w:cs="Times New Roman"/>
          <w:sz w:val="24"/>
          <w:szCs w:val="24"/>
          <w:lang w:bidi="hi-IN"/>
        </w:rPr>
        <w:t>, A.</w:t>
      </w:r>
      <w:r w:rsidRPr="00EA070A">
        <w:rPr>
          <w:rFonts w:ascii="Times New Roman" w:eastAsia="Times New Roman" w:hAnsi="Times New Roman" w:cs="Times New Roman"/>
          <w:sz w:val="24"/>
          <w:szCs w:val="24"/>
          <w:lang w:bidi="hi-IN"/>
        </w:rPr>
        <w:t>G.</w:t>
      </w:r>
      <w:r>
        <w:rPr>
          <w:rFonts w:ascii="Times New Roman" w:eastAsia="Times New Roman" w:hAnsi="Times New Roman" w:cs="Times New Roman"/>
          <w:sz w:val="24"/>
          <w:szCs w:val="24"/>
          <w:lang w:bidi="hi-IN"/>
        </w:rPr>
        <w:t>,</w:t>
      </w:r>
      <w:r w:rsidRPr="00EA070A">
        <w:rPr>
          <w:rFonts w:ascii="Times New Roman" w:eastAsia="Times New Roman" w:hAnsi="Times New Roman" w:cs="Times New Roman"/>
          <w:sz w:val="24"/>
          <w:szCs w:val="24"/>
          <w:lang w:bidi="hi-IN"/>
        </w:rPr>
        <w:t xml:space="preserve"> 2003. The single aliquot regenerative dose protocol: potential for improvements in reliability. Radiation Measurements, 37, 377-381.</w:t>
      </w:r>
    </w:p>
    <w:p w:rsidR="00F25C66" w:rsidRDefault="00F25C66" w:rsidP="00F25C66">
      <w:pPr>
        <w:autoSpaceDE w:val="0"/>
        <w:autoSpaceDN w:val="0"/>
        <w:adjustRightInd w:val="0"/>
        <w:spacing w:line="360" w:lineRule="auto"/>
        <w:ind w:left="360" w:hanging="360"/>
        <w:rPr>
          <w:rFonts w:ascii="Times New Roman" w:eastAsia="Times New Roman" w:hAnsi="Times New Roman" w:cs="Times New Roman"/>
          <w:sz w:val="24"/>
          <w:szCs w:val="24"/>
        </w:rPr>
      </w:pPr>
      <w:r>
        <w:rPr>
          <w:rFonts w:ascii="Times New Roman" w:hAnsi="Times New Roman" w:cs="Times New Roman"/>
          <w:sz w:val="24"/>
          <w:szCs w:val="24"/>
        </w:rPr>
        <w:t>Prescott, J.R., Stephan, L.G., 1982. Contribution of cosmic radiation to environmental dose. PACT 6, 17-25.</w:t>
      </w:r>
    </w:p>
    <w:p w:rsidR="00F25C66" w:rsidRDefault="00F25C66" w:rsidP="00F25C66">
      <w:pPr>
        <w:autoSpaceDE w:val="0"/>
        <w:autoSpaceDN w:val="0"/>
        <w:adjustRightInd w:val="0"/>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Ray, Y., Srivastava, P., 2010. Widespread aggradation in the mountainous catchment of the Alaknanda Ganga River System: timescales and implications to </w:t>
      </w:r>
      <w:proofErr w:type="spellStart"/>
      <w:r>
        <w:rPr>
          <w:rFonts w:ascii="Times New Roman" w:hAnsi="Times New Roman" w:cs="Times New Roman"/>
          <w:sz w:val="24"/>
          <w:szCs w:val="24"/>
        </w:rPr>
        <w:t>interland</w:t>
      </w:r>
      <w:proofErr w:type="spellEnd"/>
      <w:r>
        <w:rPr>
          <w:rFonts w:ascii="Times New Roman" w:hAnsi="Times New Roman" w:cs="Times New Roman"/>
          <w:sz w:val="24"/>
          <w:szCs w:val="24"/>
        </w:rPr>
        <w:t xml:space="preserve"> foreland relationships. Quaternary Science Reviews 29, 2238-2260, </w:t>
      </w:r>
      <w:r>
        <w:rPr>
          <w:rStyle w:val="scdddoi"/>
          <w:rFonts w:ascii="Times New Roman" w:hAnsi="Times New Roman" w:cs="Times New Roman"/>
          <w:sz w:val="24"/>
          <w:szCs w:val="24"/>
        </w:rPr>
        <w:t>DOI: 10.1016/j.quascirev.2010.05.023</w:t>
      </w:r>
      <w:r>
        <w:rPr>
          <w:rFonts w:ascii="Times New Roman" w:hAnsi="Times New Roman" w:cs="Times New Roman"/>
          <w:sz w:val="24"/>
          <w:szCs w:val="24"/>
        </w:rPr>
        <w:t>.</w:t>
      </w:r>
    </w:p>
    <w:p w:rsidR="00F25C66" w:rsidRDefault="00F25C66" w:rsidP="00F25C66">
      <w:pPr>
        <w:autoSpaceDE w:val="0"/>
        <w:autoSpaceDN w:val="0"/>
        <w:adjustRightInd w:val="0"/>
        <w:spacing w:line="360" w:lineRule="auto"/>
        <w:ind w:left="360" w:hanging="360"/>
        <w:rPr>
          <w:rFonts w:ascii="Times New Roman" w:eastAsia="Times New Roman" w:hAnsi="Times New Roman" w:cs="Times New Roman"/>
          <w:sz w:val="24"/>
          <w:szCs w:val="24"/>
        </w:rPr>
      </w:pPr>
      <w:r>
        <w:rPr>
          <w:rFonts w:ascii="Times New Roman" w:hAnsi="Times New Roman" w:cs="Times New Roman"/>
          <w:sz w:val="24"/>
          <w:szCs w:val="24"/>
        </w:rPr>
        <w:t xml:space="preserve">Srivastava, P., Brook, G.A., Marais, E., </w:t>
      </w:r>
      <w:proofErr w:type="spellStart"/>
      <w:r>
        <w:rPr>
          <w:rFonts w:ascii="Times New Roman" w:hAnsi="Times New Roman" w:cs="Times New Roman"/>
          <w:sz w:val="24"/>
          <w:szCs w:val="24"/>
        </w:rPr>
        <w:t>Morthekai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Singhvi</w:t>
      </w:r>
      <w:proofErr w:type="spellEnd"/>
      <w:r>
        <w:rPr>
          <w:rFonts w:ascii="Times New Roman" w:hAnsi="Times New Roman" w:cs="Times New Roman"/>
          <w:sz w:val="24"/>
          <w:szCs w:val="24"/>
        </w:rPr>
        <w:t xml:space="preserve">, A.K., 2006. Depositional environment and OSL chronology of the </w:t>
      </w:r>
      <w:proofErr w:type="spellStart"/>
      <w:r>
        <w:rPr>
          <w:rFonts w:ascii="Times New Roman" w:hAnsi="Times New Roman" w:cs="Times New Roman"/>
          <w:sz w:val="24"/>
          <w:szCs w:val="24"/>
        </w:rPr>
        <w:t>Homeb</w:t>
      </w:r>
      <w:proofErr w:type="spellEnd"/>
      <w:r>
        <w:rPr>
          <w:rFonts w:ascii="Times New Roman" w:hAnsi="Times New Roman" w:cs="Times New Roman"/>
          <w:sz w:val="24"/>
          <w:szCs w:val="24"/>
        </w:rPr>
        <w:t xml:space="preserve"> silt deposits, </w:t>
      </w:r>
      <w:proofErr w:type="spellStart"/>
      <w:r>
        <w:rPr>
          <w:rFonts w:ascii="Times New Roman" w:hAnsi="Times New Roman" w:cs="Times New Roman"/>
          <w:sz w:val="24"/>
          <w:szCs w:val="24"/>
        </w:rPr>
        <w:t>Kuiseb</w:t>
      </w:r>
      <w:proofErr w:type="spellEnd"/>
      <w:r>
        <w:rPr>
          <w:rFonts w:ascii="Times New Roman" w:hAnsi="Times New Roman" w:cs="Times New Roman"/>
          <w:sz w:val="24"/>
          <w:szCs w:val="24"/>
        </w:rPr>
        <w:t xml:space="preserve"> River, Namibia. Quaternary Research 65, 478-491.</w:t>
      </w:r>
    </w:p>
    <w:p w:rsidR="00F25C66" w:rsidRDefault="00F25C66" w:rsidP="00F25C66">
      <w:pPr>
        <w:autoSpaceDE w:val="0"/>
        <w:autoSpaceDN w:val="0"/>
        <w:adjustRightInd w:val="0"/>
        <w:spacing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Srivastava, P., </w:t>
      </w:r>
      <w:proofErr w:type="spellStart"/>
      <w:r>
        <w:rPr>
          <w:rFonts w:ascii="Times New Roman" w:hAnsi="Times New Roman" w:cs="Times New Roman"/>
          <w:sz w:val="24"/>
          <w:szCs w:val="24"/>
        </w:rPr>
        <w:t>Tripathi</w:t>
      </w:r>
      <w:proofErr w:type="spellEnd"/>
      <w:r>
        <w:rPr>
          <w:rFonts w:ascii="Times New Roman" w:hAnsi="Times New Roman" w:cs="Times New Roman"/>
          <w:sz w:val="24"/>
          <w:szCs w:val="24"/>
        </w:rPr>
        <w:t xml:space="preserve">, J.K., Islam, R., </w:t>
      </w:r>
      <w:proofErr w:type="spellStart"/>
      <w:r>
        <w:rPr>
          <w:rFonts w:ascii="Times New Roman" w:hAnsi="Times New Roman" w:cs="Times New Roman"/>
          <w:sz w:val="24"/>
          <w:szCs w:val="24"/>
        </w:rPr>
        <w:t>Jaiswal</w:t>
      </w:r>
      <w:proofErr w:type="spellEnd"/>
      <w:r>
        <w:rPr>
          <w:rFonts w:ascii="Times New Roman" w:hAnsi="Times New Roman" w:cs="Times New Roman"/>
          <w:sz w:val="24"/>
          <w:szCs w:val="24"/>
        </w:rPr>
        <w:t xml:space="preserve">, M.K., 2008. Fashion and </w:t>
      </w:r>
      <w:proofErr w:type="gramStart"/>
      <w:r>
        <w:rPr>
          <w:rFonts w:ascii="Times New Roman" w:hAnsi="Times New Roman" w:cs="Times New Roman"/>
          <w:sz w:val="24"/>
          <w:szCs w:val="24"/>
        </w:rPr>
        <w:t>phases</w:t>
      </w:r>
      <w:proofErr w:type="gramEnd"/>
      <w:r>
        <w:rPr>
          <w:rFonts w:ascii="Times New Roman" w:hAnsi="Times New Roman" w:cs="Times New Roman"/>
          <w:sz w:val="24"/>
          <w:szCs w:val="24"/>
        </w:rPr>
        <w:t xml:space="preserve"> of Late Pleistocene aggradation and incision in Alaknanda River, western Himalaya, India. Quaternary Research 70, 68-80.</w:t>
      </w:r>
    </w:p>
    <w:p w:rsidR="00435B9D" w:rsidRPr="00435B9D" w:rsidRDefault="00435B9D" w:rsidP="00435B9D">
      <w:pPr>
        <w:tabs>
          <w:tab w:val="left" w:pos="0"/>
        </w:tabs>
        <w:spacing w:after="0" w:line="480" w:lineRule="auto"/>
        <w:ind w:left="360" w:hanging="360"/>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Wintle</w:t>
      </w:r>
      <w:proofErr w:type="spellEnd"/>
      <w:r>
        <w:rPr>
          <w:rFonts w:ascii="Times New Roman" w:eastAsia="Times New Roman" w:hAnsi="Times New Roman" w:cs="Times New Roman"/>
          <w:sz w:val="24"/>
          <w:szCs w:val="24"/>
          <w:lang w:bidi="hi-IN"/>
        </w:rPr>
        <w:t>, A.G.,</w:t>
      </w:r>
      <w:r w:rsidRPr="00435B9D">
        <w:rPr>
          <w:rFonts w:ascii="Times New Roman" w:eastAsia="Times New Roman" w:hAnsi="Times New Roman" w:cs="Times New Roman"/>
          <w:sz w:val="24"/>
          <w:szCs w:val="24"/>
          <w:lang w:bidi="hi-IN"/>
        </w:rPr>
        <w:t xml:space="preserve"> Murray, A.S.</w:t>
      </w:r>
      <w:r>
        <w:rPr>
          <w:rFonts w:ascii="Times New Roman" w:eastAsia="Times New Roman" w:hAnsi="Times New Roman" w:cs="Times New Roman"/>
          <w:sz w:val="24"/>
          <w:szCs w:val="24"/>
          <w:lang w:bidi="hi-IN"/>
        </w:rPr>
        <w:t>,</w:t>
      </w:r>
      <w:r w:rsidRPr="00435B9D">
        <w:rPr>
          <w:rFonts w:ascii="Times New Roman" w:eastAsia="Times New Roman" w:hAnsi="Times New Roman" w:cs="Times New Roman"/>
          <w:sz w:val="24"/>
          <w:szCs w:val="24"/>
          <w:lang w:bidi="hi-IN"/>
        </w:rPr>
        <w:t xml:space="preserve"> 2006. A review of quartz optically stimulated luminescence characteristics and their relevance in single-aliquot regeneration dating protocols. Radiation Measurements, 41, 369-391.</w:t>
      </w:r>
    </w:p>
    <w:p w:rsidR="00435B9D" w:rsidRPr="00EA070A" w:rsidRDefault="00435B9D" w:rsidP="00EA070A">
      <w:pPr>
        <w:spacing w:after="0" w:line="480" w:lineRule="auto"/>
        <w:ind w:left="360" w:hanging="360"/>
        <w:rPr>
          <w:rFonts w:ascii="Times New Roman" w:eastAsia="Times New Roman" w:hAnsi="Times New Roman" w:cs="Times New Roman"/>
          <w:sz w:val="24"/>
          <w:szCs w:val="24"/>
          <w:lang w:bidi="hi-IN"/>
        </w:rPr>
      </w:pPr>
    </w:p>
    <w:p w:rsidR="001A3E23" w:rsidRDefault="00724F22">
      <w:pPr>
        <w:spacing w:line="480" w:lineRule="auto"/>
        <w:jc w:val="both"/>
        <w:rPr>
          <w:rFonts w:ascii="Times New Roman" w:hAnsi="Times New Roman" w:cs="Times New Roman"/>
          <w:sz w:val="24"/>
          <w:szCs w:val="24"/>
        </w:rPr>
      </w:pPr>
      <w:r>
        <w:rPr>
          <w:rFonts w:ascii="Times New Roman" w:hAnsi="Times New Roman" w:cs="Times New Roman"/>
          <w:sz w:val="24"/>
          <w:szCs w:val="24"/>
        </w:rPr>
        <w:t>Figure 1s</w:t>
      </w:r>
      <w:r>
        <w:rPr>
          <w:rFonts w:ascii="Times New Roman" w:hAnsi="Times New Roman" w:cs="Times New Roman"/>
          <w:sz w:val="24"/>
          <w:szCs w:val="24"/>
        </w:rPr>
        <w:tab/>
        <w:t xml:space="preserve">(a) The preheat plateau test of sample LD-1047 representing the palaeodose is a function of preheat temperature. (b) A known dose (shown as dotted line) is recovered on </w:t>
      </w:r>
      <w:r w:rsidR="004E34B9">
        <w:rPr>
          <w:rFonts w:ascii="Times New Roman" w:hAnsi="Times New Roman" w:cs="Times New Roman"/>
          <w:sz w:val="24"/>
          <w:szCs w:val="24"/>
        </w:rPr>
        <w:t>variable preheat</w:t>
      </w:r>
      <w:r>
        <w:rPr>
          <w:rFonts w:ascii="Times New Roman" w:hAnsi="Times New Roman" w:cs="Times New Roman"/>
          <w:sz w:val="24"/>
          <w:szCs w:val="24"/>
        </w:rPr>
        <w:t xml:space="preserve"> temperature</w:t>
      </w:r>
      <w:r w:rsidR="004E34B9">
        <w:rPr>
          <w:rFonts w:ascii="Times New Roman" w:hAnsi="Times New Roman" w:cs="Times New Roman"/>
          <w:sz w:val="24"/>
          <w:szCs w:val="24"/>
        </w:rPr>
        <w:t xml:space="preserve"> ranging from 180° C to 270° C</w:t>
      </w:r>
      <w:r>
        <w:rPr>
          <w:rFonts w:ascii="Times New Roman" w:hAnsi="Times New Roman" w:cs="Times New Roman"/>
          <w:sz w:val="24"/>
          <w:szCs w:val="24"/>
        </w:rPr>
        <w:t>. At 220° C, the recovered palaeodose is very close to given dose (known dose) with low recuperation ratio.</w:t>
      </w:r>
    </w:p>
    <w:p w:rsidR="005F37E9" w:rsidRDefault="005F37E9" w:rsidP="00917223">
      <w:pPr>
        <w:spacing w:line="480" w:lineRule="auto"/>
        <w:jc w:val="both"/>
        <w:rPr>
          <w:rFonts w:ascii="Times New Roman" w:hAnsi="Times New Roman" w:cs="Times New Roman"/>
          <w:sz w:val="24"/>
          <w:szCs w:val="24"/>
        </w:rPr>
      </w:pPr>
      <w:r>
        <w:rPr>
          <w:rFonts w:ascii="Times New Roman" w:hAnsi="Times New Roman" w:cs="Times New Roman"/>
          <w:sz w:val="24"/>
          <w:szCs w:val="24"/>
        </w:rPr>
        <w:t>Figure 2s</w:t>
      </w:r>
      <w:r>
        <w:rPr>
          <w:rFonts w:ascii="Times New Roman" w:hAnsi="Times New Roman" w:cs="Times New Roman"/>
          <w:sz w:val="24"/>
          <w:szCs w:val="24"/>
        </w:rPr>
        <w:tab/>
      </w:r>
      <w:r w:rsidR="004E34B9">
        <w:rPr>
          <w:rFonts w:ascii="Times New Roman" w:hAnsi="Times New Roman" w:cs="Times New Roman"/>
          <w:sz w:val="24"/>
          <w:szCs w:val="24"/>
        </w:rPr>
        <w:t xml:space="preserve">The Luminescence characteristics of </w:t>
      </w:r>
      <w:r w:rsidR="00143D2B">
        <w:rPr>
          <w:rFonts w:ascii="Times New Roman" w:hAnsi="Times New Roman" w:cs="Times New Roman"/>
          <w:sz w:val="24"/>
          <w:szCs w:val="24"/>
        </w:rPr>
        <w:t xml:space="preserve">the </w:t>
      </w:r>
      <w:r w:rsidR="004E34B9">
        <w:rPr>
          <w:rFonts w:ascii="Times New Roman" w:hAnsi="Times New Roman" w:cs="Times New Roman"/>
          <w:sz w:val="24"/>
          <w:szCs w:val="24"/>
        </w:rPr>
        <w:t>sample LD-1047</w:t>
      </w:r>
      <w:r w:rsidR="00143D2B">
        <w:rPr>
          <w:rFonts w:ascii="Times New Roman" w:hAnsi="Times New Roman" w:cs="Times New Roman"/>
          <w:sz w:val="24"/>
          <w:szCs w:val="24"/>
        </w:rPr>
        <w:t>.</w:t>
      </w:r>
      <w:r w:rsidR="004E34B9">
        <w:rPr>
          <w:rFonts w:ascii="Times New Roman" w:hAnsi="Times New Roman" w:cs="Times New Roman"/>
          <w:sz w:val="24"/>
          <w:szCs w:val="24"/>
        </w:rPr>
        <w:t xml:space="preserve"> </w:t>
      </w:r>
      <w:r>
        <w:rPr>
          <w:rFonts w:ascii="Times New Roman" w:hAnsi="Times New Roman" w:cs="Times New Roman"/>
          <w:sz w:val="24"/>
          <w:szCs w:val="24"/>
        </w:rPr>
        <w:t xml:space="preserve">(a) The frequency </w:t>
      </w:r>
      <w:r w:rsidR="004E34B9">
        <w:rPr>
          <w:rFonts w:ascii="Times New Roman" w:hAnsi="Times New Roman" w:cs="Times New Roman"/>
          <w:sz w:val="24"/>
          <w:szCs w:val="24"/>
        </w:rPr>
        <w:t xml:space="preserve">histogram </w:t>
      </w:r>
      <w:r>
        <w:rPr>
          <w:rFonts w:ascii="Times New Roman" w:hAnsi="Times New Roman" w:cs="Times New Roman"/>
          <w:sz w:val="24"/>
          <w:szCs w:val="24"/>
        </w:rPr>
        <w:t xml:space="preserve">distribution of </w:t>
      </w:r>
      <w:r w:rsidR="004E34B9">
        <w:rPr>
          <w:rFonts w:ascii="Times New Roman" w:hAnsi="Times New Roman" w:cs="Times New Roman"/>
          <w:sz w:val="24"/>
          <w:szCs w:val="24"/>
        </w:rPr>
        <w:t xml:space="preserve">palaeodoses of </w:t>
      </w:r>
      <w:r>
        <w:rPr>
          <w:rFonts w:ascii="Times New Roman" w:hAnsi="Times New Roman" w:cs="Times New Roman"/>
          <w:sz w:val="24"/>
          <w:szCs w:val="24"/>
        </w:rPr>
        <w:t xml:space="preserve">sample LD-1047 </w:t>
      </w:r>
      <w:r w:rsidR="004E34B9">
        <w:rPr>
          <w:rFonts w:ascii="Times New Roman" w:hAnsi="Times New Roman" w:cs="Times New Roman"/>
          <w:sz w:val="24"/>
          <w:szCs w:val="24"/>
        </w:rPr>
        <w:t>showing narrow range of palaeodose. (b) In the radial plot of the palaeodoses, the red circles are with the 2 σ error, which contribute to the weighted mean age. (c) The probable density distribution of palaeodoses. (d) Natural shine down curve of</w:t>
      </w:r>
      <w:r w:rsidR="00143D2B">
        <w:rPr>
          <w:rFonts w:ascii="Times New Roman" w:hAnsi="Times New Roman" w:cs="Times New Roman"/>
          <w:sz w:val="24"/>
          <w:szCs w:val="24"/>
        </w:rPr>
        <w:t xml:space="preserve"> single aliquot of</w:t>
      </w:r>
      <w:r w:rsidR="004E34B9">
        <w:rPr>
          <w:rFonts w:ascii="Times New Roman" w:hAnsi="Times New Roman" w:cs="Times New Roman"/>
          <w:sz w:val="24"/>
          <w:szCs w:val="24"/>
        </w:rPr>
        <w:t xml:space="preserve"> 70 </w:t>
      </w:r>
      <w:r w:rsidR="00143D2B">
        <w:rPr>
          <w:rFonts w:ascii="Times New Roman" w:hAnsi="Times New Roman" w:cs="Times New Roman"/>
          <w:sz w:val="24"/>
          <w:szCs w:val="24"/>
        </w:rPr>
        <w:t>–</w:t>
      </w:r>
      <w:r w:rsidR="004E34B9">
        <w:rPr>
          <w:rFonts w:ascii="Times New Roman" w:hAnsi="Times New Roman" w:cs="Times New Roman"/>
          <w:sz w:val="24"/>
          <w:szCs w:val="24"/>
        </w:rPr>
        <w:t xml:space="preserve"> </w:t>
      </w:r>
      <w:r w:rsidR="00143D2B">
        <w:rPr>
          <w:rFonts w:ascii="Times New Roman" w:hAnsi="Times New Roman" w:cs="Times New Roman"/>
          <w:sz w:val="24"/>
          <w:szCs w:val="24"/>
        </w:rPr>
        <w:t>125 µm quartz</w:t>
      </w:r>
      <w:r w:rsidR="004E34B9">
        <w:rPr>
          <w:rFonts w:ascii="Times New Roman" w:hAnsi="Times New Roman" w:cs="Times New Roman"/>
          <w:sz w:val="24"/>
          <w:szCs w:val="24"/>
        </w:rPr>
        <w:t xml:space="preserve">. (e) </w:t>
      </w:r>
      <w:r w:rsidR="00143D2B">
        <w:rPr>
          <w:rFonts w:ascii="Times New Roman" w:hAnsi="Times New Roman" w:cs="Times New Roman"/>
          <w:sz w:val="24"/>
          <w:szCs w:val="24"/>
        </w:rPr>
        <w:t xml:space="preserve">The sensitivity corrected growth curve of the same aliquot. </w:t>
      </w:r>
    </w:p>
    <w:p w:rsidR="00917223" w:rsidRDefault="00917223" w:rsidP="00917223">
      <w:pPr>
        <w:pStyle w:val="BodyTextIndent2"/>
        <w:spacing w:line="480" w:lineRule="auto"/>
        <w:ind w:left="0" w:firstLine="0"/>
        <w:jc w:val="left"/>
      </w:pPr>
      <w:r>
        <w:t>Figure 3</w:t>
      </w:r>
      <w:r w:rsidR="00692A6F">
        <w:t>s</w:t>
      </w:r>
      <w:r>
        <w:t>.</w:t>
      </w:r>
      <w:r>
        <w:tab/>
        <w:t xml:space="preserve">(A) Infrared Stimulated Luminescence response of all the dated samples.  (B) IRSL response after Re-etching. Note that 7 out of 33 samples showed IRSL counts above 200 where double SAR protocol was used to further reduce the feldspar contamination. </w:t>
      </w:r>
    </w:p>
    <w:p w:rsidR="00E24CE6" w:rsidRDefault="00E24CE6" w:rsidP="00917223">
      <w:pPr>
        <w:pStyle w:val="BodyTextIndent2"/>
        <w:spacing w:line="480" w:lineRule="auto"/>
        <w:ind w:left="0" w:firstLine="0"/>
        <w:jc w:val="left"/>
      </w:pPr>
      <w:r>
        <w:t>Figure 4sa,b.c,d</w:t>
      </w:r>
      <w:r>
        <w:tab/>
        <w:t>Showing Radial plots paleodoses of all the samples analyzed</w:t>
      </w:r>
      <w:bookmarkStart w:id="0" w:name="_GoBack"/>
      <w:bookmarkEnd w:id="0"/>
      <w:r>
        <w:t xml:space="preserve"> and discussed in the study</w:t>
      </w:r>
    </w:p>
    <w:p w:rsidR="00917223" w:rsidRDefault="00917223">
      <w:pPr>
        <w:spacing w:line="480" w:lineRule="auto"/>
        <w:jc w:val="both"/>
        <w:rPr>
          <w:rFonts w:ascii="Times New Roman" w:hAnsi="Times New Roman" w:cs="Times New Roman"/>
          <w:sz w:val="24"/>
          <w:szCs w:val="24"/>
        </w:rPr>
      </w:pPr>
    </w:p>
    <w:p w:rsidR="00724F22" w:rsidRDefault="00D32BA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1s</w:t>
      </w:r>
      <w:r w:rsidR="00C15B63">
        <w:rPr>
          <w:rFonts w:ascii="Times New Roman" w:hAnsi="Times New Roman" w:cs="Times New Roman"/>
          <w:sz w:val="24"/>
          <w:szCs w:val="24"/>
        </w:rPr>
        <w:t xml:space="preserve"> </w:t>
      </w:r>
      <w:r w:rsidR="007D2740">
        <w:rPr>
          <w:rFonts w:ascii="Times New Roman" w:hAnsi="Times New Roman" w:cs="Times New Roman"/>
          <w:sz w:val="24"/>
          <w:szCs w:val="24"/>
        </w:rPr>
        <w:tab/>
      </w:r>
      <w:r w:rsidR="00C15B63">
        <w:rPr>
          <w:rFonts w:ascii="Times New Roman" w:hAnsi="Times New Roman" w:cs="Times New Roman"/>
          <w:sz w:val="24"/>
          <w:szCs w:val="24"/>
        </w:rPr>
        <w:t xml:space="preserve">Bleaching history of every sample is explained by </w:t>
      </w:r>
      <w:r w:rsidR="00C15B63">
        <w:rPr>
          <w:rFonts w:ascii="Times New Roman" w:hAnsi="Times New Roman" w:cs="Times New Roman"/>
          <w:sz w:val="24"/>
        </w:rPr>
        <w:t>coefficient of variation (S</w:t>
      </w:r>
      <w:r w:rsidR="00C15B63" w:rsidRPr="00203ECD">
        <w:rPr>
          <w:rFonts w:ascii="Times New Roman" w:hAnsi="Times New Roman" w:cs="Times New Roman"/>
          <w:sz w:val="24"/>
          <w:vertAlign w:val="subscript"/>
        </w:rPr>
        <w:t>n</w:t>
      </w:r>
      <w:r w:rsidR="00C15B63">
        <w:rPr>
          <w:rFonts w:ascii="Times New Roman" w:hAnsi="Times New Roman" w:cs="Times New Roman"/>
          <w:sz w:val="24"/>
        </w:rPr>
        <w:t xml:space="preserve">) and correlation </w:t>
      </w:r>
      <w:r w:rsidR="007D2740">
        <w:rPr>
          <w:rFonts w:ascii="Times New Roman" w:hAnsi="Times New Roman" w:cs="Times New Roman"/>
          <w:sz w:val="24"/>
        </w:rPr>
        <w:t>coefficient (R</w:t>
      </w:r>
      <w:r w:rsidR="007D2740" w:rsidRPr="005235A5">
        <w:rPr>
          <w:rFonts w:ascii="Times New Roman" w:hAnsi="Times New Roman" w:cs="Times New Roman"/>
          <w:sz w:val="24"/>
          <w:vertAlign w:val="superscript"/>
        </w:rPr>
        <w:t>2</w:t>
      </w:r>
      <w:r w:rsidR="007D2740">
        <w:rPr>
          <w:rFonts w:ascii="Times New Roman" w:hAnsi="Times New Roman" w:cs="Times New Roman"/>
          <w:sz w:val="24"/>
        </w:rPr>
        <w:t>).</w:t>
      </w:r>
    </w:p>
    <w:p w:rsidR="00C15B63" w:rsidRDefault="00C15B63" w:rsidP="00C15B63">
      <w:pPr>
        <w:spacing w:line="480" w:lineRule="auto"/>
        <w:jc w:val="both"/>
        <w:rPr>
          <w:rFonts w:ascii="Times New Roman" w:hAnsi="Times New Roman" w:cs="Times New Roman"/>
          <w:sz w:val="24"/>
          <w:szCs w:val="24"/>
        </w:rPr>
      </w:pPr>
      <w:r>
        <w:rPr>
          <w:rFonts w:ascii="Times New Roman" w:hAnsi="Times New Roman" w:cs="Times New Roman"/>
          <w:sz w:val="24"/>
          <w:szCs w:val="24"/>
        </w:rPr>
        <w:t>Table 1s</w:t>
      </w:r>
    </w:p>
    <w:tbl>
      <w:tblPr>
        <w:tblW w:w="8822" w:type="dxa"/>
        <w:tblLook w:val="04A0" w:firstRow="1" w:lastRow="0" w:firstColumn="1" w:lastColumn="0" w:noHBand="0" w:noVBand="1"/>
      </w:tblPr>
      <w:tblGrid>
        <w:gridCol w:w="960"/>
        <w:gridCol w:w="1285"/>
        <w:gridCol w:w="1240"/>
        <w:gridCol w:w="1387"/>
        <w:gridCol w:w="830"/>
        <w:gridCol w:w="3120"/>
      </w:tblGrid>
      <w:tr w:rsidR="00C15B63" w:rsidRPr="009A4BC9" w:rsidTr="001D414B">
        <w:trPr>
          <w:trHeight w:val="540"/>
        </w:trPr>
        <w:tc>
          <w:tcPr>
            <w:tcW w:w="960" w:type="dxa"/>
            <w:vMerge w:val="restart"/>
            <w:tcBorders>
              <w:top w:val="single" w:sz="4" w:space="0" w:color="auto"/>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Sr</w:t>
            </w:r>
            <w:proofErr w:type="spellEnd"/>
            <w:r w:rsidRPr="009A4BC9">
              <w:rPr>
                <w:rFonts w:ascii="Times New Roman" w:eastAsia="Times New Roman" w:hAnsi="Times New Roman" w:cs="Times New Roman"/>
                <w:b/>
                <w:bCs/>
                <w:color w:val="000000"/>
                <w:lang w:bidi="hi-IN"/>
              </w:rPr>
              <w:t xml:space="preserve"> no.</w:t>
            </w:r>
          </w:p>
        </w:tc>
        <w:tc>
          <w:tcPr>
            <w:tcW w:w="1285" w:type="dxa"/>
            <w:vMerge w:val="restart"/>
            <w:tcBorders>
              <w:top w:val="single" w:sz="4" w:space="0" w:color="auto"/>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b/>
                <w:bCs/>
                <w:color w:val="000000"/>
                <w:lang w:bidi="hi-IN"/>
              </w:rPr>
            </w:pPr>
            <w:r w:rsidRPr="009A4BC9">
              <w:rPr>
                <w:rFonts w:ascii="Times New Roman" w:eastAsia="Times New Roman" w:hAnsi="Times New Roman" w:cs="Times New Roman"/>
                <w:b/>
                <w:bCs/>
                <w:color w:val="000000"/>
                <w:lang w:bidi="hi-IN"/>
              </w:rPr>
              <w:t>Lab No</w:t>
            </w:r>
          </w:p>
        </w:tc>
        <w:tc>
          <w:tcPr>
            <w:tcW w:w="1240" w:type="dxa"/>
            <w:vMerge w:val="restart"/>
            <w:tcBorders>
              <w:top w:val="single" w:sz="4" w:space="0" w:color="auto"/>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b/>
                <w:bCs/>
                <w:color w:val="000000"/>
                <w:lang w:bidi="hi-IN"/>
              </w:rPr>
            </w:pPr>
            <w:r w:rsidRPr="009A4BC9">
              <w:rPr>
                <w:rFonts w:ascii="Times New Roman" w:eastAsia="Times New Roman" w:hAnsi="Times New Roman" w:cs="Times New Roman"/>
                <w:b/>
                <w:bCs/>
                <w:color w:val="000000"/>
                <w:lang w:bidi="hi-IN"/>
              </w:rPr>
              <w:t>Field Name</w:t>
            </w:r>
          </w:p>
        </w:tc>
        <w:tc>
          <w:tcPr>
            <w:tcW w:w="1387" w:type="dxa"/>
            <w:vMerge w:val="restart"/>
            <w:tcBorders>
              <w:top w:val="single" w:sz="4" w:space="0" w:color="auto"/>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b/>
                <w:bCs/>
                <w:color w:val="000000"/>
                <w:sz w:val="24"/>
                <w:szCs w:val="24"/>
                <w:lang w:bidi="hi-IN"/>
              </w:rPr>
            </w:pPr>
            <w:r w:rsidRPr="009A4BC9">
              <w:rPr>
                <w:rFonts w:ascii="Times New Roman" w:eastAsia="Times New Roman" w:hAnsi="Times New Roman" w:cs="Times New Roman"/>
                <w:b/>
                <w:bCs/>
                <w:color w:val="000000"/>
                <w:sz w:val="24"/>
                <w:szCs w:val="24"/>
                <w:lang w:bidi="hi-IN"/>
              </w:rPr>
              <w:t>Sn</w:t>
            </w:r>
          </w:p>
        </w:tc>
        <w:tc>
          <w:tcPr>
            <w:tcW w:w="830" w:type="dxa"/>
            <w:vMerge w:val="restart"/>
            <w:tcBorders>
              <w:top w:val="single" w:sz="4" w:space="0" w:color="auto"/>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b/>
                <w:bCs/>
                <w:color w:val="000000"/>
                <w:sz w:val="24"/>
                <w:szCs w:val="24"/>
                <w:lang w:bidi="hi-IN"/>
              </w:rPr>
            </w:pPr>
            <w:r w:rsidRPr="009A4BC9">
              <w:rPr>
                <w:rFonts w:ascii="Times New Roman" w:eastAsia="Times New Roman" w:hAnsi="Times New Roman" w:cs="Times New Roman"/>
                <w:b/>
                <w:bCs/>
                <w:color w:val="000000"/>
                <w:sz w:val="24"/>
                <w:szCs w:val="24"/>
                <w:lang w:bidi="hi-IN"/>
              </w:rPr>
              <w:t>R</w:t>
            </w:r>
            <w:r w:rsidRPr="009A4BC9">
              <w:rPr>
                <w:rFonts w:ascii="Times New Roman" w:eastAsia="Times New Roman" w:hAnsi="Times New Roman" w:cs="Times New Roman"/>
                <w:b/>
                <w:bCs/>
                <w:color w:val="000000"/>
                <w:sz w:val="24"/>
                <w:szCs w:val="24"/>
                <w:vertAlign w:val="superscript"/>
                <w:lang w:bidi="hi-IN"/>
              </w:rPr>
              <w:t>2</w:t>
            </w:r>
          </w:p>
        </w:tc>
        <w:tc>
          <w:tcPr>
            <w:tcW w:w="3120" w:type="dxa"/>
            <w:vMerge w:val="restart"/>
            <w:tcBorders>
              <w:top w:val="single" w:sz="4" w:space="0" w:color="auto"/>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b/>
                <w:bCs/>
                <w:color w:val="000000"/>
                <w:sz w:val="24"/>
                <w:szCs w:val="24"/>
                <w:lang w:bidi="hi-IN"/>
              </w:rPr>
            </w:pPr>
            <w:r w:rsidRPr="009A4BC9">
              <w:rPr>
                <w:rFonts w:ascii="Times New Roman" w:eastAsia="Times New Roman" w:hAnsi="Times New Roman" w:cs="Times New Roman"/>
                <w:b/>
                <w:bCs/>
                <w:color w:val="000000"/>
                <w:sz w:val="24"/>
                <w:szCs w:val="24"/>
                <w:lang w:bidi="hi-IN"/>
              </w:rPr>
              <w:t xml:space="preserve">Well Bleached (+) / Poorly Bleached (-) </w:t>
            </w:r>
          </w:p>
        </w:tc>
      </w:tr>
      <w:tr w:rsidR="00C15B63" w:rsidRPr="009A4BC9" w:rsidTr="001D414B">
        <w:trPr>
          <w:trHeight w:val="300"/>
        </w:trPr>
        <w:tc>
          <w:tcPr>
            <w:tcW w:w="960"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
        </w:tc>
        <w:tc>
          <w:tcPr>
            <w:tcW w:w="1285"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
        </w:tc>
        <w:tc>
          <w:tcPr>
            <w:tcW w:w="1240"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
        </w:tc>
        <w:tc>
          <w:tcPr>
            <w:tcW w:w="1387"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sz w:val="24"/>
                <w:szCs w:val="24"/>
                <w:lang w:bidi="hi-IN"/>
              </w:rPr>
            </w:pPr>
          </w:p>
        </w:tc>
        <w:tc>
          <w:tcPr>
            <w:tcW w:w="830"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sz w:val="24"/>
                <w:szCs w:val="24"/>
                <w:lang w:bidi="hi-IN"/>
              </w:rPr>
            </w:pPr>
          </w:p>
        </w:tc>
        <w:tc>
          <w:tcPr>
            <w:tcW w:w="3120"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sz w:val="24"/>
                <w:szCs w:val="24"/>
                <w:lang w:bidi="hi-IN"/>
              </w:rPr>
            </w:pPr>
          </w:p>
        </w:tc>
      </w:tr>
      <w:tr w:rsidR="00C15B63" w:rsidRPr="009A4BC9" w:rsidTr="001D414B">
        <w:trPr>
          <w:trHeight w:val="300"/>
        </w:trPr>
        <w:tc>
          <w:tcPr>
            <w:tcW w:w="8822" w:type="dxa"/>
            <w:gridSpan w:val="6"/>
            <w:tcBorders>
              <w:top w:val="single" w:sz="4" w:space="0" w:color="auto"/>
            </w:tcBorders>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Mahe</w:t>
            </w:r>
            <w:proofErr w:type="spellEnd"/>
            <w:r w:rsidRPr="009A4BC9">
              <w:rPr>
                <w:rFonts w:ascii="Times New Roman" w:eastAsia="Times New Roman" w:hAnsi="Times New Roman" w:cs="Times New Roman"/>
                <w:b/>
                <w:bCs/>
                <w:color w:val="000000"/>
                <w:lang w:bidi="hi-IN"/>
              </w:rPr>
              <w:t xml:space="preserve"> </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LD-1433</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IR-1</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0.231</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0.15</w:t>
            </w:r>
          </w:p>
        </w:tc>
        <w:tc>
          <w:tcPr>
            <w:tcW w:w="3120" w:type="dxa"/>
            <w:vMerge w:val="restart"/>
            <w:shd w:val="clear" w:color="auto" w:fill="auto"/>
            <w:noWrap/>
            <w:vAlign w:val="center"/>
            <w:hideMark/>
          </w:tcPr>
          <w:p w:rsidR="00C15B63" w:rsidRPr="009A4BC9" w:rsidRDefault="00C15B63" w:rsidP="00551FF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r w:rsidR="00551FF6">
              <w:rPr>
                <w:rFonts w:ascii="Calibri" w:eastAsia="Times New Roman" w:hAnsi="Calibri" w:cs="Times New Roman"/>
                <w:color w:val="000000"/>
                <w:lang w:bidi="hi-IN"/>
              </w:rPr>
              <w:t>+</w:t>
            </w: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LD-1047</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IND-15</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0.15</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0.09</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Niornis</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3</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LD-1048</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IND-16</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0.23</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0.48</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Kiari</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4</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LD-1063</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IND-17</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0.20</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0.03</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Gaik</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5</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LD-1064</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IND-18</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0.22</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0.02</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6</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LD-1065</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IND-19</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0.13</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0.02</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Tirido</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7</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LD-1066</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IND-20</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0.06</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8</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LD-1067</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IND-21</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0.22</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0.28</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Hymia</w:t>
            </w:r>
            <w:proofErr w:type="spellEnd"/>
            <w:r w:rsidRPr="009A4BC9">
              <w:rPr>
                <w:rFonts w:ascii="Times New Roman" w:eastAsia="Times New Roman" w:hAnsi="Times New Roman" w:cs="Times New Roman"/>
                <w:b/>
                <w:bCs/>
                <w:color w:val="000000"/>
                <w:lang w:bidi="hi-IN"/>
              </w:rPr>
              <w:t xml:space="preserve"> </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9</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LD-1068</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IND-22</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0.21</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0.002</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10</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LD-1069</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IND-23</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0.10</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0.18</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Upshi</w:t>
            </w:r>
            <w:proofErr w:type="spellEnd"/>
            <w:r w:rsidRPr="009A4BC9">
              <w:rPr>
                <w:rFonts w:ascii="Times New Roman" w:eastAsia="Times New Roman" w:hAnsi="Times New Roman" w:cs="Times New Roman"/>
                <w:b/>
                <w:bCs/>
                <w:color w:val="000000"/>
                <w:lang w:bidi="hi-IN"/>
              </w:rPr>
              <w:t xml:space="preserve"> </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11</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LD-1070</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IND-24</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0.11</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12</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LD-1046</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IND-14</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0.20</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0.02</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r w:rsidRPr="009A4BC9">
              <w:rPr>
                <w:rFonts w:ascii="Times New Roman" w:eastAsia="Times New Roman" w:hAnsi="Times New Roman" w:cs="Times New Roman"/>
                <w:b/>
                <w:bCs/>
                <w:color w:val="000000"/>
                <w:lang w:bidi="hi-IN"/>
              </w:rPr>
              <w:t xml:space="preserve">Kharu </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13</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LD-1045</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IND-13</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0.22</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0.05</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Stakna</w:t>
            </w:r>
            <w:proofErr w:type="spellEnd"/>
            <w:r w:rsidRPr="009A4BC9">
              <w:rPr>
                <w:rFonts w:ascii="Times New Roman" w:eastAsia="Times New Roman" w:hAnsi="Times New Roman" w:cs="Times New Roman"/>
                <w:b/>
                <w:bCs/>
                <w:color w:val="000000"/>
                <w:lang w:bidi="hi-IN"/>
              </w:rPr>
              <w:t xml:space="preserve"> </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14</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LD-1015</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IND-8</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0.14</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0.003</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15</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LD-1016</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IND-9</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0.17</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0.01</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16</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LD-1044</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IND-12</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0.19</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0.28</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Stakna</w:t>
            </w:r>
            <w:proofErr w:type="spellEnd"/>
            <w:r w:rsidRPr="009A4BC9">
              <w:rPr>
                <w:rFonts w:ascii="Times New Roman" w:eastAsia="Times New Roman" w:hAnsi="Times New Roman" w:cs="Times New Roman"/>
                <w:b/>
                <w:bCs/>
                <w:color w:val="000000"/>
                <w:lang w:bidi="hi-IN"/>
              </w:rPr>
              <w:t xml:space="preserve"> 1</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17</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LD-1017</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IND-10</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0.04</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0.113</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18</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LD-1043</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IND-11</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0.0531</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Stakna</w:t>
            </w:r>
            <w:proofErr w:type="spellEnd"/>
            <w:r w:rsidRPr="009A4BC9">
              <w:rPr>
                <w:rFonts w:ascii="Times New Roman" w:eastAsia="Times New Roman" w:hAnsi="Times New Roman" w:cs="Times New Roman"/>
                <w:b/>
                <w:bCs/>
                <w:color w:val="000000"/>
                <w:lang w:bidi="hi-IN"/>
              </w:rPr>
              <w:t xml:space="preserve"> 2</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19</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LD-985</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IND-25</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0.09</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0.02</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20</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LD-986</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IND-26</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0.35</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0.31</w:t>
            </w:r>
          </w:p>
        </w:tc>
        <w:tc>
          <w:tcPr>
            <w:tcW w:w="3120" w:type="dxa"/>
            <w:vMerge w:val="restart"/>
            <w:shd w:val="clear" w:color="auto" w:fill="auto"/>
            <w:noWrap/>
            <w:vAlign w:val="center"/>
            <w:hideMark/>
          </w:tcPr>
          <w:p w:rsidR="00C15B63" w:rsidRPr="009A4BC9" w:rsidRDefault="00C15B63" w:rsidP="00551FF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r w:rsidR="00551FF6">
              <w:rPr>
                <w:rFonts w:ascii="Calibri" w:eastAsia="Times New Roman" w:hAnsi="Calibri" w:cs="Times New Roman"/>
                <w:color w:val="000000"/>
                <w:lang w:bidi="hi-IN"/>
              </w:rPr>
              <w:t>+</w:t>
            </w: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r w:rsidRPr="009A4BC9">
              <w:rPr>
                <w:rFonts w:ascii="Times New Roman" w:eastAsia="Times New Roman" w:hAnsi="Times New Roman" w:cs="Times New Roman"/>
                <w:b/>
                <w:bCs/>
                <w:color w:val="000000"/>
                <w:lang w:bidi="hi-IN"/>
              </w:rPr>
              <w:t xml:space="preserve">Spituk </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21</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LD-1003</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IND-47</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0.5</w:t>
            </w:r>
            <w:r>
              <w:rPr>
                <w:rFonts w:ascii="Calibri" w:eastAsia="Times New Roman" w:hAnsi="Calibri" w:cs="Times New Roman"/>
                <w:color w:val="000000"/>
                <w:lang w:bidi="hi-IN"/>
              </w:rPr>
              <w:t>1</w:t>
            </w:r>
          </w:p>
        </w:tc>
        <w:tc>
          <w:tcPr>
            <w:tcW w:w="3120" w:type="dxa"/>
            <w:vMerge w:val="restart"/>
            <w:shd w:val="clear" w:color="auto" w:fill="auto"/>
            <w:noWrap/>
            <w:vAlign w:val="center"/>
            <w:hideMark/>
          </w:tcPr>
          <w:p w:rsidR="00C15B63" w:rsidRPr="009A4BC9" w:rsidRDefault="00C15B63" w:rsidP="00551FF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r w:rsidR="00551FF6">
              <w:rPr>
                <w:rFonts w:ascii="Calibri" w:eastAsia="Times New Roman" w:hAnsi="Calibri" w:cs="Times New Roman"/>
                <w:color w:val="000000"/>
                <w:lang w:bidi="hi-IN"/>
              </w:rPr>
              <w:t>+</w:t>
            </w: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Nimu</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22</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LD-1221</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ZIC-1</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0.12</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0.03</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r w:rsidRPr="009A4BC9">
              <w:rPr>
                <w:rFonts w:ascii="Times New Roman" w:eastAsia="Times New Roman" w:hAnsi="Times New Roman" w:cs="Times New Roman"/>
                <w:b/>
                <w:bCs/>
                <w:color w:val="000000"/>
                <w:lang w:bidi="hi-IN"/>
              </w:rPr>
              <w:t>Saspol</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23</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LD-1000</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IND-44</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0.22</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0.001</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24</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LD-990</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IND-43</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0.11</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0.24</w:t>
            </w:r>
          </w:p>
        </w:tc>
        <w:tc>
          <w:tcPr>
            <w:tcW w:w="3120" w:type="dxa"/>
            <w:vMerge w:val="restart"/>
            <w:shd w:val="clear" w:color="auto" w:fill="auto"/>
            <w:noWrap/>
            <w:vAlign w:val="center"/>
            <w:hideMark/>
          </w:tcPr>
          <w:p w:rsidR="00C15B63" w:rsidRPr="009A4BC9" w:rsidRDefault="00C15B63" w:rsidP="00551FF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r w:rsidR="00551FF6">
              <w:rPr>
                <w:rFonts w:ascii="Calibri" w:eastAsia="Times New Roman" w:hAnsi="Calibri" w:cs="Times New Roman"/>
                <w:color w:val="000000"/>
                <w:lang w:bidi="hi-IN"/>
              </w:rPr>
              <w:t>+</w:t>
            </w: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Nurla</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25</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LD-989</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IND-42</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0.13</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0.44</w:t>
            </w:r>
          </w:p>
        </w:tc>
        <w:tc>
          <w:tcPr>
            <w:tcW w:w="3120" w:type="dxa"/>
            <w:vMerge w:val="restart"/>
            <w:shd w:val="clear" w:color="auto" w:fill="auto"/>
            <w:noWrap/>
            <w:vAlign w:val="center"/>
            <w:hideMark/>
          </w:tcPr>
          <w:p w:rsidR="00C15B63" w:rsidRPr="009A4BC9" w:rsidRDefault="00C15B63" w:rsidP="00551FF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r w:rsidR="00551FF6">
              <w:rPr>
                <w:rFonts w:ascii="Calibri" w:eastAsia="Times New Roman" w:hAnsi="Calibri" w:cs="Times New Roman"/>
                <w:color w:val="000000"/>
                <w:lang w:bidi="hi-IN"/>
              </w:rPr>
              <w:t>+</w:t>
            </w: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Khalsi</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26</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LD-997</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IND-39</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0.17</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27</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LD-996</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IND-38</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0.25</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0.15</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28</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LD-998</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IND-40</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0.17</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0.3</w:t>
            </w:r>
            <w:r>
              <w:rPr>
                <w:rFonts w:ascii="Calibri" w:eastAsia="Times New Roman" w:hAnsi="Calibri" w:cs="Times New Roman"/>
                <w:color w:val="000000"/>
                <w:lang w:bidi="hi-IN"/>
              </w:rPr>
              <w:t>8</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Dumkhar</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29</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LD-995</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IND-37</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0.22</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0.22</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Skyurbuchan</w:t>
            </w:r>
            <w:proofErr w:type="spellEnd"/>
            <w:r w:rsidRPr="009A4BC9">
              <w:rPr>
                <w:rFonts w:ascii="Times New Roman" w:eastAsia="Times New Roman" w:hAnsi="Times New Roman" w:cs="Times New Roman"/>
                <w:b/>
                <w:bCs/>
                <w:color w:val="000000"/>
                <w:lang w:bidi="hi-IN"/>
              </w:rPr>
              <w:t xml:space="preserve"> </w:t>
            </w:r>
            <w:proofErr w:type="spellStart"/>
            <w:r w:rsidRPr="009A4BC9">
              <w:rPr>
                <w:rFonts w:ascii="Times New Roman" w:eastAsia="Times New Roman" w:hAnsi="Times New Roman" w:cs="Times New Roman"/>
                <w:b/>
                <w:bCs/>
                <w:color w:val="000000"/>
                <w:lang w:bidi="hi-IN"/>
              </w:rPr>
              <w:t>Gompa</w:t>
            </w:r>
            <w:proofErr w:type="spellEnd"/>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lastRenderedPageBreak/>
              <w:t>30</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LD-988</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IND-36</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0.01</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Skyurbuchan</w:t>
            </w:r>
            <w:proofErr w:type="spellEnd"/>
            <w:r w:rsidRPr="009A4BC9">
              <w:rPr>
                <w:rFonts w:ascii="Times New Roman" w:eastAsia="Times New Roman" w:hAnsi="Times New Roman" w:cs="Times New Roman"/>
                <w:b/>
                <w:bCs/>
                <w:color w:val="000000"/>
                <w:lang w:bidi="hi-IN"/>
              </w:rPr>
              <w:t xml:space="preserve"> Downstream</w:t>
            </w: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31</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LD-987</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IND-33</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0.15</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0.50</w:t>
            </w:r>
          </w:p>
        </w:tc>
        <w:tc>
          <w:tcPr>
            <w:tcW w:w="312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96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32</w:t>
            </w:r>
          </w:p>
        </w:tc>
        <w:tc>
          <w:tcPr>
            <w:tcW w:w="1285"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LD-993</w:t>
            </w:r>
          </w:p>
        </w:tc>
        <w:tc>
          <w:tcPr>
            <w:tcW w:w="1240" w:type="dxa"/>
            <w:vMerge w:val="restart"/>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IND-34</w:t>
            </w:r>
          </w:p>
        </w:tc>
        <w:tc>
          <w:tcPr>
            <w:tcW w:w="1387"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0.16</w:t>
            </w:r>
          </w:p>
        </w:tc>
        <w:tc>
          <w:tcPr>
            <w:tcW w:w="830" w:type="dxa"/>
            <w:vMerge w:val="restart"/>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0.14</w:t>
            </w:r>
          </w:p>
        </w:tc>
        <w:tc>
          <w:tcPr>
            <w:tcW w:w="3120" w:type="dxa"/>
            <w:vMerge w:val="restart"/>
            <w:shd w:val="clear" w:color="auto" w:fill="auto"/>
            <w:noWrap/>
            <w:vAlign w:val="center"/>
            <w:hideMark/>
          </w:tcPr>
          <w:p w:rsidR="00C15B63" w:rsidRPr="009A4BC9" w:rsidRDefault="00551FF6" w:rsidP="00B121E6">
            <w:pPr>
              <w:spacing w:after="0" w:line="240" w:lineRule="auto"/>
              <w:jc w:val="center"/>
              <w:rPr>
                <w:rFonts w:ascii="Calibri" w:eastAsia="Times New Roman" w:hAnsi="Calibri" w:cs="Times New Roman"/>
                <w:color w:val="000000"/>
                <w:lang w:bidi="hi-IN"/>
              </w:rPr>
            </w:pPr>
            <w:r>
              <w:rPr>
                <w:rFonts w:ascii="Calibri" w:eastAsia="Times New Roman" w:hAnsi="Calibri" w:cs="Times New Roman"/>
                <w:color w:val="000000"/>
                <w:lang w:bidi="hi-IN"/>
              </w:rPr>
              <w:t>(-)/(+</w:t>
            </w:r>
            <w:r w:rsidR="00C15B63"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r w:rsidR="00C15B63" w:rsidRPr="009A4BC9" w:rsidTr="001D414B">
        <w:trPr>
          <w:trHeight w:val="300"/>
        </w:trPr>
        <w:tc>
          <w:tcPr>
            <w:tcW w:w="8822" w:type="dxa"/>
            <w:gridSpan w:val="6"/>
            <w:shd w:val="clear" w:color="auto" w:fill="auto"/>
            <w:noWrap/>
            <w:vAlign w:val="center"/>
            <w:hideMark/>
          </w:tcPr>
          <w:p w:rsidR="00C15B63" w:rsidRPr="009A4BC9" w:rsidRDefault="00C15B63" w:rsidP="00B121E6">
            <w:pPr>
              <w:spacing w:after="0" w:line="240" w:lineRule="auto"/>
              <w:rPr>
                <w:rFonts w:ascii="Times New Roman" w:eastAsia="Times New Roman" w:hAnsi="Times New Roman" w:cs="Times New Roman"/>
                <w:b/>
                <w:bCs/>
                <w:color w:val="000000"/>
                <w:lang w:bidi="hi-IN"/>
              </w:rPr>
            </w:pPr>
            <w:proofErr w:type="spellStart"/>
            <w:r w:rsidRPr="009A4BC9">
              <w:rPr>
                <w:rFonts w:ascii="Times New Roman" w:eastAsia="Times New Roman" w:hAnsi="Times New Roman" w:cs="Times New Roman"/>
                <w:b/>
                <w:bCs/>
                <w:color w:val="000000"/>
                <w:lang w:bidi="hi-IN"/>
              </w:rPr>
              <w:t>Biamah</w:t>
            </w:r>
            <w:proofErr w:type="spellEnd"/>
          </w:p>
        </w:tc>
      </w:tr>
      <w:tr w:rsidR="00C15B63" w:rsidRPr="009A4BC9" w:rsidTr="001D414B">
        <w:trPr>
          <w:trHeight w:val="300"/>
        </w:trPr>
        <w:tc>
          <w:tcPr>
            <w:tcW w:w="960" w:type="dxa"/>
            <w:vMerge w:val="restart"/>
            <w:tcBorders>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33</w:t>
            </w:r>
          </w:p>
        </w:tc>
        <w:tc>
          <w:tcPr>
            <w:tcW w:w="1285" w:type="dxa"/>
            <w:vMerge w:val="restart"/>
            <w:tcBorders>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LD-991</w:t>
            </w:r>
          </w:p>
        </w:tc>
        <w:tc>
          <w:tcPr>
            <w:tcW w:w="1240" w:type="dxa"/>
            <w:vMerge w:val="restart"/>
            <w:tcBorders>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Times New Roman" w:eastAsia="Times New Roman" w:hAnsi="Times New Roman" w:cs="Times New Roman"/>
                <w:color w:val="000000"/>
                <w:lang w:bidi="hi-IN"/>
              </w:rPr>
            </w:pPr>
            <w:r w:rsidRPr="009A4BC9">
              <w:rPr>
                <w:rFonts w:ascii="Times New Roman" w:eastAsia="Times New Roman" w:hAnsi="Times New Roman" w:cs="Times New Roman"/>
                <w:color w:val="000000"/>
                <w:lang w:bidi="hi-IN"/>
              </w:rPr>
              <w:t>IND-31</w:t>
            </w:r>
          </w:p>
        </w:tc>
        <w:tc>
          <w:tcPr>
            <w:tcW w:w="1387" w:type="dxa"/>
            <w:vMerge w:val="restart"/>
            <w:tcBorders>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0.21</w:t>
            </w:r>
          </w:p>
        </w:tc>
        <w:tc>
          <w:tcPr>
            <w:tcW w:w="830" w:type="dxa"/>
            <w:vMerge w:val="restart"/>
            <w:tcBorders>
              <w:bottom w:val="single" w:sz="4" w:space="0" w:color="auto"/>
            </w:tcBorders>
            <w:shd w:val="clear" w:color="auto" w:fill="auto"/>
            <w:noWrap/>
            <w:vAlign w:val="center"/>
            <w:hideMark/>
          </w:tcPr>
          <w:p w:rsidR="00C15B63" w:rsidRPr="009A4BC9" w:rsidRDefault="00C15B63" w:rsidP="00B121E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0.24</w:t>
            </w:r>
          </w:p>
        </w:tc>
        <w:tc>
          <w:tcPr>
            <w:tcW w:w="3120" w:type="dxa"/>
            <w:vMerge w:val="restart"/>
            <w:tcBorders>
              <w:bottom w:val="single" w:sz="4" w:space="0" w:color="auto"/>
            </w:tcBorders>
            <w:shd w:val="clear" w:color="auto" w:fill="auto"/>
            <w:noWrap/>
            <w:vAlign w:val="center"/>
            <w:hideMark/>
          </w:tcPr>
          <w:p w:rsidR="00C15B63" w:rsidRPr="009A4BC9" w:rsidRDefault="00C15B63" w:rsidP="00551FF6">
            <w:pPr>
              <w:spacing w:after="0" w:line="240" w:lineRule="auto"/>
              <w:jc w:val="center"/>
              <w:rPr>
                <w:rFonts w:ascii="Calibri" w:eastAsia="Times New Roman" w:hAnsi="Calibri" w:cs="Times New Roman"/>
                <w:color w:val="000000"/>
                <w:lang w:bidi="hi-IN"/>
              </w:rPr>
            </w:pPr>
            <w:r w:rsidRPr="009A4BC9">
              <w:rPr>
                <w:rFonts w:ascii="Calibri" w:eastAsia="Times New Roman" w:hAnsi="Calibri" w:cs="Times New Roman"/>
                <w:color w:val="000000"/>
                <w:lang w:bidi="hi-IN"/>
              </w:rPr>
              <w:t>(-/(</w:t>
            </w:r>
            <w:r w:rsidR="00551FF6">
              <w:rPr>
                <w:rFonts w:ascii="Calibri" w:eastAsia="Times New Roman" w:hAnsi="Calibri" w:cs="Times New Roman"/>
                <w:color w:val="000000"/>
                <w:lang w:bidi="hi-IN"/>
              </w:rPr>
              <w:t>+</w:t>
            </w:r>
            <w:r w:rsidRPr="009A4BC9">
              <w:rPr>
                <w:rFonts w:ascii="Calibri" w:eastAsia="Times New Roman" w:hAnsi="Calibri" w:cs="Times New Roman"/>
                <w:color w:val="000000"/>
                <w:lang w:bidi="hi-IN"/>
              </w:rPr>
              <w:t>)</w:t>
            </w:r>
          </w:p>
        </w:tc>
      </w:tr>
      <w:tr w:rsidR="00C15B63" w:rsidRPr="009A4BC9" w:rsidTr="001D414B">
        <w:trPr>
          <w:trHeight w:val="300"/>
        </w:trPr>
        <w:tc>
          <w:tcPr>
            <w:tcW w:w="960"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85"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240" w:type="dxa"/>
            <w:vMerge/>
            <w:tcBorders>
              <w:bottom w:val="single" w:sz="4" w:space="0" w:color="auto"/>
            </w:tcBorders>
            <w:vAlign w:val="center"/>
            <w:hideMark/>
          </w:tcPr>
          <w:p w:rsidR="00C15B63" w:rsidRPr="009A4BC9" w:rsidRDefault="00C15B63" w:rsidP="00B121E6">
            <w:pPr>
              <w:spacing w:after="0" w:line="240" w:lineRule="auto"/>
              <w:rPr>
                <w:rFonts w:ascii="Times New Roman" w:eastAsia="Times New Roman" w:hAnsi="Times New Roman" w:cs="Times New Roman"/>
                <w:color w:val="000000"/>
                <w:lang w:bidi="hi-IN"/>
              </w:rPr>
            </w:pPr>
          </w:p>
        </w:tc>
        <w:tc>
          <w:tcPr>
            <w:tcW w:w="1387" w:type="dxa"/>
            <w:vMerge/>
            <w:tcBorders>
              <w:bottom w:val="single" w:sz="4" w:space="0" w:color="auto"/>
            </w:tcBorders>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830" w:type="dxa"/>
            <w:vMerge/>
            <w:tcBorders>
              <w:bottom w:val="single" w:sz="4" w:space="0" w:color="auto"/>
            </w:tcBorders>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c>
          <w:tcPr>
            <w:tcW w:w="3120" w:type="dxa"/>
            <w:vMerge/>
            <w:tcBorders>
              <w:bottom w:val="single" w:sz="4" w:space="0" w:color="auto"/>
            </w:tcBorders>
            <w:vAlign w:val="center"/>
            <w:hideMark/>
          </w:tcPr>
          <w:p w:rsidR="00C15B63" w:rsidRPr="009A4BC9" w:rsidRDefault="00C15B63" w:rsidP="00B121E6">
            <w:pPr>
              <w:spacing w:after="0" w:line="240" w:lineRule="auto"/>
              <w:rPr>
                <w:rFonts w:ascii="Calibri" w:eastAsia="Times New Roman" w:hAnsi="Calibri" w:cs="Times New Roman"/>
                <w:color w:val="000000"/>
                <w:lang w:bidi="hi-IN"/>
              </w:rPr>
            </w:pPr>
          </w:p>
        </w:tc>
      </w:tr>
    </w:tbl>
    <w:p w:rsidR="00C15B63" w:rsidRPr="007C319E" w:rsidRDefault="00C15B63">
      <w:pPr>
        <w:spacing w:line="480" w:lineRule="auto"/>
        <w:jc w:val="both"/>
        <w:rPr>
          <w:rFonts w:ascii="Times New Roman" w:hAnsi="Times New Roman" w:cs="Times New Roman"/>
          <w:sz w:val="24"/>
          <w:szCs w:val="24"/>
        </w:rPr>
      </w:pPr>
    </w:p>
    <w:sectPr w:rsidR="00C15B63" w:rsidRPr="007C31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A3" w:rsidRDefault="00D242A3" w:rsidP="009D42B4">
      <w:pPr>
        <w:spacing w:after="0" w:line="240" w:lineRule="auto"/>
      </w:pPr>
      <w:r>
        <w:separator/>
      </w:r>
    </w:p>
  </w:endnote>
  <w:endnote w:type="continuationSeparator" w:id="0">
    <w:p w:rsidR="00D242A3" w:rsidRDefault="00D242A3" w:rsidP="009D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B4" w:rsidRDefault="009D4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310727"/>
      <w:docPartObj>
        <w:docPartGallery w:val="Page Numbers (Bottom of Page)"/>
        <w:docPartUnique/>
      </w:docPartObj>
    </w:sdtPr>
    <w:sdtEndPr>
      <w:rPr>
        <w:noProof/>
      </w:rPr>
    </w:sdtEndPr>
    <w:sdtContent>
      <w:p w:rsidR="009D42B4" w:rsidRDefault="009D42B4">
        <w:pPr>
          <w:pStyle w:val="Footer"/>
          <w:jc w:val="right"/>
        </w:pPr>
        <w:r>
          <w:fldChar w:fldCharType="begin"/>
        </w:r>
        <w:r>
          <w:instrText xml:space="preserve"> PAGE   \* MERGEFORMAT </w:instrText>
        </w:r>
        <w:r>
          <w:fldChar w:fldCharType="separate"/>
        </w:r>
        <w:r w:rsidR="00E24CE6">
          <w:rPr>
            <w:noProof/>
          </w:rPr>
          <w:t>2</w:t>
        </w:r>
        <w:r>
          <w:rPr>
            <w:noProof/>
          </w:rPr>
          <w:fldChar w:fldCharType="end"/>
        </w:r>
      </w:p>
    </w:sdtContent>
  </w:sdt>
  <w:p w:rsidR="009D42B4" w:rsidRDefault="009D42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B4" w:rsidRDefault="009D4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A3" w:rsidRDefault="00D242A3" w:rsidP="009D42B4">
      <w:pPr>
        <w:spacing w:after="0" w:line="240" w:lineRule="auto"/>
      </w:pPr>
      <w:r>
        <w:separator/>
      </w:r>
    </w:p>
  </w:footnote>
  <w:footnote w:type="continuationSeparator" w:id="0">
    <w:p w:rsidR="00D242A3" w:rsidRDefault="00D242A3" w:rsidP="009D4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B4" w:rsidRDefault="009D4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B4" w:rsidRDefault="009D42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2B4" w:rsidRDefault="009D4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95"/>
    <w:rsid w:val="00014190"/>
    <w:rsid w:val="00016DB7"/>
    <w:rsid w:val="000975EF"/>
    <w:rsid w:val="0011247C"/>
    <w:rsid w:val="00142A35"/>
    <w:rsid w:val="00143D2B"/>
    <w:rsid w:val="0017041A"/>
    <w:rsid w:val="001A3E23"/>
    <w:rsid w:val="001B56CD"/>
    <w:rsid w:val="001D414B"/>
    <w:rsid w:val="002A5857"/>
    <w:rsid w:val="002D7379"/>
    <w:rsid w:val="00315EF8"/>
    <w:rsid w:val="003C2D03"/>
    <w:rsid w:val="00435B9D"/>
    <w:rsid w:val="00444DAA"/>
    <w:rsid w:val="004855DC"/>
    <w:rsid w:val="004B416B"/>
    <w:rsid w:val="004D0405"/>
    <w:rsid w:val="004D0995"/>
    <w:rsid w:val="004E34B9"/>
    <w:rsid w:val="00551FF6"/>
    <w:rsid w:val="005D0EA5"/>
    <w:rsid w:val="005F37E9"/>
    <w:rsid w:val="00692A6F"/>
    <w:rsid w:val="006C2ADB"/>
    <w:rsid w:val="00724F22"/>
    <w:rsid w:val="00761350"/>
    <w:rsid w:val="0076435E"/>
    <w:rsid w:val="007C319E"/>
    <w:rsid w:val="007C38C7"/>
    <w:rsid w:val="007D2740"/>
    <w:rsid w:val="008E353E"/>
    <w:rsid w:val="00917223"/>
    <w:rsid w:val="009D42B4"/>
    <w:rsid w:val="00A311A1"/>
    <w:rsid w:val="00AD4BCE"/>
    <w:rsid w:val="00AF23D7"/>
    <w:rsid w:val="00B10BDD"/>
    <w:rsid w:val="00B77C56"/>
    <w:rsid w:val="00BC75C1"/>
    <w:rsid w:val="00BD5A37"/>
    <w:rsid w:val="00BE5042"/>
    <w:rsid w:val="00C0233F"/>
    <w:rsid w:val="00C10293"/>
    <w:rsid w:val="00C15B63"/>
    <w:rsid w:val="00C17E7F"/>
    <w:rsid w:val="00C760D2"/>
    <w:rsid w:val="00CE2227"/>
    <w:rsid w:val="00D242A3"/>
    <w:rsid w:val="00D32BA9"/>
    <w:rsid w:val="00E164DA"/>
    <w:rsid w:val="00E24CE6"/>
    <w:rsid w:val="00E647B7"/>
    <w:rsid w:val="00E64B66"/>
    <w:rsid w:val="00E95E20"/>
    <w:rsid w:val="00EA070A"/>
    <w:rsid w:val="00EC00EE"/>
    <w:rsid w:val="00F25C66"/>
    <w:rsid w:val="00F44C06"/>
    <w:rsid w:val="00F55DDD"/>
    <w:rsid w:val="00F85D6D"/>
    <w:rsid w:val="00FE103A"/>
    <w:rsid w:val="00FF5E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D96D6-EA33-4762-8F2F-CB611CF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0A"/>
    <w:rPr>
      <w:rFonts w:ascii="Segoe UI" w:hAnsi="Segoe UI" w:cs="Segoe UI"/>
      <w:sz w:val="18"/>
      <w:szCs w:val="18"/>
    </w:rPr>
  </w:style>
  <w:style w:type="paragraph" w:styleId="BodyTextIndent2">
    <w:name w:val="Body Text Indent 2"/>
    <w:basedOn w:val="Normal"/>
    <w:link w:val="BodyTextIndent2Char"/>
    <w:uiPriority w:val="99"/>
    <w:unhideWhenUsed/>
    <w:rsid w:val="00917223"/>
    <w:pPr>
      <w:spacing w:after="200" w:line="276" w:lineRule="auto"/>
      <w:ind w:left="1440" w:hanging="144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17223"/>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F25C66"/>
    <w:pPr>
      <w:spacing w:after="120"/>
      <w:ind w:left="283"/>
    </w:pPr>
  </w:style>
  <w:style w:type="character" w:customStyle="1" w:styleId="BodyTextIndentChar">
    <w:name w:val="Body Text Indent Char"/>
    <w:basedOn w:val="DefaultParagraphFont"/>
    <w:link w:val="BodyTextIndent"/>
    <w:uiPriority w:val="99"/>
    <w:semiHidden/>
    <w:rsid w:val="00F25C66"/>
  </w:style>
  <w:style w:type="character" w:customStyle="1" w:styleId="scdddoi">
    <w:name w:val="s_c_dddoi"/>
    <w:basedOn w:val="DefaultParagraphFont"/>
    <w:rsid w:val="00F25C66"/>
  </w:style>
  <w:style w:type="paragraph" w:styleId="Header">
    <w:name w:val="header"/>
    <w:basedOn w:val="Normal"/>
    <w:link w:val="HeaderChar"/>
    <w:uiPriority w:val="99"/>
    <w:unhideWhenUsed/>
    <w:rsid w:val="009D4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2B4"/>
  </w:style>
  <w:style w:type="paragraph" w:styleId="Footer">
    <w:name w:val="footer"/>
    <w:basedOn w:val="Normal"/>
    <w:link w:val="FooterChar"/>
    <w:uiPriority w:val="99"/>
    <w:unhideWhenUsed/>
    <w:rsid w:val="009D4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2B4"/>
  </w:style>
  <w:style w:type="paragraph" w:styleId="BodyTextIndent3">
    <w:name w:val="Body Text Indent 3"/>
    <w:basedOn w:val="Normal"/>
    <w:link w:val="BodyTextIndent3Char"/>
    <w:uiPriority w:val="99"/>
    <w:unhideWhenUsed/>
    <w:rsid w:val="00E24CE6"/>
    <w:pPr>
      <w:autoSpaceDE w:val="0"/>
      <w:autoSpaceDN w:val="0"/>
      <w:adjustRightInd w:val="0"/>
      <w:spacing w:after="0" w:line="480" w:lineRule="auto"/>
      <w:ind w:firstLine="720"/>
      <w:jc w:val="both"/>
    </w:pPr>
    <w:rPr>
      <w:rFonts w:ascii="Times New Roman" w:hAnsi="Times New Roman" w:cs="Times New Roman"/>
      <w:sz w:val="24"/>
    </w:rPr>
  </w:style>
  <w:style w:type="character" w:customStyle="1" w:styleId="BodyTextIndent3Char">
    <w:name w:val="Body Text Indent 3 Char"/>
    <w:basedOn w:val="DefaultParagraphFont"/>
    <w:link w:val="BodyTextIndent3"/>
    <w:uiPriority w:val="99"/>
    <w:rsid w:val="00E24CE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742">
      <w:bodyDiv w:val="1"/>
      <w:marLeft w:val="0"/>
      <w:marRight w:val="0"/>
      <w:marTop w:val="0"/>
      <w:marBottom w:val="0"/>
      <w:divBdr>
        <w:top w:val="none" w:sz="0" w:space="0" w:color="auto"/>
        <w:left w:val="none" w:sz="0" w:space="0" w:color="auto"/>
        <w:bottom w:val="none" w:sz="0" w:space="0" w:color="auto"/>
        <w:right w:val="none" w:sz="0" w:space="0" w:color="auto"/>
      </w:divBdr>
      <w:divsChild>
        <w:div w:id="1214927721">
          <w:marLeft w:val="0"/>
          <w:marRight w:val="0"/>
          <w:marTop w:val="0"/>
          <w:marBottom w:val="0"/>
          <w:divBdr>
            <w:top w:val="none" w:sz="0" w:space="0" w:color="auto"/>
            <w:left w:val="none" w:sz="0" w:space="0" w:color="auto"/>
            <w:bottom w:val="none" w:sz="0" w:space="0" w:color="auto"/>
            <w:right w:val="none" w:sz="0" w:space="0" w:color="auto"/>
          </w:divBdr>
        </w:div>
      </w:divsChild>
    </w:div>
    <w:div w:id="115687096">
      <w:bodyDiv w:val="1"/>
      <w:marLeft w:val="0"/>
      <w:marRight w:val="0"/>
      <w:marTop w:val="0"/>
      <w:marBottom w:val="0"/>
      <w:divBdr>
        <w:top w:val="none" w:sz="0" w:space="0" w:color="auto"/>
        <w:left w:val="none" w:sz="0" w:space="0" w:color="auto"/>
        <w:bottom w:val="none" w:sz="0" w:space="0" w:color="auto"/>
        <w:right w:val="none" w:sz="0" w:space="0" w:color="auto"/>
      </w:divBdr>
      <w:divsChild>
        <w:div w:id="1891187439">
          <w:marLeft w:val="0"/>
          <w:marRight w:val="0"/>
          <w:marTop w:val="0"/>
          <w:marBottom w:val="0"/>
          <w:divBdr>
            <w:top w:val="none" w:sz="0" w:space="0" w:color="auto"/>
            <w:left w:val="none" w:sz="0" w:space="0" w:color="auto"/>
            <w:bottom w:val="none" w:sz="0" w:space="0" w:color="auto"/>
            <w:right w:val="none" w:sz="0" w:space="0" w:color="auto"/>
          </w:divBdr>
        </w:div>
      </w:divsChild>
    </w:div>
    <w:div w:id="1430001542">
      <w:bodyDiv w:val="1"/>
      <w:marLeft w:val="0"/>
      <w:marRight w:val="0"/>
      <w:marTop w:val="0"/>
      <w:marBottom w:val="0"/>
      <w:divBdr>
        <w:top w:val="none" w:sz="0" w:space="0" w:color="auto"/>
        <w:left w:val="none" w:sz="0" w:space="0" w:color="auto"/>
        <w:bottom w:val="none" w:sz="0" w:space="0" w:color="auto"/>
        <w:right w:val="none" w:sz="0" w:space="0" w:color="auto"/>
      </w:divBdr>
      <w:divsChild>
        <w:div w:id="1082483584">
          <w:marLeft w:val="0"/>
          <w:marRight w:val="0"/>
          <w:marTop w:val="0"/>
          <w:marBottom w:val="0"/>
          <w:divBdr>
            <w:top w:val="none" w:sz="0" w:space="0" w:color="auto"/>
            <w:left w:val="none" w:sz="0" w:space="0" w:color="auto"/>
            <w:bottom w:val="none" w:sz="0" w:space="0" w:color="auto"/>
            <w:right w:val="none" w:sz="0" w:space="0" w:color="auto"/>
          </w:divBdr>
        </w:div>
      </w:divsChild>
    </w:div>
    <w:div w:id="1674914389">
      <w:bodyDiv w:val="1"/>
      <w:marLeft w:val="0"/>
      <w:marRight w:val="0"/>
      <w:marTop w:val="0"/>
      <w:marBottom w:val="0"/>
      <w:divBdr>
        <w:top w:val="none" w:sz="0" w:space="0" w:color="auto"/>
        <w:left w:val="none" w:sz="0" w:space="0" w:color="auto"/>
        <w:bottom w:val="none" w:sz="0" w:space="0" w:color="auto"/>
        <w:right w:val="none" w:sz="0" w:space="0" w:color="auto"/>
      </w:divBdr>
      <w:divsChild>
        <w:div w:id="290477655">
          <w:marLeft w:val="0"/>
          <w:marRight w:val="0"/>
          <w:marTop w:val="0"/>
          <w:marBottom w:val="0"/>
          <w:divBdr>
            <w:top w:val="none" w:sz="0" w:space="0" w:color="auto"/>
            <w:left w:val="none" w:sz="0" w:space="0" w:color="auto"/>
            <w:bottom w:val="none" w:sz="0" w:space="0" w:color="auto"/>
            <w:right w:val="none" w:sz="0" w:space="0" w:color="auto"/>
          </w:divBdr>
        </w:div>
      </w:divsChild>
    </w:div>
    <w:div w:id="1790705708">
      <w:bodyDiv w:val="1"/>
      <w:marLeft w:val="0"/>
      <w:marRight w:val="0"/>
      <w:marTop w:val="0"/>
      <w:marBottom w:val="0"/>
      <w:divBdr>
        <w:top w:val="none" w:sz="0" w:space="0" w:color="auto"/>
        <w:left w:val="none" w:sz="0" w:space="0" w:color="auto"/>
        <w:bottom w:val="none" w:sz="0" w:space="0" w:color="auto"/>
        <w:right w:val="none" w:sz="0" w:space="0" w:color="auto"/>
      </w:divBdr>
      <w:divsChild>
        <w:div w:id="94407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8</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dc:creator>
  <cp:keywords/>
  <dc:description/>
  <cp:lastModifiedBy>WIHG</cp:lastModifiedBy>
  <cp:revision>44</cp:revision>
  <dcterms:created xsi:type="dcterms:W3CDTF">2015-01-20T20:18:00Z</dcterms:created>
  <dcterms:modified xsi:type="dcterms:W3CDTF">2016-08-18T04:08:00Z</dcterms:modified>
</cp:coreProperties>
</file>