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AF238F" w14:textId="479D3A79" w:rsidR="005716FE" w:rsidRPr="00AF4759" w:rsidRDefault="005716FE" w:rsidP="00D92D7A">
      <w:pPr>
        <w:spacing w:line="276" w:lineRule="auto"/>
        <w:jc w:val="center"/>
        <w:rPr>
          <w:b/>
        </w:rPr>
      </w:pPr>
      <w:r w:rsidRPr="00AF4759">
        <w:rPr>
          <w:b/>
        </w:rPr>
        <w:t>Supplementary Information, F</w:t>
      </w:r>
      <w:r w:rsidR="0004487A" w:rsidRPr="00AF4759">
        <w:rPr>
          <w:b/>
        </w:rPr>
        <w:t xml:space="preserve">ile </w:t>
      </w:r>
      <w:r w:rsidR="001C440D">
        <w:rPr>
          <w:b/>
        </w:rPr>
        <w:t>5</w:t>
      </w:r>
    </w:p>
    <w:p w14:paraId="0EFFB935" w14:textId="3927748D" w:rsidR="00B8001F" w:rsidRPr="00AF4759" w:rsidRDefault="0004487A" w:rsidP="00D92D7A">
      <w:pPr>
        <w:spacing w:line="276" w:lineRule="auto"/>
        <w:jc w:val="center"/>
      </w:pPr>
      <w:r w:rsidRPr="00AF4759">
        <w:t>OSL dating</w:t>
      </w:r>
    </w:p>
    <w:p w14:paraId="1E4ECAB9" w14:textId="77777777" w:rsidR="00E64379" w:rsidRPr="00AF4759" w:rsidRDefault="00E64379" w:rsidP="00BC38E8">
      <w:pPr>
        <w:spacing w:line="276" w:lineRule="auto"/>
        <w:jc w:val="both"/>
      </w:pPr>
    </w:p>
    <w:p w14:paraId="02E6B1B8" w14:textId="761B0DF4" w:rsidR="005B2174" w:rsidRPr="00AF4759" w:rsidRDefault="001C440D" w:rsidP="00BC38E8">
      <w:pPr>
        <w:spacing w:line="276" w:lineRule="auto"/>
        <w:jc w:val="both"/>
        <w:rPr>
          <w:b/>
        </w:rPr>
      </w:pPr>
      <w:r>
        <w:rPr>
          <w:b/>
        </w:rPr>
        <w:t>S5</w:t>
      </w:r>
      <w:r w:rsidR="00CF6538" w:rsidRPr="00AF4759">
        <w:rPr>
          <w:b/>
        </w:rPr>
        <w:t>-</w:t>
      </w:r>
      <w:r w:rsidR="005B2174" w:rsidRPr="00AF4759">
        <w:rPr>
          <w:b/>
        </w:rPr>
        <w:t>1. Background</w:t>
      </w:r>
    </w:p>
    <w:p w14:paraId="41397791" w14:textId="3BCFA2E0" w:rsidR="005B2174" w:rsidRPr="00AF4759" w:rsidRDefault="005B2174" w:rsidP="00BC38E8">
      <w:pPr>
        <w:spacing w:line="276" w:lineRule="auto"/>
        <w:jc w:val="both"/>
      </w:pPr>
      <w:r w:rsidRPr="00AF4759">
        <w:t xml:space="preserve">Optically stimulated luminescence (OSL) is an absolute dating technique </w:t>
      </w:r>
      <w:r w:rsidR="00402351" w:rsidRPr="00AF4759">
        <w:t>used to estimate the amount of time elapsed since mineral grains were last exposed to sunlight, or sufficient heat</w:t>
      </w:r>
      <w:r w:rsidR="00121B2B" w:rsidRPr="00AF4759">
        <w:t xml:space="preserve"> (</w:t>
      </w:r>
      <w:r w:rsidR="00121B2B" w:rsidRPr="00AF4759">
        <w:rPr>
          <w:rFonts w:eastAsia="Times New Roman"/>
          <w:color w:val="000000" w:themeColor="text1"/>
        </w:rPr>
        <w:t>Huntley et al., 1985; Aitken, 1998; Duller, 200</w:t>
      </w:r>
      <w:r w:rsidR="00665D27" w:rsidRPr="00AF4759">
        <w:rPr>
          <w:rFonts w:eastAsia="Times New Roman"/>
          <w:color w:val="000000" w:themeColor="text1"/>
        </w:rPr>
        <w:t>4</w:t>
      </w:r>
      <w:r w:rsidR="00121B2B" w:rsidRPr="00AF4759">
        <w:rPr>
          <w:rFonts w:eastAsia="Times New Roman"/>
          <w:color w:val="000000" w:themeColor="text1"/>
        </w:rPr>
        <w:t xml:space="preserve">; </w:t>
      </w:r>
      <w:proofErr w:type="spellStart"/>
      <w:r w:rsidR="00121B2B" w:rsidRPr="00AF4759">
        <w:rPr>
          <w:rFonts w:eastAsia="Times New Roman"/>
          <w:color w:val="000000" w:themeColor="text1"/>
        </w:rPr>
        <w:t>Wintle</w:t>
      </w:r>
      <w:proofErr w:type="spellEnd"/>
      <w:r w:rsidR="00121B2B" w:rsidRPr="00AF4759">
        <w:rPr>
          <w:rFonts w:eastAsia="Times New Roman"/>
          <w:color w:val="000000" w:themeColor="text1"/>
        </w:rPr>
        <w:t>, 2014; Roberts et al., 2015)</w:t>
      </w:r>
      <w:r w:rsidR="00402351" w:rsidRPr="00AF4759">
        <w:t xml:space="preserve">. </w:t>
      </w:r>
      <w:r w:rsidR="003B7E79" w:rsidRPr="00AF4759">
        <w:t>Due to its</w:t>
      </w:r>
      <w:r w:rsidR="00402351" w:rsidRPr="00AF4759">
        <w:t xml:space="preserve"> ability to utilize grains of quartz (a ubiquitous mineral, readily available </w:t>
      </w:r>
      <w:r w:rsidR="003B7E79" w:rsidRPr="00AF4759">
        <w:t>in archaeological deposits</w:t>
      </w:r>
      <w:r w:rsidR="00402351" w:rsidRPr="00AF4759">
        <w:t>)</w:t>
      </w:r>
      <w:r w:rsidR="003B7E79" w:rsidRPr="00AF4759">
        <w:t>,</w:t>
      </w:r>
      <w:r w:rsidR="00402351" w:rsidRPr="00AF4759">
        <w:t xml:space="preserve"> </w:t>
      </w:r>
      <w:r w:rsidR="003B7E79" w:rsidRPr="00AF4759">
        <w:t>and date to events beyond the span of radiocarbon</w:t>
      </w:r>
      <w:r w:rsidR="005344C4" w:rsidRPr="00AF4759">
        <w:t xml:space="preserve"> dating</w:t>
      </w:r>
      <w:r w:rsidR="003B7E79" w:rsidRPr="00AF4759">
        <w:t>, OSL</w:t>
      </w:r>
      <w:r w:rsidR="005344C4" w:rsidRPr="00AF4759">
        <w:t xml:space="preserve"> dating</w:t>
      </w:r>
      <w:r w:rsidR="003B7E79" w:rsidRPr="00AF4759">
        <w:t xml:space="preserve"> has played a pivotal role in dating the Middle Stone Age (MSA) of South Africa (e.g., Jacobs et al., </w:t>
      </w:r>
      <w:r w:rsidR="005344C4" w:rsidRPr="00AF4759">
        <w:t>2008</w:t>
      </w:r>
      <w:r w:rsidR="00923D57" w:rsidRPr="00AF4759">
        <w:t>a</w:t>
      </w:r>
      <w:r w:rsidR="003F221B" w:rsidRPr="00AF4759">
        <w:t xml:space="preserve">; </w:t>
      </w:r>
      <w:proofErr w:type="spellStart"/>
      <w:r w:rsidR="003F221B" w:rsidRPr="00AF4759">
        <w:t>Tribolo</w:t>
      </w:r>
      <w:proofErr w:type="spellEnd"/>
      <w:r w:rsidR="003F221B" w:rsidRPr="00AF4759">
        <w:t xml:space="preserve"> et al., 2016; </w:t>
      </w:r>
      <w:r w:rsidR="00107D46" w:rsidRPr="00AF4759">
        <w:t>Henshilwood</w:t>
      </w:r>
      <w:r w:rsidR="00F61FE3" w:rsidRPr="00AF4759">
        <w:t xml:space="preserve"> et al., 2014</w:t>
      </w:r>
      <w:r w:rsidR="003B7E79" w:rsidRPr="00AF4759">
        <w:t>). This method is based on the observation that once mineral grains are no longer exposed to light or elevated temperatures, there is a time-dependent increase in the amount of electrons</w:t>
      </w:r>
      <w:r w:rsidR="008C7EDD" w:rsidRPr="00AF4759">
        <w:t xml:space="preserve"> which become trapped </w:t>
      </w:r>
      <w:r w:rsidR="003B7E79" w:rsidRPr="00AF4759">
        <w:t xml:space="preserve">at defects in their crystal lattices. </w:t>
      </w:r>
      <w:r w:rsidR="00034957" w:rsidRPr="00AF4759">
        <w:t xml:space="preserve">This absorption of energy and storage of trapped charge is due to the exposure of buried grains to an ionizing radiation flux from surrounding sediment, and cosmic rays. If a grain becomes exposed to light (e.g., through bioturbation) or sufficient heat (e.g., burning in immediate proximity) in antiquity, electrons will be released from their traps, and the OSL ‘clock’ </w:t>
      </w:r>
      <w:r w:rsidR="00FA4A16" w:rsidRPr="00AF4759">
        <w:t>is re</w:t>
      </w:r>
      <w:r w:rsidR="00034957" w:rsidRPr="00AF4759">
        <w:t xml:space="preserve">set to zero. </w:t>
      </w:r>
      <w:r w:rsidR="00006891" w:rsidRPr="00AF4759">
        <w:t>Similarly, if a grain is exposed to light in the laboratory</w:t>
      </w:r>
      <w:r w:rsidR="007A4F6D" w:rsidRPr="00AF4759">
        <w:t xml:space="preserve"> (via optical stimulation), trapped electrons will be released, and a proportion will dissipate energy as photons (luminescence). Thus, the amount of luminescence emitted is proportional to the number of </w:t>
      </w:r>
      <w:r w:rsidR="00EB50CD" w:rsidRPr="00AF4759">
        <w:t xml:space="preserve">electrons </w:t>
      </w:r>
      <w:r w:rsidR="007A4F6D" w:rsidRPr="00AF4759">
        <w:t xml:space="preserve">trapped in the lattice. </w:t>
      </w:r>
      <w:r w:rsidR="00FA4A16" w:rsidRPr="00AF4759">
        <w:t>The ‘equivalent dose’ (D</w:t>
      </w:r>
      <w:r w:rsidR="00FA4A16" w:rsidRPr="00AF4759">
        <w:rPr>
          <w:vertAlign w:val="subscript"/>
        </w:rPr>
        <w:t>e</w:t>
      </w:r>
      <w:r w:rsidR="00FA4A16" w:rsidRPr="00AF4759">
        <w:t>) refers to the laboratory estimate of the total radiation dose to which a mineral grain has been exposed since its last ‘resetting’</w:t>
      </w:r>
      <w:r w:rsidR="00D12823" w:rsidRPr="00AF4759">
        <w:t xml:space="preserve"> event, and is calculated by </w:t>
      </w:r>
      <w:r w:rsidR="00901B88" w:rsidRPr="00AF4759">
        <w:t>exposing grains to an intense light source, and measuring the amount of OSL produced</w:t>
      </w:r>
      <w:r w:rsidR="00337CA8" w:rsidRPr="00AF4759">
        <w:t xml:space="preserve"> (</w:t>
      </w:r>
      <w:r w:rsidR="00337CA8" w:rsidRPr="00D445FC">
        <w:rPr>
          <w:b/>
          <w:bCs/>
        </w:rPr>
        <w:t xml:space="preserve">Section </w:t>
      </w:r>
      <w:r w:rsidR="001C440D">
        <w:rPr>
          <w:b/>
          <w:bCs/>
        </w:rPr>
        <w:t>S5</w:t>
      </w:r>
      <w:r w:rsidR="00E37C13" w:rsidRPr="00D445FC">
        <w:rPr>
          <w:b/>
          <w:bCs/>
        </w:rPr>
        <w:t>-</w:t>
      </w:r>
      <w:r w:rsidR="00337CA8" w:rsidRPr="00D445FC">
        <w:rPr>
          <w:b/>
          <w:bCs/>
        </w:rPr>
        <w:t>3</w:t>
      </w:r>
      <w:r w:rsidR="008F16E0" w:rsidRPr="00D445FC">
        <w:t>)</w:t>
      </w:r>
      <w:r w:rsidR="00901B88" w:rsidRPr="00D445FC">
        <w:t xml:space="preserve">. The environmental dose rate refers to the rate at </w:t>
      </w:r>
      <w:r w:rsidR="003F221B" w:rsidRPr="00D445FC">
        <w:t xml:space="preserve">which </w:t>
      </w:r>
      <w:r w:rsidR="00901B88" w:rsidRPr="00D445FC">
        <w:t>the mineral grains were exposed to ionising radiation</w:t>
      </w:r>
      <w:r w:rsidR="008F16E0" w:rsidRPr="00D445FC">
        <w:t xml:space="preserve"> energy while buried, and is calcul</w:t>
      </w:r>
      <w:r w:rsidR="00337CA8" w:rsidRPr="00D445FC">
        <w:t>ated using different methods (</w:t>
      </w:r>
      <w:r w:rsidR="00337CA8" w:rsidRPr="00D445FC">
        <w:rPr>
          <w:b/>
          <w:bCs/>
        </w:rPr>
        <w:t xml:space="preserve">Section </w:t>
      </w:r>
      <w:r w:rsidR="001C440D">
        <w:rPr>
          <w:b/>
          <w:bCs/>
        </w:rPr>
        <w:t>S5</w:t>
      </w:r>
      <w:r w:rsidR="00E37C13" w:rsidRPr="00D445FC">
        <w:rPr>
          <w:b/>
          <w:bCs/>
        </w:rPr>
        <w:t>-</w:t>
      </w:r>
      <w:r w:rsidR="00337CA8" w:rsidRPr="00D445FC">
        <w:rPr>
          <w:b/>
          <w:bCs/>
        </w:rPr>
        <w:t>4</w:t>
      </w:r>
      <w:r w:rsidR="008F16E0" w:rsidRPr="00D445FC">
        <w:t>).</w:t>
      </w:r>
      <w:r w:rsidR="00901B88" w:rsidRPr="00AF4759">
        <w:t xml:space="preserve"> In its simplest form, OSL ages are determined by dividing D</w:t>
      </w:r>
      <w:r w:rsidR="00901B88" w:rsidRPr="00AF4759">
        <w:rPr>
          <w:vertAlign w:val="subscript"/>
        </w:rPr>
        <w:t>e</w:t>
      </w:r>
      <w:r w:rsidR="00337CA8" w:rsidRPr="00AF4759">
        <w:t xml:space="preserve"> by the dose rate</w:t>
      </w:r>
      <w:r w:rsidR="00F36201" w:rsidRPr="00AF4759">
        <w:t>, and</w:t>
      </w:r>
      <w:r w:rsidR="00025B2B" w:rsidRPr="00AF4759">
        <w:t xml:space="preserve"> are calculated directly in calendar years</w:t>
      </w:r>
      <w:r w:rsidR="004C32CB" w:rsidRPr="00AF4759">
        <w:t xml:space="preserve"> before present</w:t>
      </w:r>
      <w:r w:rsidR="00025B2B" w:rsidRPr="00AF4759">
        <w:t xml:space="preserve">, so there is no need </w:t>
      </w:r>
      <w:r w:rsidR="003F221B" w:rsidRPr="00AF4759">
        <w:t>for</w:t>
      </w:r>
      <w:r w:rsidR="00025B2B" w:rsidRPr="00AF4759">
        <w:t xml:space="preserve"> subsequent calibration. </w:t>
      </w:r>
      <w:r w:rsidR="00815085" w:rsidRPr="00AF4759">
        <w:t>The datum used for calculating the ages reported here is 2018.</w:t>
      </w:r>
    </w:p>
    <w:p w14:paraId="54ACBB22" w14:textId="77777777" w:rsidR="005B2174" w:rsidRPr="00AF4759" w:rsidRDefault="005B2174" w:rsidP="00BC38E8">
      <w:pPr>
        <w:spacing w:line="276" w:lineRule="auto"/>
        <w:jc w:val="both"/>
        <w:rPr>
          <w:sz w:val="22"/>
        </w:rPr>
      </w:pPr>
    </w:p>
    <w:p w14:paraId="53A54EFA" w14:textId="7E3A77BA" w:rsidR="00F866DA" w:rsidRPr="00AF4759" w:rsidRDefault="001C440D" w:rsidP="00BC38E8">
      <w:pPr>
        <w:spacing w:line="276" w:lineRule="auto"/>
        <w:jc w:val="both"/>
        <w:rPr>
          <w:b/>
        </w:rPr>
      </w:pPr>
      <w:r>
        <w:rPr>
          <w:b/>
        </w:rPr>
        <w:t>S5</w:t>
      </w:r>
      <w:r w:rsidR="00CF6538" w:rsidRPr="00AF4759">
        <w:rPr>
          <w:b/>
        </w:rPr>
        <w:t>-</w:t>
      </w:r>
      <w:r w:rsidR="005B2174" w:rsidRPr="00AF4759">
        <w:rPr>
          <w:b/>
        </w:rPr>
        <w:t>2</w:t>
      </w:r>
      <w:r w:rsidR="00275368" w:rsidRPr="00AF4759">
        <w:rPr>
          <w:b/>
        </w:rPr>
        <w:t xml:space="preserve">. </w:t>
      </w:r>
      <w:r w:rsidR="00700D15" w:rsidRPr="00AF4759">
        <w:rPr>
          <w:b/>
        </w:rPr>
        <w:t xml:space="preserve">Sample collection and </w:t>
      </w:r>
      <w:r w:rsidR="00576CE8" w:rsidRPr="00AF4759">
        <w:rPr>
          <w:b/>
        </w:rPr>
        <w:t>preparation</w:t>
      </w:r>
    </w:p>
    <w:p w14:paraId="2CAA9CD4" w14:textId="0689FC22" w:rsidR="00E33453" w:rsidRPr="00AF4759" w:rsidRDefault="00C03F08" w:rsidP="00D92D7A">
      <w:pPr>
        <w:spacing w:line="276" w:lineRule="auto"/>
        <w:jc w:val="both"/>
      </w:pPr>
      <w:r w:rsidRPr="00AF4759">
        <w:t>Five sediment samples wer</w:t>
      </w:r>
      <w:r w:rsidR="00A0182A" w:rsidRPr="00AF4759">
        <w:t xml:space="preserve">e collected for OSL dating </w:t>
      </w:r>
      <w:r w:rsidR="00835412" w:rsidRPr="00AF4759">
        <w:t xml:space="preserve">from </w:t>
      </w:r>
      <w:r w:rsidR="00A0182A" w:rsidRPr="00AF4759">
        <w:t>square</w:t>
      </w:r>
      <w:r w:rsidR="00A32D88" w:rsidRPr="00A32D88">
        <w:t xml:space="preserve"> </w:t>
      </w:r>
      <w:r w:rsidR="00A32D88" w:rsidRPr="00214B55">
        <w:t>N850E321NW</w:t>
      </w:r>
      <w:r w:rsidR="00A0182A" w:rsidRPr="00214B55">
        <w:t xml:space="preserve"> at Waterfall Bluff</w:t>
      </w:r>
      <w:r w:rsidR="001B52D7" w:rsidRPr="00214B55">
        <w:t xml:space="preserve"> during the 2016 excavations. </w:t>
      </w:r>
      <w:r w:rsidR="0077264A" w:rsidRPr="00214B55">
        <w:t xml:space="preserve">Plastic tubes were horizontally driven into cleaned surfaces of </w:t>
      </w:r>
      <w:r w:rsidR="000C2CD2" w:rsidRPr="00214B55">
        <w:t xml:space="preserve">the eastern profile, from </w:t>
      </w:r>
      <w:r w:rsidR="00EB33F7" w:rsidRPr="00214B55">
        <w:t>LBCS Sub-Aggregates Colton</w:t>
      </w:r>
      <w:r w:rsidR="00B80387" w:rsidRPr="00214B55">
        <w:t xml:space="preserve"> (</w:t>
      </w:r>
      <w:r w:rsidR="005412ED" w:rsidRPr="00214B55">
        <w:t>CN</w:t>
      </w:r>
      <w:r w:rsidR="00B80387" w:rsidRPr="00214B55">
        <w:t>312</w:t>
      </w:r>
      <w:r w:rsidR="00E15D72" w:rsidRPr="00214B55">
        <w:t>)</w:t>
      </w:r>
      <w:r w:rsidR="004E330D" w:rsidRPr="00214B55">
        <w:t>, the base of Kate (</w:t>
      </w:r>
      <w:r w:rsidR="005D3EF4" w:rsidRPr="00214B55">
        <w:t>CN</w:t>
      </w:r>
      <w:r w:rsidR="004E330D" w:rsidRPr="00214B55">
        <w:t>308)</w:t>
      </w:r>
      <w:r w:rsidR="003209E2" w:rsidRPr="00214B55">
        <w:t>, Otis (</w:t>
      </w:r>
      <w:r w:rsidR="005D3EF4" w:rsidRPr="00214B55">
        <w:t>CN</w:t>
      </w:r>
      <w:r w:rsidR="00AA73A8" w:rsidRPr="00214B55">
        <w:t>3</w:t>
      </w:r>
      <w:r w:rsidR="003209E2" w:rsidRPr="00214B55">
        <w:t xml:space="preserve">09), </w:t>
      </w:r>
      <w:proofErr w:type="spellStart"/>
      <w:r w:rsidR="003209E2" w:rsidRPr="00214B55">
        <w:t>Kuka</w:t>
      </w:r>
      <w:proofErr w:type="spellEnd"/>
      <w:r w:rsidR="003209E2" w:rsidRPr="00214B55">
        <w:t xml:space="preserve"> (</w:t>
      </w:r>
      <w:r w:rsidR="005D3EF4" w:rsidRPr="00214B55">
        <w:t>CN</w:t>
      </w:r>
      <w:r w:rsidR="003209E2" w:rsidRPr="00214B55">
        <w:t>310), and the lowermost SRCS Sub-Aggregate, Courtney (</w:t>
      </w:r>
      <w:r w:rsidR="005412ED" w:rsidRPr="00214B55">
        <w:t>CN</w:t>
      </w:r>
      <w:r w:rsidR="003209E2" w:rsidRPr="00214B55">
        <w:t xml:space="preserve">311). </w:t>
      </w:r>
      <w:r w:rsidR="00D6360D" w:rsidRPr="00214B55">
        <w:rPr>
          <w:rFonts w:eastAsia="Times New Roman"/>
        </w:rPr>
        <w:t>Additional sediment subsamples were collected from the hole of each OSL sample for laboratory measurements of the present-day moisture content of the sediment.</w:t>
      </w:r>
      <w:r w:rsidR="00D6360D" w:rsidRPr="00AF4759">
        <w:rPr>
          <w:rFonts w:eastAsia="Times New Roman"/>
        </w:rPr>
        <w:t xml:space="preserve"> </w:t>
      </w:r>
    </w:p>
    <w:p w14:paraId="7B99B405" w14:textId="7C89937B" w:rsidR="003A25F9" w:rsidRPr="00AF4759" w:rsidRDefault="00D92D7A" w:rsidP="00D92D7A">
      <w:pPr>
        <w:spacing w:line="276" w:lineRule="auto"/>
        <w:jc w:val="both"/>
        <w:rPr>
          <w:rFonts w:eastAsia="Times New Roman"/>
        </w:rPr>
      </w:pPr>
      <w:r w:rsidRPr="00AF4759">
        <w:rPr>
          <w:rFonts w:eastAsia="Times New Roman"/>
        </w:rPr>
        <w:tab/>
      </w:r>
      <w:r w:rsidR="00F3421B" w:rsidRPr="00AF4759">
        <w:rPr>
          <w:rFonts w:eastAsia="Times New Roman"/>
        </w:rPr>
        <w:t xml:space="preserve">All samples were transported to the </w:t>
      </w:r>
      <w:r w:rsidR="00AD4188" w:rsidRPr="00AF4759">
        <w:rPr>
          <w:rFonts w:eastAsia="Times New Roman"/>
        </w:rPr>
        <w:t>OSL Dating Laboratory at the University of Wol</w:t>
      </w:r>
      <w:r w:rsidR="00E465F1" w:rsidRPr="00AF4759">
        <w:rPr>
          <w:rFonts w:eastAsia="Times New Roman"/>
        </w:rPr>
        <w:t>longong in Australia, and were opened and prepared under</w:t>
      </w:r>
      <w:r w:rsidR="00AD4188" w:rsidRPr="00AF4759">
        <w:rPr>
          <w:rFonts w:eastAsia="Times New Roman"/>
        </w:rPr>
        <w:t xml:space="preserve"> subdued red-light conditions</w:t>
      </w:r>
      <w:r w:rsidR="00E465F1" w:rsidRPr="00AF4759">
        <w:rPr>
          <w:rFonts w:eastAsia="Times New Roman"/>
        </w:rPr>
        <w:t xml:space="preserve"> following standard procedures (</w:t>
      </w:r>
      <w:proofErr w:type="spellStart"/>
      <w:r w:rsidR="00B75F1E" w:rsidRPr="00AF4759">
        <w:rPr>
          <w:rFonts w:eastAsia="Times New Roman"/>
        </w:rPr>
        <w:t>Wintle</w:t>
      </w:r>
      <w:proofErr w:type="spellEnd"/>
      <w:r w:rsidR="00B75F1E" w:rsidRPr="00AF4759">
        <w:rPr>
          <w:rFonts w:eastAsia="Times New Roman"/>
        </w:rPr>
        <w:t>, 1997; Aitken, 1998</w:t>
      </w:r>
      <w:r w:rsidR="00E465F1" w:rsidRPr="00AF4759">
        <w:rPr>
          <w:rFonts w:eastAsia="Times New Roman"/>
        </w:rPr>
        <w:t>)</w:t>
      </w:r>
      <w:r w:rsidR="00AD4188" w:rsidRPr="00AF4759">
        <w:rPr>
          <w:rFonts w:eastAsia="Times New Roman"/>
        </w:rPr>
        <w:t xml:space="preserve">. </w:t>
      </w:r>
      <w:r w:rsidR="00C25800" w:rsidRPr="00AF4759">
        <w:rPr>
          <w:rFonts w:eastAsia="Times New Roman"/>
        </w:rPr>
        <w:t xml:space="preserve">The first ~2 cm from each tube end </w:t>
      </w:r>
      <w:r w:rsidR="003A25F9" w:rsidRPr="00AF4759">
        <w:rPr>
          <w:rFonts w:eastAsia="Times New Roman"/>
        </w:rPr>
        <w:t>w</w:t>
      </w:r>
      <w:r w:rsidR="008E5380" w:rsidRPr="00AF4759">
        <w:rPr>
          <w:rFonts w:eastAsia="Times New Roman"/>
        </w:rPr>
        <w:t>as</w:t>
      </w:r>
      <w:r w:rsidR="003A25F9" w:rsidRPr="00AF4759">
        <w:rPr>
          <w:rFonts w:eastAsia="Times New Roman"/>
        </w:rPr>
        <w:t xml:space="preserve"> treated as potentially light-exposed</w:t>
      </w:r>
      <w:r w:rsidR="008E5380" w:rsidRPr="00AF4759">
        <w:rPr>
          <w:rFonts w:eastAsia="Times New Roman"/>
        </w:rPr>
        <w:t xml:space="preserve">, and </w:t>
      </w:r>
      <w:r w:rsidR="00E465F1" w:rsidRPr="00AF4759">
        <w:rPr>
          <w:rFonts w:eastAsia="Times New Roman"/>
        </w:rPr>
        <w:t xml:space="preserve">carefully </w:t>
      </w:r>
      <w:r w:rsidR="008E5380" w:rsidRPr="00AF4759">
        <w:rPr>
          <w:rFonts w:eastAsia="Times New Roman"/>
        </w:rPr>
        <w:t xml:space="preserve">removed from the main sample. These ‘tube ends’ were utilized </w:t>
      </w:r>
      <w:r w:rsidR="00E74CFA" w:rsidRPr="00AF4759">
        <w:rPr>
          <w:rFonts w:eastAsia="Times New Roman"/>
        </w:rPr>
        <w:t xml:space="preserve">for laboratory measurements of the radioactivity present in the sediment. </w:t>
      </w:r>
      <w:r w:rsidR="006221A0" w:rsidRPr="00AF4759">
        <w:rPr>
          <w:rFonts w:eastAsia="Times New Roman"/>
        </w:rPr>
        <w:t xml:space="preserve">The </w:t>
      </w:r>
      <w:r w:rsidR="00B75F1E" w:rsidRPr="00AF4759">
        <w:rPr>
          <w:rFonts w:eastAsia="Times New Roman"/>
        </w:rPr>
        <w:t>remaining</w:t>
      </w:r>
      <w:r w:rsidR="00DD5A46" w:rsidRPr="00AF4759">
        <w:rPr>
          <w:rFonts w:eastAsia="Times New Roman"/>
        </w:rPr>
        <w:t xml:space="preserve"> (light-safe)</w:t>
      </w:r>
      <w:r w:rsidR="006221A0" w:rsidRPr="00AF4759">
        <w:rPr>
          <w:rFonts w:eastAsia="Times New Roman"/>
        </w:rPr>
        <w:t xml:space="preserve"> sample </w:t>
      </w:r>
      <w:r w:rsidR="00E465F1" w:rsidRPr="00AF4759">
        <w:rPr>
          <w:rFonts w:eastAsia="Times New Roman"/>
        </w:rPr>
        <w:t xml:space="preserve">was prepared </w:t>
      </w:r>
      <w:r w:rsidR="00B75F1E" w:rsidRPr="00AF4759">
        <w:rPr>
          <w:rFonts w:eastAsia="Times New Roman"/>
        </w:rPr>
        <w:t>for quartz extraction. First, samples were wet-sieved to collect the 90</w:t>
      </w:r>
      <w:r w:rsidR="008E6B68" w:rsidRPr="00AF4759">
        <w:rPr>
          <w:rFonts w:eastAsia="Times New Roman"/>
        </w:rPr>
        <w:t>–</w:t>
      </w:r>
      <w:r w:rsidR="00B75F1E" w:rsidRPr="00AF4759">
        <w:rPr>
          <w:rFonts w:eastAsia="Times New Roman"/>
        </w:rPr>
        <w:t xml:space="preserve">300 µm-diameter grain size fraction, from which carbonates </w:t>
      </w:r>
      <w:r w:rsidR="00B75F1E" w:rsidRPr="00AF4759">
        <w:rPr>
          <w:rFonts w:eastAsia="Times New Roman"/>
        </w:rPr>
        <w:lastRenderedPageBreak/>
        <w:t>were dissolved in 40% hydrochloric (HCI) acid, and organic matter oxidised in</w:t>
      </w:r>
      <w:r w:rsidR="002320E8" w:rsidRPr="00AF4759">
        <w:rPr>
          <w:rFonts w:eastAsia="Times New Roman"/>
        </w:rPr>
        <w:t xml:space="preserve"> 32</w:t>
      </w:r>
      <w:r w:rsidR="00214B00" w:rsidRPr="00AF4759">
        <w:rPr>
          <w:rFonts w:eastAsia="Times New Roman"/>
        </w:rPr>
        <w:t>%</w:t>
      </w:r>
      <w:r w:rsidR="002320E8" w:rsidRPr="00AF4759">
        <w:rPr>
          <w:rFonts w:eastAsia="Times New Roman"/>
        </w:rPr>
        <w:t xml:space="preserve"> hydrogen peroxide (H</w:t>
      </w:r>
      <w:r w:rsidR="002320E8" w:rsidRPr="00AF4759">
        <w:rPr>
          <w:rFonts w:eastAsia="Times New Roman"/>
          <w:vertAlign w:val="subscript"/>
        </w:rPr>
        <w:t>2</w:t>
      </w:r>
      <w:r w:rsidR="002320E8" w:rsidRPr="00AF4759">
        <w:rPr>
          <w:rFonts w:eastAsia="Times New Roman"/>
        </w:rPr>
        <w:t>O</w:t>
      </w:r>
      <w:r w:rsidR="002320E8" w:rsidRPr="00AF4759">
        <w:rPr>
          <w:rFonts w:eastAsia="Times New Roman"/>
          <w:vertAlign w:val="subscript"/>
        </w:rPr>
        <w:t>2</w:t>
      </w:r>
      <w:r w:rsidR="002320E8" w:rsidRPr="00AF4759">
        <w:rPr>
          <w:rFonts w:eastAsia="Times New Roman"/>
        </w:rPr>
        <w:t xml:space="preserve">) solution. </w:t>
      </w:r>
      <w:r w:rsidR="00B20AAF" w:rsidRPr="00AF4759">
        <w:rPr>
          <w:rFonts w:eastAsia="Times New Roman"/>
        </w:rPr>
        <w:t>Samples we</w:t>
      </w:r>
      <w:r w:rsidR="00741121" w:rsidRPr="00AF4759">
        <w:rPr>
          <w:rFonts w:eastAsia="Times New Roman"/>
        </w:rPr>
        <w:t>re wet-s</w:t>
      </w:r>
      <w:r w:rsidR="002B7FFB" w:rsidRPr="00AF4759">
        <w:rPr>
          <w:rFonts w:eastAsia="Times New Roman"/>
        </w:rPr>
        <w:t>ieved again to isolate</w:t>
      </w:r>
      <w:r w:rsidR="00620443" w:rsidRPr="00AF4759">
        <w:rPr>
          <w:rFonts w:eastAsia="Times New Roman"/>
        </w:rPr>
        <w:t xml:space="preserve"> </w:t>
      </w:r>
      <w:r w:rsidR="00F14013" w:rsidRPr="00AF4759">
        <w:rPr>
          <w:rFonts w:eastAsia="Times New Roman"/>
        </w:rPr>
        <w:t>the 150</w:t>
      </w:r>
      <w:r w:rsidR="00D8642C" w:rsidRPr="00AF4759">
        <w:rPr>
          <w:rFonts w:eastAsia="Times New Roman"/>
        </w:rPr>
        <w:t>–</w:t>
      </w:r>
      <w:r w:rsidR="00F14013" w:rsidRPr="00AF4759">
        <w:rPr>
          <w:rFonts w:eastAsia="Times New Roman"/>
        </w:rPr>
        <w:t>180 and 180</w:t>
      </w:r>
      <w:r w:rsidR="00D8642C" w:rsidRPr="00AF4759">
        <w:rPr>
          <w:rFonts w:eastAsia="Times New Roman"/>
        </w:rPr>
        <w:t>–</w:t>
      </w:r>
      <w:r w:rsidR="00F14013" w:rsidRPr="00AF4759">
        <w:rPr>
          <w:rFonts w:eastAsia="Times New Roman"/>
        </w:rPr>
        <w:t>212 µm</w:t>
      </w:r>
      <w:r w:rsidR="00D8642C" w:rsidRPr="00AF4759">
        <w:rPr>
          <w:rFonts w:eastAsia="Times New Roman"/>
        </w:rPr>
        <w:t>–</w:t>
      </w:r>
      <w:r w:rsidR="00F14013" w:rsidRPr="00AF4759">
        <w:rPr>
          <w:rFonts w:eastAsia="Times New Roman"/>
        </w:rPr>
        <w:t xml:space="preserve">diameter grain size fractions. </w:t>
      </w:r>
      <w:r w:rsidR="003E067B" w:rsidRPr="00AF4759">
        <w:rPr>
          <w:rFonts w:eastAsia="Times New Roman"/>
        </w:rPr>
        <w:t xml:space="preserve">Quartz, feldspar and heavy minerals were separated by density separation using </w:t>
      </w:r>
      <w:r w:rsidR="00391E72" w:rsidRPr="00AF4759">
        <w:rPr>
          <w:rFonts w:eastAsia="Times New Roman"/>
        </w:rPr>
        <w:t xml:space="preserve">sodium </w:t>
      </w:r>
      <w:proofErr w:type="spellStart"/>
      <w:r w:rsidR="00391E72" w:rsidRPr="00AF4759">
        <w:rPr>
          <w:rFonts w:eastAsia="Times New Roman"/>
        </w:rPr>
        <w:t>polytungstate</w:t>
      </w:r>
      <w:proofErr w:type="spellEnd"/>
      <w:r w:rsidR="00391E72" w:rsidRPr="00AF4759">
        <w:rPr>
          <w:rFonts w:eastAsia="Times New Roman"/>
        </w:rPr>
        <w:t xml:space="preserve"> (SPT) solutions diluted to densities of 2.62 </w:t>
      </w:r>
      <w:r w:rsidR="00D22B0D" w:rsidRPr="00C30E2D">
        <w:rPr>
          <w:rFonts w:eastAsia="Times New Roman"/>
        </w:rPr>
        <w:t>g/cm</w:t>
      </w:r>
      <w:r w:rsidR="00D22B0D" w:rsidRPr="00C30E2D">
        <w:rPr>
          <w:rFonts w:eastAsia="Times New Roman"/>
          <w:vertAlign w:val="superscript"/>
        </w:rPr>
        <w:t>3</w:t>
      </w:r>
      <w:r w:rsidR="00D22B0D">
        <w:rPr>
          <w:rFonts w:eastAsia="Times New Roman"/>
          <w:vertAlign w:val="superscript"/>
        </w:rPr>
        <w:t xml:space="preserve"> </w:t>
      </w:r>
      <w:r w:rsidR="00391E72" w:rsidRPr="00AF4759">
        <w:rPr>
          <w:rFonts w:eastAsia="Times New Roman"/>
        </w:rPr>
        <w:t>and 2.7 g/cm</w:t>
      </w:r>
      <w:r w:rsidR="00391E72" w:rsidRPr="00AF4759">
        <w:rPr>
          <w:rFonts w:eastAsia="Times New Roman"/>
          <w:vertAlign w:val="superscript"/>
        </w:rPr>
        <w:t>3</w:t>
      </w:r>
      <w:r w:rsidR="00391E72" w:rsidRPr="00AF4759">
        <w:rPr>
          <w:rFonts w:eastAsia="Times New Roman"/>
        </w:rPr>
        <w:t xml:space="preserve">, respectively. </w:t>
      </w:r>
      <w:r w:rsidR="001C38E3" w:rsidRPr="00AF4759">
        <w:rPr>
          <w:rFonts w:eastAsia="Times New Roman"/>
        </w:rPr>
        <w:t xml:space="preserve">Separated quartz grains were etched with 48% hydrofluoric </w:t>
      </w:r>
      <w:r w:rsidR="00AF4686" w:rsidRPr="00AF4759">
        <w:rPr>
          <w:rFonts w:eastAsia="Times New Roman"/>
        </w:rPr>
        <w:t xml:space="preserve">(HF) </w:t>
      </w:r>
      <w:r w:rsidR="001C38E3" w:rsidRPr="00AF4759">
        <w:rPr>
          <w:rFonts w:eastAsia="Times New Roman"/>
        </w:rPr>
        <w:t xml:space="preserve">acid for 40 min to remove the alpha-irradiated rinds and destroy any remaining feldspar. </w:t>
      </w:r>
      <w:r w:rsidR="003335FE" w:rsidRPr="00AF4759">
        <w:rPr>
          <w:rFonts w:eastAsia="Times New Roman"/>
        </w:rPr>
        <w:t xml:space="preserve">Samples were then rinsed in HCI acid </w:t>
      </w:r>
      <w:r w:rsidR="00BE671A" w:rsidRPr="00AF4759">
        <w:rPr>
          <w:rFonts w:eastAsia="Times New Roman"/>
        </w:rPr>
        <w:t xml:space="preserve">to remove any precipitated fluorides, </w:t>
      </w:r>
      <w:r w:rsidR="00614E2B" w:rsidRPr="00AF4759">
        <w:rPr>
          <w:rFonts w:eastAsia="Times New Roman"/>
        </w:rPr>
        <w:t xml:space="preserve">and </w:t>
      </w:r>
      <w:r w:rsidR="00DE2E0C" w:rsidRPr="00AF4759">
        <w:rPr>
          <w:rFonts w:eastAsia="Times New Roman"/>
        </w:rPr>
        <w:t>dried and sieved again. Grains remaining on the 150 and 180 µm</w:t>
      </w:r>
      <w:r w:rsidR="008C5628" w:rsidRPr="00AF4759">
        <w:rPr>
          <w:rFonts w:eastAsia="Times New Roman"/>
        </w:rPr>
        <w:t xml:space="preserve">-diameter meshes were used for </w:t>
      </w:r>
      <w:r w:rsidR="00EA04D7" w:rsidRPr="00AF4759">
        <w:rPr>
          <w:rFonts w:eastAsia="Times New Roman"/>
        </w:rPr>
        <w:t>D</w:t>
      </w:r>
      <w:r w:rsidR="00EA04D7" w:rsidRPr="00AF4759">
        <w:rPr>
          <w:rFonts w:eastAsia="Times New Roman"/>
          <w:vertAlign w:val="subscript"/>
        </w:rPr>
        <w:t>e</w:t>
      </w:r>
      <w:r w:rsidR="00EA04D7" w:rsidRPr="00AF4759">
        <w:rPr>
          <w:rFonts w:eastAsia="Times New Roman"/>
        </w:rPr>
        <w:t xml:space="preserve"> determination. </w:t>
      </w:r>
      <w:r w:rsidR="008C5628" w:rsidRPr="00AF4759">
        <w:rPr>
          <w:rFonts w:eastAsia="Times New Roman"/>
        </w:rPr>
        <w:t xml:space="preserve"> </w:t>
      </w:r>
    </w:p>
    <w:p w14:paraId="3F7A33D5" w14:textId="77777777" w:rsidR="00EA04D7" w:rsidRPr="00AF4759" w:rsidRDefault="00EA04D7" w:rsidP="00BC38E8">
      <w:pPr>
        <w:spacing w:line="276" w:lineRule="auto"/>
        <w:jc w:val="both"/>
        <w:rPr>
          <w:rFonts w:eastAsia="Times New Roman"/>
        </w:rPr>
      </w:pPr>
    </w:p>
    <w:p w14:paraId="35574525" w14:textId="16702BD1" w:rsidR="00F9518D" w:rsidRPr="00AF4759" w:rsidRDefault="001C440D" w:rsidP="00BC38E8">
      <w:pPr>
        <w:spacing w:line="276" w:lineRule="auto"/>
        <w:jc w:val="both"/>
        <w:rPr>
          <w:b/>
        </w:rPr>
      </w:pPr>
      <w:r>
        <w:rPr>
          <w:b/>
        </w:rPr>
        <w:t>S5</w:t>
      </w:r>
      <w:r w:rsidR="00CF6538" w:rsidRPr="00AF4759">
        <w:rPr>
          <w:b/>
        </w:rPr>
        <w:t>-</w:t>
      </w:r>
      <w:r w:rsidR="005B2174" w:rsidRPr="00AF4759">
        <w:rPr>
          <w:b/>
        </w:rPr>
        <w:t>3</w:t>
      </w:r>
      <w:r w:rsidR="00CB469A" w:rsidRPr="00AF4759">
        <w:rPr>
          <w:b/>
        </w:rPr>
        <w:t xml:space="preserve">. </w:t>
      </w:r>
      <w:r w:rsidR="00767C90" w:rsidRPr="00AF4759">
        <w:rPr>
          <w:b/>
        </w:rPr>
        <w:t>D</w:t>
      </w:r>
      <w:r w:rsidR="00767C90" w:rsidRPr="00AF4759">
        <w:rPr>
          <w:b/>
          <w:vertAlign w:val="subscript"/>
        </w:rPr>
        <w:t>e</w:t>
      </w:r>
      <w:r w:rsidR="00767C90" w:rsidRPr="00AF4759">
        <w:rPr>
          <w:b/>
        </w:rPr>
        <w:t xml:space="preserve"> determination and results</w:t>
      </w:r>
    </w:p>
    <w:p w14:paraId="7E5F3D1C" w14:textId="18072727" w:rsidR="00846072" w:rsidRPr="00AF4759" w:rsidRDefault="00F9518D" w:rsidP="00D92D7A">
      <w:pPr>
        <w:spacing w:line="276" w:lineRule="auto"/>
        <w:jc w:val="both"/>
        <w:rPr>
          <w:rFonts w:eastAsia="Times New Roman"/>
        </w:rPr>
      </w:pPr>
      <w:r w:rsidRPr="00AF4759">
        <w:rPr>
          <w:rFonts w:eastAsia="Times New Roman"/>
        </w:rPr>
        <w:t xml:space="preserve">OSL measurements were undertaken using two different automated </w:t>
      </w:r>
      <w:proofErr w:type="spellStart"/>
      <w:r w:rsidRPr="00AF4759">
        <w:rPr>
          <w:rFonts w:eastAsia="Times New Roman"/>
        </w:rPr>
        <w:t>Risø</w:t>
      </w:r>
      <w:proofErr w:type="spellEnd"/>
      <w:r w:rsidR="00F240E1" w:rsidRPr="00AF4759">
        <w:rPr>
          <w:rFonts w:eastAsia="Times New Roman"/>
        </w:rPr>
        <w:t xml:space="preserve"> TL/OSL</w:t>
      </w:r>
      <w:r w:rsidRPr="00AF4759">
        <w:rPr>
          <w:rFonts w:eastAsia="Times New Roman"/>
        </w:rPr>
        <w:t xml:space="preserve"> </w:t>
      </w:r>
      <w:r w:rsidR="00F240E1" w:rsidRPr="00AF4759">
        <w:rPr>
          <w:rFonts w:eastAsia="Times New Roman"/>
        </w:rPr>
        <w:t>readers fitted with single-grain laser attachments (</w:t>
      </w:r>
      <w:proofErr w:type="spellStart"/>
      <w:r w:rsidR="00F240E1" w:rsidRPr="00AF4759">
        <w:rPr>
          <w:rFonts w:eastAsia="Times New Roman"/>
        </w:rPr>
        <w:t>Risø</w:t>
      </w:r>
      <w:proofErr w:type="spellEnd"/>
      <w:r w:rsidR="00F240E1" w:rsidRPr="00AF4759">
        <w:rPr>
          <w:rFonts w:eastAsia="Times New Roman"/>
        </w:rPr>
        <w:t xml:space="preserve"> 4 = DA-20, </w:t>
      </w:r>
      <w:proofErr w:type="spellStart"/>
      <w:r w:rsidR="00F240E1" w:rsidRPr="00AF4759">
        <w:rPr>
          <w:rFonts w:eastAsia="Times New Roman"/>
        </w:rPr>
        <w:t>Risø</w:t>
      </w:r>
      <w:proofErr w:type="spellEnd"/>
      <w:r w:rsidR="00F240E1" w:rsidRPr="00AF4759">
        <w:rPr>
          <w:rFonts w:eastAsia="Times New Roman"/>
        </w:rPr>
        <w:t xml:space="preserve"> 6 = DA-20 C/D)</w:t>
      </w:r>
      <w:r w:rsidR="00563BCE" w:rsidRPr="00AF4759">
        <w:rPr>
          <w:rFonts w:eastAsia="Times New Roman"/>
        </w:rPr>
        <w:t xml:space="preserve">. </w:t>
      </w:r>
      <w:r w:rsidR="00993DF8" w:rsidRPr="00AF4759">
        <w:rPr>
          <w:rFonts w:eastAsia="Times New Roman"/>
        </w:rPr>
        <w:t xml:space="preserve">Samples were irradiated using calibrated </w:t>
      </w:r>
      <w:r w:rsidR="00993DF8" w:rsidRPr="00AF4759">
        <w:rPr>
          <w:rFonts w:eastAsia="Times New Roman"/>
          <w:vertAlign w:val="superscript"/>
        </w:rPr>
        <w:t>90</w:t>
      </w:r>
      <w:r w:rsidR="00993DF8" w:rsidRPr="00AF4759">
        <w:rPr>
          <w:rFonts w:eastAsia="Times New Roman"/>
        </w:rPr>
        <w:t>Sr/</w:t>
      </w:r>
      <w:r w:rsidR="00993DF8" w:rsidRPr="00AF4759">
        <w:rPr>
          <w:rFonts w:eastAsia="Times New Roman"/>
          <w:vertAlign w:val="superscript"/>
        </w:rPr>
        <w:t>90</w:t>
      </w:r>
      <w:r w:rsidR="00993DF8" w:rsidRPr="00AF4759">
        <w:rPr>
          <w:rFonts w:eastAsia="Times New Roman"/>
        </w:rPr>
        <w:t>Y beta sources.</w:t>
      </w:r>
      <w:r w:rsidR="008D4839" w:rsidRPr="00AF4759">
        <w:rPr>
          <w:rFonts w:eastAsia="Times New Roman"/>
        </w:rPr>
        <w:t xml:space="preserve"> </w:t>
      </w:r>
      <w:r w:rsidR="00234F82" w:rsidRPr="00AF4759">
        <w:rPr>
          <w:rFonts w:eastAsia="Times New Roman"/>
        </w:rPr>
        <w:t xml:space="preserve">Optical stimulation was achieved using </w:t>
      </w:r>
      <w:r w:rsidR="004B0982" w:rsidRPr="00AF4759">
        <w:rPr>
          <w:rFonts w:eastAsia="Times New Roman"/>
        </w:rPr>
        <w:t xml:space="preserve">an intense, green (532 nm) light from a 10 </w:t>
      </w:r>
      <w:proofErr w:type="spellStart"/>
      <w:r w:rsidR="004B0982" w:rsidRPr="00AF4759">
        <w:rPr>
          <w:rFonts w:eastAsia="Times New Roman"/>
        </w:rPr>
        <w:t>nW</w:t>
      </w:r>
      <w:proofErr w:type="spellEnd"/>
      <w:r w:rsidR="004B0982" w:rsidRPr="00AF4759">
        <w:rPr>
          <w:rFonts w:eastAsia="Times New Roman"/>
        </w:rPr>
        <w:t xml:space="preserve"> Nd</w:t>
      </w:r>
      <w:proofErr w:type="gramStart"/>
      <w:r w:rsidR="004B0982" w:rsidRPr="00AF4759">
        <w:rPr>
          <w:rFonts w:eastAsia="Times New Roman"/>
        </w:rPr>
        <w:t>:YVO</w:t>
      </w:r>
      <w:r w:rsidR="004B0982" w:rsidRPr="00AF4759">
        <w:rPr>
          <w:rFonts w:eastAsia="Times New Roman"/>
          <w:vertAlign w:val="subscript"/>
        </w:rPr>
        <w:t>4</w:t>
      </w:r>
      <w:proofErr w:type="gramEnd"/>
      <w:r w:rsidR="004B0982" w:rsidRPr="00AF4759">
        <w:rPr>
          <w:rFonts w:eastAsia="Times New Roman"/>
        </w:rPr>
        <w:t xml:space="preserve"> solid-state diode-pumped laser (maximum power ~50 W cm</w:t>
      </w:r>
      <w:r w:rsidR="004B0982" w:rsidRPr="00AF4759">
        <w:rPr>
          <w:rFonts w:eastAsia="Times New Roman"/>
          <w:vertAlign w:val="superscript"/>
        </w:rPr>
        <w:t>-2</w:t>
      </w:r>
      <w:r w:rsidR="004B0982" w:rsidRPr="00AF4759">
        <w:rPr>
          <w:rFonts w:eastAsia="Times New Roman"/>
        </w:rPr>
        <w:t>), focussed onto a ~20 µm-diameter spot, at 90% power (</w:t>
      </w:r>
      <w:proofErr w:type="spellStart"/>
      <w:r w:rsidR="004B0982" w:rsidRPr="00AF4759">
        <w:rPr>
          <w:rFonts w:eastAsia="Times New Roman"/>
        </w:rPr>
        <w:t>Bøtter</w:t>
      </w:r>
      <w:proofErr w:type="spellEnd"/>
      <w:r w:rsidR="004B0982" w:rsidRPr="00AF4759">
        <w:rPr>
          <w:rFonts w:eastAsia="Times New Roman"/>
        </w:rPr>
        <w:t xml:space="preserve">-Jensen et al., 2000). The resulting ultraviolet OSL emissions were then detected by an </w:t>
      </w:r>
      <w:r w:rsidR="004B0982" w:rsidRPr="00AF4759">
        <w:rPr>
          <w:rFonts w:eastAsia="Times New Roman"/>
          <w:color w:val="000000" w:themeColor="text1"/>
        </w:rPr>
        <w:t>Electron Tubes Ltd</w:t>
      </w:r>
      <w:r w:rsidR="008D4839" w:rsidRPr="00AF4759">
        <w:rPr>
          <w:rFonts w:eastAsia="Times New Roman"/>
          <w:color w:val="000000" w:themeColor="text1"/>
        </w:rPr>
        <w:t>.</w:t>
      </w:r>
      <w:r w:rsidR="004B0982" w:rsidRPr="00AF4759">
        <w:rPr>
          <w:rFonts w:eastAsia="Times New Roman"/>
          <w:color w:val="000000" w:themeColor="text1"/>
        </w:rPr>
        <w:t xml:space="preserve"> 9235QA</w:t>
      </w:r>
      <w:r w:rsidR="006C593E" w:rsidRPr="00AF4759">
        <w:rPr>
          <w:rFonts w:eastAsia="Times New Roman"/>
          <w:color w:val="000000" w:themeColor="text1"/>
        </w:rPr>
        <w:t xml:space="preserve"> (</w:t>
      </w:r>
      <w:proofErr w:type="spellStart"/>
      <w:r w:rsidR="006C593E" w:rsidRPr="00AF4759">
        <w:rPr>
          <w:rFonts w:eastAsia="Times New Roman"/>
        </w:rPr>
        <w:t>Risø</w:t>
      </w:r>
      <w:proofErr w:type="spellEnd"/>
      <w:r w:rsidR="006C593E" w:rsidRPr="00AF4759">
        <w:rPr>
          <w:rFonts w:eastAsia="Times New Roman"/>
        </w:rPr>
        <w:t xml:space="preserve"> 4) or 9107Q-AP-TTL-03 (</w:t>
      </w:r>
      <w:proofErr w:type="spellStart"/>
      <w:r w:rsidR="006C593E" w:rsidRPr="00AF4759">
        <w:rPr>
          <w:rFonts w:eastAsia="Times New Roman"/>
        </w:rPr>
        <w:t>Risø</w:t>
      </w:r>
      <w:proofErr w:type="spellEnd"/>
      <w:r w:rsidR="006C593E" w:rsidRPr="00AF4759">
        <w:rPr>
          <w:rFonts w:eastAsia="Times New Roman"/>
        </w:rPr>
        <w:t xml:space="preserve"> 6)</w:t>
      </w:r>
      <w:r w:rsidR="004B0982" w:rsidRPr="00AF4759">
        <w:rPr>
          <w:rFonts w:eastAsia="Times New Roman"/>
          <w:color w:val="000000" w:themeColor="text1"/>
        </w:rPr>
        <w:t xml:space="preserve"> photomultiplier tube</w:t>
      </w:r>
      <w:r w:rsidR="00FE466B" w:rsidRPr="00AF4759">
        <w:rPr>
          <w:rFonts w:eastAsia="Times New Roman"/>
          <w:color w:val="000000" w:themeColor="text1"/>
        </w:rPr>
        <w:t>,</w:t>
      </w:r>
      <w:r w:rsidR="004B0982" w:rsidRPr="00AF4759">
        <w:rPr>
          <w:rFonts w:eastAsia="Times New Roman"/>
          <w:color w:val="000000" w:themeColor="text1"/>
        </w:rPr>
        <w:t xml:space="preserve"> fitted with 7.5 mm thick Hoya U</w:t>
      </w:r>
      <w:r w:rsidR="005D51A7" w:rsidRPr="00AF4759">
        <w:rPr>
          <w:rFonts w:eastAsia="Times New Roman"/>
        </w:rPr>
        <w:t>–</w:t>
      </w:r>
      <w:r w:rsidR="004B0982" w:rsidRPr="00AF4759">
        <w:rPr>
          <w:rFonts w:eastAsia="Times New Roman"/>
          <w:color w:val="000000" w:themeColor="text1"/>
        </w:rPr>
        <w:t xml:space="preserve">340 filters. </w:t>
      </w:r>
    </w:p>
    <w:p w14:paraId="39178296" w14:textId="5D15451F" w:rsidR="00D958EB" w:rsidRPr="00AF4759" w:rsidRDefault="00D92D7A" w:rsidP="00D92D7A">
      <w:pPr>
        <w:spacing w:line="276" w:lineRule="auto"/>
        <w:jc w:val="both"/>
        <w:rPr>
          <w:rFonts w:eastAsia="Times New Roman"/>
        </w:rPr>
      </w:pPr>
      <w:r w:rsidRPr="00AF4759">
        <w:rPr>
          <w:rFonts w:eastAsia="Times New Roman"/>
        </w:rPr>
        <w:tab/>
      </w:r>
      <w:r w:rsidR="00B83171" w:rsidRPr="00AF4759">
        <w:rPr>
          <w:rFonts w:eastAsia="Times New Roman"/>
        </w:rPr>
        <w:t>Single-</w:t>
      </w:r>
      <w:r w:rsidR="00F668F9" w:rsidRPr="00AF4759">
        <w:rPr>
          <w:rFonts w:eastAsia="Times New Roman"/>
        </w:rPr>
        <w:t>grain OSL measurements were undertaken on 180</w:t>
      </w:r>
      <w:r w:rsidR="00BD6E52" w:rsidRPr="00AF4759">
        <w:rPr>
          <w:rFonts w:eastAsia="Times New Roman"/>
        </w:rPr>
        <w:t>–</w:t>
      </w:r>
      <w:r w:rsidR="00F668F9" w:rsidRPr="00AF4759">
        <w:rPr>
          <w:rFonts w:eastAsia="Times New Roman"/>
        </w:rPr>
        <w:t xml:space="preserve">212 µm-diameter quartz grains for all five samples. </w:t>
      </w:r>
      <w:r w:rsidR="00614E2B" w:rsidRPr="00AF4759">
        <w:rPr>
          <w:rFonts w:eastAsia="Times New Roman"/>
        </w:rPr>
        <w:t>G</w:t>
      </w:r>
      <w:r w:rsidR="00D56880" w:rsidRPr="00AF4759">
        <w:rPr>
          <w:rFonts w:eastAsia="Times New Roman"/>
        </w:rPr>
        <w:t xml:space="preserve">rains were measured using standard </w:t>
      </w:r>
      <w:r w:rsidR="00B83171" w:rsidRPr="00AF4759">
        <w:rPr>
          <w:rFonts w:eastAsia="Times New Roman"/>
        </w:rPr>
        <w:t>single-</w:t>
      </w:r>
      <w:r w:rsidR="00D56880" w:rsidRPr="00AF4759">
        <w:rPr>
          <w:rFonts w:eastAsia="Times New Roman"/>
        </w:rPr>
        <w:t xml:space="preserve">grain </w:t>
      </w:r>
      <w:r w:rsidR="0038414F" w:rsidRPr="00AF4759">
        <w:rPr>
          <w:rFonts w:eastAsia="Times New Roman"/>
        </w:rPr>
        <w:t xml:space="preserve">aluminium </w:t>
      </w:r>
      <w:r w:rsidR="00D56880" w:rsidRPr="00AF4759">
        <w:rPr>
          <w:rFonts w:eastAsia="Times New Roman"/>
        </w:rPr>
        <w:t xml:space="preserve">discs </w:t>
      </w:r>
      <w:r w:rsidR="0038414F" w:rsidRPr="00AF4759">
        <w:rPr>
          <w:rFonts w:eastAsia="Times New Roman"/>
        </w:rPr>
        <w:t xml:space="preserve">drilled with 100 </w:t>
      </w:r>
      <w:r w:rsidR="00614E2B" w:rsidRPr="00AF4759">
        <w:rPr>
          <w:rFonts w:eastAsia="Times New Roman"/>
        </w:rPr>
        <w:t xml:space="preserve">individual </w:t>
      </w:r>
      <w:r w:rsidR="0038414F" w:rsidRPr="00AF4759">
        <w:rPr>
          <w:rFonts w:eastAsia="Times New Roman"/>
        </w:rPr>
        <w:t xml:space="preserve">300 x 300 </w:t>
      </w:r>
      <w:proofErr w:type="spellStart"/>
      <w:r w:rsidR="0038414F" w:rsidRPr="00AF4759">
        <w:rPr>
          <w:rFonts w:eastAsia="Times New Roman"/>
        </w:rPr>
        <w:t>μm</w:t>
      </w:r>
      <w:proofErr w:type="spellEnd"/>
      <w:r w:rsidR="0038414F" w:rsidRPr="00AF4759">
        <w:rPr>
          <w:rFonts w:eastAsia="Times New Roman"/>
        </w:rPr>
        <w:t xml:space="preserve"> holes</w:t>
      </w:r>
      <w:r w:rsidR="009074B6" w:rsidRPr="00AF4759">
        <w:rPr>
          <w:rFonts w:eastAsia="Times New Roman"/>
        </w:rPr>
        <w:t>, in which grains were individually placed (</w:t>
      </w:r>
      <w:proofErr w:type="spellStart"/>
      <w:r w:rsidR="009074B6" w:rsidRPr="00AF4759">
        <w:rPr>
          <w:rFonts w:eastAsia="Times New Roman"/>
        </w:rPr>
        <w:t>Bøtter</w:t>
      </w:r>
      <w:proofErr w:type="spellEnd"/>
      <w:r w:rsidR="009074B6" w:rsidRPr="00AF4759">
        <w:rPr>
          <w:rFonts w:eastAsia="Times New Roman"/>
        </w:rPr>
        <w:t xml:space="preserve">-Jensen et al., 2000). </w:t>
      </w:r>
      <w:r w:rsidR="00B83171" w:rsidRPr="00AF4759">
        <w:rPr>
          <w:rFonts w:eastAsia="Times New Roman"/>
        </w:rPr>
        <w:t>Additional single-grain</w:t>
      </w:r>
      <w:r w:rsidR="009074B6" w:rsidRPr="00AF4759">
        <w:rPr>
          <w:rFonts w:eastAsia="Times New Roman"/>
        </w:rPr>
        <w:t xml:space="preserve"> measurements </w:t>
      </w:r>
      <w:r w:rsidR="007C78DF" w:rsidRPr="00AF4759">
        <w:rPr>
          <w:rFonts w:eastAsia="Times New Roman"/>
        </w:rPr>
        <w:t xml:space="preserve">on 150–180 µm-diameter quartz grains </w:t>
      </w:r>
      <w:r w:rsidR="009074B6" w:rsidRPr="00AF4759">
        <w:rPr>
          <w:rFonts w:eastAsia="Times New Roman"/>
        </w:rPr>
        <w:t xml:space="preserve">were required for samples </w:t>
      </w:r>
      <w:r w:rsidR="005D3EF4" w:rsidRPr="00AF4759">
        <w:t>CN</w:t>
      </w:r>
      <w:r w:rsidR="009074B6" w:rsidRPr="00AF4759">
        <w:rPr>
          <w:rFonts w:eastAsia="Times New Roman"/>
        </w:rPr>
        <w:t xml:space="preserve">312, </w:t>
      </w:r>
      <w:r w:rsidR="00C41841" w:rsidRPr="00AF4759">
        <w:t>CN</w:t>
      </w:r>
      <w:r w:rsidR="009074B6" w:rsidRPr="00AF4759">
        <w:rPr>
          <w:rFonts w:eastAsia="Times New Roman"/>
        </w:rPr>
        <w:t xml:space="preserve">308 and </w:t>
      </w:r>
      <w:r w:rsidR="00C41841" w:rsidRPr="00AF4759">
        <w:t>CN</w:t>
      </w:r>
      <w:r w:rsidR="009074B6" w:rsidRPr="00AF4759">
        <w:rPr>
          <w:rFonts w:eastAsia="Times New Roman"/>
        </w:rPr>
        <w:t>309, due to the luminescence sensitivity (brightness) of these qua</w:t>
      </w:r>
      <w:r w:rsidR="00AE0158" w:rsidRPr="00AF4759">
        <w:rPr>
          <w:rFonts w:eastAsia="Times New Roman"/>
        </w:rPr>
        <w:t>rtz samples being very low</w:t>
      </w:r>
      <w:r w:rsidR="009074B6" w:rsidRPr="00AF4759">
        <w:rPr>
          <w:rFonts w:eastAsia="Times New Roman"/>
        </w:rPr>
        <w:t xml:space="preserve">. For these measurements, </w:t>
      </w:r>
      <w:r w:rsidR="00E75550" w:rsidRPr="00AF4759">
        <w:rPr>
          <w:rFonts w:eastAsia="Times New Roman"/>
        </w:rPr>
        <w:t xml:space="preserve">a 'pseudo' single-grain approach was taken </w:t>
      </w:r>
      <w:r w:rsidR="005D5D50" w:rsidRPr="00AF4759">
        <w:rPr>
          <w:rFonts w:eastAsia="Times New Roman"/>
        </w:rPr>
        <w:t xml:space="preserve">to increase probability that a grain able to produce a statistically-significant OSL signal would </w:t>
      </w:r>
      <w:r w:rsidR="00AC5613" w:rsidRPr="00AF4759">
        <w:rPr>
          <w:rFonts w:eastAsia="Times New Roman"/>
        </w:rPr>
        <w:t>be measured. It is estimated that ~2</w:t>
      </w:r>
      <w:r w:rsidR="00BD6E52" w:rsidRPr="00AF4759">
        <w:rPr>
          <w:rFonts w:eastAsia="Times New Roman"/>
        </w:rPr>
        <w:t>–</w:t>
      </w:r>
      <w:r w:rsidR="00AC5613" w:rsidRPr="00AF4759">
        <w:rPr>
          <w:rFonts w:eastAsia="Times New Roman"/>
        </w:rPr>
        <w:t xml:space="preserve">3 grains were placed into each hole using this approach. The initial OSL measurements </w:t>
      </w:r>
      <w:r w:rsidR="00EF41D0" w:rsidRPr="00AF4759">
        <w:rPr>
          <w:rFonts w:eastAsia="Times New Roman"/>
        </w:rPr>
        <w:t>of the 180</w:t>
      </w:r>
      <w:r w:rsidR="00BD6E52" w:rsidRPr="00AF4759">
        <w:rPr>
          <w:rFonts w:eastAsia="Times New Roman"/>
        </w:rPr>
        <w:t>–</w:t>
      </w:r>
      <w:r w:rsidR="00EF41D0" w:rsidRPr="00AF4759">
        <w:rPr>
          <w:rFonts w:eastAsia="Times New Roman"/>
        </w:rPr>
        <w:t>212 µm</w:t>
      </w:r>
      <w:r w:rsidR="00820A23" w:rsidRPr="00AF4759">
        <w:rPr>
          <w:rFonts w:eastAsia="Times New Roman"/>
        </w:rPr>
        <w:t xml:space="preserve">-diameter grains </w:t>
      </w:r>
      <w:r w:rsidR="00AC5613" w:rsidRPr="00AF4759">
        <w:rPr>
          <w:rFonts w:eastAsia="Times New Roman"/>
        </w:rPr>
        <w:t xml:space="preserve">for these samples </w:t>
      </w:r>
      <w:r w:rsidR="008E4EA9" w:rsidRPr="00AF4759">
        <w:rPr>
          <w:rFonts w:eastAsia="Times New Roman"/>
        </w:rPr>
        <w:t>showed</w:t>
      </w:r>
      <w:r w:rsidR="00AC5613" w:rsidRPr="00AF4759">
        <w:rPr>
          <w:rFonts w:eastAsia="Times New Roman"/>
        </w:rPr>
        <w:t xml:space="preserve"> that only ~</w:t>
      </w:r>
      <w:r w:rsidR="00645C78" w:rsidRPr="00AF4759">
        <w:rPr>
          <w:rFonts w:eastAsia="Times New Roman"/>
        </w:rPr>
        <w:t>13</w:t>
      </w:r>
      <w:r w:rsidR="00AC5613" w:rsidRPr="00AF4759">
        <w:rPr>
          <w:rFonts w:eastAsia="Times New Roman"/>
        </w:rPr>
        <w:t xml:space="preserve">% of individual grains </w:t>
      </w:r>
      <w:r w:rsidR="00820A23" w:rsidRPr="00AF4759">
        <w:rPr>
          <w:rFonts w:eastAsia="Times New Roman"/>
        </w:rPr>
        <w:t>produce</w:t>
      </w:r>
      <w:r w:rsidR="00AC5613" w:rsidRPr="00AF4759">
        <w:rPr>
          <w:rFonts w:eastAsia="Times New Roman"/>
        </w:rPr>
        <w:t xml:space="preserve"> a statistically distinguishable OSL </w:t>
      </w:r>
      <w:proofErr w:type="spellStart"/>
      <w:r w:rsidR="00AC5613" w:rsidRPr="00AF4759">
        <w:rPr>
          <w:rFonts w:eastAsia="Times New Roman"/>
        </w:rPr>
        <w:t>T</w:t>
      </w:r>
      <w:r w:rsidR="00AC5613" w:rsidRPr="00AF4759">
        <w:rPr>
          <w:rFonts w:eastAsia="Times New Roman"/>
          <w:vertAlign w:val="subscript"/>
        </w:rPr>
        <w:t>n</w:t>
      </w:r>
      <w:proofErr w:type="spellEnd"/>
      <w:r w:rsidR="00AC5613" w:rsidRPr="00AF4759">
        <w:rPr>
          <w:rFonts w:eastAsia="Times New Roman"/>
        </w:rPr>
        <w:t xml:space="preserve"> signal</w:t>
      </w:r>
      <w:r w:rsidR="00A869C2" w:rsidRPr="00AF4759">
        <w:rPr>
          <w:rFonts w:eastAsia="Times New Roman"/>
        </w:rPr>
        <w:t xml:space="preserve">. </w:t>
      </w:r>
      <w:proofErr w:type="spellStart"/>
      <w:r w:rsidR="00820A23" w:rsidRPr="00AF4759">
        <w:rPr>
          <w:rFonts w:eastAsia="Times New Roman"/>
        </w:rPr>
        <w:t>Demuro</w:t>
      </w:r>
      <w:proofErr w:type="spellEnd"/>
      <w:r w:rsidR="00820A23" w:rsidRPr="00AF4759">
        <w:rPr>
          <w:rFonts w:eastAsia="Times New Roman"/>
        </w:rPr>
        <w:t xml:space="preserve"> et al. (2013) have </w:t>
      </w:r>
      <w:r w:rsidR="008E4EA9" w:rsidRPr="00AF4759">
        <w:rPr>
          <w:rFonts w:eastAsia="Times New Roman"/>
        </w:rPr>
        <w:t>demonstrated that such an approach for D</w:t>
      </w:r>
      <w:r w:rsidR="008E4EA9" w:rsidRPr="00AF4759">
        <w:rPr>
          <w:rFonts w:eastAsia="Times New Roman"/>
          <w:vertAlign w:val="subscript"/>
        </w:rPr>
        <w:t>e</w:t>
      </w:r>
      <w:r w:rsidR="008E4EA9" w:rsidRPr="00AF4759">
        <w:rPr>
          <w:rFonts w:eastAsia="Times New Roman"/>
        </w:rPr>
        <w:t xml:space="preserve"> measurement is unlikely to </w:t>
      </w:r>
      <w:r w:rsidR="00532561" w:rsidRPr="00AF4759">
        <w:rPr>
          <w:rFonts w:eastAsia="Times New Roman"/>
        </w:rPr>
        <w:t xml:space="preserve">produce any significant grain-hole averaging effects for samples </w:t>
      </w:r>
      <w:r w:rsidR="00A06CF2" w:rsidRPr="00AF4759">
        <w:rPr>
          <w:rFonts w:eastAsia="Times New Roman"/>
        </w:rPr>
        <w:t xml:space="preserve">characterised </w:t>
      </w:r>
      <w:r w:rsidR="00702322" w:rsidRPr="00AF4759">
        <w:rPr>
          <w:rFonts w:eastAsia="Times New Roman"/>
        </w:rPr>
        <w:t xml:space="preserve">by </w:t>
      </w:r>
      <w:r w:rsidR="00F8252F" w:rsidRPr="00AF4759">
        <w:rPr>
          <w:rFonts w:eastAsia="Times New Roman"/>
        </w:rPr>
        <w:t>low proportio</w:t>
      </w:r>
      <w:r w:rsidR="00AF4D31" w:rsidRPr="00AF4759">
        <w:rPr>
          <w:rFonts w:eastAsia="Times New Roman"/>
        </w:rPr>
        <w:t>n</w:t>
      </w:r>
      <w:r w:rsidR="00CD0D9C" w:rsidRPr="00AF4759">
        <w:rPr>
          <w:rFonts w:eastAsia="Times New Roman"/>
        </w:rPr>
        <w:t>s</w:t>
      </w:r>
      <w:r w:rsidR="00AF4D31" w:rsidRPr="00AF4759">
        <w:rPr>
          <w:rFonts w:eastAsia="Times New Roman"/>
        </w:rPr>
        <w:t xml:space="preserve"> (&lt;30%) of luminescent grains. For such dim samples, this approach is useful in boosting </w:t>
      </w:r>
      <w:r w:rsidR="008466E9" w:rsidRPr="00AF4759">
        <w:rPr>
          <w:rFonts w:eastAsia="Times New Roman"/>
        </w:rPr>
        <w:t xml:space="preserve">the statistical significance </w:t>
      </w:r>
      <w:r w:rsidR="00CD0D9C" w:rsidRPr="00AF4759">
        <w:rPr>
          <w:rFonts w:eastAsia="Times New Roman"/>
        </w:rPr>
        <w:t>of</w:t>
      </w:r>
      <w:r w:rsidR="008466E9" w:rsidRPr="00AF4759">
        <w:rPr>
          <w:rFonts w:eastAsia="Times New Roman"/>
        </w:rPr>
        <w:t xml:space="preserve"> D</w:t>
      </w:r>
      <w:r w:rsidR="008466E9" w:rsidRPr="00AF4759">
        <w:rPr>
          <w:rFonts w:eastAsia="Times New Roman"/>
          <w:vertAlign w:val="subscript"/>
        </w:rPr>
        <w:t>e</w:t>
      </w:r>
      <w:r w:rsidR="008466E9" w:rsidRPr="00AF4759">
        <w:rPr>
          <w:rFonts w:eastAsia="Times New Roman"/>
        </w:rPr>
        <w:t xml:space="preserve"> determination, yet maintaining single-grain resolution. </w:t>
      </w:r>
    </w:p>
    <w:p w14:paraId="5256A2F8" w14:textId="366565A5" w:rsidR="0049626B" w:rsidRPr="00AF4759" w:rsidRDefault="00D92D7A" w:rsidP="00BC38E8">
      <w:pPr>
        <w:spacing w:line="276" w:lineRule="auto"/>
        <w:jc w:val="both"/>
        <w:rPr>
          <w:rFonts w:eastAsia="Times New Roman"/>
        </w:rPr>
      </w:pPr>
      <w:r w:rsidRPr="00AF4759">
        <w:tab/>
      </w:r>
      <w:r w:rsidR="00DF15BD" w:rsidRPr="00AF4759">
        <w:t>The single-</w:t>
      </w:r>
      <w:r w:rsidR="00A319E3" w:rsidRPr="00AF4759">
        <w:t>aliquot</w:t>
      </w:r>
      <w:r w:rsidR="00DF15BD" w:rsidRPr="00AF4759">
        <w:t xml:space="preserve"> </w:t>
      </w:r>
      <w:r w:rsidR="00A319E3" w:rsidRPr="00AF4759">
        <w:t xml:space="preserve">regenerative-dose </w:t>
      </w:r>
      <w:r w:rsidR="006D0FD9" w:rsidRPr="00AF4759">
        <w:t xml:space="preserve">(SAR) </w:t>
      </w:r>
      <w:r w:rsidR="00A319E3" w:rsidRPr="00AF4759">
        <w:t xml:space="preserve">procedure </w:t>
      </w:r>
      <w:r w:rsidR="009E05B7" w:rsidRPr="00AF4759">
        <w:t>(</w:t>
      </w:r>
      <w:r w:rsidR="005E2354" w:rsidRPr="00AF4759">
        <w:t xml:space="preserve">Galbraith et al., 1999; </w:t>
      </w:r>
      <w:r w:rsidR="009E05B7" w:rsidRPr="00AF4759">
        <w:t xml:space="preserve">Murray &amp; </w:t>
      </w:r>
      <w:proofErr w:type="spellStart"/>
      <w:r w:rsidR="009E05B7" w:rsidRPr="00AF4759">
        <w:t>Wintle</w:t>
      </w:r>
      <w:proofErr w:type="spellEnd"/>
      <w:r w:rsidR="009E05B7" w:rsidRPr="00AF4759">
        <w:t xml:space="preserve">, 2000) </w:t>
      </w:r>
      <w:r w:rsidR="002646FA" w:rsidRPr="00AF4759">
        <w:t xml:space="preserve">used </w:t>
      </w:r>
      <w:r w:rsidR="006D0FD9" w:rsidRPr="00AF4759">
        <w:t>for measuring D</w:t>
      </w:r>
      <w:r w:rsidR="006D0FD9" w:rsidRPr="00AF4759">
        <w:rPr>
          <w:vertAlign w:val="subscript"/>
        </w:rPr>
        <w:t>e</w:t>
      </w:r>
      <w:r w:rsidR="00BE60C3" w:rsidRPr="00AF4759">
        <w:rPr>
          <w:vertAlign w:val="subscript"/>
        </w:rPr>
        <w:t xml:space="preserve"> </w:t>
      </w:r>
      <w:r w:rsidR="00BE60C3" w:rsidRPr="00AF4759">
        <w:t>in thi</w:t>
      </w:r>
      <w:r w:rsidR="008000F1" w:rsidRPr="00AF4759">
        <w:t xml:space="preserve">s study is outlined in </w:t>
      </w:r>
      <w:r w:rsidR="008000F1" w:rsidRPr="00AF4759">
        <w:rPr>
          <w:b/>
        </w:rPr>
        <w:t xml:space="preserve">Table </w:t>
      </w:r>
      <w:r w:rsidR="001C440D">
        <w:rPr>
          <w:b/>
        </w:rPr>
        <w:t>S5</w:t>
      </w:r>
      <w:r w:rsidR="005412ED" w:rsidRPr="00AF4759">
        <w:rPr>
          <w:b/>
        </w:rPr>
        <w:t>-</w:t>
      </w:r>
      <w:r w:rsidR="008000F1" w:rsidRPr="00AF4759">
        <w:rPr>
          <w:b/>
        </w:rPr>
        <w:t>1</w:t>
      </w:r>
      <w:r w:rsidR="00BE60C3" w:rsidRPr="00AF4759">
        <w:t>.</w:t>
      </w:r>
      <w:r w:rsidR="009E05B7" w:rsidRPr="00AF4759">
        <w:t xml:space="preserve"> </w:t>
      </w:r>
      <w:r w:rsidR="00AC7C4E" w:rsidRPr="00AF4759">
        <w:t>All luminescence data was processed and analysed using the R packages ‘</w:t>
      </w:r>
      <w:proofErr w:type="spellStart"/>
      <w:r w:rsidR="00AC7C4E" w:rsidRPr="00AF4759">
        <w:t>numOSL</w:t>
      </w:r>
      <w:proofErr w:type="spellEnd"/>
      <w:r w:rsidR="00AC7C4E" w:rsidRPr="00AF4759">
        <w:t xml:space="preserve">’ (Peng &amp; Li, 2017) and ‘Luminescence’ (Kreutzer et al., </w:t>
      </w:r>
      <w:r w:rsidR="00C314EF" w:rsidRPr="00AF4759">
        <w:t xml:space="preserve">2012, </w:t>
      </w:r>
      <w:r w:rsidR="00AC7C4E" w:rsidRPr="00AF4759">
        <w:t xml:space="preserve">2017). </w:t>
      </w:r>
      <w:r w:rsidR="00A52BC8" w:rsidRPr="00AF4759">
        <w:t xml:space="preserve">Single grains were optically stimulated by green </w:t>
      </w:r>
      <w:r w:rsidR="00A52BC8" w:rsidRPr="00AF4759">
        <w:rPr>
          <w:rFonts w:eastAsia="Times New Roman"/>
        </w:rPr>
        <w:t>(532 nm) light</w:t>
      </w:r>
      <w:r w:rsidR="000E2F26" w:rsidRPr="00AF4759">
        <w:rPr>
          <w:rFonts w:eastAsia="Times New Roman"/>
        </w:rPr>
        <w:t xml:space="preserve"> for </w:t>
      </w:r>
      <w:r w:rsidR="008807D7" w:rsidRPr="00AF4759">
        <w:rPr>
          <w:rFonts w:eastAsia="Times New Roman"/>
        </w:rPr>
        <w:t>2</w:t>
      </w:r>
      <w:r w:rsidR="00A52BC8" w:rsidRPr="00AF4759">
        <w:rPr>
          <w:rFonts w:eastAsia="Times New Roman"/>
        </w:rPr>
        <w:t xml:space="preserve"> s at </w:t>
      </w:r>
      <w:r w:rsidR="003936A3" w:rsidRPr="00AF4759">
        <w:rPr>
          <w:rFonts w:eastAsia="Times New Roman"/>
        </w:rPr>
        <w:t xml:space="preserve">125°C, and the net OSL signal was calculated using the </w:t>
      </w:r>
      <w:r w:rsidR="000E2F26" w:rsidRPr="00AF4759">
        <w:rPr>
          <w:rFonts w:eastAsia="Times New Roman"/>
        </w:rPr>
        <w:t>first 0.</w:t>
      </w:r>
      <w:r w:rsidR="00950E10" w:rsidRPr="00AF4759">
        <w:rPr>
          <w:rFonts w:eastAsia="Times New Roman"/>
        </w:rPr>
        <w:t>2</w:t>
      </w:r>
      <w:r w:rsidR="000E2F26" w:rsidRPr="00AF4759">
        <w:rPr>
          <w:rFonts w:eastAsia="Times New Roman"/>
        </w:rPr>
        <w:t xml:space="preserve"> s, after subtracting an estimated </w:t>
      </w:r>
      <w:r w:rsidR="00513671" w:rsidRPr="00AF4759">
        <w:rPr>
          <w:rFonts w:eastAsia="Times New Roman"/>
        </w:rPr>
        <w:t xml:space="preserve">(‘late’) </w:t>
      </w:r>
      <w:r w:rsidR="000E2F26" w:rsidRPr="00AF4759">
        <w:rPr>
          <w:rFonts w:eastAsia="Times New Roman"/>
        </w:rPr>
        <w:t>background count rate from the last 0.3 s of stimulation</w:t>
      </w:r>
      <w:r w:rsidR="0070038B" w:rsidRPr="00AF4759">
        <w:rPr>
          <w:rFonts w:eastAsia="Times New Roman"/>
        </w:rPr>
        <w:t xml:space="preserve"> (</w:t>
      </w:r>
      <w:r w:rsidR="0070038B" w:rsidRPr="00AF4759">
        <w:rPr>
          <w:rFonts w:eastAsia="Times New Roman"/>
          <w:b/>
        </w:rPr>
        <w:t xml:space="preserve">Figure </w:t>
      </w:r>
      <w:r w:rsidR="001C440D">
        <w:rPr>
          <w:rFonts w:eastAsia="Times New Roman"/>
          <w:b/>
        </w:rPr>
        <w:t>S5</w:t>
      </w:r>
      <w:r w:rsidR="005412ED" w:rsidRPr="00AF4759">
        <w:rPr>
          <w:rFonts w:eastAsia="Times New Roman"/>
          <w:b/>
        </w:rPr>
        <w:t>-</w:t>
      </w:r>
      <w:r w:rsidR="001F1D9D" w:rsidRPr="00AF4759">
        <w:rPr>
          <w:rFonts w:eastAsia="Times New Roman"/>
          <w:b/>
        </w:rPr>
        <w:t>1a</w:t>
      </w:r>
      <w:r w:rsidR="0070038B" w:rsidRPr="00AF4759">
        <w:rPr>
          <w:rFonts w:eastAsia="Times New Roman"/>
        </w:rPr>
        <w:t>)</w:t>
      </w:r>
      <w:r w:rsidR="000E2F26" w:rsidRPr="00AF4759">
        <w:rPr>
          <w:rFonts w:eastAsia="Times New Roman"/>
        </w:rPr>
        <w:t xml:space="preserve">. </w:t>
      </w:r>
      <w:r w:rsidR="004C1635" w:rsidRPr="00AF4759">
        <w:rPr>
          <w:rFonts w:eastAsia="Times New Roman"/>
        </w:rPr>
        <w:t>Sensitivity-corrected OSL signals (L</w:t>
      </w:r>
      <w:r w:rsidR="004C1635" w:rsidRPr="00AF4759">
        <w:rPr>
          <w:rFonts w:eastAsia="Times New Roman"/>
          <w:vertAlign w:val="subscript"/>
        </w:rPr>
        <w:t>X</w:t>
      </w:r>
      <w:r w:rsidR="004C1635" w:rsidRPr="00AF4759">
        <w:rPr>
          <w:rFonts w:eastAsia="Times New Roman"/>
        </w:rPr>
        <w:t>/T</w:t>
      </w:r>
      <w:r w:rsidR="004C1635" w:rsidRPr="00AF4759">
        <w:rPr>
          <w:rFonts w:eastAsia="Times New Roman"/>
          <w:vertAlign w:val="subscript"/>
        </w:rPr>
        <w:t>X</w:t>
      </w:r>
      <w:r w:rsidR="004C1635" w:rsidRPr="00AF4759">
        <w:rPr>
          <w:rFonts w:eastAsia="Times New Roman"/>
        </w:rPr>
        <w:t>) were determined, and dose-response curves (DRCs) fitted for each grain</w:t>
      </w:r>
      <w:r w:rsidR="001F1D9D" w:rsidRPr="00AF4759">
        <w:rPr>
          <w:rFonts w:eastAsia="Times New Roman"/>
        </w:rPr>
        <w:t xml:space="preserve"> (</w:t>
      </w:r>
      <w:r w:rsidR="001F1D9D" w:rsidRPr="00AF4759">
        <w:rPr>
          <w:rFonts w:eastAsia="Times New Roman"/>
          <w:b/>
        </w:rPr>
        <w:t xml:space="preserve">Figure </w:t>
      </w:r>
      <w:r w:rsidR="001C440D">
        <w:rPr>
          <w:rFonts w:eastAsia="Times New Roman"/>
          <w:b/>
        </w:rPr>
        <w:t>S5</w:t>
      </w:r>
      <w:r w:rsidR="005412ED" w:rsidRPr="00AF4759">
        <w:rPr>
          <w:rFonts w:eastAsia="Times New Roman"/>
          <w:b/>
        </w:rPr>
        <w:t>-</w:t>
      </w:r>
      <w:r w:rsidR="001F1D9D" w:rsidRPr="00AF4759">
        <w:rPr>
          <w:rFonts w:eastAsia="Times New Roman"/>
          <w:b/>
        </w:rPr>
        <w:t>1b</w:t>
      </w:r>
      <w:r w:rsidR="001F1D9D" w:rsidRPr="00AF4759">
        <w:rPr>
          <w:rFonts w:eastAsia="Times New Roman"/>
        </w:rPr>
        <w:t>)</w:t>
      </w:r>
      <w:r w:rsidR="004C1635" w:rsidRPr="00AF4759">
        <w:rPr>
          <w:rFonts w:eastAsia="Times New Roman"/>
        </w:rPr>
        <w:t>. All DRCs were fitted using a general-order kinetics (GOK) function (</w:t>
      </w:r>
      <w:proofErr w:type="spellStart"/>
      <w:r w:rsidR="004C1635" w:rsidRPr="00AF4759">
        <w:rPr>
          <w:rFonts w:eastAsia="Times New Roman"/>
        </w:rPr>
        <w:t>Guralnik</w:t>
      </w:r>
      <w:proofErr w:type="spellEnd"/>
      <w:r w:rsidR="004C1635" w:rsidRPr="00AF4759">
        <w:rPr>
          <w:rFonts w:eastAsia="Times New Roman"/>
        </w:rPr>
        <w:t xml:space="preserve"> et al., 2015),</w:t>
      </w:r>
      <w:r w:rsidR="00131BCE" w:rsidRPr="00AF4759">
        <w:rPr>
          <w:rFonts w:eastAsia="Times New Roman"/>
        </w:rPr>
        <w:t xml:space="preserve"> which has been demonstrated to be </w:t>
      </w:r>
      <w:r w:rsidR="00380080" w:rsidRPr="00AF4759">
        <w:rPr>
          <w:rFonts w:eastAsia="Times New Roman"/>
        </w:rPr>
        <w:t xml:space="preserve">effective </w:t>
      </w:r>
      <w:r w:rsidR="00131BCE" w:rsidRPr="00AF4759">
        <w:rPr>
          <w:rFonts w:eastAsia="Times New Roman"/>
        </w:rPr>
        <w:t xml:space="preserve">for fitting a wide range of DRCs (Peng &amp; Li, 2017). </w:t>
      </w:r>
      <w:r w:rsidR="0027229A" w:rsidRPr="00AF4759">
        <w:rPr>
          <w:rFonts w:eastAsia="Times New Roman"/>
        </w:rPr>
        <w:t>D</w:t>
      </w:r>
      <w:r w:rsidR="0027229A" w:rsidRPr="00AF4759">
        <w:rPr>
          <w:rFonts w:eastAsia="Times New Roman"/>
          <w:vertAlign w:val="subscript"/>
        </w:rPr>
        <w:t>e</w:t>
      </w:r>
      <w:r w:rsidR="0027229A" w:rsidRPr="00AF4759">
        <w:rPr>
          <w:rFonts w:eastAsia="Times New Roman"/>
        </w:rPr>
        <w:t xml:space="preserve"> </w:t>
      </w:r>
      <w:r w:rsidR="0027229A" w:rsidRPr="00AF4759">
        <w:rPr>
          <w:rFonts w:eastAsia="Times New Roman"/>
        </w:rPr>
        <w:lastRenderedPageBreak/>
        <w:t>values were estimated by interpolating the sensitivity-corrected natural signals (L</w:t>
      </w:r>
      <w:r w:rsidR="0027229A" w:rsidRPr="00AF4759">
        <w:rPr>
          <w:rFonts w:eastAsia="Times New Roman"/>
          <w:vertAlign w:val="subscript"/>
        </w:rPr>
        <w:t>N</w:t>
      </w:r>
      <w:r w:rsidR="0027229A" w:rsidRPr="00AF4759">
        <w:rPr>
          <w:rFonts w:eastAsia="Times New Roman"/>
        </w:rPr>
        <w:t>/T</w:t>
      </w:r>
      <w:r w:rsidR="0027229A" w:rsidRPr="00AF4759">
        <w:rPr>
          <w:rFonts w:eastAsia="Times New Roman"/>
          <w:vertAlign w:val="subscript"/>
        </w:rPr>
        <w:t>N</w:t>
      </w:r>
      <w:r w:rsidR="0027229A" w:rsidRPr="00AF4759">
        <w:rPr>
          <w:rFonts w:eastAsia="Times New Roman"/>
        </w:rPr>
        <w:t>) onto their corresponding DRC</w:t>
      </w:r>
      <w:r w:rsidR="007E486E" w:rsidRPr="00AF4759">
        <w:rPr>
          <w:rFonts w:eastAsia="Times New Roman"/>
        </w:rPr>
        <w:t>s</w:t>
      </w:r>
      <w:r w:rsidR="0027229A" w:rsidRPr="00AF4759">
        <w:rPr>
          <w:rFonts w:eastAsia="Times New Roman"/>
        </w:rPr>
        <w:t xml:space="preserve">. </w:t>
      </w:r>
      <w:r w:rsidR="000473C9" w:rsidRPr="00AF4759">
        <w:rPr>
          <w:rFonts w:eastAsia="Times New Roman"/>
        </w:rPr>
        <w:t xml:space="preserve">The uncertainty on this estimate for each grain was determined from </w:t>
      </w:r>
      <w:r w:rsidR="00AD607D" w:rsidRPr="00AF4759">
        <w:rPr>
          <w:rFonts w:eastAsia="Times New Roman"/>
        </w:rPr>
        <w:t>photon counting statistics, instrument irreproducibility estimates (</w:t>
      </w:r>
      <w:r w:rsidR="005D6F59" w:rsidRPr="00AF4759">
        <w:rPr>
          <w:rFonts w:eastAsia="Times New Roman"/>
        </w:rPr>
        <w:t xml:space="preserve">1.3% or 2.5%, depending on which </w:t>
      </w:r>
      <w:proofErr w:type="spellStart"/>
      <w:r w:rsidR="005D6F59" w:rsidRPr="00AF4759">
        <w:rPr>
          <w:rFonts w:eastAsia="Times New Roman"/>
        </w:rPr>
        <w:t>Risø</w:t>
      </w:r>
      <w:proofErr w:type="spellEnd"/>
      <w:r w:rsidR="00F202CE" w:rsidRPr="00AF4759">
        <w:rPr>
          <w:rFonts w:eastAsia="Times New Roman"/>
        </w:rPr>
        <w:t xml:space="preserve"> reader was used), </w:t>
      </w:r>
      <w:r w:rsidR="00412FB8" w:rsidRPr="00AF4759">
        <w:rPr>
          <w:rFonts w:eastAsia="Times New Roman"/>
        </w:rPr>
        <w:t xml:space="preserve">and </w:t>
      </w:r>
      <w:r w:rsidR="00CF5045" w:rsidRPr="00AF4759">
        <w:rPr>
          <w:rFonts w:eastAsia="Times New Roman"/>
        </w:rPr>
        <w:t xml:space="preserve">curve fitting uncertainties, determined by Monte Carlo simulation (Duller, 2007). </w:t>
      </w:r>
    </w:p>
    <w:p w14:paraId="66D40823" w14:textId="764C6FC9" w:rsidR="00EC132A" w:rsidRPr="00AF4759" w:rsidRDefault="00D92D7A" w:rsidP="00D92D7A">
      <w:pPr>
        <w:spacing w:line="276" w:lineRule="auto"/>
        <w:jc w:val="both"/>
        <w:rPr>
          <w:rFonts w:eastAsia="Times New Roman"/>
        </w:rPr>
      </w:pPr>
      <w:r w:rsidRPr="00AF4759">
        <w:rPr>
          <w:rFonts w:eastAsia="Times New Roman"/>
        </w:rPr>
        <w:tab/>
      </w:r>
      <w:r w:rsidR="00F509C6" w:rsidRPr="00AF4759">
        <w:rPr>
          <w:rFonts w:eastAsia="Times New Roman"/>
        </w:rPr>
        <w:t>Dose recovery experiments (Roberts et al., 1998, 1999; Galbraith et al., 1999) were conducted on bleached 180</w:t>
      </w:r>
      <w:r w:rsidR="00AB4FE5" w:rsidRPr="00AF4759">
        <w:rPr>
          <w:rFonts w:eastAsia="Times New Roman"/>
        </w:rPr>
        <w:t>–</w:t>
      </w:r>
      <w:r w:rsidR="00F509C6" w:rsidRPr="00AF4759">
        <w:rPr>
          <w:rFonts w:eastAsia="Times New Roman"/>
        </w:rPr>
        <w:t>212 and 150</w:t>
      </w:r>
      <w:r w:rsidR="00AB4FE5" w:rsidRPr="00AF4759">
        <w:rPr>
          <w:rFonts w:eastAsia="Times New Roman"/>
        </w:rPr>
        <w:t>–</w:t>
      </w:r>
      <w:r w:rsidR="00F509C6" w:rsidRPr="00AF4759">
        <w:rPr>
          <w:rFonts w:eastAsia="Times New Roman"/>
        </w:rPr>
        <w:t xml:space="preserve">180 µm-diameter quartz grains from </w:t>
      </w:r>
      <w:r w:rsidR="00F509C6" w:rsidRPr="00AF4759">
        <w:t>A2SE-1-</w:t>
      </w:r>
      <w:r w:rsidR="00F509C6" w:rsidRPr="00AF4759">
        <w:rPr>
          <w:rFonts w:eastAsia="Times New Roman"/>
        </w:rPr>
        <w:t>308 to determine the optimum preheat (PH) temperatures for the Waterfall Bluff single-grain OSL SAR procedure. The most accurate D</w:t>
      </w:r>
      <w:r w:rsidR="00F509C6" w:rsidRPr="00AF4759">
        <w:rPr>
          <w:rFonts w:eastAsia="Times New Roman"/>
          <w:vertAlign w:val="subscript"/>
        </w:rPr>
        <w:t>e</w:t>
      </w:r>
      <w:r w:rsidR="00F509C6" w:rsidRPr="00AF4759">
        <w:rPr>
          <w:rFonts w:eastAsia="Times New Roman"/>
        </w:rPr>
        <w:t xml:space="preserve"> results were obtained using 180°C</w:t>
      </w:r>
      <w:r w:rsidR="00F509C6" w:rsidRPr="00AF4759">
        <w:t xml:space="preserve"> for 10 s (PH</w:t>
      </w:r>
      <w:r w:rsidR="00F509C6" w:rsidRPr="00AF4759">
        <w:rPr>
          <w:vertAlign w:val="subscript"/>
        </w:rPr>
        <w:t>1</w:t>
      </w:r>
      <w:r w:rsidR="00F509C6" w:rsidRPr="00AF4759">
        <w:t xml:space="preserve">) and </w:t>
      </w:r>
      <w:r w:rsidR="00F509C6" w:rsidRPr="00AF4759">
        <w:rPr>
          <w:rFonts w:eastAsia="Times New Roman"/>
        </w:rPr>
        <w:t>180°C</w:t>
      </w:r>
      <w:r w:rsidR="00F509C6" w:rsidRPr="00AF4759">
        <w:t xml:space="preserve"> for 5 s (PH</w:t>
      </w:r>
      <w:r w:rsidR="00F509C6" w:rsidRPr="00AF4759">
        <w:rPr>
          <w:vertAlign w:val="subscript"/>
        </w:rPr>
        <w:t>2</w:t>
      </w:r>
      <w:r w:rsidR="00F509C6" w:rsidRPr="00AF4759">
        <w:t xml:space="preserve">), which gave </w:t>
      </w:r>
      <w:r w:rsidR="00F509C6" w:rsidRPr="00AF4759">
        <w:rPr>
          <w:rFonts w:eastAsia="Times New Roman"/>
        </w:rPr>
        <w:t>a measured/given dose ratio consistent with unity (</w:t>
      </w:r>
      <w:r w:rsidR="00F509C6" w:rsidRPr="00AF4759">
        <w:t>0.98 ± 0.03) (</w:t>
      </w:r>
      <w:r w:rsidR="00F509C6" w:rsidRPr="00AF4759">
        <w:rPr>
          <w:b/>
        </w:rPr>
        <w:t>Figure</w:t>
      </w:r>
      <w:r w:rsidR="0070038B" w:rsidRPr="00AF4759">
        <w:rPr>
          <w:b/>
        </w:rPr>
        <w:t xml:space="preserve"> </w:t>
      </w:r>
      <w:r w:rsidR="001C440D">
        <w:rPr>
          <w:b/>
        </w:rPr>
        <w:t>S5</w:t>
      </w:r>
      <w:r w:rsidR="005412ED" w:rsidRPr="00AF4759">
        <w:rPr>
          <w:b/>
        </w:rPr>
        <w:t>-</w:t>
      </w:r>
      <w:r w:rsidR="001F1D9D" w:rsidRPr="00AF4759">
        <w:rPr>
          <w:b/>
        </w:rPr>
        <w:t>2</w:t>
      </w:r>
      <w:r w:rsidR="00F509C6" w:rsidRPr="00AF4759">
        <w:t xml:space="preserve">). </w:t>
      </w:r>
    </w:p>
    <w:p w14:paraId="63557599" w14:textId="7E646813" w:rsidR="00E9400F" w:rsidRPr="00AF4759" w:rsidRDefault="00D92D7A" w:rsidP="009E4721">
      <w:pPr>
        <w:spacing w:line="276" w:lineRule="auto"/>
        <w:jc w:val="both"/>
        <w:rPr>
          <w:rFonts w:eastAsia="Times New Roman"/>
        </w:rPr>
      </w:pPr>
      <w:r w:rsidRPr="00AF4759">
        <w:rPr>
          <w:rFonts w:eastAsia="Times New Roman"/>
        </w:rPr>
        <w:tab/>
      </w:r>
      <w:r w:rsidR="00EC132A" w:rsidRPr="00AF4759">
        <w:rPr>
          <w:rFonts w:eastAsia="Times New Roman"/>
        </w:rPr>
        <w:t>A total of 1</w:t>
      </w:r>
      <w:r w:rsidR="009A3F3B" w:rsidRPr="00AF4759">
        <w:rPr>
          <w:rFonts w:eastAsia="Times New Roman"/>
        </w:rPr>
        <w:t>0</w:t>
      </w:r>
      <w:r w:rsidR="00AA4969" w:rsidRPr="00AF4759">
        <w:rPr>
          <w:rFonts w:eastAsia="Times New Roman"/>
        </w:rPr>
        <w:t>,</w:t>
      </w:r>
      <w:r w:rsidR="009A3F3B" w:rsidRPr="00AF4759">
        <w:rPr>
          <w:rFonts w:eastAsia="Times New Roman"/>
        </w:rPr>
        <w:t>9</w:t>
      </w:r>
      <w:r w:rsidR="00EE25E3" w:rsidRPr="00AF4759">
        <w:rPr>
          <w:rFonts w:eastAsia="Times New Roman"/>
        </w:rPr>
        <w:t xml:space="preserve">00 </w:t>
      </w:r>
      <w:r w:rsidR="00EC132A" w:rsidRPr="00AF4759">
        <w:rPr>
          <w:rFonts w:eastAsia="Times New Roman"/>
        </w:rPr>
        <w:t>single grain measurements were undertaken for D</w:t>
      </w:r>
      <w:r w:rsidR="00EC132A" w:rsidRPr="00AF4759">
        <w:rPr>
          <w:rFonts w:eastAsia="Times New Roman"/>
          <w:vertAlign w:val="subscript"/>
        </w:rPr>
        <w:t>e</w:t>
      </w:r>
      <w:r w:rsidR="00EC132A" w:rsidRPr="00AF4759">
        <w:rPr>
          <w:rFonts w:eastAsia="Times New Roman"/>
        </w:rPr>
        <w:t xml:space="preserve"> determination in this study. Aberrant grains were excluded from final D</w:t>
      </w:r>
      <w:r w:rsidR="00EC132A" w:rsidRPr="00AF4759">
        <w:rPr>
          <w:rFonts w:eastAsia="Times New Roman"/>
          <w:vertAlign w:val="subscript"/>
        </w:rPr>
        <w:t>e</w:t>
      </w:r>
      <w:r w:rsidR="00EC132A" w:rsidRPr="00AF4759">
        <w:rPr>
          <w:rFonts w:eastAsia="Times New Roman"/>
        </w:rPr>
        <w:t xml:space="preserve"> calculations using well-established rejection criteria (e.g., Jacobs et al., 2006</w:t>
      </w:r>
      <w:r w:rsidR="00893192" w:rsidRPr="00AF4759">
        <w:rPr>
          <w:rFonts w:eastAsia="Times New Roman"/>
        </w:rPr>
        <w:t>a</w:t>
      </w:r>
      <w:r w:rsidR="00EC132A" w:rsidRPr="00AF4759">
        <w:rPr>
          <w:rFonts w:eastAsia="Times New Roman"/>
        </w:rPr>
        <w:t>) (</w:t>
      </w:r>
      <w:r w:rsidR="00EC132A" w:rsidRPr="00AF4759">
        <w:rPr>
          <w:rFonts w:eastAsia="Times New Roman"/>
          <w:b/>
        </w:rPr>
        <w:t>Table</w:t>
      </w:r>
      <w:r w:rsidR="00ED51C6" w:rsidRPr="00AF4759">
        <w:rPr>
          <w:rFonts w:eastAsia="Times New Roman"/>
          <w:b/>
        </w:rPr>
        <w:t xml:space="preserve"> </w:t>
      </w:r>
      <w:r w:rsidR="001C440D">
        <w:rPr>
          <w:rFonts w:eastAsia="Times New Roman"/>
          <w:b/>
        </w:rPr>
        <w:t>S5</w:t>
      </w:r>
      <w:r w:rsidR="005412ED" w:rsidRPr="00AF4759">
        <w:rPr>
          <w:rFonts w:eastAsia="Times New Roman"/>
          <w:b/>
        </w:rPr>
        <w:t>-</w:t>
      </w:r>
      <w:r w:rsidR="00ED51C6" w:rsidRPr="00AF4759">
        <w:rPr>
          <w:rFonts w:eastAsia="Times New Roman"/>
          <w:b/>
        </w:rPr>
        <w:t>2</w:t>
      </w:r>
      <w:r w:rsidR="00EC132A" w:rsidRPr="00AF4759">
        <w:rPr>
          <w:rFonts w:eastAsia="Times New Roman"/>
        </w:rPr>
        <w:t>). The vast majority of grains (8</w:t>
      </w:r>
      <w:r w:rsidR="002F6619" w:rsidRPr="00AF4759">
        <w:rPr>
          <w:rFonts w:eastAsia="Times New Roman"/>
        </w:rPr>
        <w:t>4</w:t>
      </w:r>
      <w:r w:rsidR="00EC132A" w:rsidRPr="00AF4759">
        <w:rPr>
          <w:rFonts w:eastAsia="Times New Roman"/>
        </w:rPr>
        <w:t>%) were rejected on the basis of signal brightness, either because their test dose signals (T</w:t>
      </w:r>
      <w:r w:rsidR="00EC132A" w:rsidRPr="00AF4759">
        <w:rPr>
          <w:rFonts w:eastAsia="Times New Roman"/>
          <w:vertAlign w:val="subscript"/>
        </w:rPr>
        <w:t>N</w:t>
      </w:r>
      <w:r w:rsidR="00EC132A" w:rsidRPr="00AF4759">
        <w:rPr>
          <w:rFonts w:eastAsia="Times New Roman"/>
        </w:rPr>
        <w:t>) were not statistically distinguishable following a laboratory dose of ~</w:t>
      </w:r>
      <w:r w:rsidR="001D1EA0" w:rsidRPr="00AF4759">
        <w:rPr>
          <w:rFonts w:eastAsia="Times New Roman"/>
        </w:rPr>
        <w:t>9</w:t>
      </w:r>
      <w:r w:rsidR="00EC132A" w:rsidRPr="00AF4759">
        <w:rPr>
          <w:rFonts w:eastAsia="Times New Roman"/>
        </w:rPr>
        <w:t xml:space="preserve"> </w:t>
      </w:r>
      <w:proofErr w:type="spellStart"/>
      <w:r w:rsidR="00EC132A" w:rsidRPr="00AF4759">
        <w:rPr>
          <w:rFonts w:eastAsia="Times New Roman"/>
        </w:rPr>
        <w:t>Gy</w:t>
      </w:r>
      <w:proofErr w:type="spellEnd"/>
      <w:r w:rsidR="00EC132A" w:rsidRPr="00AF4759">
        <w:rPr>
          <w:rFonts w:eastAsia="Times New Roman"/>
        </w:rPr>
        <w:t xml:space="preserve"> (Criteria 1, 7</w:t>
      </w:r>
      <w:r w:rsidR="00137E77" w:rsidRPr="00AF4759">
        <w:rPr>
          <w:rFonts w:eastAsia="Times New Roman"/>
        </w:rPr>
        <w:t>3</w:t>
      </w:r>
      <w:r w:rsidR="00EC132A" w:rsidRPr="00AF4759">
        <w:rPr>
          <w:rFonts w:eastAsia="Times New Roman"/>
        </w:rPr>
        <w:t>%), or T</w:t>
      </w:r>
      <w:r w:rsidR="00EC132A" w:rsidRPr="00AF4759">
        <w:rPr>
          <w:rFonts w:eastAsia="Times New Roman"/>
          <w:vertAlign w:val="subscript"/>
        </w:rPr>
        <w:t xml:space="preserve">N </w:t>
      </w:r>
      <w:r w:rsidR="00EC132A" w:rsidRPr="00AF4759">
        <w:rPr>
          <w:rFonts w:eastAsia="Times New Roman"/>
        </w:rPr>
        <w:t>signals were imprecisely known (Criteria 2, 1</w:t>
      </w:r>
      <w:r w:rsidR="00137E77" w:rsidRPr="00AF4759">
        <w:rPr>
          <w:rFonts w:eastAsia="Times New Roman"/>
        </w:rPr>
        <w:t>1</w:t>
      </w:r>
      <w:r w:rsidR="00EC132A" w:rsidRPr="00AF4759">
        <w:rPr>
          <w:rFonts w:eastAsia="Times New Roman"/>
        </w:rPr>
        <w:t xml:space="preserve">%). </w:t>
      </w:r>
      <w:r w:rsidR="009E4721" w:rsidRPr="00AF4759">
        <w:rPr>
          <w:rFonts w:eastAsia="Times New Roman"/>
        </w:rPr>
        <w:t>The 180</w:t>
      </w:r>
      <w:r w:rsidR="00057639" w:rsidRPr="00AF4759">
        <w:rPr>
          <w:rFonts w:eastAsia="Times New Roman"/>
        </w:rPr>
        <w:t>–</w:t>
      </w:r>
      <w:r w:rsidR="009E4721" w:rsidRPr="00AF4759">
        <w:rPr>
          <w:rFonts w:eastAsia="Times New Roman"/>
        </w:rPr>
        <w:t>212 µm-diameter quartz grains measured for each sample show a clear trend</w:t>
      </w:r>
      <w:r w:rsidR="005F27FD" w:rsidRPr="00AF4759">
        <w:rPr>
          <w:rFonts w:eastAsia="Times New Roman"/>
        </w:rPr>
        <w:t xml:space="preserve"> </w:t>
      </w:r>
      <w:r w:rsidR="00EB4CDA" w:rsidRPr="00AF4759">
        <w:rPr>
          <w:rFonts w:eastAsia="Times New Roman"/>
        </w:rPr>
        <w:t xml:space="preserve">– </w:t>
      </w:r>
      <w:r w:rsidR="00170CF1" w:rsidRPr="00AF4759">
        <w:rPr>
          <w:rFonts w:eastAsia="Times New Roman"/>
        </w:rPr>
        <w:t xml:space="preserve">grain signal brightness </w:t>
      </w:r>
      <w:r w:rsidR="00AF4D0B" w:rsidRPr="00AF4759">
        <w:rPr>
          <w:rFonts w:eastAsia="Times New Roman"/>
        </w:rPr>
        <w:t>significantly decreases from the uppermost Sub-</w:t>
      </w:r>
      <w:proofErr w:type="spellStart"/>
      <w:r w:rsidR="00AF4D0B" w:rsidRPr="00AF4759">
        <w:rPr>
          <w:rFonts w:eastAsia="Times New Roman"/>
        </w:rPr>
        <w:t>Agg</w:t>
      </w:r>
      <w:proofErr w:type="spellEnd"/>
      <w:r w:rsidR="00AF4D0B" w:rsidRPr="00AF4759">
        <w:rPr>
          <w:rFonts w:eastAsia="Times New Roman"/>
        </w:rPr>
        <w:t xml:space="preserve"> </w:t>
      </w:r>
      <w:r w:rsidR="005344C4" w:rsidRPr="00AF4759">
        <w:rPr>
          <w:rFonts w:eastAsia="Times New Roman"/>
        </w:rPr>
        <w:t xml:space="preserve">that was </w:t>
      </w:r>
      <w:r w:rsidR="00AF4D0B" w:rsidRPr="00AF4759">
        <w:rPr>
          <w:rFonts w:eastAsia="Times New Roman"/>
        </w:rPr>
        <w:t>OSL dated (</w:t>
      </w:r>
      <w:r w:rsidR="008450C0" w:rsidRPr="00AF4759">
        <w:rPr>
          <w:rFonts w:eastAsia="Times New Roman"/>
        </w:rPr>
        <w:t xml:space="preserve">SRCS </w:t>
      </w:r>
      <w:r w:rsidR="00AF4D0B" w:rsidRPr="00AF4759">
        <w:rPr>
          <w:rFonts w:eastAsia="Times New Roman"/>
        </w:rPr>
        <w:t>Courtney) to the lowermost (</w:t>
      </w:r>
      <w:r w:rsidR="008450C0" w:rsidRPr="00AF4759">
        <w:rPr>
          <w:rFonts w:eastAsia="Times New Roman"/>
        </w:rPr>
        <w:t xml:space="preserve">LBCS </w:t>
      </w:r>
      <w:r w:rsidR="00AF4D0B" w:rsidRPr="00AF4759">
        <w:rPr>
          <w:rFonts w:eastAsia="Times New Roman"/>
        </w:rPr>
        <w:t xml:space="preserve">Colton). </w:t>
      </w:r>
      <w:r w:rsidR="00EA1298" w:rsidRPr="00AF4759">
        <w:rPr>
          <w:rFonts w:eastAsia="Times New Roman"/>
        </w:rPr>
        <w:t xml:space="preserve">This is likely related to the intensity </w:t>
      </w:r>
      <w:r w:rsidR="0000199F" w:rsidRPr="00AF4759">
        <w:rPr>
          <w:rFonts w:eastAsia="Times New Roman"/>
        </w:rPr>
        <w:t xml:space="preserve">of the amount of burning present </w:t>
      </w:r>
      <w:r w:rsidR="00EA1298" w:rsidRPr="00AF4759">
        <w:rPr>
          <w:rFonts w:eastAsia="Times New Roman"/>
        </w:rPr>
        <w:t>in the respective Sub-</w:t>
      </w:r>
      <w:proofErr w:type="spellStart"/>
      <w:r w:rsidR="00EA1298" w:rsidRPr="00AF4759">
        <w:rPr>
          <w:rFonts w:eastAsia="Times New Roman"/>
        </w:rPr>
        <w:t>Aggs</w:t>
      </w:r>
      <w:proofErr w:type="spellEnd"/>
      <w:r w:rsidR="0000199F" w:rsidRPr="00AF4759">
        <w:rPr>
          <w:rFonts w:eastAsia="Times New Roman"/>
        </w:rPr>
        <w:t xml:space="preserve">. </w:t>
      </w:r>
      <w:r w:rsidR="00E9763A" w:rsidRPr="00AF4759">
        <w:rPr>
          <w:rFonts w:eastAsia="Times New Roman"/>
        </w:rPr>
        <w:t xml:space="preserve">Exposure of quartz to high temperatures is associated with an increase in </w:t>
      </w:r>
      <w:r w:rsidR="007F499A" w:rsidRPr="00AF4759">
        <w:rPr>
          <w:rFonts w:eastAsia="Times New Roman"/>
        </w:rPr>
        <w:t>OSL sensitivit</w:t>
      </w:r>
      <w:r w:rsidR="00986B99" w:rsidRPr="00AF4759">
        <w:rPr>
          <w:rFonts w:eastAsia="Times New Roman"/>
        </w:rPr>
        <w:t>y</w:t>
      </w:r>
      <w:r w:rsidR="007F499A" w:rsidRPr="00AF4759">
        <w:rPr>
          <w:rFonts w:eastAsia="Times New Roman"/>
        </w:rPr>
        <w:t xml:space="preserve">, which results </w:t>
      </w:r>
      <w:r w:rsidR="003D53AD" w:rsidRPr="00AF4759">
        <w:rPr>
          <w:rFonts w:eastAsia="Times New Roman"/>
        </w:rPr>
        <w:t>in an increase in the amount of luminescence generated in response to one unit of dose</w:t>
      </w:r>
      <w:r w:rsidR="00B44C3C" w:rsidRPr="00AF4759">
        <w:rPr>
          <w:rFonts w:eastAsia="Times New Roman"/>
        </w:rPr>
        <w:t xml:space="preserve"> (Chen et al., 2001; </w:t>
      </w:r>
      <w:r w:rsidR="0043399F" w:rsidRPr="00AF4759">
        <w:rPr>
          <w:rFonts w:eastAsia="Times New Roman"/>
        </w:rPr>
        <w:t>Pagonis et al., 2</w:t>
      </w:r>
      <w:r w:rsidR="008944A1" w:rsidRPr="00AF4759">
        <w:rPr>
          <w:rFonts w:eastAsia="Times New Roman"/>
        </w:rPr>
        <w:t>010</w:t>
      </w:r>
      <w:r w:rsidR="0043399F" w:rsidRPr="00AF4759">
        <w:rPr>
          <w:rFonts w:eastAsia="Times New Roman"/>
        </w:rPr>
        <w:t>).</w:t>
      </w:r>
      <w:r w:rsidR="00670CA3" w:rsidRPr="00AF4759">
        <w:rPr>
          <w:rFonts w:eastAsia="Times New Roman"/>
        </w:rPr>
        <w:t xml:space="preserve"> This has been previously observed in associ</w:t>
      </w:r>
      <w:r w:rsidR="00E13FBA" w:rsidRPr="00AF4759">
        <w:rPr>
          <w:rFonts w:eastAsia="Times New Roman"/>
        </w:rPr>
        <w:t>ation with intensive burning at, for example, Blombos Cave (Jacobs et al., 2006</w:t>
      </w:r>
      <w:r w:rsidR="00893192" w:rsidRPr="00AF4759">
        <w:rPr>
          <w:rFonts w:eastAsia="Times New Roman"/>
        </w:rPr>
        <w:t>b</w:t>
      </w:r>
      <w:r w:rsidR="00E13FBA" w:rsidRPr="00AF4759">
        <w:rPr>
          <w:rFonts w:eastAsia="Times New Roman"/>
        </w:rPr>
        <w:t xml:space="preserve">), </w:t>
      </w:r>
      <w:proofErr w:type="spellStart"/>
      <w:r w:rsidR="00E13FBA" w:rsidRPr="00AF4759">
        <w:rPr>
          <w:rFonts w:eastAsia="Times New Roman"/>
        </w:rPr>
        <w:t>Diepkloof</w:t>
      </w:r>
      <w:proofErr w:type="spellEnd"/>
      <w:r w:rsidR="00E13FBA" w:rsidRPr="00AF4759">
        <w:rPr>
          <w:rFonts w:eastAsia="Times New Roman"/>
        </w:rPr>
        <w:t xml:space="preserve"> (Jacobs et al., 2008a), </w:t>
      </w:r>
      <w:proofErr w:type="spellStart"/>
      <w:r w:rsidR="00E13FBA" w:rsidRPr="00AF4759">
        <w:rPr>
          <w:rFonts w:eastAsia="Times New Roman"/>
        </w:rPr>
        <w:t>Sibudu</w:t>
      </w:r>
      <w:proofErr w:type="spellEnd"/>
      <w:r w:rsidR="00E13FBA" w:rsidRPr="00AF4759">
        <w:rPr>
          <w:rFonts w:eastAsia="Times New Roman"/>
        </w:rPr>
        <w:t xml:space="preserve"> (Jacobs et al., 2008b) and Pinnacle Point </w:t>
      </w:r>
      <w:r w:rsidR="00364C3C" w:rsidRPr="00AF4759">
        <w:rPr>
          <w:rFonts w:eastAsia="Times New Roman"/>
        </w:rPr>
        <w:t>13B</w:t>
      </w:r>
      <w:r w:rsidR="00E13FBA" w:rsidRPr="00AF4759">
        <w:rPr>
          <w:rFonts w:eastAsia="Times New Roman"/>
        </w:rPr>
        <w:t xml:space="preserve"> (Jacobs, 2010). </w:t>
      </w:r>
    </w:p>
    <w:p w14:paraId="5A3502B9" w14:textId="23F50D6F" w:rsidR="00E450A8" w:rsidRPr="00AF4759" w:rsidRDefault="00D92D7A" w:rsidP="004170AA">
      <w:pPr>
        <w:spacing w:line="276" w:lineRule="auto"/>
        <w:jc w:val="both"/>
      </w:pPr>
      <w:r w:rsidRPr="00AF4759">
        <w:rPr>
          <w:rFonts w:eastAsia="Times New Roman"/>
        </w:rPr>
        <w:tab/>
      </w:r>
      <w:r w:rsidR="007C041D" w:rsidRPr="00AF4759">
        <w:rPr>
          <w:rFonts w:eastAsia="Times New Roman"/>
        </w:rPr>
        <w:t>D</w:t>
      </w:r>
      <w:r w:rsidR="007C041D" w:rsidRPr="00AF4759">
        <w:rPr>
          <w:rFonts w:eastAsia="Times New Roman"/>
          <w:vertAlign w:val="subscript"/>
        </w:rPr>
        <w:t>e</w:t>
      </w:r>
      <w:r w:rsidR="007C041D" w:rsidRPr="00AF4759">
        <w:rPr>
          <w:rFonts w:eastAsia="Times New Roman"/>
        </w:rPr>
        <w:t xml:space="preserve"> values </w:t>
      </w:r>
      <w:r w:rsidR="00CF069E" w:rsidRPr="00AF4759">
        <w:rPr>
          <w:rFonts w:eastAsia="Times New Roman"/>
        </w:rPr>
        <w:t>of accepted grains from each sample are displayed as radial plots (</w:t>
      </w:r>
      <w:r w:rsidR="00CF069E" w:rsidRPr="00AF4759">
        <w:rPr>
          <w:rFonts w:eastAsia="Times New Roman"/>
          <w:b/>
        </w:rPr>
        <w:t xml:space="preserve">Figure </w:t>
      </w:r>
      <w:r w:rsidR="001C440D">
        <w:rPr>
          <w:rFonts w:eastAsia="Times New Roman"/>
          <w:b/>
        </w:rPr>
        <w:t>S5</w:t>
      </w:r>
      <w:r w:rsidR="005412ED" w:rsidRPr="00AF4759">
        <w:rPr>
          <w:rFonts w:eastAsia="Times New Roman"/>
          <w:b/>
        </w:rPr>
        <w:t>-</w:t>
      </w:r>
      <w:r w:rsidR="00CF069E" w:rsidRPr="00AF4759">
        <w:rPr>
          <w:rFonts w:eastAsia="Times New Roman"/>
          <w:b/>
        </w:rPr>
        <w:t>3</w:t>
      </w:r>
      <w:r w:rsidR="00CF069E" w:rsidRPr="00AF4759">
        <w:rPr>
          <w:rFonts w:eastAsia="Times New Roman"/>
        </w:rPr>
        <w:t xml:space="preserve">). </w:t>
      </w:r>
      <w:r w:rsidR="00215A7F" w:rsidRPr="00AF4759">
        <w:rPr>
          <w:rFonts w:eastAsia="Times New Roman"/>
        </w:rPr>
        <w:t>Overdispersion (</w:t>
      </w:r>
      <w:r w:rsidR="009813B9" w:rsidRPr="00AF4759">
        <w:rPr>
          <w:lang w:val="en-AU"/>
        </w:rPr>
        <w:t>OD</w:t>
      </w:r>
      <w:r w:rsidR="00215A7F" w:rsidRPr="00AF4759">
        <w:rPr>
          <w:rFonts w:eastAsia="Times New Roman"/>
        </w:rPr>
        <w:t>) values refer to the relative spread in D</w:t>
      </w:r>
      <w:r w:rsidR="00215A7F" w:rsidRPr="00AF4759">
        <w:rPr>
          <w:rFonts w:eastAsia="Times New Roman"/>
          <w:vertAlign w:val="subscript"/>
        </w:rPr>
        <w:t>e</w:t>
      </w:r>
      <w:r w:rsidR="00215A7F" w:rsidRPr="00AF4759">
        <w:rPr>
          <w:rFonts w:eastAsia="Times New Roman"/>
        </w:rPr>
        <w:t xml:space="preserve"> </w:t>
      </w:r>
      <w:r w:rsidR="00FD5E53" w:rsidRPr="00AF4759">
        <w:rPr>
          <w:rFonts w:eastAsia="Times New Roman"/>
        </w:rPr>
        <w:t>remaining after measurement uncertainties are accounted for (Galbraith et al.</w:t>
      </w:r>
      <w:r w:rsidR="007607C3" w:rsidRPr="00AF4759">
        <w:rPr>
          <w:rFonts w:eastAsia="Times New Roman"/>
        </w:rPr>
        <w:t>, 2005)</w:t>
      </w:r>
      <w:r w:rsidR="00FD5E53" w:rsidRPr="00AF4759">
        <w:rPr>
          <w:rFonts w:eastAsia="Times New Roman"/>
        </w:rPr>
        <w:t xml:space="preserve">. </w:t>
      </w:r>
      <w:r w:rsidR="00652290" w:rsidRPr="00AF4759">
        <w:t xml:space="preserve">Using the </w:t>
      </w:r>
      <w:r w:rsidR="00785132" w:rsidRPr="00AF4759">
        <w:t>central a</w:t>
      </w:r>
      <w:r w:rsidR="00652290" w:rsidRPr="00AF4759">
        <w:t xml:space="preserve">ge </w:t>
      </w:r>
      <w:r w:rsidR="00785132" w:rsidRPr="00AF4759">
        <w:t>m</w:t>
      </w:r>
      <w:r w:rsidR="00652290" w:rsidRPr="00AF4759">
        <w:t xml:space="preserve">odel </w:t>
      </w:r>
      <w:r w:rsidR="00B92468" w:rsidRPr="00AF4759">
        <w:t xml:space="preserve">(CAM) </w:t>
      </w:r>
      <w:r w:rsidR="00652290" w:rsidRPr="00AF4759">
        <w:t>(Galbraith et al. 1999), individual D</w:t>
      </w:r>
      <w:r w:rsidR="00652290" w:rsidRPr="00AF4759">
        <w:rPr>
          <w:vertAlign w:val="subscript"/>
        </w:rPr>
        <w:t xml:space="preserve">e </w:t>
      </w:r>
      <w:r w:rsidR="00652290" w:rsidRPr="00AF4759">
        <w:t>values were combined to give a weighted mean D</w:t>
      </w:r>
      <w:r w:rsidR="00652290" w:rsidRPr="00AF4759">
        <w:rPr>
          <w:vertAlign w:val="subscript"/>
        </w:rPr>
        <w:t>e</w:t>
      </w:r>
      <w:r w:rsidR="00652290" w:rsidRPr="00AF4759">
        <w:t xml:space="preserve"> for each sample. The 3-parameter </w:t>
      </w:r>
      <w:r w:rsidR="00785132" w:rsidRPr="00AF4759">
        <w:t xml:space="preserve">minimum age model </w:t>
      </w:r>
      <w:r w:rsidR="00652290" w:rsidRPr="00AF4759">
        <w:t xml:space="preserve">(MAM) </w:t>
      </w:r>
      <w:r w:rsidR="00953DCB" w:rsidRPr="00AF4759">
        <w:t>(</w:t>
      </w:r>
      <w:r w:rsidR="00652290" w:rsidRPr="00AF4759">
        <w:t xml:space="preserve">Galbraith et al. 1999) was used in addition for samples </w:t>
      </w:r>
      <w:r w:rsidR="00D22B0D" w:rsidRPr="00E176CA">
        <w:t>CN310</w:t>
      </w:r>
      <w:r w:rsidR="00D22B0D">
        <w:t xml:space="preserve">, </w:t>
      </w:r>
      <w:r w:rsidR="005D3EF4" w:rsidRPr="00AF4759">
        <w:t>CN</w:t>
      </w:r>
      <w:r w:rsidR="00652290" w:rsidRPr="00AF4759">
        <w:t xml:space="preserve">309, </w:t>
      </w:r>
      <w:r w:rsidR="00C41841" w:rsidRPr="00AF4759">
        <w:t>CN</w:t>
      </w:r>
      <w:r w:rsidR="00652290" w:rsidRPr="00AF4759">
        <w:t xml:space="preserve">308 and </w:t>
      </w:r>
      <w:r w:rsidR="00C41841" w:rsidRPr="00AF4759">
        <w:t>CN</w:t>
      </w:r>
      <w:r w:rsidR="00652290" w:rsidRPr="00AF4759">
        <w:t>312</w:t>
      </w:r>
      <w:r w:rsidR="00953DCB" w:rsidRPr="00AF4759">
        <w:t xml:space="preserve"> to calculate the minimum D</w:t>
      </w:r>
      <w:r w:rsidR="00953DCB" w:rsidRPr="00AF4759">
        <w:rPr>
          <w:vertAlign w:val="subscript"/>
        </w:rPr>
        <w:t>e</w:t>
      </w:r>
      <w:r w:rsidR="00953DCB" w:rsidRPr="00AF4759">
        <w:t xml:space="preserve"> value for each sample. Before running the MAM we added </w:t>
      </w:r>
      <w:r w:rsidR="001D7E39" w:rsidRPr="00AF4759">
        <w:t>(</w:t>
      </w:r>
      <w:r w:rsidR="00953DCB" w:rsidRPr="00AF4759">
        <w:t>in quadrature</w:t>
      </w:r>
      <w:r w:rsidR="001D7E39" w:rsidRPr="00AF4759">
        <w:t>)</w:t>
      </w:r>
      <w:r w:rsidR="00953DCB" w:rsidRPr="00AF4759">
        <w:t xml:space="preserve"> an additional OD value of 1</w:t>
      </w:r>
      <w:r w:rsidR="000910D5" w:rsidRPr="00AF4759">
        <w:t>5</w:t>
      </w:r>
      <w:r w:rsidR="00953DCB" w:rsidRPr="00AF4759">
        <w:t>% to the measurement error of individual D</w:t>
      </w:r>
      <w:r w:rsidR="00953DCB" w:rsidRPr="00AF4759">
        <w:rPr>
          <w:vertAlign w:val="subscript"/>
        </w:rPr>
        <w:t>e</w:t>
      </w:r>
      <w:r w:rsidR="00953DCB" w:rsidRPr="00AF4759">
        <w:t xml:space="preserve"> values. An OD value of 1</w:t>
      </w:r>
      <w:r w:rsidR="009A480A" w:rsidRPr="00AF4759">
        <w:t>5</w:t>
      </w:r>
      <w:r w:rsidR="00953DCB" w:rsidRPr="00AF4759">
        <w:t xml:space="preserve">% was chosen </w:t>
      </w:r>
      <w:r w:rsidR="00D90AD3" w:rsidRPr="00AF4759">
        <w:t xml:space="preserve">based on </w:t>
      </w:r>
      <w:r w:rsidR="00DE5FE4" w:rsidRPr="00AF4759">
        <w:t xml:space="preserve">the OD value obtained during dose recovery experiments on </w:t>
      </w:r>
      <w:r w:rsidR="005D3EF4" w:rsidRPr="00AF4759">
        <w:t>CN</w:t>
      </w:r>
      <w:r w:rsidR="00D90AD3" w:rsidRPr="00AF4759">
        <w:t>308 (</w:t>
      </w:r>
      <w:r w:rsidR="00D90AD3" w:rsidRPr="00AF4759">
        <w:rPr>
          <w:b/>
        </w:rPr>
        <w:t xml:space="preserve">Fig. </w:t>
      </w:r>
      <w:r w:rsidR="001C440D">
        <w:rPr>
          <w:b/>
        </w:rPr>
        <w:t>S5</w:t>
      </w:r>
      <w:r w:rsidR="005412ED" w:rsidRPr="00AF4759">
        <w:rPr>
          <w:b/>
        </w:rPr>
        <w:t>-</w:t>
      </w:r>
      <w:r w:rsidR="00D90AD3" w:rsidRPr="00AF4759">
        <w:rPr>
          <w:b/>
        </w:rPr>
        <w:t>2</w:t>
      </w:r>
      <w:r w:rsidR="00D90AD3" w:rsidRPr="00AF4759">
        <w:t>).</w:t>
      </w:r>
      <w:r w:rsidR="009865A9" w:rsidRPr="00AF4759">
        <w:t xml:space="preserve"> </w:t>
      </w:r>
      <w:r w:rsidR="00497A0F" w:rsidRPr="00AF4759">
        <w:t xml:space="preserve">Due to the sensitivity of </w:t>
      </w:r>
      <w:r w:rsidR="00284B89" w:rsidRPr="00AF4759">
        <w:t xml:space="preserve">the MAM </w:t>
      </w:r>
      <w:r w:rsidR="00497A0F" w:rsidRPr="00AF4759">
        <w:t xml:space="preserve">to low-dose outliers, two intrusive younger grains (both </w:t>
      </w:r>
      <w:r w:rsidR="003D4EA3" w:rsidRPr="00AF4759">
        <w:t>with D</w:t>
      </w:r>
      <w:r w:rsidR="003D4EA3" w:rsidRPr="00AF4759">
        <w:rPr>
          <w:vertAlign w:val="subscript"/>
        </w:rPr>
        <w:t>e</w:t>
      </w:r>
      <w:r w:rsidR="003D4EA3" w:rsidRPr="00AF4759">
        <w:t xml:space="preserve"> values </w:t>
      </w:r>
      <w:r w:rsidR="00F80944" w:rsidRPr="00AF4759">
        <w:t>&lt;</w:t>
      </w:r>
      <w:r w:rsidR="00497A0F" w:rsidRPr="00AF4759">
        <w:t xml:space="preserve">20 </w:t>
      </w:r>
      <w:proofErr w:type="spellStart"/>
      <w:r w:rsidR="00497A0F" w:rsidRPr="00AF4759">
        <w:t>Gy</w:t>
      </w:r>
      <w:proofErr w:type="spellEnd"/>
      <w:r w:rsidR="00497A0F" w:rsidRPr="00AF4759">
        <w:t xml:space="preserve">) were excluded </w:t>
      </w:r>
      <w:r w:rsidR="00E61DFF" w:rsidRPr="00AF4759">
        <w:t>during the</w:t>
      </w:r>
      <w:r w:rsidR="000E729C" w:rsidRPr="00AF4759">
        <w:t xml:space="preserve"> calculation of this statistical model for sample </w:t>
      </w:r>
      <w:r w:rsidR="005D3EF4" w:rsidRPr="00AF4759">
        <w:t>CN</w:t>
      </w:r>
      <w:r w:rsidR="000E729C" w:rsidRPr="00AF4759">
        <w:t>312.</w:t>
      </w:r>
    </w:p>
    <w:p w14:paraId="2E539606" w14:textId="2CD2ADB5" w:rsidR="009D7769" w:rsidRPr="00AF4759" w:rsidRDefault="00D92D7A" w:rsidP="00696663">
      <w:pPr>
        <w:spacing w:line="276" w:lineRule="auto"/>
        <w:jc w:val="both"/>
        <w:rPr>
          <w:rFonts w:eastAsia="Times New Roman"/>
        </w:rPr>
      </w:pPr>
      <w:r w:rsidRPr="00AF4759">
        <w:rPr>
          <w:rFonts w:eastAsia="Times New Roman"/>
        </w:rPr>
        <w:tab/>
      </w:r>
      <w:r w:rsidR="00923000" w:rsidRPr="00AF4759">
        <w:rPr>
          <w:rFonts w:eastAsia="Times New Roman"/>
        </w:rPr>
        <w:t>The number of u</w:t>
      </w:r>
      <w:r w:rsidR="00AF2D85" w:rsidRPr="00AF4759">
        <w:rPr>
          <w:rFonts w:eastAsia="Times New Roman"/>
        </w:rPr>
        <w:t>sable</w:t>
      </w:r>
      <w:r w:rsidR="00923000" w:rsidRPr="00AF4759">
        <w:rPr>
          <w:rFonts w:eastAsia="Times New Roman"/>
        </w:rPr>
        <w:t xml:space="preserve"> grains obtained </w:t>
      </w:r>
      <w:r w:rsidR="00CA0913" w:rsidRPr="00AF4759">
        <w:rPr>
          <w:rFonts w:eastAsia="Times New Roman"/>
        </w:rPr>
        <w:t>in the initial analyses of the 180</w:t>
      </w:r>
      <w:r w:rsidR="00F90D76" w:rsidRPr="00AF4759">
        <w:rPr>
          <w:rFonts w:eastAsia="Times New Roman"/>
        </w:rPr>
        <w:t>–</w:t>
      </w:r>
      <w:r w:rsidR="00CA0913" w:rsidRPr="00AF4759">
        <w:rPr>
          <w:rFonts w:eastAsia="Times New Roman"/>
        </w:rPr>
        <w:t xml:space="preserve">212 µm-diameter quartz grains from samples </w:t>
      </w:r>
      <w:r w:rsidR="005D3EF4" w:rsidRPr="00AF4759">
        <w:rPr>
          <w:rFonts w:eastAsia="Times New Roman"/>
        </w:rPr>
        <w:t>CN</w:t>
      </w:r>
      <w:r w:rsidR="00CA0913" w:rsidRPr="00AF4759">
        <w:rPr>
          <w:rFonts w:eastAsia="Times New Roman"/>
        </w:rPr>
        <w:t xml:space="preserve">311 and </w:t>
      </w:r>
      <w:r w:rsidR="00C41841" w:rsidRPr="00AF4759">
        <w:rPr>
          <w:rFonts w:eastAsia="Times New Roman"/>
        </w:rPr>
        <w:t>CN</w:t>
      </w:r>
      <w:r w:rsidR="00CA0913" w:rsidRPr="00AF4759">
        <w:rPr>
          <w:rFonts w:eastAsia="Times New Roman"/>
        </w:rPr>
        <w:t xml:space="preserve">310 is deemed </w:t>
      </w:r>
      <w:r w:rsidR="00963885" w:rsidRPr="00AF4759">
        <w:rPr>
          <w:rFonts w:eastAsia="Times New Roman"/>
        </w:rPr>
        <w:t xml:space="preserve">appropriate for </w:t>
      </w:r>
      <w:r w:rsidR="007611F6" w:rsidRPr="00AF4759">
        <w:rPr>
          <w:rFonts w:eastAsia="Times New Roman"/>
        </w:rPr>
        <w:t>final D</w:t>
      </w:r>
      <w:r w:rsidR="007611F6" w:rsidRPr="00AF4759">
        <w:rPr>
          <w:rFonts w:eastAsia="Times New Roman"/>
          <w:vertAlign w:val="subscript"/>
        </w:rPr>
        <w:t>e</w:t>
      </w:r>
      <w:r w:rsidR="007611F6" w:rsidRPr="00AF4759">
        <w:rPr>
          <w:rFonts w:eastAsia="Times New Roman"/>
        </w:rPr>
        <w:t xml:space="preserve"> estimation</w:t>
      </w:r>
      <w:r w:rsidR="005C5BCB" w:rsidRPr="00AF4759">
        <w:rPr>
          <w:rFonts w:eastAsia="Times New Roman"/>
        </w:rPr>
        <w:t xml:space="preserve">. </w:t>
      </w:r>
      <w:r w:rsidR="006D0B96" w:rsidRPr="00AF4759">
        <w:rPr>
          <w:rFonts w:eastAsia="Times New Roman"/>
        </w:rPr>
        <w:t xml:space="preserve">Those obtained for samples </w:t>
      </w:r>
      <w:r w:rsidR="005D3EF4" w:rsidRPr="00AF4759">
        <w:rPr>
          <w:rFonts w:eastAsia="Times New Roman"/>
        </w:rPr>
        <w:t>CN</w:t>
      </w:r>
      <w:r w:rsidR="006D0B96" w:rsidRPr="00AF4759">
        <w:rPr>
          <w:rFonts w:eastAsia="Times New Roman"/>
        </w:rPr>
        <w:t xml:space="preserve">309, </w:t>
      </w:r>
      <w:r w:rsidR="00C41841" w:rsidRPr="00AF4759">
        <w:rPr>
          <w:rFonts w:eastAsia="Times New Roman"/>
        </w:rPr>
        <w:t>CN</w:t>
      </w:r>
      <w:r w:rsidR="006D0B96" w:rsidRPr="00AF4759">
        <w:rPr>
          <w:rFonts w:eastAsia="Times New Roman"/>
        </w:rPr>
        <w:t xml:space="preserve">308 and </w:t>
      </w:r>
      <w:r w:rsidR="00C41841" w:rsidRPr="00AF4759">
        <w:rPr>
          <w:rFonts w:eastAsia="Times New Roman"/>
        </w:rPr>
        <w:t>CN</w:t>
      </w:r>
      <w:r w:rsidR="006D0B96" w:rsidRPr="00AF4759">
        <w:rPr>
          <w:rFonts w:eastAsia="Times New Roman"/>
        </w:rPr>
        <w:t xml:space="preserve">312 were </w:t>
      </w:r>
      <w:r w:rsidR="009D7769" w:rsidRPr="00AF4759">
        <w:rPr>
          <w:rFonts w:eastAsia="Times New Roman"/>
        </w:rPr>
        <w:t>considered</w:t>
      </w:r>
      <w:r w:rsidR="006D0B96" w:rsidRPr="00AF4759">
        <w:rPr>
          <w:rFonts w:eastAsia="Times New Roman"/>
        </w:rPr>
        <w:t xml:space="preserve"> </w:t>
      </w:r>
      <w:r w:rsidR="009D7769" w:rsidRPr="00AF4759">
        <w:rPr>
          <w:rFonts w:eastAsia="Times New Roman"/>
        </w:rPr>
        <w:t>insufficient for reliable D</w:t>
      </w:r>
      <w:r w:rsidR="009D7769" w:rsidRPr="00AF4759">
        <w:rPr>
          <w:rFonts w:eastAsia="Times New Roman"/>
          <w:vertAlign w:val="subscript"/>
        </w:rPr>
        <w:t>e</w:t>
      </w:r>
      <w:r w:rsidR="009D7769" w:rsidRPr="00AF4759">
        <w:rPr>
          <w:rFonts w:eastAsia="Times New Roman"/>
        </w:rPr>
        <w:t xml:space="preserve"> calculation. The CAM, MAM and OSL age results we present in </w:t>
      </w:r>
      <w:r w:rsidR="009D21B7" w:rsidRPr="00AF4759">
        <w:rPr>
          <w:lang w:val="en-AU" w:eastAsia="en-US"/>
        </w:rPr>
        <w:t>the main text</w:t>
      </w:r>
      <w:r w:rsidR="009D21B7" w:rsidRPr="00AF4759">
        <w:rPr>
          <w:b/>
          <w:lang w:val="en-AU" w:eastAsia="en-US"/>
        </w:rPr>
        <w:t xml:space="preserve"> </w:t>
      </w:r>
      <w:r w:rsidR="009D7769" w:rsidRPr="00AF4759">
        <w:rPr>
          <w:rFonts w:eastAsia="Times New Roman"/>
        </w:rPr>
        <w:t>combines D</w:t>
      </w:r>
      <w:r w:rsidR="009D7769" w:rsidRPr="00AF4759">
        <w:rPr>
          <w:rFonts w:eastAsia="Times New Roman"/>
          <w:vertAlign w:val="subscript"/>
        </w:rPr>
        <w:t xml:space="preserve">e </w:t>
      </w:r>
      <w:r w:rsidR="009D7769" w:rsidRPr="00AF4759">
        <w:rPr>
          <w:rFonts w:eastAsia="Times New Roman"/>
        </w:rPr>
        <w:t xml:space="preserve">values obtained </w:t>
      </w:r>
      <w:r w:rsidR="00D22CB4" w:rsidRPr="00AF4759">
        <w:rPr>
          <w:rFonts w:eastAsia="Times New Roman"/>
        </w:rPr>
        <w:t xml:space="preserve">from both </w:t>
      </w:r>
      <w:r w:rsidR="00BB1AD3" w:rsidRPr="00AF4759">
        <w:rPr>
          <w:rFonts w:eastAsia="Times New Roman"/>
        </w:rPr>
        <w:t xml:space="preserve">180–212 and 150-180 µm-diameter quartz </w:t>
      </w:r>
      <w:r w:rsidR="00BB1AD3" w:rsidRPr="00AF4759">
        <w:rPr>
          <w:rFonts w:eastAsia="Times New Roman"/>
        </w:rPr>
        <w:lastRenderedPageBreak/>
        <w:t>grains for these samples. C</w:t>
      </w:r>
      <w:r w:rsidR="002930E0" w:rsidRPr="00AF4759">
        <w:rPr>
          <w:rFonts w:eastAsia="Times New Roman"/>
        </w:rPr>
        <w:t>omparison of the weighted mean D</w:t>
      </w:r>
      <w:r w:rsidR="002930E0" w:rsidRPr="00AF4759">
        <w:rPr>
          <w:rFonts w:eastAsia="Times New Roman"/>
          <w:vertAlign w:val="subscript"/>
        </w:rPr>
        <w:t>e</w:t>
      </w:r>
      <w:r w:rsidR="002930E0" w:rsidRPr="00AF4759">
        <w:rPr>
          <w:rFonts w:eastAsia="Times New Roman"/>
        </w:rPr>
        <w:t xml:space="preserve"> values obtained for each of these grain size fractions from each sample is provided in </w:t>
      </w:r>
      <w:r w:rsidR="002930E0" w:rsidRPr="00AF4759">
        <w:rPr>
          <w:rFonts w:eastAsia="Times New Roman"/>
          <w:b/>
        </w:rPr>
        <w:t xml:space="preserve">Table </w:t>
      </w:r>
      <w:r w:rsidR="001C440D">
        <w:rPr>
          <w:rFonts w:eastAsia="Times New Roman"/>
          <w:b/>
        </w:rPr>
        <w:t>S5</w:t>
      </w:r>
      <w:r w:rsidR="005412ED" w:rsidRPr="00AF4759">
        <w:rPr>
          <w:rFonts w:eastAsia="Times New Roman"/>
          <w:b/>
        </w:rPr>
        <w:t>-</w:t>
      </w:r>
      <w:r w:rsidR="002930E0" w:rsidRPr="00AF4759">
        <w:rPr>
          <w:rFonts w:eastAsia="Times New Roman"/>
          <w:b/>
        </w:rPr>
        <w:t>3</w:t>
      </w:r>
      <w:r w:rsidR="002930E0" w:rsidRPr="00AF4759">
        <w:rPr>
          <w:rFonts w:eastAsia="Times New Roman"/>
        </w:rPr>
        <w:t xml:space="preserve">. </w:t>
      </w:r>
    </w:p>
    <w:p w14:paraId="57F55EBD" w14:textId="77777777" w:rsidR="00C96271" w:rsidRPr="00AF4759" w:rsidRDefault="00C96271" w:rsidP="009E4721">
      <w:pPr>
        <w:spacing w:line="276" w:lineRule="auto"/>
        <w:jc w:val="both"/>
        <w:rPr>
          <w:rFonts w:eastAsia="Times New Roman"/>
        </w:rPr>
      </w:pPr>
    </w:p>
    <w:p w14:paraId="3B1F7FAC" w14:textId="364BDCAF" w:rsidR="00B3496E" w:rsidRPr="00AF4759" w:rsidRDefault="001C440D" w:rsidP="00B3496E">
      <w:pPr>
        <w:spacing w:line="276" w:lineRule="auto"/>
        <w:jc w:val="both"/>
        <w:rPr>
          <w:b/>
        </w:rPr>
      </w:pPr>
      <w:r>
        <w:rPr>
          <w:b/>
        </w:rPr>
        <w:t>S5</w:t>
      </w:r>
      <w:r w:rsidR="00CF6538" w:rsidRPr="00AF4759">
        <w:rPr>
          <w:b/>
        </w:rPr>
        <w:t>-4</w:t>
      </w:r>
      <w:r w:rsidR="00B3496E" w:rsidRPr="00AF4759">
        <w:rPr>
          <w:b/>
        </w:rPr>
        <w:t>. D</w:t>
      </w:r>
      <w:r w:rsidR="007330B0" w:rsidRPr="00AF4759">
        <w:rPr>
          <w:b/>
        </w:rPr>
        <w:t>ose rate</w:t>
      </w:r>
      <w:r w:rsidR="00B3496E" w:rsidRPr="00AF4759">
        <w:rPr>
          <w:b/>
        </w:rPr>
        <w:t xml:space="preserve"> determination and results</w:t>
      </w:r>
    </w:p>
    <w:p w14:paraId="15B4A0D5" w14:textId="0B25224E" w:rsidR="006437CA" w:rsidRPr="00AF4759" w:rsidRDefault="00D92D7A" w:rsidP="006437CA">
      <w:pPr>
        <w:spacing w:line="276" w:lineRule="auto"/>
        <w:jc w:val="both"/>
        <w:rPr>
          <w:lang w:val="en-AU" w:eastAsia="en-US"/>
        </w:rPr>
      </w:pPr>
      <w:r w:rsidRPr="00AF4759">
        <w:rPr>
          <w:rFonts w:eastAsia="Times New Roman"/>
        </w:rPr>
        <w:tab/>
      </w:r>
      <w:r w:rsidR="00990D2E" w:rsidRPr="00AF4759">
        <w:rPr>
          <w:rFonts w:eastAsia="Times New Roman"/>
        </w:rPr>
        <w:t xml:space="preserve">The manner </w:t>
      </w:r>
      <w:r w:rsidR="004948F8" w:rsidRPr="00AF4759">
        <w:rPr>
          <w:rFonts w:eastAsia="Times New Roman"/>
        </w:rPr>
        <w:t xml:space="preserve">dosimetry </w:t>
      </w:r>
      <w:r w:rsidR="001A7D35" w:rsidRPr="00AF4759">
        <w:rPr>
          <w:rFonts w:eastAsia="Times New Roman"/>
        </w:rPr>
        <w:t xml:space="preserve">has been measured in this study assumes consistent conditions over the burial period. </w:t>
      </w:r>
      <w:r w:rsidR="00775FE2" w:rsidRPr="00AF4759">
        <w:rPr>
          <w:rFonts w:eastAsia="Times New Roman"/>
        </w:rPr>
        <w:t xml:space="preserve">An internal alpha dose rate of </w:t>
      </w:r>
      <w:bookmarkStart w:id="0" w:name="OLE_LINK2"/>
      <w:r w:rsidR="00E0231F" w:rsidRPr="00AF4759">
        <w:rPr>
          <w:rFonts w:eastAsia="Times New Roman"/>
        </w:rPr>
        <w:t xml:space="preserve">0.033 </w:t>
      </w:r>
      <w:bookmarkEnd w:id="0"/>
      <w:r w:rsidR="00E0231F" w:rsidRPr="00AF4759">
        <w:rPr>
          <w:rFonts w:eastAsia="Times New Roman"/>
        </w:rPr>
        <w:t xml:space="preserve">± </w:t>
      </w:r>
      <w:bookmarkStart w:id="1" w:name="OLE_LINK1"/>
      <w:r w:rsidR="00E0231F" w:rsidRPr="00AF4759">
        <w:rPr>
          <w:rFonts w:eastAsia="Times New Roman"/>
        </w:rPr>
        <w:t xml:space="preserve">0.008 </w:t>
      </w:r>
      <w:bookmarkEnd w:id="1"/>
      <w:proofErr w:type="spellStart"/>
      <w:r w:rsidR="00E0231F" w:rsidRPr="00AF4759">
        <w:rPr>
          <w:rFonts w:eastAsia="Times New Roman"/>
        </w:rPr>
        <w:t>Gy</w:t>
      </w:r>
      <w:proofErr w:type="spellEnd"/>
      <w:r w:rsidR="00E0231F" w:rsidRPr="00AF4759">
        <w:rPr>
          <w:rFonts w:eastAsia="Times New Roman"/>
        </w:rPr>
        <w:t>/ka has been assumed for all samples, based</w:t>
      </w:r>
      <w:r w:rsidR="0017280C" w:rsidRPr="00AF4759">
        <w:rPr>
          <w:rFonts w:eastAsia="Times New Roman"/>
        </w:rPr>
        <w:t xml:space="preserve"> on previous measurements of HF-</w:t>
      </w:r>
      <w:r w:rsidR="00E0231F" w:rsidRPr="00AF4759">
        <w:rPr>
          <w:rFonts w:eastAsia="Times New Roman"/>
        </w:rPr>
        <w:t xml:space="preserve">etched South African quartz (Jacobs, 2004). </w:t>
      </w:r>
      <w:r w:rsidR="00061110" w:rsidRPr="00AF4759">
        <w:rPr>
          <w:rFonts w:eastAsia="Times New Roman"/>
        </w:rPr>
        <w:t xml:space="preserve">Beta and gamma dose rates were estimated using two independent methods: a) a combination of </w:t>
      </w:r>
      <w:r w:rsidR="00061110" w:rsidRPr="00AF4759">
        <w:rPr>
          <w:lang w:val="en-AU" w:eastAsia="en-US"/>
        </w:rPr>
        <w:t>GM-25-5 beta counting (GMBC) (</w:t>
      </w:r>
      <w:proofErr w:type="spellStart"/>
      <w:r w:rsidR="00061110" w:rsidRPr="00AF4759">
        <w:rPr>
          <w:rFonts w:eastAsia="Times New Roman"/>
        </w:rPr>
        <w:t>Bøtter</w:t>
      </w:r>
      <w:proofErr w:type="spellEnd"/>
      <w:r w:rsidR="00061110" w:rsidRPr="00AF4759">
        <w:rPr>
          <w:rFonts w:eastAsia="Times New Roman"/>
        </w:rPr>
        <w:t xml:space="preserve">-Jensen &amp; </w:t>
      </w:r>
      <w:proofErr w:type="spellStart"/>
      <w:r w:rsidR="00061110" w:rsidRPr="00AF4759">
        <w:rPr>
          <w:rFonts w:eastAsia="Times New Roman"/>
        </w:rPr>
        <w:t>Mejdahl</w:t>
      </w:r>
      <w:proofErr w:type="spellEnd"/>
      <w:r w:rsidR="00061110" w:rsidRPr="00AF4759">
        <w:rPr>
          <w:rFonts w:eastAsia="Times New Roman"/>
        </w:rPr>
        <w:t xml:space="preserve">, 1988) </w:t>
      </w:r>
      <w:r w:rsidR="00061110" w:rsidRPr="00AF4759">
        <w:rPr>
          <w:lang w:val="en-AU" w:eastAsia="en-US"/>
        </w:rPr>
        <w:t xml:space="preserve">and thick-source alpha counting (TSAC), and 2) inductively-coupled plasma optical emission spectrometry (ICP-OES) for determination of K and ICP-mass spectrometry (MS) for determination of U and Th. </w:t>
      </w:r>
      <w:r w:rsidR="00826DD3" w:rsidRPr="00AF4759">
        <w:rPr>
          <w:lang w:val="en-AU" w:eastAsia="en-US"/>
        </w:rPr>
        <w:t xml:space="preserve">GMBC and TSAC were </w:t>
      </w:r>
      <w:r w:rsidR="00916966" w:rsidRPr="00AF4759">
        <w:rPr>
          <w:lang w:val="en-AU" w:eastAsia="en-US"/>
        </w:rPr>
        <w:t xml:space="preserve">carried out on the same samples at the </w:t>
      </w:r>
      <w:r w:rsidR="00916966" w:rsidRPr="00AF4759">
        <w:rPr>
          <w:rFonts w:eastAsia="Times New Roman"/>
        </w:rPr>
        <w:t xml:space="preserve">OSL Dating Laboratory at the University of Wollongong, and ICP-OES/MS at </w:t>
      </w:r>
      <w:proofErr w:type="spellStart"/>
      <w:r w:rsidR="00061110" w:rsidRPr="00AF4759">
        <w:rPr>
          <w:lang w:val="en-AU" w:eastAsia="en-US"/>
        </w:rPr>
        <w:t>Genalysis</w:t>
      </w:r>
      <w:proofErr w:type="spellEnd"/>
      <w:r w:rsidR="00061110" w:rsidRPr="00AF4759">
        <w:rPr>
          <w:lang w:val="en-AU" w:eastAsia="en-US"/>
        </w:rPr>
        <w:t xml:space="preserve"> Intertek Laboratory in Perth, Australia. </w:t>
      </w:r>
      <w:r w:rsidR="00F409BD" w:rsidRPr="00AF4759">
        <w:rPr>
          <w:lang w:val="en-AU" w:eastAsia="en-US"/>
        </w:rPr>
        <w:t xml:space="preserve">Comparisons between the measured elemental concentrations (K, </w:t>
      </w:r>
      <w:proofErr w:type="spellStart"/>
      <w:r w:rsidR="00F409BD" w:rsidRPr="00AF4759">
        <w:rPr>
          <w:lang w:val="en-AU" w:eastAsia="en-US"/>
        </w:rPr>
        <w:t>Th</w:t>
      </w:r>
      <w:proofErr w:type="spellEnd"/>
      <w:r w:rsidR="00F409BD" w:rsidRPr="00AF4759">
        <w:rPr>
          <w:lang w:val="en-AU" w:eastAsia="en-US"/>
        </w:rPr>
        <w:t xml:space="preserve"> and U) </w:t>
      </w:r>
      <w:r w:rsidR="00193C6F" w:rsidRPr="00AF4759">
        <w:rPr>
          <w:lang w:val="en-AU" w:eastAsia="en-US"/>
        </w:rPr>
        <w:t xml:space="preserve">obtained </w:t>
      </w:r>
      <w:r w:rsidR="00F409BD" w:rsidRPr="00AF4759">
        <w:rPr>
          <w:lang w:val="en-AU" w:eastAsia="en-US"/>
        </w:rPr>
        <w:t xml:space="preserve">using both approaches are provided in </w:t>
      </w:r>
      <w:r w:rsidR="00F409BD" w:rsidRPr="00AF4759">
        <w:rPr>
          <w:b/>
          <w:lang w:val="en-AU" w:eastAsia="en-US"/>
        </w:rPr>
        <w:t xml:space="preserve">Table </w:t>
      </w:r>
      <w:r w:rsidR="001C440D">
        <w:rPr>
          <w:b/>
          <w:lang w:val="en-AU" w:eastAsia="en-US"/>
        </w:rPr>
        <w:t>S5</w:t>
      </w:r>
      <w:r w:rsidR="005412ED" w:rsidRPr="00AF4759">
        <w:rPr>
          <w:b/>
          <w:lang w:val="en-AU" w:eastAsia="en-US"/>
        </w:rPr>
        <w:t>-</w:t>
      </w:r>
      <w:r w:rsidR="00F409BD" w:rsidRPr="00AF4759">
        <w:rPr>
          <w:b/>
          <w:lang w:val="en-AU" w:eastAsia="en-US"/>
        </w:rPr>
        <w:t>4</w:t>
      </w:r>
      <w:r w:rsidR="000D145D" w:rsidRPr="00AF4759">
        <w:rPr>
          <w:lang w:val="en-AU" w:eastAsia="en-US"/>
        </w:rPr>
        <w:t xml:space="preserve">. </w:t>
      </w:r>
    </w:p>
    <w:p w14:paraId="2DE96DCC" w14:textId="6F49EB3E" w:rsidR="00217D0F" w:rsidRPr="00AF4759" w:rsidRDefault="00D92D7A" w:rsidP="00D92D7A">
      <w:pPr>
        <w:spacing w:line="276" w:lineRule="auto"/>
        <w:jc w:val="both"/>
        <w:rPr>
          <w:rFonts w:eastAsia="Times New Roman"/>
        </w:rPr>
      </w:pPr>
      <w:r w:rsidRPr="00AF4759">
        <w:rPr>
          <w:lang w:val="en-AU" w:eastAsia="en-US"/>
        </w:rPr>
        <w:tab/>
      </w:r>
      <w:r w:rsidR="006437CA" w:rsidRPr="00AF4759">
        <w:rPr>
          <w:lang w:val="en-AU" w:eastAsia="en-US"/>
        </w:rPr>
        <w:t xml:space="preserve">Beta and gamma dose rate values for the chronology presented in </w:t>
      </w:r>
      <w:r w:rsidR="003167A7" w:rsidRPr="00AF4759">
        <w:rPr>
          <w:lang w:val="en-AU" w:eastAsia="en-US"/>
        </w:rPr>
        <w:t>the main text</w:t>
      </w:r>
      <w:r w:rsidR="00241386" w:rsidRPr="00AF4759">
        <w:rPr>
          <w:b/>
          <w:lang w:val="en-AU" w:eastAsia="en-US"/>
        </w:rPr>
        <w:t xml:space="preserve"> </w:t>
      </w:r>
      <w:r w:rsidR="006437CA" w:rsidRPr="00AF4759">
        <w:rPr>
          <w:lang w:val="en-AU" w:eastAsia="en-US"/>
        </w:rPr>
        <w:t>are derived from</w:t>
      </w:r>
      <w:r w:rsidR="00C85372" w:rsidRPr="00AF4759">
        <w:rPr>
          <w:lang w:val="en-AU" w:eastAsia="en-US"/>
        </w:rPr>
        <w:t xml:space="preserve"> the</w:t>
      </w:r>
      <w:r w:rsidR="006437CA" w:rsidRPr="00AF4759">
        <w:rPr>
          <w:lang w:val="en-AU" w:eastAsia="en-US"/>
        </w:rPr>
        <w:t xml:space="preserve"> ICP-MS/OES </w:t>
      </w:r>
      <w:r w:rsidR="00C85372" w:rsidRPr="00AF4759">
        <w:rPr>
          <w:lang w:val="en-AU" w:eastAsia="en-US"/>
        </w:rPr>
        <w:t>results</w:t>
      </w:r>
      <w:r w:rsidR="006437CA" w:rsidRPr="00AF4759">
        <w:rPr>
          <w:lang w:val="en-AU" w:eastAsia="en-US"/>
        </w:rPr>
        <w:t xml:space="preserve">. </w:t>
      </w:r>
      <w:r w:rsidR="00CC5248" w:rsidRPr="00AF4759">
        <w:rPr>
          <w:lang w:val="en-AU" w:eastAsia="en-US"/>
        </w:rPr>
        <w:t xml:space="preserve">Allowance was made for the effect of moisture content (Aitken, 1985; Nathan &amp; </w:t>
      </w:r>
      <w:proofErr w:type="spellStart"/>
      <w:r w:rsidR="00CC5248" w:rsidRPr="00AF4759">
        <w:rPr>
          <w:lang w:val="en-AU" w:eastAsia="en-US"/>
        </w:rPr>
        <w:t>Manz</w:t>
      </w:r>
      <w:proofErr w:type="spellEnd"/>
      <w:r w:rsidR="00CC5248" w:rsidRPr="00AF4759">
        <w:rPr>
          <w:lang w:val="en-AU" w:eastAsia="en-US"/>
        </w:rPr>
        <w:t>, 2008), grain size (</w:t>
      </w:r>
      <w:proofErr w:type="spellStart"/>
      <w:r w:rsidR="00CC5248" w:rsidRPr="00AF4759">
        <w:rPr>
          <w:lang w:val="en-AU" w:eastAsia="en-US"/>
        </w:rPr>
        <w:t>Mejdahl</w:t>
      </w:r>
      <w:proofErr w:type="spellEnd"/>
      <w:r w:rsidR="00CC5248" w:rsidRPr="00AF4759">
        <w:rPr>
          <w:lang w:val="en-AU" w:eastAsia="en-US"/>
        </w:rPr>
        <w:t xml:space="preserve">, 1979; Brennan, 2003) and HF etching (Bell &amp; Zimmerman, 1978) on beta-dose attenuation for all samples. </w:t>
      </w:r>
      <w:r w:rsidR="000F42AD" w:rsidRPr="00AF4759">
        <w:rPr>
          <w:lang w:val="en-AU" w:eastAsia="en-US"/>
        </w:rPr>
        <w:t xml:space="preserve"> </w:t>
      </w:r>
      <w:r w:rsidR="00526ACD" w:rsidRPr="00AF4759">
        <w:rPr>
          <w:lang w:val="en-AU" w:eastAsia="en-US"/>
        </w:rPr>
        <w:t xml:space="preserve">Laboratory-derived gamma dose rates are not ideal, </w:t>
      </w:r>
      <w:r w:rsidR="00526ACD" w:rsidRPr="00AF4759">
        <w:rPr>
          <w:rFonts w:eastAsia="Times New Roman"/>
        </w:rPr>
        <w:t xml:space="preserve">because they assume that the subsample collected and measured is representative of the ~30 cm gamma sphere surrounding the OSL sample, in its original location. The use of an </w:t>
      </w:r>
      <w:r w:rsidR="00526ACD" w:rsidRPr="00AF4759">
        <w:rPr>
          <w:rFonts w:eastAsia="Times New Roman"/>
          <w:i/>
        </w:rPr>
        <w:t>in situ</w:t>
      </w:r>
      <w:r w:rsidR="00526ACD" w:rsidRPr="00AF4759">
        <w:rPr>
          <w:rFonts w:eastAsia="Times New Roman"/>
        </w:rPr>
        <w:t xml:space="preserve"> gamma spectrometer, unavailable at time of sampling, would have been preferable.</w:t>
      </w:r>
      <w:r w:rsidR="00B510DE" w:rsidRPr="00AF4759">
        <w:rPr>
          <w:rFonts w:eastAsia="Times New Roman"/>
        </w:rPr>
        <w:t xml:space="preserve"> The best we can do at present is model the gamma dose rates for each sample by taking into account known heterogeneities </w:t>
      </w:r>
      <w:r w:rsidR="00881E6C" w:rsidRPr="00AF4759">
        <w:rPr>
          <w:rFonts w:eastAsia="Times New Roman"/>
        </w:rPr>
        <w:t>within</w:t>
      </w:r>
      <w:r w:rsidR="008168C2" w:rsidRPr="00AF4759">
        <w:rPr>
          <w:rFonts w:eastAsia="Times New Roman"/>
        </w:rPr>
        <w:t xml:space="preserve"> the ~30 cm diameter sphere around sample location. To do this, </w:t>
      </w:r>
      <w:r w:rsidR="002C480D" w:rsidRPr="00AF4759">
        <w:rPr>
          <w:rFonts w:eastAsia="Times New Roman"/>
        </w:rPr>
        <w:t xml:space="preserve">we </w:t>
      </w:r>
      <w:r w:rsidR="00682BBE" w:rsidRPr="00AF4759">
        <w:rPr>
          <w:rFonts w:eastAsia="Times New Roman"/>
        </w:rPr>
        <w:t xml:space="preserve">used </w:t>
      </w:r>
      <w:r w:rsidR="004511E2" w:rsidRPr="00AF4759">
        <w:rPr>
          <w:rFonts w:eastAsia="Times New Roman"/>
        </w:rPr>
        <w:t xml:space="preserve">the K, </w:t>
      </w:r>
      <w:proofErr w:type="spellStart"/>
      <w:r w:rsidR="004511E2" w:rsidRPr="00AF4759">
        <w:rPr>
          <w:rFonts w:eastAsia="Times New Roman"/>
        </w:rPr>
        <w:t>Th</w:t>
      </w:r>
      <w:proofErr w:type="spellEnd"/>
      <w:r w:rsidR="004511E2" w:rsidRPr="00AF4759">
        <w:rPr>
          <w:rFonts w:eastAsia="Times New Roman"/>
        </w:rPr>
        <w:t xml:space="preserve"> and U concentrations and field water content measured from each </w:t>
      </w:r>
      <w:r w:rsidR="002853FA" w:rsidRPr="00AF4759">
        <w:rPr>
          <w:rFonts w:eastAsia="Times New Roman"/>
        </w:rPr>
        <w:t xml:space="preserve">dosimetry sample to characterise the wet fractional gamma contributions from each </w:t>
      </w:r>
      <w:r w:rsidR="00140F4C" w:rsidRPr="00AF4759">
        <w:rPr>
          <w:rFonts w:eastAsia="Times New Roman"/>
        </w:rPr>
        <w:t xml:space="preserve">respective </w:t>
      </w:r>
      <w:r w:rsidR="002853FA" w:rsidRPr="00AF4759">
        <w:rPr>
          <w:rFonts w:eastAsia="Times New Roman"/>
        </w:rPr>
        <w:t>S</w:t>
      </w:r>
      <w:r w:rsidR="00C83ABB" w:rsidRPr="00AF4759">
        <w:rPr>
          <w:rFonts w:eastAsia="Times New Roman"/>
        </w:rPr>
        <w:t>ub</w:t>
      </w:r>
      <w:r w:rsidR="002853FA" w:rsidRPr="00AF4759">
        <w:rPr>
          <w:rFonts w:eastAsia="Times New Roman"/>
        </w:rPr>
        <w:t>Agg</w:t>
      </w:r>
      <w:r w:rsidR="00475EA5" w:rsidRPr="00AF4759">
        <w:rPr>
          <w:rFonts w:eastAsia="Times New Roman"/>
        </w:rPr>
        <w:t xml:space="preserve">, given the location of each </w:t>
      </w:r>
      <w:r w:rsidR="00C46826" w:rsidRPr="00AF4759">
        <w:rPr>
          <w:rFonts w:eastAsia="Times New Roman"/>
        </w:rPr>
        <w:t xml:space="preserve">OSL </w:t>
      </w:r>
      <w:r w:rsidR="00475EA5" w:rsidRPr="00AF4759">
        <w:rPr>
          <w:rFonts w:eastAsia="Times New Roman"/>
        </w:rPr>
        <w:t xml:space="preserve">sample. </w:t>
      </w:r>
      <w:r w:rsidR="005A3A47" w:rsidRPr="00AF4759">
        <w:rPr>
          <w:rFonts w:eastAsia="Times New Roman"/>
        </w:rPr>
        <w:t>Because</w:t>
      </w:r>
      <w:r w:rsidR="00475EA5" w:rsidRPr="00AF4759">
        <w:rPr>
          <w:rFonts w:eastAsia="Times New Roman"/>
        </w:rPr>
        <w:t xml:space="preserve"> LBCS Lily was not sampled for OSL dating, we used average elemental concentration</w:t>
      </w:r>
      <w:r w:rsidR="00A45A4E" w:rsidRPr="00AF4759">
        <w:rPr>
          <w:rFonts w:eastAsia="Times New Roman"/>
        </w:rPr>
        <w:t>s</w:t>
      </w:r>
      <w:r w:rsidR="00475EA5" w:rsidRPr="00AF4759">
        <w:rPr>
          <w:rFonts w:eastAsia="Times New Roman"/>
        </w:rPr>
        <w:t xml:space="preserve"> and water content values derived from LBCS </w:t>
      </w:r>
      <w:proofErr w:type="spellStart"/>
      <w:r w:rsidR="00475EA5" w:rsidRPr="00AF4759">
        <w:rPr>
          <w:rFonts w:eastAsia="Times New Roman"/>
        </w:rPr>
        <w:t>Kuka</w:t>
      </w:r>
      <w:proofErr w:type="spellEnd"/>
      <w:r w:rsidR="00475EA5" w:rsidRPr="00AF4759">
        <w:rPr>
          <w:rFonts w:eastAsia="Times New Roman"/>
        </w:rPr>
        <w:t xml:space="preserve"> above, and LBCS Otis below. </w:t>
      </w:r>
      <w:r w:rsidR="00D00D25" w:rsidRPr="00AF4759">
        <w:rPr>
          <w:rFonts w:eastAsia="Times New Roman"/>
        </w:rPr>
        <w:t>No OSL samples were taken above SRCS Courtney, or below LBCS Colton.</w:t>
      </w:r>
      <w:r w:rsidR="00C46826" w:rsidRPr="00AF4759">
        <w:rPr>
          <w:rFonts w:eastAsia="Times New Roman"/>
        </w:rPr>
        <w:t xml:space="preserve"> Due to this, </w:t>
      </w:r>
      <w:r w:rsidR="000B5A63" w:rsidRPr="00AF4759">
        <w:rPr>
          <w:rFonts w:eastAsia="Times New Roman"/>
        </w:rPr>
        <w:t xml:space="preserve">we could only project the known elemental concentrations and water content of SRCS Courtney for those SubAggs above, and those of Colton, below. </w:t>
      </w:r>
      <w:r w:rsidR="00257187" w:rsidRPr="00AF4759">
        <w:rPr>
          <w:rFonts w:eastAsia="Times New Roman"/>
        </w:rPr>
        <w:t>Elemental concentrations were converted into gamma dose rates (</w:t>
      </w:r>
      <w:proofErr w:type="spellStart"/>
      <w:r w:rsidR="00257187" w:rsidRPr="00AF4759">
        <w:rPr>
          <w:rFonts w:eastAsia="Times New Roman"/>
        </w:rPr>
        <w:t>Gy</w:t>
      </w:r>
      <w:proofErr w:type="spellEnd"/>
      <w:r w:rsidR="00257187" w:rsidRPr="00AF4759">
        <w:rPr>
          <w:rFonts w:eastAsia="Times New Roman"/>
        </w:rPr>
        <w:t>/ka) using the dose</w:t>
      </w:r>
      <w:r w:rsidR="00F80944" w:rsidRPr="00AF4759">
        <w:rPr>
          <w:rFonts w:eastAsia="Times New Roman"/>
        </w:rPr>
        <w:t xml:space="preserve"> rate</w:t>
      </w:r>
      <w:r w:rsidR="00257187" w:rsidRPr="00AF4759">
        <w:rPr>
          <w:rFonts w:eastAsia="Times New Roman"/>
        </w:rPr>
        <w:t xml:space="preserve"> conversion factors of </w:t>
      </w:r>
      <w:proofErr w:type="spellStart"/>
      <w:r w:rsidR="00257187" w:rsidRPr="00AF4759">
        <w:rPr>
          <w:rFonts w:eastAsia="Times New Roman"/>
        </w:rPr>
        <w:t>Guérin</w:t>
      </w:r>
      <w:proofErr w:type="spellEnd"/>
      <w:r w:rsidR="00257187" w:rsidRPr="00AF4759">
        <w:rPr>
          <w:rFonts w:eastAsia="Times New Roman"/>
        </w:rPr>
        <w:t xml:space="preserve"> et al. (2011),</w:t>
      </w:r>
      <w:r w:rsidR="008F3815" w:rsidRPr="00AF4759">
        <w:rPr>
          <w:rFonts w:eastAsia="Times New Roman"/>
        </w:rPr>
        <w:t xml:space="preserve"> </w:t>
      </w:r>
      <w:r w:rsidR="00257187" w:rsidRPr="00AF4759">
        <w:rPr>
          <w:rFonts w:eastAsia="Times New Roman"/>
        </w:rPr>
        <w:t xml:space="preserve">and corrected for sample moisture content (Nathan &amp; </w:t>
      </w:r>
      <w:proofErr w:type="spellStart"/>
      <w:r w:rsidR="00257187" w:rsidRPr="00AF4759">
        <w:rPr>
          <w:rFonts w:eastAsia="Times New Roman"/>
        </w:rPr>
        <w:t>Mauz</w:t>
      </w:r>
      <w:proofErr w:type="spellEnd"/>
      <w:r w:rsidR="00257187" w:rsidRPr="00AF4759">
        <w:rPr>
          <w:rFonts w:eastAsia="Times New Roman"/>
        </w:rPr>
        <w:t xml:space="preserve">, 2008). </w:t>
      </w:r>
      <w:r w:rsidR="00FB4A26" w:rsidRPr="00AF4759">
        <w:rPr>
          <w:rFonts w:eastAsia="Times New Roman"/>
        </w:rPr>
        <w:t xml:space="preserve">These modelled gamma dose rates are used </w:t>
      </w:r>
      <w:r w:rsidR="008F3815" w:rsidRPr="00AF4759">
        <w:rPr>
          <w:rFonts w:eastAsia="Times New Roman"/>
        </w:rPr>
        <w:t>in t</w:t>
      </w:r>
      <w:r w:rsidR="000B5D19" w:rsidRPr="00AF4759">
        <w:rPr>
          <w:rFonts w:eastAsia="Times New Roman"/>
        </w:rPr>
        <w:t xml:space="preserve">he </w:t>
      </w:r>
      <w:r w:rsidR="009D21B7" w:rsidRPr="00AF4759">
        <w:rPr>
          <w:lang w:val="en-AU" w:eastAsia="en-US"/>
        </w:rPr>
        <w:t>Waterfall Bluff</w:t>
      </w:r>
      <w:r w:rsidR="009D21B7" w:rsidRPr="00AF4759">
        <w:rPr>
          <w:b/>
          <w:lang w:val="en-AU" w:eastAsia="en-US"/>
        </w:rPr>
        <w:t xml:space="preserve"> </w:t>
      </w:r>
      <w:r w:rsidR="00A110DE" w:rsidRPr="00AF4759">
        <w:rPr>
          <w:lang w:val="en-AU" w:eastAsia="en-US"/>
        </w:rPr>
        <w:t>chronology and</w:t>
      </w:r>
      <w:r w:rsidR="008F3815" w:rsidRPr="00AF4759">
        <w:rPr>
          <w:lang w:val="en-AU" w:eastAsia="en-US"/>
        </w:rPr>
        <w:t xml:space="preserve"> are presented in </w:t>
      </w:r>
      <w:r w:rsidR="000B5D19" w:rsidRPr="00AF4759">
        <w:rPr>
          <w:b/>
          <w:lang w:val="en-AU" w:eastAsia="en-US"/>
        </w:rPr>
        <w:t xml:space="preserve">Table </w:t>
      </w:r>
      <w:r w:rsidR="004E3431" w:rsidRPr="00AF4759">
        <w:rPr>
          <w:b/>
          <w:lang w:val="en-AU" w:eastAsia="en-US"/>
        </w:rPr>
        <w:t>3</w:t>
      </w:r>
      <w:r w:rsidR="000B5D19" w:rsidRPr="00AF4759">
        <w:rPr>
          <w:lang w:val="en-AU" w:eastAsia="en-US"/>
        </w:rPr>
        <w:t>.</w:t>
      </w:r>
    </w:p>
    <w:p w14:paraId="3B77C862" w14:textId="01D29F64" w:rsidR="00217D0F" w:rsidRPr="00AF4759" w:rsidRDefault="00D92D7A" w:rsidP="00D92D7A">
      <w:pPr>
        <w:spacing w:line="276" w:lineRule="auto"/>
        <w:jc w:val="both"/>
        <w:rPr>
          <w:rFonts w:eastAsia="Times New Roman"/>
        </w:rPr>
      </w:pPr>
      <w:r w:rsidRPr="00AF4759">
        <w:rPr>
          <w:rFonts w:eastAsia="Times New Roman"/>
        </w:rPr>
        <w:tab/>
      </w:r>
      <w:r w:rsidR="00217D0F" w:rsidRPr="00AF4759">
        <w:rPr>
          <w:rFonts w:eastAsia="Times New Roman"/>
        </w:rPr>
        <w:t>Cosmic-ray dose rates were also taken into account, which was adjusted for the site altitude, geomagnetic latitude, the thickness of sediment and rock overburden (Prescott &amp; Hutton, 1994),</w:t>
      </w:r>
      <w:r w:rsidR="00F80944" w:rsidRPr="00AF4759">
        <w:rPr>
          <w:rFonts w:eastAsia="Times New Roman"/>
        </w:rPr>
        <w:t xml:space="preserve"> and</w:t>
      </w:r>
      <w:r w:rsidR="00217D0F" w:rsidRPr="00AF4759">
        <w:rPr>
          <w:rFonts w:eastAsia="Times New Roman"/>
        </w:rPr>
        <w:t xml:space="preserve"> the cos</w:t>
      </w:r>
      <w:r w:rsidR="00217D0F" w:rsidRPr="00AF4759">
        <w:rPr>
          <w:rFonts w:eastAsia="Times New Roman"/>
          <w:vertAlign w:val="superscript"/>
        </w:rPr>
        <w:t>2</w:t>
      </w:r>
      <w:r w:rsidR="00217D0F" w:rsidRPr="00AF4759">
        <w:rPr>
          <w:rFonts w:eastAsia="Times New Roman"/>
        </w:rPr>
        <w:t xml:space="preserve">φ-zenith angular dependence of cosmic rays (Smith et al., 1997). We used the 3D GIS developed for Waterfall Bluff as an aid to obtain accurate estimates of the parameters input into the equations for estimating cosmic-ray dose rates (Fisher et al., 2015). </w:t>
      </w:r>
    </w:p>
    <w:p w14:paraId="616DB621" w14:textId="38A4C82F" w:rsidR="00217D0F" w:rsidRDefault="00D92D7A" w:rsidP="008A7B90">
      <w:pPr>
        <w:spacing w:line="276" w:lineRule="auto"/>
        <w:jc w:val="both"/>
        <w:rPr>
          <w:rFonts w:eastAsia="Times New Roman"/>
        </w:rPr>
      </w:pPr>
      <w:r w:rsidRPr="00AF4759">
        <w:rPr>
          <w:rFonts w:eastAsia="Times New Roman"/>
        </w:rPr>
        <w:tab/>
      </w:r>
      <w:r w:rsidR="00473684" w:rsidRPr="00AF4759">
        <w:rPr>
          <w:rFonts w:eastAsia="Times New Roman"/>
        </w:rPr>
        <w:t xml:space="preserve">The sensitivity of beta dose rate, gamma dose rate and final OSL age to a) the method </w:t>
      </w:r>
      <w:r w:rsidR="008A7B90" w:rsidRPr="00AF4759">
        <w:rPr>
          <w:rFonts w:eastAsia="Times New Roman"/>
        </w:rPr>
        <w:t>used</w:t>
      </w:r>
      <w:r w:rsidR="00473684" w:rsidRPr="00AF4759">
        <w:rPr>
          <w:rFonts w:eastAsia="Times New Roman"/>
        </w:rPr>
        <w:t xml:space="preserve"> for beta and gamma dose rate estimation, and b) </w:t>
      </w:r>
      <w:r w:rsidR="00FB4A26" w:rsidRPr="00AF4759">
        <w:rPr>
          <w:rFonts w:eastAsia="Times New Roman"/>
        </w:rPr>
        <w:t xml:space="preserve">whether or not </w:t>
      </w:r>
      <w:r w:rsidR="008A7B90" w:rsidRPr="00AF4759">
        <w:rPr>
          <w:rFonts w:eastAsia="Times New Roman"/>
        </w:rPr>
        <w:t>gamma sphere modelling was employed is insignificant and</w:t>
      </w:r>
      <w:r w:rsidR="00FB4A26" w:rsidRPr="00AF4759">
        <w:rPr>
          <w:rFonts w:eastAsia="Times New Roman"/>
        </w:rPr>
        <w:t xml:space="preserve"> </w:t>
      </w:r>
      <w:r w:rsidR="008A7B90" w:rsidRPr="00AF4759">
        <w:rPr>
          <w:rFonts w:eastAsia="Times New Roman"/>
        </w:rPr>
        <w:t>presented</w:t>
      </w:r>
      <w:r w:rsidR="00FB4A26" w:rsidRPr="00AF4759">
        <w:rPr>
          <w:rFonts w:eastAsia="Times New Roman"/>
        </w:rPr>
        <w:t xml:space="preserve"> in </w:t>
      </w:r>
      <w:r w:rsidR="00FB4A26" w:rsidRPr="00AF4759">
        <w:rPr>
          <w:rFonts w:eastAsia="Times New Roman"/>
          <w:b/>
        </w:rPr>
        <w:t xml:space="preserve">Table </w:t>
      </w:r>
      <w:r w:rsidR="001C440D">
        <w:rPr>
          <w:rFonts w:eastAsia="Times New Roman"/>
          <w:b/>
        </w:rPr>
        <w:t>S5</w:t>
      </w:r>
      <w:r w:rsidR="005412ED" w:rsidRPr="00AF4759">
        <w:rPr>
          <w:rFonts w:eastAsia="Times New Roman"/>
          <w:b/>
        </w:rPr>
        <w:t>-</w:t>
      </w:r>
      <w:r w:rsidR="00FB4A26" w:rsidRPr="00AF4759">
        <w:rPr>
          <w:rFonts w:eastAsia="Times New Roman"/>
          <w:b/>
        </w:rPr>
        <w:t>5</w:t>
      </w:r>
      <w:r w:rsidR="000E31A7" w:rsidRPr="00AF4759">
        <w:rPr>
          <w:rFonts w:eastAsia="Times New Roman"/>
          <w:b/>
        </w:rPr>
        <w:t xml:space="preserve"> </w:t>
      </w:r>
      <w:r w:rsidR="000E31A7" w:rsidRPr="00AF4759">
        <w:rPr>
          <w:rFonts w:eastAsia="Times New Roman"/>
        </w:rPr>
        <w:t>and</w:t>
      </w:r>
      <w:r w:rsidR="000E31A7" w:rsidRPr="00AF4759">
        <w:rPr>
          <w:rFonts w:eastAsia="Times New Roman"/>
          <w:b/>
        </w:rPr>
        <w:t xml:space="preserve"> </w:t>
      </w:r>
      <w:r w:rsidR="001C440D">
        <w:rPr>
          <w:rFonts w:eastAsia="Times New Roman"/>
          <w:b/>
        </w:rPr>
        <w:t>S5</w:t>
      </w:r>
      <w:r w:rsidR="005412ED" w:rsidRPr="00AF4759">
        <w:rPr>
          <w:rFonts w:eastAsia="Times New Roman"/>
          <w:b/>
        </w:rPr>
        <w:t>-</w:t>
      </w:r>
      <w:r w:rsidR="000E31A7" w:rsidRPr="00AF4759">
        <w:rPr>
          <w:rFonts w:eastAsia="Times New Roman"/>
          <w:b/>
        </w:rPr>
        <w:t>6</w:t>
      </w:r>
      <w:r w:rsidR="00FB4A26" w:rsidRPr="00AF4759">
        <w:rPr>
          <w:rFonts w:eastAsia="Times New Roman"/>
        </w:rPr>
        <w:t xml:space="preserve">. </w:t>
      </w:r>
      <w:r w:rsidR="00217D0F" w:rsidRPr="00AF4759">
        <w:rPr>
          <w:rFonts w:eastAsia="Times New Roman"/>
        </w:rPr>
        <w:t xml:space="preserve">The quadratic sum of all known and estimated sources of systematic and random error are represented as the uncertainty </w:t>
      </w:r>
      <w:r w:rsidR="00217D0F" w:rsidRPr="00AF4759">
        <w:rPr>
          <w:rFonts w:eastAsia="Times New Roman"/>
        </w:rPr>
        <w:lastRenderedPageBreak/>
        <w:t xml:space="preserve">attached to each total dose rate. These include a relative uncertainty of 25% (at 1σ) in sample moisture content estimates (made using measured field values) to accommodate likely variations over the burial period. </w:t>
      </w:r>
    </w:p>
    <w:p w14:paraId="37A40C0B" w14:textId="2B6ECFB3" w:rsidR="009B1890" w:rsidRDefault="009B1890" w:rsidP="008A7B90">
      <w:pPr>
        <w:spacing w:line="276" w:lineRule="auto"/>
        <w:jc w:val="both"/>
        <w:rPr>
          <w:rFonts w:eastAsia="Times New Roman"/>
        </w:rPr>
      </w:pPr>
    </w:p>
    <w:p w14:paraId="5522C75D" w14:textId="3247239C" w:rsidR="009B1890" w:rsidRDefault="009B1890" w:rsidP="008A7B90">
      <w:pPr>
        <w:spacing w:line="276" w:lineRule="auto"/>
        <w:jc w:val="both"/>
        <w:rPr>
          <w:rFonts w:eastAsia="Times New Roman"/>
        </w:rPr>
      </w:pPr>
    </w:p>
    <w:p w14:paraId="6E2DF5EE" w14:textId="744098A1" w:rsidR="009B1890" w:rsidRDefault="009B1890" w:rsidP="008A7B90">
      <w:pPr>
        <w:spacing w:line="276" w:lineRule="auto"/>
        <w:jc w:val="both"/>
        <w:rPr>
          <w:rFonts w:eastAsia="Times New Roman"/>
        </w:rPr>
      </w:pPr>
    </w:p>
    <w:p w14:paraId="6D2C4B5A" w14:textId="5753A711" w:rsidR="009B1890" w:rsidRDefault="009B1890" w:rsidP="008A7B90">
      <w:pPr>
        <w:spacing w:line="276" w:lineRule="auto"/>
        <w:jc w:val="both"/>
        <w:rPr>
          <w:rFonts w:eastAsia="Times New Roman"/>
        </w:rPr>
      </w:pPr>
    </w:p>
    <w:p w14:paraId="3F3D1C41" w14:textId="2671C4BA" w:rsidR="009B1890" w:rsidRDefault="009B1890" w:rsidP="008A7B90">
      <w:pPr>
        <w:spacing w:line="276" w:lineRule="auto"/>
        <w:jc w:val="both"/>
        <w:rPr>
          <w:rFonts w:eastAsia="Times New Roman"/>
        </w:rPr>
      </w:pPr>
    </w:p>
    <w:p w14:paraId="7594E89C" w14:textId="6CACAF17" w:rsidR="009B1890" w:rsidRDefault="009B1890" w:rsidP="008A7B90">
      <w:pPr>
        <w:spacing w:line="276" w:lineRule="auto"/>
        <w:jc w:val="both"/>
        <w:rPr>
          <w:rFonts w:eastAsia="Times New Roman"/>
        </w:rPr>
      </w:pPr>
    </w:p>
    <w:p w14:paraId="37C60077" w14:textId="420C997E" w:rsidR="009B1890" w:rsidRDefault="009B1890" w:rsidP="008A7B90">
      <w:pPr>
        <w:spacing w:line="276" w:lineRule="auto"/>
        <w:jc w:val="both"/>
        <w:rPr>
          <w:rFonts w:eastAsia="Times New Roman"/>
        </w:rPr>
      </w:pPr>
    </w:p>
    <w:p w14:paraId="78693C74" w14:textId="78412B7E" w:rsidR="009B1890" w:rsidRDefault="009B1890" w:rsidP="008A7B90">
      <w:pPr>
        <w:spacing w:line="276" w:lineRule="auto"/>
        <w:jc w:val="both"/>
        <w:rPr>
          <w:rFonts w:eastAsia="Times New Roman"/>
        </w:rPr>
      </w:pPr>
    </w:p>
    <w:p w14:paraId="772E7CA0" w14:textId="4D701011" w:rsidR="009B1890" w:rsidRDefault="009B1890" w:rsidP="008A7B90">
      <w:pPr>
        <w:spacing w:line="276" w:lineRule="auto"/>
        <w:jc w:val="both"/>
        <w:rPr>
          <w:rFonts w:eastAsia="Times New Roman"/>
        </w:rPr>
      </w:pPr>
    </w:p>
    <w:p w14:paraId="5F254573" w14:textId="33E62E7C" w:rsidR="009B1890" w:rsidRDefault="009B1890" w:rsidP="008A7B90">
      <w:pPr>
        <w:spacing w:line="276" w:lineRule="auto"/>
        <w:jc w:val="both"/>
        <w:rPr>
          <w:rFonts w:eastAsia="Times New Roman"/>
        </w:rPr>
      </w:pPr>
    </w:p>
    <w:p w14:paraId="20921F7E" w14:textId="20CEF373" w:rsidR="009B1890" w:rsidRDefault="009B1890" w:rsidP="008A7B90">
      <w:pPr>
        <w:spacing w:line="276" w:lineRule="auto"/>
        <w:jc w:val="both"/>
        <w:rPr>
          <w:rFonts w:eastAsia="Times New Roman"/>
        </w:rPr>
      </w:pPr>
    </w:p>
    <w:p w14:paraId="3E5E51FA" w14:textId="437BBD6F" w:rsidR="009B1890" w:rsidRDefault="009B1890" w:rsidP="008A7B90">
      <w:pPr>
        <w:spacing w:line="276" w:lineRule="auto"/>
        <w:jc w:val="both"/>
        <w:rPr>
          <w:rFonts w:eastAsia="Times New Roman"/>
        </w:rPr>
      </w:pPr>
    </w:p>
    <w:p w14:paraId="7D1F2E73" w14:textId="3045FDE5" w:rsidR="009B1890" w:rsidRDefault="009B1890" w:rsidP="008A7B90">
      <w:pPr>
        <w:spacing w:line="276" w:lineRule="auto"/>
        <w:jc w:val="both"/>
        <w:rPr>
          <w:rFonts w:eastAsia="Times New Roman"/>
        </w:rPr>
      </w:pPr>
    </w:p>
    <w:p w14:paraId="082A0772" w14:textId="4F6C5E4E" w:rsidR="009B1890" w:rsidRDefault="009B1890" w:rsidP="008A7B90">
      <w:pPr>
        <w:spacing w:line="276" w:lineRule="auto"/>
        <w:jc w:val="both"/>
        <w:rPr>
          <w:rFonts w:eastAsia="Times New Roman"/>
        </w:rPr>
      </w:pPr>
    </w:p>
    <w:p w14:paraId="0B6AB187" w14:textId="17293DB2" w:rsidR="009B1890" w:rsidRDefault="009B1890" w:rsidP="008A7B90">
      <w:pPr>
        <w:spacing w:line="276" w:lineRule="auto"/>
        <w:jc w:val="both"/>
        <w:rPr>
          <w:rFonts w:eastAsia="Times New Roman"/>
        </w:rPr>
      </w:pPr>
    </w:p>
    <w:p w14:paraId="24308B3D" w14:textId="755A7820" w:rsidR="009B1890" w:rsidRDefault="009B1890" w:rsidP="008A7B90">
      <w:pPr>
        <w:spacing w:line="276" w:lineRule="auto"/>
        <w:jc w:val="both"/>
        <w:rPr>
          <w:rFonts w:eastAsia="Times New Roman"/>
        </w:rPr>
      </w:pPr>
    </w:p>
    <w:p w14:paraId="2ABF6314" w14:textId="0B48CF0F" w:rsidR="009B1890" w:rsidRDefault="009B1890" w:rsidP="008A7B90">
      <w:pPr>
        <w:spacing w:line="276" w:lineRule="auto"/>
        <w:jc w:val="both"/>
        <w:rPr>
          <w:rFonts w:eastAsia="Times New Roman"/>
        </w:rPr>
      </w:pPr>
    </w:p>
    <w:p w14:paraId="033C2F4C" w14:textId="36EF169B" w:rsidR="009B1890" w:rsidRDefault="009B1890" w:rsidP="008A7B90">
      <w:pPr>
        <w:spacing w:line="276" w:lineRule="auto"/>
        <w:jc w:val="both"/>
        <w:rPr>
          <w:rFonts w:eastAsia="Times New Roman"/>
        </w:rPr>
      </w:pPr>
    </w:p>
    <w:p w14:paraId="0D43014B" w14:textId="5E956194" w:rsidR="009B1890" w:rsidRDefault="009B1890" w:rsidP="008A7B90">
      <w:pPr>
        <w:spacing w:line="276" w:lineRule="auto"/>
        <w:jc w:val="both"/>
        <w:rPr>
          <w:rFonts w:eastAsia="Times New Roman"/>
        </w:rPr>
      </w:pPr>
    </w:p>
    <w:p w14:paraId="23CD419C" w14:textId="145AC528" w:rsidR="009B1890" w:rsidRDefault="009B1890" w:rsidP="008A7B90">
      <w:pPr>
        <w:spacing w:line="276" w:lineRule="auto"/>
        <w:jc w:val="both"/>
        <w:rPr>
          <w:rFonts w:eastAsia="Times New Roman"/>
        </w:rPr>
      </w:pPr>
    </w:p>
    <w:p w14:paraId="794A4DF1" w14:textId="329D2285" w:rsidR="009B1890" w:rsidRDefault="009B1890" w:rsidP="008A7B90">
      <w:pPr>
        <w:spacing w:line="276" w:lineRule="auto"/>
        <w:jc w:val="both"/>
        <w:rPr>
          <w:rFonts w:eastAsia="Times New Roman"/>
        </w:rPr>
      </w:pPr>
    </w:p>
    <w:p w14:paraId="5142077B" w14:textId="6D25D83E" w:rsidR="009B1890" w:rsidRDefault="009B1890" w:rsidP="008A7B90">
      <w:pPr>
        <w:spacing w:line="276" w:lineRule="auto"/>
        <w:jc w:val="both"/>
        <w:rPr>
          <w:rFonts w:eastAsia="Times New Roman"/>
        </w:rPr>
      </w:pPr>
    </w:p>
    <w:p w14:paraId="5FE5A534" w14:textId="07FF9E46" w:rsidR="009B1890" w:rsidRDefault="009B1890" w:rsidP="008A7B90">
      <w:pPr>
        <w:spacing w:line="276" w:lineRule="auto"/>
        <w:jc w:val="both"/>
        <w:rPr>
          <w:rFonts w:eastAsia="Times New Roman"/>
        </w:rPr>
      </w:pPr>
    </w:p>
    <w:p w14:paraId="7467A9DC" w14:textId="47EC533C" w:rsidR="009B1890" w:rsidRDefault="009B1890" w:rsidP="008A7B90">
      <w:pPr>
        <w:spacing w:line="276" w:lineRule="auto"/>
        <w:jc w:val="both"/>
        <w:rPr>
          <w:rFonts w:eastAsia="Times New Roman"/>
        </w:rPr>
      </w:pPr>
    </w:p>
    <w:p w14:paraId="5041F771" w14:textId="0DBE914E" w:rsidR="009B1890" w:rsidRDefault="009B1890" w:rsidP="008A7B90">
      <w:pPr>
        <w:spacing w:line="276" w:lineRule="auto"/>
        <w:jc w:val="both"/>
        <w:rPr>
          <w:rFonts w:eastAsia="Times New Roman"/>
        </w:rPr>
      </w:pPr>
    </w:p>
    <w:p w14:paraId="62D91C59" w14:textId="3E217952" w:rsidR="009B1890" w:rsidRDefault="009B1890" w:rsidP="008A7B90">
      <w:pPr>
        <w:spacing w:line="276" w:lineRule="auto"/>
        <w:jc w:val="both"/>
        <w:rPr>
          <w:rFonts w:eastAsia="Times New Roman"/>
        </w:rPr>
      </w:pPr>
    </w:p>
    <w:p w14:paraId="2538035A" w14:textId="70E54EE3" w:rsidR="009B1890" w:rsidRDefault="009B1890" w:rsidP="008A7B90">
      <w:pPr>
        <w:spacing w:line="276" w:lineRule="auto"/>
        <w:jc w:val="both"/>
        <w:rPr>
          <w:rFonts w:eastAsia="Times New Roman"/>
        </w:rPr>
      </w:pPr>
    </w:p>
    <w:p w14:paraId="28104756" w14:textId="138D853D" w:rsidR="009B1890" w:rsidRDefault="009B1890" w:rsidP="008A7B90">
      <w:pPr>
        <w:spacing w:line="276" w:lineRule="auto"/>
        <w:jc w:val="both"/>
        <w:rPr>
          <w:rFonts w:eastAsia="Times New Roman"/>
        </w:rPr>
      </w:pPr>
    </w:p>
    <w:p w14:paraId="373D2437" w14:textId="3FA32E84" w:rsidR="009B1890" w:rsidRDefault="009B1890" w:rsidP="008A7B90">
      <w:pPr>
        <w:spacing w:line="276" w:lineRule="auto"/>
        <w:jc w:val="both"/>
        <w:rPr>
          <w:rFonts w:eastAsia="Times New Roman"/>
        </w:rPr>
      </w:pPr>
    </w:p>
    <w:p w14:paraId="723C644D" w14:textId="11E0E2D3" w:rsidR="009B1890" w:rsidRDefault="009B1890" w:rsidP="008A7B90">
      <w:pPr>
        <w:spacing w:line="276" w:lineRule="auto"/>
        <w:jc w:val="both"/>
        <w:rPr>
          <w:rFonts w:eastAsia="Times New Roman"/>
        </w:rPr>
      </w:pPr>
    </w:p>
    <w:p w14:paraId="7B6A6E13" w14:textId="77777777" w:rsidR="009B1890" w:rsidRPr="00AF4759" w:rsidRDefault="009B1890" w:rsidP="008A7B90">
      <w:pPr>
        <w:spacing w:line="276" w:lineRule="auto"/>
        <w:jc w:val="both"/>
        <w:rPr>
          <w:rFonts w:eastAsia="Times New Roman"/>
        </w:rPr>
      </w:pPr>
    </w:p>
    <w:p w14:paraId="29C0B6BB" w14:textId="48F0E8C7" w:rsidR="00475EA5" w:rsidRPr="00AF4759" w:rsidRDefault="00475EA5" w:rsidP="004511E2">
      <w:pPr>
        <w:spacing w:line="276" w:lineRule="auto"/>
        <w:ind w:firstLine="720"/>
        <w:jc w:val="both"/>
        <w:rPr>
          <w:rFonts w:eastAsia="Times New Roman"/>
        </w:rPr>
      </w:pPr>
    </w:p>
    <w:p w14:paraId="657D498A" w14:textId="77777777" w:rsidR="003622E0" w:rsidRPr="00AF4759" w:rsidRDefault="003622E0" w:rsidP="003622E0">
      <w:pPr>
        <w:spacing w:line="276" w:lineRule="auto"/>
        <w:jc w:val="both"/>
      </w:pPr>
    </w:p>
    <w:tbl>
      <w:tblPr>
        <w:tblStyle w:val="PlainTable4"/>
        <w:tblpPr w:leftFromText="180" w:rightFromText="180" w:vertAnchor="text" w:horzAnchor="page" w:tblpX="2890" w:tblpY="-355"/>
        <w:tblW w:w="0" w:type="auto"/>
        <w:tblLayout w:type="fixed"/>
        <w:tblLook w:val="0000" w:firstRow="0" w:lastRow="0" w:firstColumn="0" w:lastColumn="0" w:noHBand="0" w:noVBand="0"/>
      </w:tblPr>
      <w:tblGrid>
        <w:gridCol w:w="881"/>
        <w:gridCol w:w="4522"/>
        <w:gridCol w:w="1136"/>
      </w:tblGrid>
      <w:tr w:rsidR="003622E0" w:rsidRPr="00AF4759" w14:paraId="6D51DD79" w14:textId="77777777" w:rsidTr="00781A6A">
        <w:trPr>
          <w:cnfStyle w:val="000000100000" w:firstRow="0" w:lastRow="0" w:firstColumn="0" w:lastColumn="0" w:oddVBand="0" w:evenVBand="0" w:oddHBand="1" w:evenHBand="0" w:firstRowFirstColumn="0" w:firstRowLastColumn="0" w:lastRowFirstColumn="0" w:lastRowLastColumn="0"/>
          <w:trHeight w:val="303"/>
        </w:trPr>
        <w:tc>
          <w:tcPr>
            <w:cnfStyle w:val="000010000000" w:firstRow="0" w:lastRow="0" w:firstColumn="0" w:lastColumn="0" w:oddVBand="1" w:evenVBand="0" w:oddHBand="0" w:evenHBand="0" w:firstRowFirstColumn="0" w:firstRowLastColumn="0" w:lastRowFirstColumn="0" w:lastRowLastColumn="0"/>
            <w:tcW w:w="881" w:type="dxa"/>
            <w:tcBorders>
              <w:top w:val="single" w:sz="4" w:space="0" w:color="000000"/>
              <w:bottom w:val="single" w:sz="4" w:space="0" w:color="000000"/>
            </w:tcBorders>
            <w:shd w:val="clear" w:color="auto" w:fill="auto"/>
          </w:tcPr>
          <w:p w14:paraId="127B116F" w14:textId="77777777" w:rsidR="003622E0" w:rsidRPr="00AF4759" w:rsidRDefault="003622E0" w:rsidP="00781A6A">
            <w:pPr>
              <w:jc w:val="center"/>
              <w:rPr>
                <w:b/>
                <w:bCs/>
                <w:sz w:val="20"/>
                <w:szCs w:val="20"/>
              </w:rPr>
            </w:pPr>
            <w:r w:rsidRPr="00AF4759">
              <w:rPr>
                <w:b/>
                <w:bCs/>
                <w:sz w:val="20"/>
                <w:szCs w:val="20"/>
              </w:rPr>
              <w:lastRenderedPageBreak/>
              <w:t>Step</w:t>
            </w:r>
          </w:p>
        </w:tc>
        <w:tc>
          <w:tcPr>
            <w:tcW w:w="4522" w:type="dxa"/>
            <w:tcBorders>
              <w:top w:val="single" w:sz="4" w:space="0" w:color="000000"/>
              <w:bottom w:val="single" w:sz="4" w:space="0" w:color="000000"/>
            </w:tcBorders>
            <w:shd w:val="clear" w:color="auto" w:fill="auto"/>
          </w:tcPr>
          <w:p w14:paraId="16588679" w14:textId="77777777" w:rsidR="003622E0" w:rsidRPr="00AF4759" w:rsidRDefault="003622E0" w:rsidP="00781A6A">
            <w:pPr>
              <w:jc w:val="center"/>
              <w:cnfStyle w:val="000000100000" w:firstRow="0" w:lastRow="0" w:firstColumn="0" w:lastColumn="0" w:oddVBand="0" w:evenVBand="0" w:oddHBand="1" w:evenHBand="0" w:firstRowFirstColumn="0" w:firstRowLastColumn="0" w:lastRowFirstColumn="0" w:lastRowLastColumn="0"/>
              <w:rPr>
                <w:b/>
                <w:bCs/>
                <w:sz w:val="20"/>
                <w:szCs w:val="20"/>
              </w:rPr>
            </w:pPr>
            <w:r w:rsidRPr="00AF4759">
              <w:rPr>
                <w:b/>
                <w:bCs/>
                <w:sz w:val="20"/>
                <w:szCs w:val="20"/>
              </w:rPr>
              <w:t>Treatment</w:t>
            </w:r>
          </w:p>
        </w:tc>
        <w:tc>
          <w:tcPr>
            <w:cnfStyle w:val="000010000000" w:firstRow="0" w:lastRow="0" w:firstColumn="0" w:lastColumn="0" w:oddVBand="1" w:evenVBand="0" w:oddHBand="0" w:evenHBand="0" w:firstRowFirstColumn="0" w:firstRowLastColumn="0" w:lastRowFirstColumn="0" w:lastRowLastColumn="0"/>
            <w:tcW w:w="1136" w:type="dxa"/>
            <w:tcBorders>
              <w:top w:val="single" w:sz="4" w:space="0" w:color="000000"/>
              <w:bottom w:val="single" w:sz="4" w:space="0" w:color="000000"/>
            </w:tcBorders>
            <w:shd w:val="clear" w:color="auto" w:fill="auto"/>
            <w:noWrap/>
          </w:tcPr>
          <w:p w14:paraId="5D2B9DCE" w14:textId="77777777" w:rsidR="003622E0" w:rsidRPr="00AF4759" w:rsidRDefault="003622E0" w:rsidP="00781A6A">
            <w:pPr>
              <w:jc w:val="center"/>
              <w:rPr>
                <w:b/>
                <w:bCs/>
                <w:sz w:val="20"/>
                <w:szCs w:val="20"/>
              </w:rPr>
            </w:pPr>
            <w:r w:rsidRPr="00AF4759">
              <w:rPr>
                <w:b/>
                <w:bCs/>
                <w:sz w:val="20"/>
                <w:szCs w:val="20"/>
              </w:rPr>
              <w:t>Signal</w:t>
            </w:r>
          </w:p>
        </w:tc>
      </w:tr>
      <w:tr w:rsidR="003622E0" w:rsidRPr="00AF4759" w14:paraId="12816F99" w14:textId="77777777" w:rsidTr="00781A6A">
        <w:trPr>
          <w:trHeight w:val="303"/>
        </w:trPr>
        <w:tc>
          <w:tcPr>
            <w:cnfStyle w:val="000010000000" w:firstRow="0" w:lastRow="0" w:firstColumn="0" w:lastColumn="0" w:oddVBand="1" w:evenVBand="0" w:oddHBand="0" w:evenHBand="0" w:firstRowFirstColumn="0" w:firstRowLastColumn="0" w:lastRowFirstColumn="0" w:lastRowLastColumn="0"/>
            <w:tcW w:w="881" w:type="dxa"/>
            <w:tcBorders>
              <w:top w:val="single" w:sz="4" w:space="0" w:color="000000"/>
              <w:bottom w:val="single" w:sz="4" w:space="0" w:color="FFFFFF" w:themeColor="background1"/>
            </w:tcBorders>
            <w:shd w:val="clear" w:color="auto" w:fill="auto"/>
          </w:tcPr>
          <w:p w14:paraId="78AA4B89" w14:textId="77777777" w:rsidR="003622E0" w:rsidRPr="00AF4759" w:rsidRDefault="003622E0" w:rsidP="00781A6A">
            <w:pPr>
              <w:jc w:val="center"/>
              <w:rPr>
                <w:sz w:val="20"/>
                <w:szCs w:val="20"/>
              </w:rPr>
            </w:pPr>
            <w:r w:rsidRPr="00AF4759">
              <w:rPr>
                <w:sz w:val="20"/>
                <w:szCs w:val="20"/>
              </w:rPr>
              <w:t>1</w:t>
            </w:r>
          </w:p>
        </w:tc>
        <w:tc>
          <w:tcPr>
            <w:tcW w:w="4522" w:type="dxa"/>
            <w:tcBorders>
              <w:top w:val="single" w:sz="4" w:space="0" w:color="000000"/>
              <w:bottom w:val="single" w:sz="4" w:space="0" w:color="FFFFFF" w:themeColor="background1"/>
            </w:tcBorders>
            <w:shd w:val="clear" w:color="auto" w:fill="auto"/>
          </w:tcPr>
          <w:p w14:paraId="3820CC38" w14:textId="77777777" w:rsidR="003622E0" w:rsidRPr="00AF4759" w:rsidRDefault="003622E0" w:rsidP="00781A6A">
            <w:pPr>
              <w:cnfStyle w:val="000000000000" w:firstRow="0" w:lastRow="0" w:firstColumn="0" w:lastColumn="0" w:oddVBand="0" w:evenVBand="0" w:oddHBand="0" w:evenHBand="0" w:firstRowFirstColumn="0" w:firstRowLastColumn="0" w:lastRowFirstColumn="0" w:lastRowLastColumn="0"/>
              <w:rPr>
                <w:sz w:val="20"/>
                <w:szCs w:val="20"/>
              </w:rPr>
            </w:pPr>
            <w:r w:rsidRPr="00AF4759">
              <w:rPr>
                <w:sz w:val="20"/>
                <w:szCs w:val="20"/>
              </w:rPr>
              <w:t>Dose (natural or laboratory)</w:t>
            </w:r>
          </w:p>
        </w:tc>
        <w:tc>
          <w:tcPr>
            <w:cnfStyle w:val="000010000000" w:firstRow="0" w:lastRow="0" w:firstColumn="0" w:lastColumn="0" w:oddVBand="1" w:evenVBand="0" w:oddHBand="0" w:evenHBand="0" w:firstRowFirstColumn="0" w:firstRowLastColumn="0" w:lastRowFirstColumn="0" w:lastRowLastColumn="0"/>
            <w:tcW w:w="1136" w:type="dxa"/>
            <w:tcBorders>
              <w:top w:val="single" w:sz="4" w:space="0" w:color="000000"/>
              <w:bottom w:val="single" w:sz="4" w:space="0" w:color="FFFFFF" w:themeColor="background1"/>
            </w:tcBorders>
            <w:shd w:val="clear" w:color="auto" w:fill="auto"/>
            <w:noWrap/>
          </w:tcPr>
          <w:p w14:paraId="5D474726" w14:textId="77777777" w:rsidR="003622E0" w:rsidRPr="00AF4759" w:rsidRDefault="003622E0" w:rsidP="00781A6A">
            <w:pPr>
              <w:jc w:val="center"/>
              <w:rPr>
                <w:sz w:val="20"/>
                <w:szCs w:val="20"/>
              </w:rPr>
            </w:pPr>
          </w:p>
        </w:tc>
      </w:tr>
      <w:tr w:rsidR="003622E0" w:rsidRPr="00AF4759" w14:paraId="04209449" w14:textId="77777777" w:rsidTr="00781A6A">
        <w:trPr>
          <w:cnfStyle w:val="000000100000" w:firstRow="0" w:lastRow="0" w:firstColumn="0" w:lastColumn="0" w:oddVBand="0" w:evenVBand="0" w:oddHBand="1" w:evenHBand="0" w:firstRowFirstColumn="0" w:firstRowLastColumn="0" w:lastRowFirstColumn="0" w:lastRowLastColumn="0"/>
          <w:trHeight w:val="303"/>
        </w:trPr>
        <w:tc>
          <w:tcPr>
            <w:cnfStyle w:val="000010000000" w:firstRow="0" w:lastRow="0" w:firstColumn="0" w:lastColumn="0" w:oddVBand="1" w:evenVBand="0" w:oddHBand="0" w:evenHBand="0" w:firstRowFirstColumn="0" w:firstRowLastColumn="0" w:lastRowFirstColumn="0" w:lastRowLastColumn="0"/>
            <w:tcW w:w="881" w:type="dxa"/>
            <w:shd w:val="clear" w:color="auto" w:fill="auto"/>
          </w:tcPr>
          <w:p w14:paraId="0AA2FE8D" w14:textId="77777777" w:rsidR="003622E0" w:rsidRPr="00AF4759" w:rsidRDefault="003622E0" w:rsidP="00781A6A">
            <w:pPr>
              <w:jc w:val="center"/>
              <w:rPr>
                <w:sz w:val="20"/>
                <w:szCs w:val="20"/>
              </w:rPr>
            </w:pPr>
            <w:r w:rsidRPr="00AF4759">
              <w:rPr>
                <w:sz w:val="20"/>
                <w:szCs w:val="20"/>
              </w:rPr>
              <w:t>2</w:t>
            </w:r>
          </w:p>
        </w:tc>
        <w:tc>
          <w:tcPr>
            <w:tcW w:w="4522" w:type="dxa"/>
            <w:shd w:val="clear" w:color="auto" w:fill="auto"/>
          </w:tcPr>
          <w:p w14:paraId="2A0C2304" w14:textId="77777777" w:rsidR="003622E0" w:rsidRPr="00AF4759" w:rsidRDefault="003622E0" w:rsidP="00781A6A">
            <w:pPr>
              <w:cnfStyle w:val="000000100000" w:firstRow="0" w:lastRow="0" w:firstColumn="0" w:lastColumn="0" w:oddVBand="0" w:evenVBand="0" w:oddHBand="1" w:evenHBand="0" w:firstRowFirstColumn="0" w:firstRowLastColumn="0" w:lastRowFirstColumn="0" w:lastRowLastColumn="0"/>
              <w:rPr>
                <w:sz w:val="20"/>
                <w:szCs w:val="20"/>
              </w:rPr>
            </w:pPr>
            <w:r w:rsidRPr="00AF4759">
              <w:rPr>
                <w:sz w:val="20"/>
                <w:szCs w:val="20"/>
              </w:rPr>
              <w:t>Preheat 1 (180ºC for 10 s)</w:t>
            </w:r>
          </w:p>
        </w:tc>
        <w:tc>
          <w:tcPr>
            <w:cnfStyle w:val="000010000000" w:firstRow="0" w:lastRow="0" w:firstColumn="0" w:lastColumn="0" w:oddVBand="1" w:evenVBand="0" w:oddHBand="0" w:evenHBand="0" w:firstRowFirstColumn="0" w:firstRowLastColumn="0" w:lastRowFirstColumn="0" w:lastRowLastColumn="0"/>
            <w:tcW w:w="1136" w:type="dxa"/>
            <w:shd w:val="clear" w:color="auto" w:fill="auto"/>
            <w:noWrap/>
          </w:tcPr>
          <w:p w14:paraId="2EA82858" w14:textId="77777777" w:rsidR="003622E0" w:rsidRPr="00AF4759" w:rsidRDefault="003622E0" w:rsidP="00781A6A">
            <w:pPr>
              <w:jc w:val="center"/>
              <w:rPr>
                <w:sz w:val="20"/>
                <w:szCs w:val="20"/>
              </w:rPr>
            </w:pPr>
          </w:p>
        </w:tc>
      </w:tr>
      <w:tr w:rsidR="003622E0" w:rsidRPr="00AF4759" w14:paraId="7DB7249C" w14:textId="77777777" w:rsidTr="00781A6A">
        <w:trPr>
          <w:trHeight w:val="303"/>
        </w:trPr>
        <w:tc>
          <w:tcPr>
            <w:cnfStyle w:val="000010000000" w:firstRow="0" w:lastRow="0" w:firstColumn="0" w:lastColumn="0" w:oddVBand="1" w:evenVBand="0" w:oddHBand="0" w:evenHBand="0" w:firstRowFirstColumn="0" w:firstRowLastColumn="0" w:lastRowFirstColumn="0" w:lastRowLastColumn="0"/>
            <w:tcW w:w="881" w:type="dxa"/>
            <w:shd w:val="clear" w:color="auto" w:fill="auto"/>
          </w:tcPr>
          <w:p w14:paraId="70E55F9A" w14:textId="77777777" w:rsidR="003622E0" w:rsidRPr="00AF4759" w:rsidRDefault="003622E0" w:rsidP="00781A6A">
            <w:pPr>
              <w:jc w:val="center"/>
              <w:rPr>
                <w:sz w:val="20"/>
                <w:szCs w:val="20"/>
              </w:rPr>
            </w:pPr>
            <w:r w:rsidRPr="00AF4759">
              <w:rPr>
                <w:sz w:val="20"/>
                <w:szCs w:val="20"/>
              </w:rPr>
              <w:t>3</w:t>
            </w:r>
          </w:p>
        </w:tc>
        <w:tc>
          <w:tcPr>
            <w:tcW w:w="4522" w:type="dxa"/>
            <w:shd w:val="clear" w:color="auto" w:fill="auto"/>
          </w:tcPr>
          <w:p w14:paraId="2A9181CB" w14:textId="77777777" w:rsidR="003622E0" w:rsidRPr="00AF4759" w:rsidRDefault="003622E0" w:rsidP="00781A6A">
            <w:pPr>
              <w:cnfStyle w:val="000000000000" w:firstRow="0" w:lastRow="0" w:firstColumn="0" w:lastColumn="0" w:oddVBand="0" w:evenVBand="0" w:oddHBand="0" w:evenHBand="0" w:firstRowFirstColumn="0" w:firstRowLastColumn="0" w:lastRowFirstColumn="0" w:lastRowLastColumn="0"/>
              <w:rPr>
                <w:sz w:val="20"/>
                <w:szCs w:val="20"/>
              </w:rPr>
            </w:pPr>
            <w:r w:rsidRPr="00AF4759">
              <w:rPr>
                <w:sz w:val="20"/>
                <w:szCs w:val="20"/>
              </w:rPr>
              <w:t>Single-grain OSL stimulation (125ºC for 2 s)</w:t>
            </w:r>
          </w:p>
        </w:tc>
        <w:tc>
          <w:tcPr>
            <w:cnfStyle w:val="000010000000" w:firstRow="0" w:lastRow="0" w:firstColumn="0" w:lastColumn="0" w:oddVBand="1" w:evenVBand="0" w:oddHBand="0" w:evenHBand="0" w:firstRowFirstColumn="0" w:firstRowLastColumn="0" w:lastRowFirstColumn="0" w:lastRowLastColumn="0"/>
            <w:tcW w:w="1136" w:type="dxa"/>
            <w:shd w:val="clear" w:color="auto" w:fill="auto"/>
            <w:noWrap/>
          </w:tcPr>
          <w:p w14:paraId="2B2D237C" w14:textId="77777777" w:rsidR="003622E0" w:rsidRPr="00AF4759" w:rsidRDefault="003622E0" w:rsidP="00781A6A">
            <w:pPr>
              <w:jc w:val="center"/>
              <w:rPr>
                <w:sz w:val="20"/>
                <w:szCs w:val="20"/>
              </w:rPr>
            </w:pPr>
            <w:r w:rsidRPr="00AF4759">
              <w:rPr>
                <w:sz w:val="20"/>
                <w:szCs w:val="20"/>
              </w:rPr>
              <w:t>L</w:t>
            </w:r>
            <w:r w:rsidRPr="00AF4759">
              <w:rPr>
                <w:sz w:val="20"/>
                <w:szCs w:val="20"/>
                <w:vertAlign w:val="subscript"/>
              </w:rPr>
              <w:t>N</w:t>
            </w:r>
            <w:r w:rsidRPr="00AF4759">
              <w:rPr>
                <w:sz w:val="20"/>
                <w:szCs w:val="20"/>
              </w:rPr>
              <w:t xml:space="preserve"> or L</w:t>
            </w:r>
            <w:r w:rsidRPr="00AF4759">
              <w:rPr>
                <w:sz w:val="20"/>
                <w:szCs w:val="20"/>
                <w:vertAlign w:val="subscript"/>
              </w:rPr>
              <w:t>X</w:t>
            </w:r>
          </w:p>
        </w:tc>
      </w:tr>
      <w:tr w:rsidR="003622E0" w:rsidRPr="00AF4759" w14:paraId="66938E82" w14:textId="77777777" w:rsidTr="00781A6A">
        <w:trPr>
          <w:cnfStyle w:val="000000100000" w:firstRow="0" w:lastRow="0" w:firstColumn="0" w:lastColumn="0" w:oddVBand="0" w:evenVBand="0" w:oddHBand="1" w:evenHBand="0" w:firstRowFirstColumn="0" w:firstRowLastColumn="0" w:lastRowFirstColumn="0" w:lastRowLastColumn="0"/>
          <w:trHeight w:val="276"/>
        </w:trPr>
        <w:tc>
          <w:tcPr>
            <w:cnfStyle w:val="000010000000" w:firstRow="0" w:lastRow="0" w:firstColumn="0" w:lastColumn="0" w:oddVBand="1" w:evenVBand="0" w:oddHBand="0" w:evenHBand="0" w:firstRowFirstColumn="0" w:firstRowLastColumn="0" w:lastRowFirstColumn="0" w:lastRowLastColumn="0"/>
            <w:tcW w:w="881" w:type="dxa"/>
            <w:shd w:val="clear" w:color="auto" w:fill="auto"/>
          </w:tcPr>
          <w:p w14:paraId="76046955" w14:textId="77777777" w:rsidR="003622E0" w:rsidRPr="00AF4759" w:rsidRDefault="003622E0" w:rsidP="00781A6A">
            <w:pPr>
              <w:jc w:val="center"/>
              <w:rPr>
                <w:sz w:val="20"/>
                <w:szCs w:val="20"/>
              </w:rPr>
            </w:pPr>
            <w:r w:rsidRPr="00AF4759">
              <w:rPr>
                <w:sz w:val="20"/>
                <w:szCs w:val="20"/>
              </w:rPr>
              <w:t>4</w:t>
            </w:r>
          </w:p>
        </w:tc>
        <w:tc>
          <w:tcPr>
            <w:tcW w:w="4522" w:type="dxa"/>
            <w:shd w:val="clear" w:color="auto" w:fill="auto"/>
          </w:tcPr>
          <w:p w14:paraId="2249DB0A" w14:textId="77777777" w:rsidR="003622E0" w:rsidRPr="00AF4759" w:rsidRDefault="003622E0" w:rsidP="00781A6A">
            <w:pPr>
              <w:cnfStyle w:val="000000100000" w:firstRow="0" w:lastRow="0" w:firstColumn="0" w:lastColumn="0" w:oddVBand="0" w:evenVBand="0" w:oddHBand="1" w:evenHBand="0" w:firstRowFirstColumn="0" w:firstRowLastColumn="0" w:lastRowFirstColumn="0" w:lastRowLastColumn="0"/>
              <w:rPr>
                <w:sz w:val="20"/>
                <w:szCs w:val="20"/>
              </w:rPr>
            </w:pPr>
            <w:r w:rsidRPr="00AF4759">
              <w:rPr>
                <w:sz w:val="20"/>
                <w:szCs w:val="20"/>
              </w:rPr>
              <w:t xml:space="preserve">Test dose (~9 </w:t>
            </w:r>
            <w:proofErr w:type="spellStart"/>
            <w:r w:rsidRPr="00AF4759">
              <w:rPr>
                <w:sz w:val="20"/>
                <w:szCs w:val="20"/>
              </w:rPr>
              <w:t>Gy</w:t>
            </w:r>
            <w:proofErr w:type="spellEnd"/>
            <w:r w:rsidRPr="00AF4759">
              <w:rPr>
                <w:sz w:val="20"/>
                <w:szCs w:val="20"/>
              </w:rPr>
              <w:t>)</w:t>
            </w:r>
          </w:p>
        </w:tc>
        <w:tc>
          <w:tcPr>
            <w:cnfStyle w:val="000010000000" w:firstRow="0" w:lastRow="0" w:firstColumn="0" w:lastColumn="0" w:oddVBand="1" w:evenVBand="0" w:oddHBand="0" w:evenHBand="0" w:firstRowFirstColumn="0" w:firstRowLastColumn="0" w:lastRowFirstColumn="0" w:lastRowLastColumn="0"/>
            <w:tcW w:w="1136" w:type="dxa"/>
            <w:shd w:val="clear" w:color="auto" w:fill="auto"/>
            <w:noWrap/>
          </w:tcPr>
          <w:p w14:paraId="0664DD89" w14:textId="77777777" w:rsidR="003622E0" w:rsidRPr="00AF4759" w:rsidRDefault="003622E0" w:rsidP="00781A6A">
            <w:pPr>
              <w:jc w:val="center"/>
              <w:rPr>
                <w:sz w:val="20"/>
                <w:szCs w:val="20"/>
              </w:rPr>
            </w:pPr>
          </w:p>
        </w:tc>
      </w:tr>
      <w:tr w:rsidR="003622E0" w:rsidRPr="00AF4759" w14:paraId="546BE0AF" w14:textId="77777777" w:rsidTr="00781A6A">
        <w:trPr>
          <w:trHeight w:val="303"/>
        </w:trPr>
        <w:tc>
          <w:tcPr>
            <w:cnfStyle w:val="000010000000" w:firstRow="0" w:lastRow="0" w:firstColumn="0" w:lastColumn="0" w:oddVBand="1" w:evenVBand="0" w:oddHBand="0" w:evenHBand="0" w:firstRowFirstColumn="0" w:firstRowLastColumn="0" w:lastRowFirstColumn="0" w:lastRowLastColumn="0"/>
            <w:tcW w:w="881" w:type="dxa"/>
            <w:shd w:val="clear" w:color="auto" w:fill="auto"/>
          </w:tcPr>
          <w:p w14:paraId="45CF04D7" w14:textId="77777777" w:rsidR="003622E0" w:rsidRPr="00AF4759" w:rsidRDefault="003622E0" w:rsidP="00781A6A">
            <w:pPr>
              <w:jc w:val="center"/>
              <w:rPr>
                <w:sz w:val="20"/>
                <w:szCs w:val="20"/>
              </w:rPr>
            </w:pPr>
            <w:r w:rsidRPr="00AF4759">
              <w:rPr>
                <w:sz w:val="20"/>
                <w:szCs w:val="20"/>
              </w:rPr>
              <w:t>5</w:t>
            </w:r>
          </w:p>
        </w:tc>
        <w:tc>
          <w:tcPr>
            <w:tcW w:w="4522" w:type="dxa"/>
            <w:shd w:val="clear" w:color="auto" w:fill="auto"/>
          </w:tcPr>
          <w:p w14:paraId="31F9905C" w14:textId="77777777" w:rsidR="003622E0" w:rsidRPr="00AF4759" w:rsidRDefault="003622E0" w:rsidP="00781A6A">
            <w:pPr>
              <w:cnfStyle w:val="000000000000" w:firstRow="0" w:lastRow="0" w:firstColumn="0" w:lastColumn="0" w:oddVBand="0" w:evenVBand="0" w:oddHBand="0" w:evenHBand="0" w:firstRowFirstColumn="0" w:firstRowLastColumn="0" w:lastRowFirstColumn="0" w:lastRowLastColumn="0"/>
              <w:rPr>
                <w:sz w:val="20"/>
                <w:szCs w:val="20"/>
              </w:rPr>
            </w:pPr>
            <w:r w:rsidRPr="00AF4759">
              <w:rPr>
                <w:sz w:val="20"/>
                <w:szCs w:val="20"/>
              </w:rPr>
              <w:t>Preheat 2 (180ºC for 5 s)</w:t>
            </w:r>
          </w:p>
        </w:tc>
        <w:tc>
          <w:tcPr>
            <w:cnfStyle w:val="000010000000" w:firstRow="0" w:lastRow="0" w:firstColumn="0" w:lastColumn="0" w:oddVBand="1" w:evenVBand="0" w:oddHBand="0" w:evenHBand="0" w:firstRowFirstColumn="0" w:firstRowLastColumn="0" w:lastRowFirstColumn="0" w:lastRowLastColumn="0"/>
            <w:tcW w:w="1136" w:type="dxa"/>
            <w:shd w:val="clear" w:color="auto" w:fill="auto"/>
            <w:noWrap/>
          </w:tcPr>
          <w:p w14:paraId="4E23F49C" w14:textId="77777777" w:rsidR="003622E0" w:rsidRPr="00AF4759" w:rsidRDefault="003622E0" w:rsidP="00781A6A">
            <w:pPr>
              <w:jc w:val="center"/>
              <w:rPr>
                <w:sz w:val="20"/>
                <w:szCs w:val="20"/>
              </w:rPr>
            </w:pPr>
          </w:p>
        </w:tc>
      </w:tr>
      <w:tr w:rsidR="003622E0" w:rsidRPr="00AF4759" w14:paraId="0D04125A" w14:textId="77777777" w:rsidTr="00781A6A">
        <w:trPr>
          <w:cnfStyle w:val="000000100000" w:firstRow="0" w:lastRow="0" w:firstColumn="0" w:lastColumn="0" w:oddVBand="0" w:evenVBand="0" w:oddHBand="1" w:evenHBand="0" w:firstRowFirstColumn="0" w:firstRowLastColumn="0" w:lastRowFirstColumn="0" w:lastRowLastColumn="0"/>
          <w:trHeight w:val="303"/>
        </w:trPr>
        <w:tc>
          <w:tcPr>
            <w:cnfStyle w:val="000010000000" w:firstRow="0" w:lastRow="0" w:firstColumn="0" w:lastColumn="0" w:oddVBand="1" w:evenVBand="0" w:oddHBand="0" w:evenHBand="0" w:firstRowFirstColumn="0" w:firstRowLastColumn="0" w:lastRowFirstColumn="0" w:lastRowLastColumn="0"/>
            <w:tcW w:w="881" w:type="dxa"/>
            <w:shd w:val="clear" w:color="auto" w:fill="auto"/>
          </w:tcPr>
          <w:p w14:paraId="49977583" w14:textId="77777777" w:rsidR="003622E0" w:rsidRPr="00AF4759" w:rsidRDefault="003622E0" w:rsidP="00781A6A">
            <w:pPr>
              <w:jc w:val="center"/>
              <w:rPr>
                <w:sz w:val="20"/>
                <w:szCs w:val="20"/>
              </w:rPr>
            </w:pPr>
            <w:r w:rsidRPr="00AF4759">
              <w:rPr>
                <w:sz w:val="20"/>
                <w:szCs w:val="20"/>
              </w:rPr>
              <w:t>6</w:t>
            </w:r>
          </w:p>
        </w:tc>
        <w:tc>
          <w:tcPr>
            <w:tcW w:w="4522" w:type="dxa"/>
            <w:shd w:val="clear" w:color="auto" w:fill="auto"/>
          </w:tcPr>
          <w:p w14:paraId="5283F78F" w14:textId="77777777" w:rsidR="003622E0" w:rsidRPr="00AF4759" w:rsidRDefault="003622E0" w:rsidP="00781A6A">
            <w:pPr>
              <w:cnfStyle w:val="000000100000" w:firstRow="0" w:lastRow="0" w:firstColumn="0" w:lastColumn="0" w:oddVBand="0" w:evenVBand="0" w:oddHBand="1" w:evenHBand="0" w:firstRowFirstColumn="0" w:firstRowLastColumn="0" w:lastRowFirstColumn="0" w:lastRowLastColumn="0"/>
              <w:rPr>
                <w:sz w:val="20"/>
                <w:szCs w:val="20"/>
              </w:rPr>
            </w:pPr>
            <w:r w:rsidRPr="00AF4759">
              <w:rPr>
                <w:sz w:val="20"/>
                <w:szCs w:val="20"/>
              </w:rPr>
              <w:t>Single-grain OSL stimulation (125ºC for 2 s)</w:t>
            </w:r>
          </w:p>
        </w:tc>
        <w:tc>
          <w:tcPr>
            <w:cnfStyle w:val="000010000000" w:firstRow="0" w:lastRow="0" w:firstColumn="0" w:lastColumn="0" w:oddVBand="1" w:evenVBand="0" w:oddHBand="0" w:evenHBand="0" w:firstRowFirstColumn="0" w:firstRowLastColumn="0" w:lastRowFirstColumn="0" w:lastRowLastColumn="0"/>
            <w:tcW w:w="1136" w:type="dxa"/>
            <w:shd w:val="clear" w:color="auto" w:fill="auto"/>
            <w:noWrap/>
          </w:tcPr>
          <w:p w14:paraId="2BBD020A" w14:textId="77777777" w:rsidR="003622E0" w:rsidRPr="00AF4759" w:rsidRDefault="003622E0" w:rsidP="00781A6A">
            <w:pPr>
              <w:jc w:val="center"/>
              <w:rPr>
                <w:sz w:val="20"/>
                <w:szCs w:val="20"/>
              </w:rPr>
            </w:pPr>
            <w:r w:rsidRPr="00AF4759">
              <w:rPr>
                <w:sz w:val="20"/>
                <w:szCs w:val="20"/>
              </w:rPr>
              <w:t>T</w:t>
            </w:r>
            <w:r w:rsidRPr="00AF4759">
              <w:rPr>
                <w:sz w:val="20"/>
                <w:szCs w:val="20"/>
                <w:vertAlign w:val="subscript"/>
              </w:rPr>
              <w:t>N</w:t>
            </w:r>
            <w:r w:rsidRPr="00AF4759">
              <w:rPr>
                <w:sz w:val="20"/>
                <w:szCs w:val="20"/>
              </w:rPr>
              <w:t xml:space="preserve"> or T</w:t>
            </w:r>
            <w:r w:rsidRPr="00AF4759">
              <w:rPr>
                <w:sz w:val="20"/>
                <w:szCs w:val="20"/>
                <w:vertAlign w:val="subscript"/>
              </w:rPr>
              <w:t>X</w:t>
            </w:r>
          </w:p>
        </w:tc>
      </w:tr>
      <w:tr w:rsidR="003622E0" w:rsidRPr="00AF4759" w14:paraId="04B704C5" w14:textId="77777777" w:rsidTr="00781A6A">
        <w:trPr>
          <w:trHeight w:val="303"/>
        </w:trPr>
        <w:tc>
          <w:tcPr>
            <w:cnfStyle w:val="000010000000" w:firstRow="0" w:lastRow="0" w:firstColumn="0" w:lastColumn="0" w:oddVBand="1" w:evenVBand="0" w:oddHBand="0" w:evenHBand="0" w:firstRowFirstColumn="0" w:firstRowLastColumn="0" w:lastRowFirstColumn="0" w:lastRowLastColumn="0"/>
            <w:tcW w:w="881" w:type="dxa"/>
            <w:shd w:val="clear" w:color="auto" w:fill="auto"/>
          </w:tcPr>
          <w:p w14:paraId="7040BC91" w14:textId="77777777" w:rsidR="003622E0" w:rsidRPr="00AF4759" w:rsidRDefault="003622E0" w:rsidP="00781A6A">
            <w:pPr>
              <w:jc w:val="center"/>
              <w:rPr>
                <w:sz w:val="20"/>
                <w:szCs w:val="20"/>
              </w:rPr>
            </w:pPr>
            <w:r w:rsidRPr="00AF4759">
              <w:rPr>
                <w:sz w:val="20"/>
                <w:szCs w:val="20"/>
              </w:rPr>
              <w:t>7</w:t>
            </w:r>
          </w:p>
        </w:tc>
        <w:tc>
          <w:tcPr>
            <w:tcW w:w="4522" w:type="dxa"/>
            <w:shd w:val="clear" w:color="auto" w:fill="auto"/>
          </w:tcPr>
          <w:p w14:paraId="7E8EF784" w14:textId="77777777" w:rsidR="003622E0" w:rsidRPr="00AF4759" w:rsidRDefault="003622E0" w:rsidP="00781A6A">
            <w:pPr>
              <w:cnfStyle w:val="000000000000" w:firstRow="0" w:lastRow="0" w:firstColumn="0" w:lastColumn="0" w:oddVBand="0" w:evenVBand="0" w:oddHBand="0" w:evenHBand="0" w:firstRowFirstColumn="0" w:firstRowLastColumn="0" w:lastRowFirstColumn="0" w:lastRowLastColumn="0"/>
              <w:rPr>
                <w:sz w:val="20"/>
                <w:szCs w:val="20"/>
              </w:rPr>
            </w:pPr>
            <w:r w:rsidRPr="00AF4759">
              <w:rPr>
                <w:sz w:val="20"/>
                <w:szCs w:val="20"/>
              </w:rPr>
              <w:t>Repeat measurement cycle for different</w:t>
            </w:r>
          </w:p>
        </w:tc>
        <w:tc>
          <w:tcPr>
            <w:cnfStyle w:val="000010000000" w:firstRow="0" w:lastRow="0" w:firstColumn="0" w:lastColumn="0" w:oddVBand="1" w:evenVBand="0" w:oddHBand="0" w:evenHBand="0" w:firstRowFirstColumn="0" w:firstRowLastColumn="0" w:lastRowFirstColumn="0" w:lastRowLastColumn="0"/>
            <w:tcW w:w="1136" w:type="dxa"/>
            <w:shd w:val="clear" w:color="auto" w:fill="auto"/>
            <w:noWrap/>
          </w:tcPr>
          <w:p w14:paraId="4DBA7212" w14:textId="77777777" w:rsidR="003622E0" w:rsidRPr="00AF4759" w:rsidRDefault="003622E0" w:rsidP="00781A6A">
            <w:pPr>
              <w:jc w:val="center"/>
              <w:rPr>
                <w:sz w:val="20"/>
                <w:szCs w:val="20"/>
              </w:rPr>
            </w:pPr>
          </w:p>
        </w:tc>
      </w:tr>
      <w:tr w:rsidR="003622E0" w:rsidRPr="00AF4759" w14:paraId="2418E19C" w14:textId="77777777" w:rsidTr="00781A6A">
        <w:trPr>
          <w:cnfStyle w:val="000000100000" w:firstRow="0" w:lastRow="0" w:firstColumn="0" w:lastColumn="0" w:oddVBand="0" w:evenVBand="0" w:oddHBand="1" w:evenHBand="0" w:firstRowFirstColumn="0" w:firstRowLastColumn="0" w:lastRowFirstColumn="0" w:lastRowLastColumn="0"/>
          <w:trHeight w:val="303"/>
        </w:trPr>
        <w:tc>
          <w:tcPr>
            <w:cnfStyle w:val="000010000000" w:firstRow="0" w:lastRow="0" w:firstColumn="0" w:lastColumn="0" w:oddVBand="1" w:evenVBand="0" w:oddHBand="0" w:evenHBand="0" w:firstRowFirstColumn="0" w:firstRowLastColumn="0" w:lastRowFirstColumn="0" w:lastRowLastColumn="0"/>
            <w:tcW w:w="881" w:type="dxa"/>
            <w:tcBorders>
              <w:bottom w:val="single" w:sz="4" w:space="0" w:color="000000" w:themeColor="text1"/>
            </w:tcBorders>
            <w:shd w:val="clear" w:color="auto" w:fill="auto"/>
          </w:tcPr>
          <w:p w14:paraId="7C3EA014" w14:textId="77777777" w:rsidR="003622E0" w:rsidRPr="00AF4759" w:rsidRDefault="003622E0" w:rsidP="00781A6A">
            <w:pPr>
              <w:jc w:val="center"/>
              <w:rPr>
                <w:sz w:val="20"/>
                <w:szCs w:val="20"/>
              </w:rPr>
            </w:pPr>
          </w:p>
        </w:tc>
        <w:tc>
          <w:tcPr>
            <w:tcW w:w="4522" w:type="dxa"/>
            <w:tcBorders>
              <w:bottom w:val="single" w:sz="4" w:space="0" w:color="000000" w:themeColor="text1"/>
            </w:tcBorders>
            <w:shd w:val="clear" w:color="auto" w:fill="auto"/>
          </w:tcPr>
          <w:p w14:paraId="0990070C" w14:textId="77777777" w:rsidR="003622E0" w:rsidRPr="00AF4759" w:rsidRDefault="003622E0" w:rsidP="00781A6A">
            <w:pPr>
              <w:cnfStyle w:val="000000100000" w:firstRow="0" w:lastRow="0" w:firstColumn="0" w:lastColumn="0" w:oddVBand="0" w:evenVBand="0" w:oddHBand="1" w:evenHBand="0" w:firstRowFirstColumn="0" w:firstRowLastColumn="0" w:lastRowFirstColumn="0" w:lastRowLastColumn="0"/>
              <w:rPr>
                <w:sz w:val="20"/>
                <w:szCs w:val="20"/>
              </w:rPr>
            </w:pPr>
            <w:r w:rsidRPr="00AF4759">
              <w:rPr>
                <w:sz w:val="20"/>
                <w:szCs w:val="20"/>
              </w:rPr>
              <w:t>sized regenerative doses</w:t>
            </w:r>
          </w:p>
        </w:tc>
        <w:tc>
          <w:tcPr>
            <w:cnfStyle w:val="000010000000" w:firstRow="0" w:lastRow="0" w:firstColumn="0" w:lastColumn="0" w:oddVBand="1" w:evenVBand="0" w:oddHBand="0" w:evenHBand="0" w:firstRowFirstColumn="0" w:firstRowLastColumn="0" w:lastRowFirstColumn="0" w:lastRowLastColumn="0"/>
            <w:tcW w:w="1136" w:type="dxa"/>
            <w:tcBorders>
              <w:bottom w:val="single" w:sz="4" w:space="0" w:color="000000" w:themeColor="text1"/>
            </w:tcBorders>
            <w:shd w:val="clear" w:color="auto" w:fill="auto"/>
            <w:noWrap/>
          </w:tcPr>
          <w:p w14:paraId="756AFA7F" w14:textId="77777777" w:rsidR="003622E0" w:rsidRPr="00AF4759" w:rsidRDefault="003622E0" w:rsidP="00781A6A">
            <w:pPr>
              <w:jc w:val="center"/>
              <w:rPr>
                <w:sz w:val="20"/>
                <w:szCs w:val="20"/>
              </w:rPr>
            </w:pPr>
          </w:p>
        </w:tc>
      </w:tr>
      <w:tr w:rsidR="003622E0" w:rsidRPr="00AF4759" w14:paraId="39C92B85" w14:textId="77777777" w:rsidTr="00781A6A">
        <w:trPr>
          <w:trHeight w:val="321"/>
        </w:trPr>
        <w:tc>
          <w:tcPr>
            <w:cnfStyle w:val="000010000000" w:firstRow="0" w:lastRow="0" w:firstColumn="0" w:lastColumn="0" w:oddVBand="1" w:evenVBand="0" w:oddHBand="0" w:evenHBand="0" w:firstRowFirstColumn="0" w:firstRowLastColumn="0" w:lastRowFirstColumn="0" w:lastRowLastColumn="0"/>
            <w:tcW w:w="881" w:type="dxa"/>
            <w:tcBorders>
              <w:bottom w:val="single" w:sz="4" w:space="0" w:color="FFFFFF" w:themeColor="background1"/>
            </w:tcBorders>
            <w:shd w:val="clear" w:color="auto" w:fill="auto"/>
          </w:tcPr>
          <w:p w14:paraId="6993E0BB" w14:textId="77777777" w:rsidR="003622E0" w:rsidRPr="00AF4759" w:rsidRDefault="003622E0" w:rsidP="00781A6A">
            <w:pPr>
              <w:jc w:val="center"/>
              <w:rPr>
                <w:sz w:val="20"/>
                <w:szCs w:val="20"/>
              </w:rPr>
            </w:pPr>
          </w:p>
        </w:tc>
        <w:tc>
          <w:tcPr>
            <w:tcW w:w="4522" w:type="dxa"/>
            <w:tcBorders>
              <w:bottom w:val="single" w:sz="4" w:space="0" w:color="FFFFFF" w:themeColor="background1"/>
            </w:tcBorders>
            <w:shd w:val="clear" w:color="auto" w:fill="auto"/>
          </w:tcPr>
          <w:p w14:paraId="69215593" w14:textId="77777777" w:rsidR="003622E0" w:rsidRPr="00AF4759" w:rsidRDefault="003622E0" w:rsidP="00781A6A">
            <w:pP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1136" w:type="dxa"/>
            <w:tcBorders>
              <w:bottom w:val="single" w:sz="4" w:space="0" w:color="FFFFFF" w:themeColor="background1"/>
            </w:tcBorders>
            <w:shd w:val="clear" w:color="auto" w:fill="auto"/>
            <w:noWrap/>
          </w:tcPr>
          <w:p w14:paraId="3EDCDAF8" w14:textId="77777777" w:rsidR="003622E0" w:rsidRPr="00AF4759" w:rsidRDefault="003622E0" w:rsidP="00781A6A">
            <w:pPr>
              <w:jc w:val="center"/>
              <w:rPr>
                <w:sz w:val="20"/>
                <w:szCs w:val="20"/>
              </w:rPr>
            </w:pPr>
          </w:p>
        </w:tc>
      </w:tr>
    </w:tbl>
    <w:p w14:paraId="75975578" w14:textId="77777777" w:rsidR="003622E0" w:rsidRPr="00AF4759" w:rsidRDefault="003622E0" w:rsidP="003622E0">
      <w:pPr>
        <w:spacing w:line="276" w:lineRule="auto"/>
        <w:rPr>
          <w:rFonts w:eastAsia="Times New Roman"/>
        </w:rPr>
      </w:pPr>
    </w:p>
    <w:p w14:paraId="49B6D9B9" w14:textId="77777777" w:rsidR="003622E0" w:rsidRPr="00AF4759" w:rsidRDefault="003622E0" w:rsidP="003622E0">
      <w:pPr>
        <w:spacing w:line="276" w:lineRule="auto"/>
        <w:jc w:val="center"/>
        <w:rPr>
          <w:rFonts w:eastAsia="Times New Roman"/>
        </w:rPr>
      </w:pPr>
    </w:p>
    <w:p w14:paraId="06CB753D" w14:textId="77777777" w:rsidR="003622E0" w:rsidRPr="00AF4759" w:rsidRDefault="003622E0" w:rsidP="003622E0">
      <w:pPr>
        <w:spacing w:line="276" w:lineRule="auto"/>
        <w:jc w:val="center"/>
        <w:rPr>
          <w:rFonts w:eastAsia="Times New Roman"/>
        </w:rPr>
      </w:pPr>
    </w:p>
    <w:p w14:paraId="465D4F45" w14:textId="77777777" w:rsidR="003622E0" w:rsidRPr="00AF4759" w:rsidRDefault="003622E0" w:rsidP="003622E0">
      <w:pPr>
        <w:spacing w:line="276" w:lineRule="auto"/>
        <w:jc w:val="center"/>
        <w:rPr>
          <w:rFonts w:eastAsia="Times New Roman"/>
        </w:rPr>
      </w:pPr>
    </w:p>
    <w:p w14:paraId="04B6E70E" w14:textId="77777777" w:rsidR="003622E0" w:rsidRPr="00AF4759" w:rsidRDefault="003622E0" w:rsidP="003622E0">
      <w:pPr>
        <w:spacing w:line="276" w:lineRule="auto"/>
        <w:jc w:val="center"/>
        <w:rPr>
          <w:rFonts w:eastAsia="Times New Roman"/>
        </w:rPr>
      </w:pPr>
    </w:p>
    <w:p w14:paraId="77CAC785" w14:textId="77777777" w:rsidR="003622E0" w:rsidRPr="00AF4759" w:rsidRDefault="003622E0" w:rsidP="003622E0">
      <w:pPr>
        <w:spacing w:line="276" w:lineRule="auto"/>
        <w:jc w:val="center"/>
        <w:rPr>
          <w:rFonts w:eastAsia="Times New Roman"/>
        </w:rPr>
      </w:pPr>
    </w:p>
    <w:p w14:paraId="39552570" w14:textId="77777777" w:rsidR="003622E0" w:rsidRPr="00AF4759" w:rsidRDefault="003622E0" w:rsidP="003622E0">
      <w:pPr>
        <w:spacing w:line="276" w:lineRule="auto"/>
        <w:jc w:val="center"/>
        <w:rPr>
          <w:rFonts w:eastAsia="Times New Roman"/>
        </w:rPr>
      </w:pPr>
    </w:p>
    <w:p w14:paraId="128A17BA" w14:textId="77777777" w:rsidR="003622E0" w:rsidRPr="00AF4759" w:rsidRDefault="003622E0" w:rsidP="003622E0">
      <w:pPr>
        <w:spacing w:line="276" w:lineRule="auto"/>
        <w:rPr>
          <w:rFonts w:eastAsia="Times New Roman"/>
        </w:rPr>
      </w:pPr>
    </w:p>
    <w:p w14:paraId="56BCEC79" w14:textId="77777777" w:rsidR="003622E0" w:rsidRPr="00AF4759" w:rsidRDefault="003622E0" w:rsidP="003622E0">
      <w:pPr>
        <w:ind w:left="540"/>
        <w:jc w:val="both"/>
        <w:rPr>
          <w:sz w:val="16"/>
          <w:szCs w:val="16"/>
        </w:rPr>
      </w:pPr>
    </w:p>
    <w:p w14:paraId="28C8B6C0" w14:textId="77777777" w:rsidR="003622E0" w:rsidRPr="00AF4759" w:rsidRDefault="003622E0" w:rsidP="003622E0">
      <w:pPr>
        <w:jc w:val="both"/>
        <w:rPr>
          <w:b/>
        </w:rPr>
      </w:pPr>
    </w:p>
    <w:p w14:paraId="3717A098" w14:textId="3E33BFB7" w:rsidR="003622E0" w:rsidRPr="00AF4759" w:rsidRDefault="003622E0" w:rsidP="003622E0">
      <w:pPr>
        <w:jc w:val="both"/>
      </w:pPr>
      <w:r w:rsidRPr="00AF4759">
        <w:rPr>
          <w:b/>
        </w:rPr>
        <w:t xml:space="preserve">Table </w:t>
      </w:r>
      <w:r w:rsidR="001C440D">
        <w:rPr>
          <w:b/>
        </w:rPr>
        <w:t>S5</w:t>
      </w:r>
      <w:r w:rsidR="00CF6538" w:rsidRPr="00AF4759">
        <w:rPr>
          <w:b/>
        </w:rPr>
        <w:t>-</w:t>
      </w:r>
      <w:r w:rsidRPr="00AF4759">
        <w:rPr>
          <w:b/>
        </w:rPr>
        <w:t>1. Single-grain SAR OSL procedure used for the Waterfall Bluff samples.</w:t>
      </w:r>
      <w:r w:rsidRPr="00AF4759">
        <w:t xml:space="preserve"> For each sample analysed, this measurement cycle was repeated for the natural dose, 4</w:t>
      </w:r>
      <w:r w:rsidRPr="00AF4759">
        <w:rPr>
          <w:rFonts w:eastAsia="Times New Roman"/>
        </w:rPr>
        <w:t>–</w:t>
      </w:r>
      <w:r w:rsidRPr="00AF4759">
        <w:t xml:space="preserve">6 different regenerative doses, a 0-Gy dose to monitor recuperation, as well as a duplicate regenerative dose (equivalent to the first regenerative dose after the natural dose measurement) to check the adequacy of the test-dose sensitivity correction. At the end of each SAR sequence, a check was undertaken on possible contamination of feldspar using the OSL IR depletion-ratio test (Duller, 2003). </w:t>
      </w:r>
    </w:p>
    <w:p w14:paraId="542D517E" w14:textId="699C3366" w:rsidR="00217D0F" w:rsidRPr="00AF4759" w:rsidRDefault="00217D0F" w:rsidP="004511E2">
      <w:pPr>
        <w:spacing w:line="276" w:lineRule="auto"/>
        <w:ind w:firstLine="720"/>
        <w:jc w:val="both"/>
        <w:rPr>
          <w:rFonts w:eastAsia="Times New Roman"/>
        </w:rPr>
      </w:pPr>
    </w:p>
    <w:p w14:paraId="286CCE16" w14:textId="712AE965" w:rsidR="00217D0F" w:rsidRPr="00AF4759" w:rsidRDefault="00217D0F" w:rsidP="004511E2">
      <w:pPr>
        <w:spacing w:line="276" w:lineRule="auto"/>
        <w:ind w:firstLine="720"/>
        <w:jc w:val="both"/>
        <w:rPr>
          <w:rFonts w:eastAsia="Times New Roman"/>
        </w:rPr>
      </w:pPr>
    </w:p>
    <w:p w14:paraId="1648CBDE" w14:textId="01C1C703" w:rsidR="00217D0F" w:rsidRPr="00AF4759" w:rsidRDefault="00217D0F" w:rsidP="004511E2">
      <w:pPr>
        <w:spacing w:line="276" w:lineRule="auto"/>
        <w:ind w:firstLine="720"/>
        <w:jc w:val="both"/>
        <w:rPr>
          <w:rFonts w:eastAsia="Times New Roman"/>
        </w:rPr>
      </w:pPr>
    </w:p>
    <w:p w14:paraId="2ADE394D" w14:textId="77777777" w:rsidR="0017280C" w:rsidRPr="00AF4759" w:rsidRDefault="0017280C" w:rsidP="0017280C">
      <w:pPr>
        <w:spacing w:line="276" w:lineRule="auto"/>
        <w:ind w:firstLine="720"/>
        <w:jc w:val="both"/>
        <w:rPr>
          <w:rFonts w:eastAsia="Times New Roman"/>
        </w:rPr>
      </w:pPr>
    </w:p>
    <w:p w14:paraId="30C75785" w14:textId="3EE17F64" w:rsidR="00B77F24" w:rsidRPr="00AF4759" w:rsidRDefault="00B77F24" w:rsidP="00135774">
      <w:pPr>
        <w:spacing w:line="276" w:lineRule="auto"/>
        <w:jc w:val="both"/>
      </w:pPr>
    </w:p>
    <w:p w14:paraId="2E96E24A" w14:textId="77777777" w:rsidR="002C4B0E" w:rsidRPr="00AF4759" w:rsidRDefault="002C4B0E" w:rsidP="00135774">
      <w:pPr>
        <w:spacing w:line="276" w:lineRule="auto"/>
        <w:jc w:val="both"/>
      </w:pPr>
    </w:p>
    <w:p w14:paraId="5E0792F0" w14:textId="4DCC70FE" w:rsidR="002C4B0E" w:rsidRPr="00AF4759" w:rsidRDefault="002C4B0E" w:rsidP="00135774">
      <w:pPr>
        <w:spacing w:line="276" w:lineRule="auto"/>
        <w:jc w:val="both"/>
      </w:pPr>
    </w:p>
    <w:p w14:paraId="639CE0DE" w14:textId="50D9A914" w:rsidR="002C4B0E" w:rsidRPr="00AF4759" w:rsidRDefault="002C4B0E" w:rsidP="00135774">
      <w:pPr>
        <w:spacing w:line="276" w:lineRule="auto"/>
        <w:jc w:val="both"/>
      </w:pPr>
    </w:p>
    <w:p w14:paraId="4938442C" w14:textId="0E9C3902" w:rsidR="003622E0" w:rsidRPr="00AF4759" w:rsidRDefault="003622E0" w:rsidP="00135774">
      <w:pPr>
        <w:spacing w:line="276" w:lineRule="auto"/>
        <w:jc w:val="both"/>
      </w:pPr>
    </w:p>
    <w:p w14:paraId="1A43C038" w14:textId="3431EA8D" w:rsidR="003622E0" w:rsidRPr="00AF4759" w:rsidRDefault="003622E0" w:rsidP="00135774">
      <w:pPr>
        <w:spacing w:line="276" w:lineRule="auto"/>
        <w:jc w:val="both"/>
      </w:pPr>
    </w:p>
    <w:p w14:paraId="7A0004A0" w14:textId="6DBE736C" w:rsidR="003622E0" w:rsidRPr="00AF4759" w:rsidRDefault="003622E0" w:rsidP="00135774">
      <w:pPr>
        <w:spacing w:line="276" w:lineRule="auto"/>
        <w:jc w:val="both"/>
      </w:pPr>
    </w:p>
    <w:p w14:paraId="3E5ED578" w14:textId="57303156" w:rsidR="003622E0" w:rsidRPr="00AF4759" w:rsidRDefault="003622E0" w:rsidP="00135774">
      <w:pPr>
        <w:spacing w:line="276" w:lineRule="auto"/>
        <w:jc w:val="both"/>
      </w:pPr>
    </w:p>
    <w:p w14:paraId="6EE19ACA" w14:textId="5FFC1C76" w:rsidR="003622E0" w:rsidRPr="00AF4759" w:rsidRDefault="003622E0" w:rsidP="00135774">
      <w:pPr>
        <w:spacing w:line="276" w:lineRule="auto"/>
        <w:jc w:val="both"/>
      </w:pPr>
    </w:p>
    <w:p w14:paraId="65DCB60E" w14:textId="5F411319" w:rsidR="003622E0" w:rsidRPr="00AF4759" w:rsidRDefault="003622E0" w:rsidP="00135774">
      <w:pPr>
        <w:spacing w:line="276" w:lineRule="auto"/>
        <w:jc w:val="both"/>
      </w:pPr>
    </w:p>
    <w:p w14:paraId="5E868204" w14:textId="6936CEC8" w:rsidR="003622E0" w:rsidRPr="00AF4759" w:rsidRDefault="003622E0" w:rsidP="00135774">
      <w:pPr>
        <w:spacing w:line="276" w:lineRule="auto"/>
        <w:jc w:val="both"/>
      </w:pPr>
    </w:p>
    <w:p w14:paraId="76A7CE1B" w14:textId="1E9AE0E4" w:rsidR="003622E0" w:rsidRPr="00AF4759" w:rsidRDefault="003622E0" w:rsidP="00135774">
      <w:pPr>
        <w:spacing w:line="276" w:lineRule="auto"/>
        <w:jc w:val="both"/>
      </w:pPr>
    </w:p>
    <w:p w14:paraId="36B240B4" w14:textId="6F6903DE" w:rsidR="003622E0" w:rsidRPr="00AF4759" w:rsidRDefault="003622E0" w:rsidP="00135774">
      <w:pPr>
        <w:spacing w:line="276" w:lineRule="auto"/>
        <w:jc w:val="both"/>
      </w:pPr>
    </w:p>
    <w:p w14:paraId="2AC64A9E" w14:textId="142969B1" w:rsidR="003622E0" w:rsidRPr="00AF4759" w:rsidRDefault="003622E0" w:rsidP="00135774">
      <w:pPr>
        <w:spacing w:line="276" w:lineRule="auto"/>
        <w:jc w:val="both"/>
      </w:pPr>
    </w:p>
    <w:p w14:paraId="13C85A0F" w14:textId="0833B21E" w:rsidR="003622E0" w:rsidRPr="00AF4759" w:rsidRDefault="003622E0" w:rsidP="00135774">
      <w:pPr>
        <w:spacing w:line="276" w:lineRule="auto"/>
        <w:jc w:val="both"/>
      </w:pPr>
    </w:p>
    <w:p w14:paraId="4244D302" w14:textId="655FD0B6" w:rsidR="003622E0" w:rsidRPr="00AF4759" w:rsidRDefault="003622E0" w:rsidP="00135774">
      <w:pPr>
        <w:spacing w:line="276" w:lineRule="auto"/>
        <w:jc w:val="both"/>
      </w:pPr>
    </w:p>
    <w:p w14:paraId="27D6BFEB" w14:textId="748D6020" w:rsidR="003622E0" w:rsidRPr="00AF4759" w:rsidRDefault="003622E0" w:rsidP="00135774">
      <w:pPr>
        <w:spacing w:line="276" w:lineRule="auto"/>
        <w:jc w:val="both"/>
      </w:pPr>
    </w:p>
    <w:p w14:paraId="6EADAFF2" w14:textId="1843CEBA" w:rsidR="003622E0" w:rsidRPr="00AF4759" w:rsidRDefault="003622E0" w:rsidP="00135774">
      <w:pPr>
        <w:spacing w:line="276" w:lineRule="auto"/>
        <w:jc w:val="both"/>
      </w:pPr>
    </w:p>
    <w:p w14:paraId="7C5E7A20" w14:textId="4F80258B" w:rsidR="003622E0" w:rsidRPr="00AF4759" w:rsidRDefault="003622E0" w:rsidP="00135774">
      <w:pPr>
        <w:spacing w:line="276" w:lineRule="auto"/>
        <w:jc w:val="both"/>
      </w:pPr>
    </w:p>
    <w:p w14:paraId="022D3285" w14:textId="1AF7D6CF" w:rsidR="003622E0" w:rsidRPr="00AF4759" w:rsidRDefault="003622E0" w:rsidP="00135774">
      <w:pPr>
        <w:spacing w:line="276" w:lineRule="auto"/>
        <w:jc w:val="both"/>
      </w:pPr>
    </w:p>
    <w:p w14:paraId="30F88969" w14:textId="49BC5331" w:rsidR="003622E0" w:rsidRPr="00AF4759" w:rsidRDefault="003622E0" w:rsidP="00135774">
      <w:pPr>
        <w:spacing w:line="276" w:lineRule="auto"/>
        <w:jc w:val="both"/>
      </w:pPr>
    </w:p>
    <w:p w14:paraId="58D054AB" w14:textId="4B4D041B" w:rsidR="003622E0" w:rsidRPr="00AF4759" w:rsidRDefault="003622E0" w:rsidP="00135774">
      <w:pPr>
        <w:spacing w:line="276" w:lineRule="auto"/>
        <w:jc w:val="both"/>
      </w:pPr>
    </w:p>
    <w:p w14:paraId="49F64CB7" w14:textId="77777777" w:rsidR="003622E0" w:rsidRPr="00AF4759" w:rsidRDefault="003622E0" w:rsidP="003622E0">
      <w:pPr>
        <w:spacing w:line="276" w:lineRule="auto"/>
        <w:jc w:val="both"/>
        <w:rPr>
          <w:b/>
          <w:sz w:val="20"/>
          <w:szCs w:val="20"/>
        </w:rPr>
      </w:pPr>
      <w:bookmarkStart w:id="2" w:name="_Hlk532040955"/>
      <w:bookmarkEnd w:id="2"/>
    </w:p>
    <w:p w14:paraId="08E9DEF4" w14:textId="56A37994" w:rsidR="003622E0" w:rsidRPr="00AF4759" w:rsidRDefault="007A7E22" w:rsidP="003622E0">
      <w:pPr>
        <w:spacing w:line="276" w:lineRule="auto"/>
        <w:jc w:val="center"/>
        <w:rPr>
          <w:b/>
        </w:rPr>
      </w:pPr>
      <w:r w:rsidRPr="00AF4759">
        <w:rPr>
          <w:noProof/>
          <w:lang w:val="en-US" w:eastAsia="en-US"/>
        </w:rPr>
        <w:drawing>
          <wp:inline distT="0" distB="0" distL="0" distR="0" wp14:anchorId="33BA4175" wp14:editId="3D829BE5">
            <wp:extent cx="4380865" cy="6198870"/>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0865" cy="6198870"/>
                    </a:xfrm>
                    <a:prstGeom prst="rect">
                      <a:avLst/>
                    </a:prstGeom>
                    <a:noFill/>
                    <a:ln>
                      <a:noFill/>
                    </a:ln>
                  </pic:spPr>
                </pic:pic>
              </a:graphicData>
            </a:graphic>
          </wp:inline>
        </w:drawing>
      </w:r>
    </w:p>
    <w:p w14:paraId="0F1ADB49" w14:textId="77777777" w:rsidR="003622E0" w:rsidRPr="00AF4759" w:rsidRDefault="003622E0" w:rsidP="003622E0">
      <w:pPr>
        <w:spacing w:line="276" w:lineRule="auto"/>
        <w:jc w:val="both"/>
        <w:rPr>
          <w:b/>
        </w:rPr>
      </w:pPr>
    </w:p>
    <w:p w14:paraId="145B2C2E" w14:textId="7DE24A8B" w:rsidR="003622E0" w:rsidRPr="00AF4759" w:rsidRDefault="003622E0" w:rsidP="007925CB">
      <w:pPr>
        <w:jc w:val="both"/>
      </w:pPr>
      <w:r w:rsidRPr="00AF4759">
        <w:rPr>
          <w:b/>
        </w:rPr>
        <w:t xml:space="preserve">Figure </w:t>
      </w:r>
      <w:r w:rsidR="001C440D">
        <w:rPr>
          <w:b/>
        </w:rPr>
        <w:t>S5</w:t>
      </w:r>
      <w:r w:rsidR="00CF6538" w:rsidRPr="00AF4759">
        <w:rPr>
          <w:b/>
        </w:rPr>
        <w:t>-</w:t>
      </w:r>
      <w:r w:rsidRPr="00AF4759">
        <w:rPr>
          <w:b/>
        </w:rPr>
        <w:t xml:space="preserve">1. </w:t>
      </w:r>
      <w:r w:rsidRPr="00AF4759">
        <w:t xml:space="preserve">Representative natural signal decay curves (a) and representative dose response curves for one grain from sample </w:t>
      </w:r>
      <w:r w:rsidR="00F95FA2" w:rsidRPr="00AF4759">
        <w:t>CN</w:t>
      </w:r>
      <w:r w:rsidRPr="00AF4759">
        <w:t>311</w:t>
      </w:r>
      <w:r w:rsidR="00687395">
        <w:t xml:space="preserve">, </w:t>
      </w:r>
      <w:r w:rsidRPr="00AF4759">
        <w:t>and</w:t>
      </w:r>
      <w:r w:rsidR="00687395">
        <w:t xml:space="preserve"> another from</w:t>
      </w:r>
      <w:r w:rsidRPr="00AF4759">
        <w:t xml:space="preserve"> </w:t>
      </w:r>
      <w:r w:rsidR="00C41841" w:rsidRPr="00AF4759">
        <w:t>CN</w:t>
      </w:r>
      <w:r w:rsidRPr="00AF4759">
        <w:t xml:space="preserve">312. </w:t>
      </w:r>
    </w:p>
    <w:p w14:paraId="08BA9E15" w14:textId="77777777" w:rsidR="003622E0" w:rsidRPr="00AF4759" w:rsidRDefault="003622E0" w:rsidP="003622E0"/>
    <w:p w14:paraId="7A4F3609" w14:textId="77777777" w:rsidR="003622E0" w:rsidRPr="00AF4759" w:rsidRDefault="003622E0" w:rsidP="003622E0"/>
    <w:p w14:paraId="64A34D6F" w14:textId="67DE7C0E" w:rsidR="003622E0" w:rsidRPr="00AF4759" w:rsidRDefault="003622E0" w:rsidP="00135774">
      <w:pPr>
        <w:spacing w:line="276" w:lineRule="auto"/>
        <w:jc w:val="both"/>
      </w:pPr>
    </w:p>
    <w:p w14:paraId="5D4A1208" w14:textId="7DA29ACA" w:rsidR="003622E0" w:rsidRPr="00AF4759" w:rsidRDefault="003622E0" w:rsidP="00135774">
      <w:pPr>
        <w:spacing w:line="276" w:lineRule="auto"/>
        <w:jc w:val="both"/>
      </w:pPr>
    </w:p>
    <w:p w14:paraId="62192813" w14:textId="5561E586" w:rsidR="003622E0" w:rsidRPr="00AF4759" w:rsidRDefault="003622E0" w:rsidP="00135774">
      <w:pPr>
        <w:spacing w:line="276" w:lineRule="auto"/>
        <w:jc w:val="both"/>
      </w:pPr>
    </w:p>
    <w:p w14:paraId="27AF2690" w14:textId="056736D6" w:rsidR="003622E0" w:rsidRPr="00AF4759" w:rsidRDefault="003622E0" w:rsidP="00135774">
      <w:pPr>
        <w:spacing w:line="276" w:lineRule="auto"/>
        <w:jc w:val="both"/>
      </w:pPr>
    </w:p>
    <w:p w14:paraId="63AF5F05" w14:textId="59DD3442" w:rsidR="003622E0" w:rsidRPr="00AF4759" w:rsidRDefault="003622E0" w:rsidP="00135774">
      <w:pPr>
        <w:spacing w:line="276" w:lineRule="auto"/>
        <w:jc w:val="both"/>
      </w:pPr>
    </w:p>
    <w:p w14:paraId="162AA1F8" w14:textId="7C946056" w:rsidR="003622E0" w:rsidRPr="00AF4759" w:rsidRDefault="003622E0" w:rsidP="00135774">
      <w:pPr>
        <w:spacing w:line="276" w:lineRule="auto"/>
        <w:jc w:val="both"/>
      </w:pPr>
    </w:p>
    <w:p w14:paraId="6340BAC0" w14:textId="45494D2A" w:rsidR="003622E0" w:rsidRPr="00AF4759" w:rsidRDefault="003622E0" w:rsidP="00135774">
      <w:pPr>
        <w:spacing w:line="276" w:lineRule="auto"/>
        <w:jc w:val="both"/>
      </w:pPr>
    </w:p>
    <w:p w14:paraId="28220FF0" w14:textId="3DCA2F32" w:rsidR="003622E0" w:rsidRPr="00AF4759" w:rsidRDefault="003622E0" w:rsidP="00135774">
      <w:pPr>
        <w:spacing w:line="276" w:lineRule="auto"/>
        <w:jc w:val="both"/>
      </w:pPr>
    </w:p>
    <w:p w14:paraId="1081762C" w14:textId="519F23C4" w:rsidR="003622E0" w:rsidRPr="00AF4759" w:rsidRDefault="003622E0" w:rsidP="00135774">
      <w:pPr>
        <w:spacing w:line="276" w:lineRule="auto"/>
        <w:jc w:val="both"/>
      </w:pPr>
    </w:p>
    <w:p w14:paraId="07D51E3B" w14:textId="77777777" w:rsidR="004C1FCE" w:rsidRPr="00AF4759" w:rsidRDefault="004C1FCE" w:rsidP="004C1FCE">
      <w:bookmarkStart w:id="3" w:name="_Hlk532041135"/>
      <w:bookmarkEnd w:id="3"/>
    </w:p>
    <w:p w14:paraId="15F58106" w14:textId="0CE86CAC" w:rsidR="004C1FCE" w:rsidRPr="00AF4759" w:rsidRDefault="00002058" w:rsidP="004C1FCE">
      <w:pPr>
        <w:jc w:val="center"/>
      </w:pPr>
      <w:r w:rsidRPr="00AF4759">
        <w:rPr>
          <w:noProof/>
          <w:lang w:val="en-US" w:eastAsia="en-US"/>
        </w:rPr>
        <w:drawing>
          <wp:inline distT="0" distB="0" distL="0" distR="0" wp14:anchorId="1EBC28B6" wp14:editId="096BF025">
            <wp:extent cx="4088765" cy="4123690"/>
            <wp:effectExtent l="0" t="0" r="69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88765" cy="4123690"/>
                    </a:xfrm>
                    <a:prstGeom prst="rect">
                      <a:avLst/>
                    </a:prstGeom>
                    <a:noFill/>
                    <a:ln>
                      <a:noFill/>
                    </a:ln>
                  </pic:spPr>
                </pic:pic>
              </a:graphicData>
            </a:graphic>
          </wp:inline>
        </w:drawing>
      </w:r>
    </w:p>
    <w:p w14:paraId="06637084" w14:textId="77777777" w:rsidR="004C1FCE" w:rsidRPr="00AF4759" w:rsidRDefault="004C1FCE" w:rsidP="004C1FCE"/>
    <w:p w14:paraId="2FE0274F" w14:textId="77777777" w:rsidR="004C1FCE" w:rsidRPr="00AF4759" w:rsidRDefault="004C1FCE" w:rsidP="004C1FCE"/>
    <w:p w14:paraId="4550D3BF" w14:textId="1B542A77" w:rsidR="004C1FCE" w:rsidRPr="00AF4759" w:rsidRDefault="004C1FCE" w:rsidP="004C1FCE">
      <w:pPr>
        <w:jc w:val="both"/>
      </w:pPr>
      <w:r w:rsidRPr="00AF4759">
        <w:rPr>
          <w:b/>
        </w:rPr>
        <w:t xml:space="preserve">Figure </w:t>
      </w:r>
      <w:r w:rsidR="001C440D">
        <w:rPr>
          <w:b/>
        </w:rPr>
        <w:t>S5</w:t>
      </w:r>
      <w:r w:rsidR="00CF6538" w:rsidRPr="00AF4759">
        <w:rPr>
          <w:b/>
        </w:rPr>
        <w:t>-</w:t>
      </w:r>
      <w:r w:rsidRPr="00AF4759">
        <w:rPr>
          <w:b/>
        </w:rPr>
        <w:t>2.</w:t>
      </w:r>
      <w:r w:rsidRPr="00AF4759">
        <w:t xml:space="preserve"> </w:t>
      </w:r>
      <w:r w:rsidRPr="00AF4759">
        <w:rPr>
          <w:b/>
        </w:rPr>
        <w:t xml:space="preserve">Single-grain OSL dose recovery tests undertaken on 150-180 µm-diameter quartz grains from </w:t>
      </w:r>
      <w:r w:rsidR="00F95FA2" w:rsidRPr="00AF4759">
        <w:rPr>
          <w:b/>
        </w:rPr>
        <w:t>CN</w:t>
      </w:r>
      <w:r w:rsidRPr="00AF4759">
        <w:rPr>
          <w:b/>
        </w:rPr>
        <w:t>308 using the measurement procedure outlined in</w:t>
      </w:r>
      <w:r w:rsidRPr="00AF4759">
        <w:t xml:space="preserve"> </w:t>
      </w:r>
      <w:r w:rsidRPr="00AF4759">
        <w:rPr>
          <w:b/>
        </w:rPr>
        <w:t xml:space="preserve">Table S1. </w:t>
      </w:r>
      <w:r w:rsidRPr="00AF4759">
        <w:t xml:space="preserve">A surrogate natural dose of ~95 </w:t>
      </w:r>
      <w:proofErr w:type="spellStart"/>
      <w:r w:rsidRPr="00AF4759">
        <w:t>Gy</w:t>
      </w:r>
      <w:proofErr w:type="spellEnd"/>
      <w:r w:rsidRPr="00AF4759">
        <w:t xml:space="preserve"> was administered. The individual measured/given dose ratios are displayed as a radial plot. Weighted mean ratio and overdispersion (OD) value were calculated using the central age model (CAM) (Galbraith et al., 1999). The grey bar is centred on the CAM weighted mean ratio.</w:t>
      </w:r>
    </w:p>
    <w:p w14:paraId="48D81C41" w14:textId="77777777" w:rsidR="004C1FCE" w:rsidRPr="00AF4759" w:rsidRDefault="004C1FCE" w:rsidP="004C1FCE"/>
    <w:p w14:paraId="612BEF5E" w14:textId="564B8EE0" w:rsidR="003622E0" w:rsidRPr="00AF4759" w:rsidRDefault="003622E0" w:rsidP="00135774">
      <w:pPr>
        <w:spacing w:line="276" w:lineRule="auto"/>
        <w:jc w:val="both"/>
      </w:pPr>
    </w:p>
    <w:p w14:paraId="2BB51380" w14:textId="5CB9CD18" w:rsidR="004C1FCE" w:rsidRPr="00AF4759" w:rsidRDefault="004C1FCE" w:rsidP="00135774">
      <w:pPr>
        <w:spacing w:line="276" w:lineRule="auto"/>
        <w:jc w:val="both"/>
      </w:pPr>
    </w:p>
    <w:p w14:paraId="5EFE0961" w14:textId="52BAAB26" w:rsidR="004C1FCE" w:rsidRPr="00AF4759" w:rsidRDefault="004C1FCE" w:rsidP="00135774">
      <w:pPr>
        <w:spacing w:line="276" w:lineRule="auto"/>
        <w:jc w:val="both"/>
      </w:pPr>
    </w:p>
    <w:p w14:paraId="5E44B3A2" w14:textId="0CAC3E19" w:rsidR="004C1FCE" w:rsidRPr="00AF4759" w:rsidRDefault="004C1FCE" w:rsidP="00135774">
      <w:pPr>
        <w:spacing w:line="276" w:lineRule="auto"/>
        <w:jc w:val="both"/>
      </w:pPr>
    </w:p>
    <w:p w14:paraId="46D6FC4E" w14:textId="409A1128" w:rsidR="004C1FCE" w:rsidRPr="00AF4759" w:rsidRDefault="004C1FCE" w:rsidP="00135774">
      <w:pPr>
        <w:spacing w:line="276" w:lineRule="auto"/>
        <w:jc w:val="both"/>
      </w:pPr>
    </w:p>
    <w:p w14:paraId="7190F6AE" w14:textId="61547888" w:rsidR="004C1FCE" w:rsidRPr="00AF4759" w:rsidRDefault="004C1FCE" w:rsidP="00135774">
      <w:pPr>
        <w:spacing w:line="276" w:lineRule="auto"/>
        <w:jc w:val="both"/>
      </w:pPr>
    </w:p>
    <w:p w14:paraId="00A0D50C" w14:textId="3519E675" w:rsidR="004C1FCE" w:rsidRPr="00AF4759" w:rsidRDefault="004C1FCE" w:rsidP="00135774">
      <w:pPr>
        <w:spacing w:line="276" w:lineRule="auto"/>
        <w:jc w:val="both"/>
      </w:pPr>
    </w:p>
    <w:p w14:paraId="3DAAD9B7" w14:textId="5E6F2432" w:rsidR="004C1FCE" w:rsidRPr="00AF4759" w:rsidRDefault="004C1FCE" w:rsidP="00135774">
      <w:pPr>
        <w:spacing w:line="276" w:lineRule="auto"/>
        <w:jc w:val="both"/>
      </w:pPr>
    </w:p>
    <w:p w14:paraId="68CC8B19" w14:textId="0A011E5E" w:rsidR="004C1FCE" w:rsidRPr="00AF4759" w:rsidRDefault="004C1FCE" w:rsidP="00135774">
      <w:pPr>
        <w:spacing w:line="276" w:lineRule="auto"/>
        <w:jc w:val="both"/>
      </w:pPr>
    </w:p>
    <w:p w14:paraId="67F6BF48" w14:textId="001523C6" w:rsidR="004C1FCE" w:rsidRPr="00AF4759" w:rsidRDefault="004C1FCE" w:rsidP="00135774">
      <w:pPr>
        <w:spacing w:line="276" w:lineRule="auto"/>
        <w:jc w:val="both"/>
      </w:pPr>
    </w:p>
    <w:p w14:paraId="460A04A6" w14:textId="0961241C" w:rsidR="004C1FCE" w:rsidRPr="00AF4759" w:rsidRDefault="004C1FCE" w:rsidP="00135774">
      <w:pPr>
        <w:spacing w:line="276" w:lineRule="auto"/>
        <w:jc w:val="both"/>
      </w:pPr>
    </w:p>
    <w:p w14:paraId="6EB2F214" w14:textId="61FDD409" w:rsidR="004C1FCE" w:rsidRPr="00AF4759" w:rsidRDefault="004C1FCE" w:rsidP="00135774">
      <w:pPr>
        <w:spacing w:line="276" w:lineRule="auto"/>
        <w:jc w:val="both"/>
      </w:pPr>
    </w:p>
    <w:p w14:paraId="62EFD796" w14:textId="77777777" w:rsidR="004C1FCE" w:rsidRPr="00AF4759" w:rsidRDefault="004C1FCE" w:rsidP="00135774">
      <w:pPr>
        <w:spacing w:line="276" w:lineRule="auto"/>
        <w:jc w:val="both"/>
        <w:sectPr w:rsidR="004C1FCE" w:rsidRPr="00AF4759" w:rsidSect="00E15D72">
          <w:footerReference w:type="default" r:id="rId9"/>
          <w:pgSz w:w="11900" w:h="16840"/>
          <w:pgMar w:top="1440" w:right="1440" w:bottom="1440" w:left="1440" w:header="708" w:footer="708" w:gutter="0"/>
          <w:cols w:space="708"/>
          <w:docGrid w:linePitch="360"/>
        </w:sectPr>
      </w:pPr>
    </w:p>
    <w:tbl>
      <w:tblPr>
        <w:tblpPr w:leftFromText="180" w:rightFromText="180" w:vertAnchor="page" w:horzAnchor="margin" w:tblpXSpec="center" w:tblpY="1087"/>
        <w:tblW w:w="16282" w:type="dxa"/>
        <w:tblLook w:val="04A0" w:firstRow="1" w:lastRow="0" w:firstColumn="1" w:lastColumn="0" w:noHBand="0" w:noVBand="1"/>
      </w:tblPr>
      <w:tblGrid>
        <w:gridCol w:w="1418"/>
        <w:gridCol w:w="908"/>
        <w:gridCol w:w="1163"/>
        <w:gridCol w:w="1163"/>
        <w:gridCol w:w="1239"/>
        <w:gridCol w:w="1163"/>
        <w:gridCol w:w="1163"/>
        <w:gridCol w:w="1163"/>
        <w:gridCol w:w="1221"/>
        <w:gridCol w:w="1114"/>
        <w:gridCol w:w="1078"/>
        <w:gridCol w:w="1163"/>
        <w:gridCol w:w="1163"/>
        <w:gridCol w:w="1163"/>
      </w:tblGrid>
      <w:tr w:rsidR="004C1FCE" w:rsidRPr="00AF4759" w14:paraId="2ED390F3" w14:textId="77777777" w:rsidTr="00781A6A">
        <w:trPr>
          <w:trHeight w:val="769"/>
        </w:trPr>
        <w:tc>
          <w:tcPr>
            <w:tcW w:w="1418" w:type="dxa"/>
            <w:tcBorders>
              <w:top w:val="single" w:sz="8" w:space="0" w:color="auto"/>
              <w:left w:val="nil"/>
              <w:bottom w:val="single" w:sz="8" w:space="0" w:color="000000"/>
              <w:right w:val="nil"/>
            </w:tcBorders>
            <w:shd w:val="clear" w:color="000000" w:fill="FFFFFF"/>
            <w:vAlign w:val="center"/>
            <w:hideMark/>
          </w:tcPr>
          <w:p w14:paraId="597A8CD7" w14:textId="0A14BCBB" w:rsidR="004C1FCE" w:rsidRPr="00AF4759" w:rsidRDefault="004C1FCE" w:rsidP="00781A6A">
            <w:pPr>
              <w:jc w:val="center"/>
              <w:rPr>
                <w:rFonts w:eastAsia="Times New Roman"/>
                <w:b/>
                <w:bCs/>
                <w:color w:val="000000"/>
                <w:sz w:val="16"/>
                <w:szCs w:val="16"/>
                <w:lang w:eastAsia="en-AU"/>
              </w:rPr>
            </w:pPr>
            <w:r w:rsidRPr="00AF4759">
              <w:rPr>
                <w:rFonts w:eastAsia="Times New Roman"/>
                <w:b/>
                <w:bCs/>
                <w:color w:val="000000"/>
                <w:sz w:val="16"/>
                <w:szCs w:val="16"/>
                <w:lang w:eastAsia="en-AU"/>
              </w:rPr>
              <w:t>OSL sample code (</w:t>
            </w:r>
            <w:r w:rsidR="00F95FA2" w:rsidRPr="00AF4759">
              <w:rPr>
                <w:rFonts w:eastAsia="Times New Roman"/>
                <w:b/>
                <w:bCs/>
                <w:color w:val="000000"/>
                <w:sz w:val="16"/>
                <w:szCs w:val="16"/>
                <w:lang w:eastAsia="en-AU"/>
              </w:rPr>
              <w:t>CN</w:t>
            </w:r>
          </w:p>
        </w:tc>
        <w:tc>
          <w:tcPr>
            <w:tcW w:w="908" w:type="dxa"/>
            <w:tcBorders>
              <w:top w:val="single" w:sz="8" w:space="0" w:color="auto"/>
              <w:left w:val="nil"/>
              <w:bottom w:val="single" w:sz="8" w:space="0" w:color="000000"/>
              <w:right w:val="nil"/>
            </w:tcBorders>
            <w:shd w:val="clear" w:color="000000" w:fill="FFFFFF"/>
            <w:vAlign w:val="center"/>
            <w:hideMark/>
          </w:tcPr>
          <w:p w14:paraId="4D7A01A6" w14:textId="77777777" w:rsidR="004C1FCE" w:rsidRPr="00AF4759" w:rsidRDefault="004C1FCE" w:rsidP="00781A6A">
            <w:pPr>
              <w:jc w:val="center"/>
              <w:rPr>
                <w:rFonts w:eastAsia="Times New Roman"/>
                <w:b/>
                <w:bCs/>
                <w:color w:val="000000"/>
                <w:sz w:val="16"/>
                <w:szCs w:val="16"/>
                <w:lang w:eastAsia="en-AU"/>
              </w:rPr>
            </w:pPr>
            <w:r w:rsidRPr="00AF4759">
              <w:rPr>
                <w:rFonts w:eastAsia="Times New Roman"/>
                <w:b/>
                <w:bCs/>
                <w:color w:val="000000"/>
                <w:sz w:val="16"/>
                <w:szCs w:val="16"/>
                <w:lang w:eastAsia="en-AU"/>
              </w:rPr>
              <w:t>No. of measured grains</w:t>
            </w:r>
          </w:p>
        </w:tc>
        <w:tc>
          <w:tcPr>
            <w:tcW w:w="1163" w:type="dxa"/>
            <w:tcBorders>
              <w:top w:val="single" w:sz="8" w:space="0" w:color="auto"/>
              <w:left w:val="nil"/>
              <w:bottom w:val="single" w:sz="8" w:space="0" w:color="000000"/>
              <w:right w:val="nil"/>
            </w:tcBorders>
            <w:shd w:val="clear" w:color="000000" w:fill="FFFFFF"/>
            <w:vAlign w:val="center"/>
            <w:hideMark/>
          </w:tcPr>
          <w:p w14:paraId="5C9E2C92" w14:textId="77777777" w:rsidR="004C1FCE" w:rsidRPr="00AF4759" w:rsidRDefault="004C1FCE" w:rsidP="00781A6A">
            <w:pPr>
              <w:jc w:val="center"/>
              <w:rPr>
                <w:rFonts w:eastAsia="Times New Roman"/>
                <w:b/>
                <w:bCs/>
                <w:color w:val="000000"/>
                <w:sz w:val="16"/>
                <w:szCs w:val="16"/>
                <w:lang w:eastAsia="en-AU"/>
              </w:rPr>
            </w:pPr>
            <w:r w:rsidRPr="00AF4759">
              <w:rPr>
                <w:rFonts w:eastAsia="Times New Roman"/>
                <w:b/>
                <w:bCs/>
                <w:color w:val="000000"/>
                <w:sz w:val="16"/>
                <w:szCs w:val="16"/>
                <w:lang w:eastAsia="en-AU"/>
              </w:rPr>
              <w:t>1. T</w:t>
            </w:r>
            <w:r w:rsidRPr="00AF4759">
              <w:rPr>
                <w:rFonts w:eastAsia="Times New Roman"/>
                <w:b/>
                <w:bCs/>
                <w:color w:val="000000"/>
                <w:sz w:val="16"/>
                <w:szCs w:val="16"/>
                <w:vertAlign w:val="subscript"/>
                <w:lang w:eastAsia="en-AU"/>
              </w:rPr>
              <w:t>N</w:t>
            </w:r>
            <w:r w:rsidRPr="00AF4759">
              <w:rPr>
                <w:rFonts w:eastAsia="Times New Roman"/>
                <w:b/>
                <w:bCs/>
                <w:color w:val="000000"/>
                <w:sz w:val="16"/>
                <w:szCs w:val="16"/>
                <w:lang w:eastAsia="en-AU"/>
              </w:rPr>
              <w:t xml:space="preserve"> signal &lt;3σ BG</w:t>
            </w:r>
          </w:p>
        </w:tc>
        <w:tc>
          <w:tcPr>
            <w:tcW w:w="1163" w:type="dxa"/>
            <w:tcBorders>
              <w:top w:val="single" w:sz="8" w:space="0" w:color="auto"/>
              <w:left w:val="nil"/>
              <w:bottom w:val="single" w:sz="8" w:space="0" w:color="000000"/>
              <w:right w:val="nil"/>
            </w:tcBorders>
            <w:shd w:val="clear" w:color="000000" w:fill="FFFFFF"/>
            <w:vAlign w:val="center"/>
            <w:hideMark/>
          </w:tcPr>
          <w:p w14:paraId="3B20D320" w14:textId="77777777" w:rsidR="004C1FCE" w:rsidRPr="00AF4759" w:rsidRDefault="004C1FCE" w:rsidP="00781A6A">
            <w:pPr>
              <w:jc w:val="center"/>
              <w:rPr>
                <w:rFonts w:eastAsia="Times New Roman"/>
                <w:b/>
                <w:bCs/>
                <w:color w:val="000000"/>
                <w:sz w:val="16"/>
                <w:szCs w:val="16"/>
                <w:lang w:eastAsia="en-AU"/>
              </w:rPr>
            </w:pPr>
            <w:r w:rsidRPr="00AF4759">
              <w:rPr>
                <w:rFonts w:eastAsia="Times New Roman"/>
                <w:b/>
                <w:bCs/>
                <w:color w:val="000000"/>
                <w:sz w:val="16"/>
                <w:szCs w:val="16"/>
                <w:lang w:eastAsia="en-AU"/>
              </w:rPr>
              <w:t>2. T</w:t>
            </w:r>
            <w:r w:rsidRPr="00AF4759">
              <w:rPr>
                <w:rFonts w:eastAsia="Times New Roman"/>
                <w:b/>
                <w:bCs/>
                <w:color w:val="000000"/>
                <w:sz w:val="16"/>
                <w:szCs w:val="16"/>
                <w:vertAlign w:val="subscript"/>
                <w:lang w:eastAsia="en-AU"/>
              </w:rPr>
              <w:t>N</w:t>
            </w:r>
            <w:r w:rsidRPr="00AF4759">
              <w:rPr>
                <w:rFonts w:eastAsia="Times New Roman"/>
                <w:b/>
                <w:bCs/>
                <w:color w:val="000000"/>
                <w:sz w:val="16"/>
                <w:szCs w:val="16"/>
                <w:lang w:eastAsia="en-AU"/>
              </w:rPr>
              <w:t xml:space="preserve"> error &gt;25%</w:t>
            </w:r>
          </w:p>
        </w:tc>
        <w:tc>
          <w:tcPr>
            <w:tcW w:w="1239" w:type="dxa"/>
            <w:tcBorders>
              <w:top w:val="single" w:sz="8" w:space="0" w:color="auto"/>
              <w:left w:val="nil"/>
              <w:bottom w:val="single" w:sz="8" w:space="0" w:color="000000"/>
              <w:right w:val="nil"/>
            </w:tcBorders>
            <w:shd w:val="clear" w:color="000000" w:fill="FFFFFF"/>
            <w:vAlign w:val="center"/>
            <w:hideMark/>
          </w:tcPr>
          <w:p w14:paraId="755056A7" w14:textId="77777777" w:rsidR="004C1FCE" w:rsidRPr="00AF4759" w:rsidRDefault="004C1FCE" w:rsidP="00781A6A">
            <w:pPr>
              <w:jc w:val="center"/>
              <w:rPr>
                <w:rFonts w:eastAsia="Times New Roman"/>
                <w:b/>
                <w:bCs/>
                <w:color w:val="000000"/>
                <w:sz w:val="16"/>
                <w:szCs w:val="16"/>
                <w:lang w:eastAsia="en-AU"/>
              </w:rPr>
            </w:pPr>
            <w:r w:rsidRPr="00AF4759">
              <w:rPr>
                <w:rFonts w:eastAsia="Times New Roman"/>
                <w:b/>
                <w:bCs/>
                <w:color w:val="000000"/>
                <w:sz w:val="16"/>
                <w:szCs w:val="16"/>
                <w:lang w:eastAsia="en-AU"/>
              </w:rPr>
              <w:t>3. Recuperation ratio &gt;5%</w:t>
            </w:r>
          </w:p>
        </w:tc>
        <w:tc>
          <w:tcPr>
            <w:tcW w:w="1163" w:type="dxa"/>
            <w:tcBorders>
              <w:top w:val="single" w:sz="8" w:space="0" w:color="auto"/>
              <w:left w:val="nil"/>
              <w:bottom w:val="single" w:sz="8" w:space="0" w:color="000000"/>
              <w:right w:val="nil"/>
            </w:tcBorders>
            <w:shd w:val="clear" w:color="000000" w:fill="FFFFFF"/>
            <w:vAlign w:val="center"/>
            <w:hideMark/>
          </w:tcPr>
          <w:p w14:paraId="26193151" w14:textId="77777777" w:rsidR="004C1FCE" w:rsidRPr="00AF4759" w:rsidRDefault="004C1FCE" w:rsidP="00781A6A">
            <w:pPr>
              <w:jc w:val="center"/>
              <w:rPr>
                <w:rFonts w:eastAsia="Times New Roman"/>
                <w:b/>
                <w:bCs/>
                <w:color w:val="000000"/>
                <w:sz w:val="16"/>
                <w:szCs w:val="16"/>
                <w:lang w:eastAsia="en-AU"/>
              </w:rPr>
            </w:pPr>
            <w:r w:rsidRPr="00AF4759">
              <w:rPr>
                <w:rFonts w:eastAsia="Times New Roman"/>
                <w:b/>
                <w:bCs/>
                <w:color w:val="000000"/>
                <w:sz w:val="16"/>
                <w:szCs w:val="16"/>
                <w:lang w:eastAsia="en-AU"/>
              </w:rPr>
              <w:t>4. Poor recycling ratio</w:t>
            </w:r>
          </w:p>
        </w:tc>
        <w:tc>
          <w:tcPr>
            <w:tcW w:w="1163" w:type="dxa"/>
            <w:tcBorders>
              <w:top w:val="single" w:sz="8" w:space="0" w:color="auto"/>
              <w:left w:val="nil"/>
              <w:bottom w:val="single" w:sz="8" w:space="0" w:color="000000"/>
              <w:right w:val="nil"/>
            </w:tcBorders>
            <w:shd w:val="clear" w:color="000000" w:fill="FFFFFF"/>
            <w:vAlign w:val="center"/>
            <w:hideMark/>
          </w:tcPr>
          <w:p w14:paraId="2F85B297" w14:textId="77777777" w:rsidR="004C1FCE" w:rsidRPr="00AF4759" w:rsidRDefault="004C1FCE" w:rsidP="00781A6A">
            <w:pPr>
              <w:jc w:val="center"/>
              <w:rPr>
                <w:rFonts w:eastAsia="Times New Roman"/>
                <w:b/>
                <w:bCs/>
                <w:color w:val="000000"/>
                <w:sz w:val="16"/>
                <w:szCs w:val="16"/>
                <w:lang w:eastAsia="en-AU"/>
              </w:rPr>
            </w:pPr>
            <w:r w:rsidRPr="00AF4759">
              <w:rPr>
                <w:rFonts w:eastAsia="Times New Roman"/>
                <w:b/>
                <w:bCs/>
                <w:color w:val="000000"/>
                <w:sz w:val="16"/>
                <w:szCs w:val="16"/>
                <w:lang w:eastAsia="en-AU"/>
              </w:rPr>
              <w:t>5. IR depleted</w:t>
            </w:r>
          </w:p>
        </w:tc>
        <w:tc>
          <w:tcPr>
            <w:tcW w:w="1163" w:type="dxa"/>
            <w:tcBorders>
              <w:top w:val="single" w:sz="8" w:space="0" w:color="auto"/>
              <w:left w:val="nil"/>
              <w:bottom w:val="single" w:sz="8" w:space="0" w:color="000000"/>
              <w:right w:val="nil"/>
            </w:tcBorders>
            <w:shd w:val="clear" w:color="000000" w:fill="FFFFFF"/>
            <w:vAlign w:val="center"/>
            <w:hideMark/>
          </w:tcPr>
          <w:p w14:paraId="37210D3E" w14:textId="77777777" w:rsidR="004C1FCE" w:rsidRPr="00AF4759" w:rsidRDefault="004C1FCE" w:rsidP="00781A6A">
            <w:pPr>
              <w:jc w:val="center"/>
              <w:rPr>
                <w:rFonts w:eastAsia="Times New Roman"/>
                <w:b/>
                <w:bCs/>
                <w:color w:val="000000"/>
                <w:sz w:val="16"/>
                <w:szCs w:val="16"/>
                <w:lang w:eastAsia="en-AU"/>
              </w:rPr>
            </w:pPr>
            <w:r w:rsidRPr="00AF4759">
              <w:rPr>
                <w:rFonts w:eastAsia="Times New Roman"/>
                <w:b/>
                <w:bCs/>
                <w:color w:val="000000"/>
                <w:sz w:val="16"/>
                <w:szCs w:val="16"/>
                <w:lang w:eastAsia="en-AU"/>
              </w:rPr>
              <w:t>6. FOM exceeds 10%</w:t>
            </w:r>
          </w:p>
        </w:tc>
        <w:tc>
          <w:tcPr>
            <w:tcW w:w="1221" w:type="dxa"/>
            <w:tcBorders>
              <w:top w:val="single" w:sz="8" w:space="0" w:color="auto"/>
              <w:left w:val="nil"/>
              <w:bottom w:val="single" w:sz="8" w:space="0" w:color="000000"/>
              <w:right w:val="nil"/>
            </w:tcBorders>
            <w:shd w:val="clear" w:color="000000" w:fill="FFFFFF"/>
            <w:vAlign w:val="center"/>
            <w:hideMark/>
          </w:tcPr>
          <w:p w14:paraId="0A05DAD2" w14:textId="77777777" w:rsidR="004C1FCE" w:rsidRPr="00AF4759" w:rsidRDefault="004C1FCE" w:rsidP="00781A6A">
            <w:pPr>
              <w:jc w:val="center"/>
              <w:rPr>
                <w:rFonts w:eastAsia="Times New Roman"/>
                <w:b/>
                <w:bCs/>
                <w:color w:val="000000"/>
                <w:sz w:val="16"/>
                <w:szCs w:val="16"/>
                <w:lang w:eastAsia="en-AU"/>
              </w:rPr>
            </w:pPr>
            <w:r w:rsidRPr="00AF4759">
              <w:rPr>
                <w:rFonts w:eastAsia="Times New Roman"/>
                <w:b/>
                <w:bCs/>
                <w:color w:val="000000"/>
                <w:sz w:val="16"/>
                <w:szCs w:val="16"/>
                <w:lang w:eastAsia="en-AU"/>
              </w:rPr>
              <w:t>7. D</w:t>
            </w:r>
            <w:r w:rsidRPr="00AF4759">
              <w:rPr>
                <w:rFonts w:eastAsia="Times New Roman"/>
                <w:b/>
                <w:bCs/>
                <w:color w:val="000000"/>
                <w:sz w:val="16"/>
                <w:szCs w:val="16"/>
                <w:vertAlign w:val="subscript"/>
                <w:lang w:eastAsia="en-AU"/>
              </w:rPr>
              <w:t>e</w:t>
            </w:r>
            <w:r w:rsidRPr="00AF4759">
              <w:rPr>
                <w:rFonts w:eastAsia="Times New Roman"/>
                <w:b/>
                <w:bCs/>
                <w:color w:val="000000"/>
                <w:sz w:val="16"/>
                <w:szCs w:val="16"/>
                <w:lang w:eastAsia="en-AU"/>
              </w:rPr>
              <w:t xml:space="preserve"> calculation by extrapolation</w:t>
            </w:r>
          </w:p>
        </w:tc>
        <w:tc>
          <w:tcPr>
            <w:tcW w:w="1114" w:type="dxa"/>
            <w:tcBorders>
              <w:top w:val="single" w:sz="8" w:space="0" w:color="auto"/>
              <w:left w:val="nil"/>
              <w:bottom w:val="single" w:sz="8" w:space="0" w:color="000000"/>
              <w:right w:val="nil"/>
            </w:tcBorders>
            <w:shd w:val="clear" w:color="000000" w:fill="FFFFFF"/>
            <w:vAlign w:val="center"/>
            <w:hideMark/>
          </w:tcPr>
          <w:p w14:paraId="1DA84EDB" w14:textId="77777777" w:rsidR="004C1FCE" w:rsidRPr="00AF4759" w:rsidRDefault="004C1FCE" w:rsidP="00781A6A">
            <w:pPr>
              <w:jc w:val="center"/>
              <w:rPr>
                <w:rFonts w:eastAsia="Times New Roman"/>
                <w:b/>
                <w:bCs/>
                <w:color w:val="000000"/>
                <w:sz w:val="16"/>
                <w:szCs w:val="16"/>
                <w:lang w:eastAsia="en-AU"/>
              </w:rPr>
            </w:pPr>
            <w:r w:rsidRPr="00AF4759">
              <w:rPr>
                <w:rFonts w:eastAsia="Times New Roman"/>
                <w:b/>
                <w:bCs/>
                <w:color w:val="000000"/>
                <w:sz w:val="16"/>
                <w:szCs w:val="16"/>
                <w:lang w:eastAsia="en-AU"/>
              </w:rPr>
              <w:t>8. Saturated grains</w:t>
            </w:r>
          </w:p>
        </w:tc>
        <w:tc>
          <w:tcPr>
            <w:tcW w:w="1078" w:type="dxa"/>
            <w:tcBorders>
              <w:top w:val="single" w:sz="8" w:space="0" w:color="auto"/>
              <w:left w:val="nil"/>
              <w:bottom w:val="single" w:sz="8" w:space="0" w:color="000000"/>
              <w:right w:val="nil"/>
            </w:tcBorders>
            <w:shd w:val="clear" w:color="000000" w:fill="FFFFFF"/>
            <w:vAlign w:val="center"/>
            <w:hideMark/>
          </w:tcPr>
          <w:p w14:paraId="5CE5F39C" w14:textId="77777777" w:rsidR="004C1FCE" w:rsidRPr="00AF4759" w:rsidRDefault="004C1FCE" w:rsidP="00781A6A">
            <w:pPr>
              <w:jc w:val="center"/>
              <w:rPr>
                <w:rFonts w:eastAsia="Times New Roman"/>
                <w:b/>
                <w:bCs/>
                <w:color w:val="000000"/>
                <w:sz w:val="16"/>
                <w:szCs w:val="16"/>
                <w:lang w:eastAsia="en-AU"/>
              </w:rPr>
            </w:pPr>
            <w:r w:rsidRPr="00AF4759">
              <w:rPr>
                <w:rFonts w:eastAsia="Times New Roman"/>
                <w:b/>
                <w:bCs/>
                <w:color w:val="000000"/>
                <w:sz w:val="16"/>
                <w:szCs w:val="16"/>
                <w:lang w:eastAsia="en-AU"/>
              </w:rPr>
              <w:t>9. Modern grains</w:t>
            </w:r>
          </w:p>
        </w:tc>
        <w:tc>
          <w:tcPr>
            <w:tcW w:w="1163" w:type="dxa"/>
            <w:tcBorders>
              <w:top w:val="single" w:sz="8" w:space="0" w:color="auto"/>
              <w:left w:val="nil"/>
              <w:bottom w:val="single" w:sz="8" w:space="0" w:color="000000"/>
              <w:right w:val="nil"/>
            </w:tcBorders>
            <w:shd w:val="clear" w:color="000000" w:fill="FFFFFF"/>
            <w:vAlign w:val="center"/>
            <w:hideMark/>
          </w:tcPr>
          <w:p w14:paraId="7CBF8F85" w14:textId="77777777" w:rsidR="004C1FCE" w:rsidRPr="00AF4759" w:rsidRDefault="004C1FCE" w:rsidP="00781A6A">
            <w:pPr>
              <w:jc w:val="center"/>
              <w:rPr>
                <w:rFonts w:eastAsia="Times New Roman"/>
                <w:b/>
                <w:bCs/>
                <w:color w:val="000000"/>
                <w:sz w:val="16"/>
                <w:szCs w:val="16"/>
                <w:lang w:eastAsia="en-AU"/>
              </w:rPr>
            </w:pPr>
            <w:r w:rsidRPr="00AF4759">
              <w:rPr>
                <w:rFonts w:eastAsia="Times New Roman"/>
                <w:b/>
                <w:bCs/>
                <w:color w:val="000000"/>
                <w:sz w:val="16"/>
                <w:szCs w:val="16"/>
                <w:lang w:eastAsia="en-AU"/>
              </w:rPr>
              <w:t>Sum of rejected grains</w:t>
            </w:r>
          </w:p>
        </w:tc>
        <w:tc>
          <w:tcPr>
            <w:tcW w:w="1163" w:type="dxa"/>
            <w:tcBorders>
              <w:top w:val="single" w:sz="8" w:space="0" w:color="auto"/>
              <w:left w:val="nil"/>
              <w:bottom w:val="single" w:sz="8" w:space="0" w:color="000000"/>
              <w:right w:val="nil"/>
            </w:tcBorders>
            <w:shd w:val="clear" w:color="000000" w:fill="FFFFFF"/>
            <w:vAlign w:val="center"/>
            <w:hideMark/>
          </w:tcPr>
          <w:p w14:paraId="5BF1D814" w14:textId="77777777" w:rsidR="004C1FCE" w:rsidRPr="00AF4759" w:rsidRDefault="004C1FCE" w:rsidP="00781A6A">
            <w:pPr>
              <w:jc w:val="center"/>
              <w:rPr>
                <w:rFonts w:eastAsia="Times New Roman"/>
                <w:b/>
                <w:bCs/>
                <w:color w:val="000000"/>
                <w:sz w:val="16"/>
                <w:szCs w:val="16"/>
                <w:lang w:eastAsia="en-AU"/>
              </w:rPr>
            </w:pPr>
            <w:r w:rsidRPr="00AF4759">
              <w:rPr>
                <w:rFonts w:eastAsia="Times New Roman"/>
                <w:b/>
                <w:bCs/>
                <w:color w:val="000000"/>
                <w:sz w:val="16"/>
                <w:szCs w:val="16"/>
                <w:lang w:eastAsia="en-AU"/>
              </w:rPr>
              <w:t>Accepted individual D</w:t>
            </w:r>
            <w:r w:rsidRPr="00AF4759">
              <w:rPr>
                <w:rFonts w:eastAsia="Times New Roman"/>
                <w:b/>
                <w:bCs/>
                <w:color w:val="000000"/>
                <w:sz w:val="16"/>
                <w:szCs w:val="16"/>
                <w:vertAlign w:val="subscript"/>
                <w:lang w:eastAsia="en-AU"/>
              </w:rPr>
              <w:t>e</w:t>
            </w:r>
            <w:r w:rsidRPr="00AF4759">
              <w:rPr>
                <w:rFonts w:eastAsia="Times New Roman"/>
                <w:b/>
                <w:bCs/>
                <w:color w:val="000000"/>
                <w:sz w:val="16"/>
                <w:szCs w:val="16"/>
                <w:lang w:eastAsia="en-AU"/>
              </w:rPr>
              <w:t xml:space="preserve"> values </w:t>
            </w:r>
          </w:p>
        </w:tc>
        <w:tc>
          <w:tcPr>
            <w:tcW w:w="1163" w:type="dxa"/>
            <w:tcBorders>
              <w:top w:val="single" w:sz="8" w:space="0" w:color="auto"/>
              <w:left w:val="nil"/>
              <w:bottom w:val="single" w:sz="8" w:space="0" w:color="000000"/>
              <w:right w:val="nil"/>
            </w:tcBorders>
            <w:shd w:val="clear" w:color="000000" w:fill="FFFFFF"/>
            <w:vAlign w:val="center"/>
            <w:hideMark/>
          </w:tcPr>
          <w:p w14:paraId="67FB4D5B" w14:textId="77777777" w:rsidR="004C1FCE" w:rsidRPr="00AF4759" w:rsidRDefault="004C1FCE" w:rsidP="00781A6A">
            <w:pPr>
              <w:jc w:val="center"/>
              <w:rPr>
                <w:rFonts w:eastAsia="Times New Roman"/>
                <w:b/>
                <w:bCs/>
                <w:color w:val="000000"/>
                <w:sz w:val="16"/>
                <w:szCs w:val="16"/>
                <w:lang w:eastAsia="en-AU"/>
              </w:rPr>
            </w:pPr>
            <w:r w:rsidRPr="00AF4759">
              <w:rPr>
                <w:rFonts w:eastAsia="Times New Roman"/>
                <w:b/>
                <w:bCs/>
                <w:color w:val="000000"/>
                <w:sz w:val="16"/>
                <w:szCs w:val="16"/>
                <w:lang w:eastAsia="en-AU"/>
              </w:rPr>
              <w:t>% of grains used for final D</w:t>
            </w:r>
            <w:r w:rsidRPr="00AF4759">
              <w:rPr>
                <w:rFonts w:eastAsia="Times New Roman"/>
                <w:b/>
                <w:bCs/>
                <w:color w:val="000000"/>
                <w:sz w:val="16"/>
                <w:szCs w:val="16"/>
                <w:vertAlign w:val="subscript"/>
                <w:lang w:eastAsia="en-AU"/>
              </w:rPr>
              <w:t>e</w:t>
            </w:r>
            <w:r w:rsidRPr="00AF4759">
              <w:rPr>
                <w:rFonts w:eastAsia="Times New Roman"/>
                <w:b/>
                <w:bCs/>
                <w:color w:val="000000"/>
                <w:sz w:val="16"/>
                <w:szCs w:val="16"/>
                <w:lang w:eastAsia="en-AU"/>
              </w:rPr>
              <w:t xml:space="preserve"> calc.</w:t>
            </w:r>
          </w:p>
        </w:tc>
      </w:tr>
      <w:tr w:rsidR="004C1FCE" w:rsidRPr="00AF4759" w14:paraId="2AF33B6A" w14:textId="77777777" w:rsidTr="00781A6A">
        <w:trPr>
          <w:trHeight w:val="370"/>
        </w:trPr>
        <w:tc>
          <w:tcPr>
            <w:tcW w:w="1418" w:type="dxa"/>
            <w:tcBorders>
              <w:top w:val="nil"/>
              <w:left w:val="nil"/>
              <w:bottom w:val="nil"/>
              <w:right w:val="nil"/>
            </w:tcBorders>
            <w:shd w:val="clear" w:color="000000" w:fill="FFFFFF"/>
            <w:noWrap/>
            <w:vAlign w:val="center"/>
            <w:hideMark/>
          </w:tcPr>
          <w:p w14:paraId="056C7B8B"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311</w:t>
            </w:r>
          </w:p>
        </w:tc>
        <w:tc>
          <w:tcPr>
            <w:tcW w:w="908" w:type="dxa"/>
            <w:tcBorders>
              <w:top w:val="nil"/>
              <w:left w:val="nil"/>
              <w:bottom w:val="nil"/>
              <w:right w:val="nil"/>
            </w:tcBorders>
            <w:shd w:val="clear" w:color="000000" w:fill="FFFFFF"/>
            <w:noWrap/>
            <w:vAlign w:val="center"/>
            <w:hideMark/>
          </w:tcPr>
          <w:p w14:paraId="2DCC3EFE"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1000</w:t>
            </w:r>
          </w:p>
        </w:tc>
        <w:tc>
          <w:tcPr>
            <w:tcW w:w="1163" w:type="dxa"/>
            <w:tcBorders>
              <w:top w:val="nil"/>
              <w:left w:val="nil"/>
              <w:bottom w:val="nil"/>
              <w:right w:val="nil"/>
            </w:tcBorders>
            <w:shd w:val="clear" w:color="000000" w:fill="FFFFFF"/>
            <w:noWrap/>
            <w:vAlign w:val="center"/>
            <w:hideMark/>
          </w:tcPr>
          <w:p w14:paraId="0F99524B"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580</w:t>
            </w:r>
          </w:p>
        </w:tc>
        <w:tc>
          <w:tcPr>
            <w:tcW w:w="1163" w:type="dxa"/>
            <w:tcBorders>
              <w:top w:val="nil"/>
              <w:left w:val="nil"/>
              <w:bottom w:val="nil"/>
              <w:right w:val="nil"/>
            </w:tcBorders>
            <w:shd w:val="clear" w:color="000000" w:fill="FFFFFF"/>
            <w:noWrap/>
            <w:vAlign w:val="center"/>
            <w:hideMark/>
          </w:tcPr>
          <w:p w14:paraId="07F6CDAF"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123</w:t>
            </w:r>
          </w:p>
        </w:tc>
        <w:tc>
          <w:tcPr>
            <w:tcW w:w="1239" w:type="dxa"/>
            <w:tcBorders>
              <w:top w:val="nil"/>
              <w:left w:val="nil"/>
              <w:bottom w:val="nil"/>
              <w:right w:val="nil"/>
            </w:tcBorders>
            <w:shd w:val="clear" w:color="000000" w:fill="FFFFFF"/>
            <w:vAlign w:val="center"/>
            <w:hideMark/>
          </w:tcPr>
          <w:p w14:paraId="223D5C29"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9</w:t>
            </w:r>
          </w:p>
        </w:tc>
        <w:tc>
          <w:tcPr>
            <w:tcW w:w="1163" w:type="dxa"/>
            <w:tcBorders>
              <w:top w:val="nil"/>
              <w:left w:val="nil"/>
              <w:bottom w:val="nil"/>
              <w:right w:val="nil"/>
            </w:tcBorders>
            <w:shd w:val="clear" w:color="000000" w:fill="FFFFFF"/>
            <w:noWrap/>
            <w:vAlign w:val="center"/>
            <w:hideMark/>
          </w:tcPr>
          <w:p w14:paraId="27056378"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40</w:t>
            </w:r>
          </w:p>
        </w:tc>
        <w:tc>
          <w:tcPr>
            <w:tcW w:w="1163" w:type="dxa"/>
            <w:tcBorders>
              <w:top w:val="nil"/>
              <w:left w:val="nil"/>
              <w:bottom w:val="nil"/>
              <w:right w:val="nil"/>
            </w:tcBorders>
            <w:shd w:val="clear" w:color="000000" w:fill="FFFFFF"/>
            <w:noWrap/>
            <w:vAlign w:val="center"/>
            <w:hideMark/>
          </w:tcPr>
          <w:p w14:paraId="14C5AC84"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35</w:t>
            </w:r>
          </w:p>
        </w:tc>
        <w:tc>
          <w:tcPr>
            <w:tcW w:w="1163" w:type="dxa"/>
            <w:tcBorders>
              <w:top w:val="nil"/>
              <w:left w:val="nil"/>
              <w:bottom w:val="nil"/>
              <w:right w:val="nil"/>
            </w:tcBorders>
            <w:shd w:val="clear" w:color="000000" w:fill="FFFFFF"/>
            <w:noWrap/>
            <w:vAlign w:val="center"/>
            <w:hideMark/>
          </w:tcPr>
          <w:p w14:paraId="7E780716"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86</w:t>
            </w:r>
          </w:p>
        </w:tc>
        <w:tc>
          <w:tcPr>
            <w:tcW w:w="1221" w:type="dxa"/>
            <w:tcBorders>
              <w:top w:val="nil"/>
              <w:left w:val="nil"/>
              <w:bottom w:val="nil"/>
              <w:right w:val="nil"/>
            </w:tcBorders>
            <w:shd w:val="clear" w:color="000000" w:fill="FFFFFF"/>
            <w:noWrap/>
            <w:vAlign w:val="center"/>
            <w:hideMark/>
          </w:tcPr>
          <w:p w14:paraId="5DB4CD9A"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0</w:t>
            </w:r>
          </w:p>
        </w:tc>
        <w:tc>
          <w:tcPr>
            <w:tcW w:w="1114" w:type="dxa"/>
            <w:tcBorders>
              <w:top w:val="nil"/>
              <w:left w:val="nil"/>
              <w:bottom w:val="nil"/>
              <w:right w:val="nil"/>
            </w:tcBorders>
            <w:shd w:val="clear" w:color="000000" w:fill="FFFFFF"/>
            <w:vAlign w:val="center"/>
            <w:hideMark/>
          </w:tcPr>
          <w:p w14:paraId="7C407B76"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1</w:t>
            </w:r>
          </w:p>
        </w:tc>
        <w:tc>
          <w:tcPr>
            <w:tcW w:w="1078" w:type="dxa"/>
            <w:tcBorders>
              <w:top w:val="nil"/>
              <w:left w:val="nil"/>
              <w:bottom w:val="nil"/>
              <w:right w:val="nil"/>
            </w:tcBorders>
            <w:shd w:val="clear" w:color="000000" w:fill="FFFFFF"/>
            <w:vAlign w:val="center"/>
            <w:hideMark/>
          </w:tcPr>
          <w:p w14:paraId="50CD5AFF"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3</w:t>
            </w:r>
          </w:p>
        </w:tc>
        <w:tc>
          <w:tcPr>
            <w:tcW w:w="1163" w:type="dxa"/>
            <w:tcBorders>
              <w:top w:val="nil"/>
              <w:left w:val="nil"/>
              <w:bottom w:val="nil"/>
              <w:right w:val="nil"/>
            </w:tcBorders>
            <w:shd w:val="clear" w:color="000000" w:fill="FFFFFF"/>
            <w:noWrap/>
            <w:vAlign w:val="center"/>
            <w:hideMark/>
          </w:tcPr>
          <w:p w14:paraId="7128CFA9" w14:textId="77777777" w:rsidR="004C1FCE" w:rsidRPr="00AF4759" w:rsidRDefault="004C1FCE" w:rsidP="00781A6A">
            <w:pPr>
              <w:jc w:val="center"/>
              <w:rPr>
                <w:rFonts w:eastAsia="Times New Roman"/>
                <w:b/>
                <w:bCs/>
                <w:color w:val="000000"/>
                <w:sz w:val="16"/>
                <w:szCs w:val="16"/>
                <w:lang w:eastAsia="en-AU"/>
              </w:rPr>
            </w:pPr>
            <w:r w:rsidRPr="00AF4759">
              <w:rPr>
                <w:rFonts w:eastAsia="Times New Roman"/>
                <w:b/>
                <w:bCs/>
                <w:color w:val="000000"/>
                <w:sz w:val="16"/>
                <w:szCs w:val="16"/>
                <w:lang w:eastAsia="en-AU"/>
              </w:rPr>
              <w:t>877</w:t>
            </w:r>
          </w:p>
        </w:tc>
        <w:tc>
          <w:tcPr>
            <w:tcW w:w="1163" w:type="dxa"/>
            <w:tcBorders>
              <w:top w:val="nil"/>
              <w:left w:val="nil"/>
              <w:bottom w:val="nil"/>
              <w:right w:val="nil"/>
            </w:tcBorders>
            <w:shd w:val="clear" w:color="000000" w:fill="FFFFFF"/>
            <w:noWrap/>
            <w:vAlign w:val="center"/>
            <w:hideMark/>
          </w:tcPr>
          <w:p w14:paraId="45B37D3B" w14:textId="77777777" w:rsidR="004C1FCE" w:rsidRPr="00AF4759" w:rsidRDefault="004C1FCE" w:rsidP="00781A6A">
            <w:pPr>
              <w:jc w:val="center"/>
              <w:rPr>
                <w:rFonts w:eastAsia="Times New Roman"/>
                <w:b/>
                <w:bCs/>
                <w:color w:val="000000"/>
                <w:sz w:val="16"/>
                <w:szCs w:val="16"/>
                <w:lang w:eastAsia="en-AU"/>
              </w:rPr>
            </w:pPr>
            <w:r w:rsidRPr="00AF4759">
              <w:rPr>
                <w:rFonts w:eastAsia="Times New Roman"/>
                <w:b/>
                <w:bCs/>
                <w:color w:val="000000"/>
                <w:sz w:val="16"/>
                <w:szCs w:val="16"/>
                <w:lang w:eastAsia="en-AU"/>
              </w:rPr>
              <w:t>123</w:t>
            </w:r>
          </w:p>
        </w:tc>
        <w:tc>
          <w:tcPr>
            <w:tcW w:w="1163" w:type="dxa"/>
            <w:tcBorders>
              <w:top w:val="nil"/>
              <w:left w:val="nil"/>
              <w:bottom w:val="nil"/>
              <w:right w:val="nil"/>
            </w:tcBorders>
            <w:shd w:val="clear" w:color="000000" w:fill="FFFFFF"/>
            <w:vAlign w:val="center"/>
            <w:hideMark/>
          </w:tcPr>
          <w:p w14:paraId="11D81D93" w14:textId="77777777" w:rsidR="004C1FCE" w:rsidRPr="00AF4759" w:rsidRDefault="004C1FCE" w:rsidP="00781A6A">
            <w:pPr>
              <w:jc w:val="center"/>
              <w:rPr>
                <w:rFonts w:eastAsia="Times New Roman"/>
                <w:b/>
                <w:bCs/>
                <w:color w:val="000000"/>
                <w:sz w:val="16"/>
                <w:szCs w:val="16"/>
                <w:lang w:eastAsia="en-AU"/>
              </w:rPr>
            </w:pPr>
            <w:r w:rsidRPr="00AF4759">
              <w:rPr>
                <w:rFonts w:eastAsia="Times New Roman"/>
                <w:b/>
                <w:bCs/>
                <w:color w:val="000000"/>
                <w:sz w:val="16"/>
                <w:szCs w:val="16"/>
                <w:lang w:eastAsia="en-AU"/>
              </w:rPr>
              <w:t>12.3</w:t>
            </w:r>
          </w:p>
        </w:tc>
      </w:tr>
      <w:tr w:rsidR="004C1FCE" w:rsidRPr="00AF4759" w14:paraId="6D53CBA5" w14:textId="77777777" w:rsidTr="00781A6A">
        <w:trPr>
          <w:trHeight w:val="370"/>
        </w:trPr>
        <w:tc>
          <w:tcPr>
            <w:tcW w:w="1418" w:type="dxa"/>
            <w:tcBorders>
              <w:top w:val="nil"/>
              <w:left w:val="nil"/>
              <w:bottom w:val="nil"/>
              <w:right w:val="nil"/>
            </w:tcBorders>
            <w:shd w:val="clear" w:color="000000" w:fill="FFFFFF"/>
            <w:noWrap/>
            <w:vAlign w:val="center"/>
            <w:hideMark/>
          </w:tcPr>
          <w:p w14:paraId="503B0F06"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310</w:t>
            </w:r>
          </w:p>
        </w:tc>
        <w:tc>
          <w:tcPr>
            <w:tcW w:w="908" w:type="dxa"/>
            <w:tcBorders>
              <w:top w:val="nil"/>
              <w:left w:val="nil"/>
              <w:bottom w:val="nil"/>
              <w:right w:val="nil"/>
            </w:tcBorders>
            <w:shd w:val="clear" w:color="000000" w:fill="FFFFFF"/>
            <w:noWrap/>
            <w:vAlign w:val="center"/>
            <w:hideMark/>
          </w:tcPr>
          <w:p w14:paraId="04BC37E5"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1000</w:t>
            </w:r>
          </w:p>
        </w:tc>
        <w:tc>
          <w:tcPr>
            <w:tcW w:w="1163" w:type="dxa"/>
            <w:tcBorders>
              <w:top w:val="nil"/>
              <w:left w:val="nil"/>
              <w:bottom w:val="nil"/>
              <w:right w:val="nil"/>
            </w:tcBorders>
            <w:shd w:val="clear" w:color="000000" w:fill="FFFFFF"/>
            <w:noWrap/>
            <w:vAlign w:val="center"/>
            <w:hideMark/>
          </w:tcPr>
          <w:p w14:paraId="43B8F015"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689</w:t>
            </w:r>
          </w:p>
        </w:tc>
        <w:tc>
          <w:tcPr>
            <w:tcW w:w="1163" w:type="dxa"/>
            <w:tcBorders>
              <w:top w:val="nil"/>
              <w:left w:val="nil"/>
              <w:bottom w:val="nil"/>
              <w:right w:val="nil"/>
            </w:tcBorders>
            <w:shd w:val="clear" w:color="000000" w:fill="FFFFFF"/>
            <w:noWrap/>
            <w:vAlign w:val="center"/>
            <w:hideMark/>
          </w:tcPr>
          <w:p w14:paraId="28DF2FB2"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111</w:t>
            </w:r>
          </w:p>
        </w:tc>
        <w:tc>
          <w:tcPr>
            <w:tcW w:w="1239" w:type="dxa"/>
            <w:tcBorders>
              <w:top w:val="nil"/>
              <w:left w:val="nil"/>
              <w:bottom w:val="nil"/>
              <w:right w:val="nil"/>
            </w:tcBorders>
            <w:shd w:val="clear" w:color="000000" w:fill="FFFFFF"/>
            <w:vAlign w:val="center"/>
            <w:hideMark/>
          </w:tcPr>
          <w:p w14:paraId="15357FE1"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3</w:t>
            </w:r>
          </w:p>
        </w:tc>
        <w:tc>
          <w:tcPr>
            <w:tcW w:w="1163" w:type="dxa"/>
            <w:tcBorders>
              <w:top w:val="nil"/>
              <w:left w:val="nil"/>
              <w:bottom w:val="nil"/>
              <w:right w:val="nil"/>
            </w:tcBorders>
            <w:shd w:val="clear" w:color="000000" w:fill="FFFFFF"/>
            <w:noWrap/>
            <w:vAlign w:val="center"/>
            <w:hideMark/>
          </w:tcPr>
          <w:p w14:paraId="4077A7C4"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28</w:t>
            </w:r>
          </w:p>
        </w:tc>
        <w:tc>
          <w:tcPr>
            <w:tcW w:w="1163" w:type="dxa"/>
            <w:tcBorders>
              <w:top w:val="nil"/>
              <w:left w:val="nil"/>
              <w:bottom w:val="nil"/>
              <w:right w:val="nil"/>
            </w:tcBorders>
            <w:shd w:val="clear" w:color="000000" w:fill="FFFFFF"/>
            <w:noWrap/>
            <w:vAlign w:val="center"/>
            <w:hideMark/>
          </w:tcPr>
          <w:p w14:paraId="496BD98D"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17</w:t>
            </w:r>
          </w:p>
        </w:tc>
        <w:tc>
          <w:tcPr>
            <w:tcW w:w="1163" w:type="dxa"/>
            <w:tcBorders>
              <w:top w:val="nil"/>
              <w:left w:val="nil"/>
              <w:bottom w:val="nil"/>
              <w:right w:val="nil"/>
            </w:tcBorders>
            <w:shd w:val="clear" w:color="000000" w:fill="FFFFFF"/>
            <w:noWrap/>
            <w:vAlign w:val="center"/>
            <w:hideMark/>
          </w:tcPr>
          <w:p w14:paraId="4985DDC6"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63</w:t>
            </w:r>
          </w:p>
        </w:tc>
        <w:tc>
          <w:tcPr>
            <w:tcW w:w="1221" w:type="dxa"/>
            <w:tcBorders>
              <w:top w:val="nil"/>
              <w:left w:val="nil"/>
              <w:bottom w:val="nil"/>
              <w:right w:val="nil"/>
            </w:tcBorders>
            <w:shd w:val="clear" w:color="000000" w:fill="FFFFFF"/>
            <w:noWrap/>
            <w:vAlign w:val="center"/>
            <w:hideMark/>
          </w:tcPr>
          <w:p w14:paraId="2F99CFD2"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4</w:t>
            </w:r>
          </w:p>
        </w:tc>
        <w:tc>
          <w:tcPr>
            <w:tcW w:w="1114" w:type="dxa"/>
            <w:tcBorders>
              <w:top w:val="nil"/>
              <w:left w:val="nil"/>
              <w:bottom w:val="nil"/>
              <w:right w:val="nil"/>
            </w:tcBorders>
            <w:shd w:val="clear" w:color="000000" w:fill="FFFFFF"/>
            <w:vAlign w:val="center"/>
            <w:hideMark/>
          </w:tcPr>
          <w:p w14:paraId="3AC66B6E"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5</w:t>
            </w:r>
          </w:p>
        </w:tc>
        <w:tc>
          <w:tcPr>
            <w:tcW w:w="1078" w:type="dxa"/>
            <w:tcBorders>
              <w:top w:val="nil"/>
              <w:left w:val="nil"/>
              <w:bottom w:val="nil"/>
              <w:right w:val="nil"/>
            </w:tcBorders>
            <w:shd w:val="clear" w:color="000000" w:fill="FFFFFF"/>
            <w:vAlign w:val="center"/>
            <w:hideMark/>
          </w:tcPr>
          <w:p w14:paraId="69142104"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2</w:t>
            </w:r>
          </w:p>
        </w:tc>
        <w:tc>
          <w:tcPr>
            <w:tcW w:w="1163" w:type="dxa"/>
            <w:tcBorders>
              <w:top w:val="nil"/>
              <w:left w:val="nil"/>
              <w:bottom w:val="nil"/>
              <w:right w:val="nil"/>
            </w:tcBorders>
            <w:shd w:val="clear" w:color="000000" w:fill="FFFFFF"/>
            <w:noWrap/>
            <w:vAlign w:val="center"/>
            <w:hideMark/>
          </w:tcPr>
          <w:p w14:paraId="44439049" w14:textId="77777777" w:rsidR="004C1FCE" w:rsidRPr="00AF4759" w:rsidRDefault="004C1FCE" w:rsidP="00781A6A">
            <w:pPr>
              <w:jc w:val="center"/>
              <w:rPr>
                <w:rFonts w:eastAsia="Times New Roman"/>
                <w:b/>
                <w:bCs/>
                <w:color w:val="000000"/>
                <w:sz w:val="16"/>
                <w:szCs w:val="16"/>
                <w:lang w:eastAsia="en-AU"/>
              </w:rPr>
            </w:pPr>
            <w:r w:rsidRPr="00AF4759">
              <w:rPr>
                <w:rFonts w:eastAsia="Times New Roman"/>
                <w:b/>
                <w:bCs/>
                <w:color w:val="000000"/>
                <w:sz w:val="16"/>
                <w:szCs w:val="16"/>
                <w:lang w:eastAsia="en-AU"/>
              </w:rPr>
              <w:t>922</w:t>
            </w:r>
          </w:p>
        </w:tc>
        <w:tc>
          <w:tcPr>
            <w:tcW w:w="1163" w:type="dxa"/>
            <w:tcBorders>
              <w:top w:val="nil"/>
              <w:left w:val="nil"/>
              <w:bottom w:val="nil"/>
              <w:right w:val="nil"/>
            </w:tcBorders>
            <w:shd w:val="clear" w:color="000000" w:fill="FFFFFF"/>
            <w:noWrap/>
            <w:vAlign w:val="center"/>
            <w:hideMark/>
          </w:tcPr>
          <w:p w14:paraId="6F0327B1" w14:textId="77777777" w:rsidR="004C1FCE" w:rsidRPr="00AF4759" w:rsidRDefault="004C1FCE" w:rsidP="00781A6A">
            <w:pPr>
              <w:jc w:val="center"/>
              <w:rPr>
                <w:rFonts w:eastAsia="Times New Roman"/>
                <w:b/>
                <w:bCs/>
                <w:color w:val="000000"/>
                <w:sz w:val="16"/>
                <w:szCs w:val="16"/>
                <w:lang w:eastAsia="en-AU"/>
              </w:rPr>
            </w:pPr>
            <w:r w:rsidRPr="00AF4759">
              <w:rPr>
                <w:rFonts w:eastAsia="Times New Roman"/>
                <w:b/>
                <w:bCs/>
                <w:color w:val="000000"/>
                <w:sz w:val="16"/>
                <w:szCs w:val="16"/>
                <w:lang w:eastAsia="en-AU"/>
              </w:rPr>
              <w:t>78</w:t>
            </w:r>
          </w:p>
        </w:tc>
        <w:tc>
          <w:tcPr>
            <w:tcW w:w="1163" w:type="dxa"/>
            <w:tcBorders>
              <w:top w:val="nil"/>
              <w:left w:val="nil"/>
              <w:bottom w:val="nil"/>
              <w:right w:val="nil"/>
            </w:tcBorders>
            <w:shd w:val="clear" w:color="000000" w:fill="FFFFFF"/>
            <w:vAlign w:val="center"/>
            <w:hideMark/>
          </w:tcPr>
          <w:p w14:paraId="6716B612" w14:textId="77777777" w:rsidR="004C1FCE" w:rsidRPr="00AF4759" w:rsidRDefault="004C1FCE" w:rsidP="00781A6A">
            <w:pPr>
              <w:jc w:val="center"/>
              <w:rPr>
                <w:rFonts w:eastAsia="Times New Roman"/>
                <w:b/>
                <w:bCs/>
                <w:color w:val="000000"/>
                <w:sz w:val="16"/>
                <w:szCs w:val="16"/>
                <w:lang w:eastAsia="en-AU"/>
              </w:rPr>
            </w:pPr>
            <w:r w:rsidRPr="00AF4759">
              <w:rPr>
                <w:rFonts w:eastAsia="Times New Roman"/>
                <w:b/>
                <w:bCs/>
                <w:color w:val="000000"/>
                <w:sz w:val="16"/>
                <w:szCs w:val="16"/>
                <w:lang w:eastAsia="en-AU"/>
              </w:rPr>
              <w:t>7.8</w:t>
            </w:r>
          </w:p>
        </w:tc>
      </w:tr>
      <w:tr w:rsidR="004C1FCE" w:rsidRPr="00AF4759" w14:paraId="69E2D64F" w14:textId="77777777" w:rsidTr="00781A6A">
        <w:trPr>
          <w:trHeight w:val="370"/>
        </w:trPr>
        <w:tc>
          <w:tcPr>
            <w:tcW w:w="1418" w:type="dxa"/>
            <w:tcBorders>
              <w:top w:val="nil"/>
              <w:left w:val="nil"/>
              <w:bottom w:val="nil"/>
              <w:right w:val="nil"/>
            </w:tcBorders>
            <w:shd w:val="clear" w:color="000000" w:fill="FFFFFF"/>
            <w:noWrap/>
            <w:vAlign w:val="center"/>
            <w:hideMark/>
          </w:tcPr>
          <w:p w14:paraId="42B8637D"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309</w:t>
            </w:r>
          </w:p>
        </w:tc>
        <w:tc>
          <w:tcPr>
            <w:tcW w:w="908" w:type="dxa"/>
            <w:tcBorders>
              <w:top w:val="nil"/>
              <w:left w:val="nil"/>
              <w:bottom w:val="nil"/>
              <w:right w:val="nil"/>
            </w:tcBorders>
            <w:shd w:val="clear" w:color="000000" w:fill="FFFFFF"/>
            <w:noWrap/>
            <w:vAlign w:val="center"/>
            <w:hideMark/>
          </w:tcPr>
          <w:p w14:paraId="36CD97A4"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1000</w:t>
            </w:r>
          </w:p>
        </w:tc>
        <w:tc>
          <w:tcPr>
            <w:tcW w:w="1163" w:type="dxa"/>
            <w:tcBorders>
              <w:top w:val="nil"/>
              <w:left w:val="nil"/>
              <w:bottom w:val="nil"/>
              <w:right w:val="nil"/>
            </w:tcBorders>
            <w:shd w:val="clear" w:color="000000" w:fill="FFFFFF"/>
            <w:noWrap/>
            <w:vAlign w:val="center"/>
            <w:hideMark/>
          </w:tcPr>
          <w:p w14:paraId="083F3145"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871</w:t>
            </w:r>
          </w:p>
        </w:tc>
        <w:tc>
          <w:tcPr>
            <w:tcW w:w="1163" w:type="dxa"/>
            <w:tcBorders>
              <w:top w:val="nil"/>
              <w:left w:val="nil"/>
              <w:bottom w:val="nil"/>
              <w:right w:val="nil"/>
            </w:tcBorders>
            <w:shd w:val="clear" w:color="000000" w:fill="FFFFFF"/>
            <w:noWrap/>
            <w:vAlign w:val="center"/>
            <w:hideMark/>
          </w:tcPr>
          <w:p w14:paraId="7B51CA80"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59</w:t>
            </w:r>
          </w:p>
        </w:tc>
        <w:tc>
          <w:tcPr>
            <w:tcW w:w="1239" w:type="dxa"/>
            <w:tcBorders>
              <w:top w:val="nil"/>
              <w:left w:val="nil"/>
              <w:bottom w:val="nil"/>
              <w:right w:val="nil"/>
            </w:tcBorders>
            <w:shd w:val="clear" w:color="000000" w:fill="FFFFFF"/>
            <w:vAlign w:val="center"/>
            <w:hideMark/>
          </w:tcPr>
          <w:p w14:paraId="0BD297AD"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1</w:t>
            </w:r>
          </w:p>
        </w:tc>
        <w:tc>
          <w:tcPr>
            <w:tcW w:w="1163" w:type="dxa"/>
            <w:tcBorders>
              <w:top w:val="nil"/>
              <w:left w:val="nil"/>
              <w:bottom w:val="nil"/>
              <w:right w:val="nil"/>
            </w:tcBorders>
            <w:shd w:val="clear" w:color="000000" w:fill="FFFFFF"/>
            <w:noWrap/>
            <w:vAlign w:val="center"/>
            <w:hideMark/>
          </w:tcPr>
          <w:p w14:paraId="29116F09"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15</w:t>
            </w:r>
          </w:p>
        </w:tc>
        <w:tc>
          <w:tcPr>
            <w:tcW w:w="1163" w:type="dxa"/>
            <w:tcBorders>
              <w:top w:val="nil"/>
              <w:left w:val="nil"/>
              <w:bottom w:val="nil"/>
              <w:right w:val="nil"/>
            </w:tcBorders>
            <w:shd w:val="clear" w:color="000000" w:fill="FFFFFF"/>
            <w:noWrap/>
            <w:vAlign w:val="center"/>
            <w:hideMark/>
          </w:tcPr>
          <w:p w14:paraId="1CDD8609"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11</w:t>
            </w:r>
          </w:p>
        </w:tc>
        <w:tc>
          <w:tcPr>
            <w:tcW w:w="1163" w:type="dxa"/>
            <w:tcBorders>
              <w:top w:val="nil"/>
              <w:left w:val="nil"/>
              <w:bottom w:val="nil"/>
              <w:right w:val="nil"/>
            </w:tcBorders>
            <w:shd w:val="clear" w:color="000000" w:fill="FFFFFF"/>
            <w:noWrap/>
            <w:vAlign w:val="center"/>
            <w:hideMark/>
          </w:tcPr>
          <w:p w14:paraId="796BD1F8"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17</w:t>
            </w:r>
          </w:p>
        </w:tc>
        <w:tc>
          <w:tcPr>
            <w:tcW w:w="1221" w:type="dxa"/>
            <w:tcBorders>
              <w:top w:val="nil"/>
              <w:left w:val="nil"/>
              <w:bottom w:val="nil"/>
              <w:right w:val="nil"/>
            </w:tcBorders>
            <w:shd w:val="clear" w:color="000000" w:fill="FFFFFF"/>
            <w:noWrap/>
            <w:vAlign w:val="center"/>
            <w:hideMark/>
          </w:tcPr>
          <w:p w14:paraId="38631AF8"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1</w:t>
            </w:r>
          </w:p>
        </w:tc>
        <w:tc>
          <w:tcPr>
            <w:tcW w:w="1114" w:type="dxa"/>
            <w:tcBorders>
              <w:top w:val="nil"/>
              <w:left w:val="nil"/>
              <w:bottom w:val="nil"/>
              <w:right w:val="nil"/>
            </w:tcBorders>
            <w:shd w:val="clear" w:color="000000" w:fill="FFFFFF"/>
            <w:vAlign w:val="center"/>
            <w:hideMark/>
          </w:tcPr>
          <w:p w14:paraId="4D0E69F2"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2</w:t>
            </w:r>
          </w:p>
        </w:tc>
        <w:tc>
          <w:tcPr>
            <w:tcW w:w="1078" w:type="dxa"/>
            <w:tcBorders>
              <w:top w:val="nil"/>
              <w:left w:val="nil"/>
              <w:bottom w:val="nil"/>
              <w:right w:val="nil"/>
            </w:tcBorders>
            <w:shd w:val="clear" w:color="000000" w:fill="FFFFFF"/>
            <w:vAlign w:val="center"/>
            <w:hideMark/>
          </w:tcPr>
          <w:p w14:paraId="3D033830"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4</w:t>
            </w:r>
          </w:p>
        </w:tc>
        <w:tc>
          <w:tcPr>
            <w:tcW w:w="1163" w:type="dxa"/>
            <w:tcBorders>
              <w:top w:val="nil"/>
              <w:left w:val="nil"/>
              <w:bottom w:val="nil"/>
              <w:right w:val="nil"/>
            </w:tcBorders>
            <w:shd w:val="clear" w:color="000000" w:fill="FFFFFF"/>
            <w:noWrap/>
            <w:vAlign w:val="center"/>
            <w:hideMark/>
          </w:tcPr>
          <w:p w14:paraId="3F8F6A05" w14:textId="77777777" w:rsidR="004C1FCE" w:rsidRPr="00AF4759" w:rsidRDefault="004C1FCE" w:rsidP="00781A6A">
            <w:pPr>
              <w:jc w:val="center"/>
              <w:rPr>
                <w:rFonts w:eastAsia="Times New Roman"/>
                <w:b/>
                <w:bCs/>
                <w:color w:val="000000"/>
                <w:sz w:val="16"/>
                <w:szCs w:val="16"/>
                <w:lang w:eastAsia="en-AU"/>
              </w:rPr>
            </w:pPr>
            <w:r w:rsidRPr="00AF4759">
              <w:rPr>
                <w:rFonts w:eastAsia="Times New Roman"/>
                <w:b/>
                <w:bCs/>
                <w:color w:val="000000"/>
                <w:sz w:val="16"/>
                <w:szCs w:val="16"/>
                <w:lang w:eastAsia="en-AU"/>
              </w:rPr>
              <w:t>981</w:t>
            </w:r>
          </w:p>
        </w:tc>
        <w:tc>
          <w:tcPr>
            <w:tcW w:w="1163" w:type="dxa"/>
            <w:tcBorders>
              <w:top w:val="nil"/>
              <w:left w:val="nil"/>
              <w:bottom w:val="nil"/>
              <w:right w:val="nil"/>
            </w:tcBorders>
            <w:shd w:val="clear" w:color="000000" w:fill="FFFFFF"/>
            <w:noWrap/>
            <w:vAlign w:val="center"/>
            <w:hideMark/>
          </w:tcPr>
          <w:p w14:paraId="7BE320D2" w14:textId="77777777" w:rsidR="004C1FCE" w:rsidRPr="00AF4759" w:rsidRDefault="004C1FCE" w:rsidP="00781A6A">
            <w:pPr>
              <w:jc w:val="center"/>
              <w:rPr>
                <w:rFonts w:eastAsia="Times New Roman"/>
                <w:b/>
                <w:bCs/>
                <w:color w:val="000000"/>
                <w:sz w:val="16"/>
                <w:szCs w:val="16"/>
                <w:lang w:eastAsia="en-AU"/>
              </w:rPr>
            </w:pPr>
            <w:r w:rsidRPr="00AF4759">
              <w:rPr>
                <w:rFonts w:eastAsia="Times New Roman"/>
                <w:b/>
                <w:bCs/>
                <w:color w:val="000000"/>
                <w:sz w:val="16"/>
                <w:szCs w:val="16"/>
                <w:lang w:eastAsia="en-AU"/>
              </w:rPr>
              <w:t>19</w:t>
            </w:r>
          </w:p>
        </w:tc>
        <w:tc>
          <w:tcPr>
            <w:tcW w:w="1163" w:type="dxa"/>
            <w:tcBorders>
              <w:top w:val="nil"/>
              <w:left w:val="nil"/>
              <w:bottom w:val="nil"/>
              <w:right w:val="nil"/>
            </w:tcBorders>
            <w:shd w:val="clear" w:color="000000" w:fill="FFFFFF"/>
            <w:vAlign w:val="center"/>
            <w:hideMark/>
          </w:tcPr>
          <w:p w14:paraId="536F24C7" w14:textId="77777777" w:rsidR="004C1FCE" w:rsidRPr="00AF4759" w:rsidRDefault="004C1FCE" w:rsidP="00781A6A">
            <w:pPr>
              <w:jc w:val="center"/>
              <w:rPr>
                <w:rFonts w:eastAsia="Times New Roman"/>
                <w:b/>
                <w:bCs/>
                <w:color w:val="000000"/>
                <w:sz w:val="16"/>
                <w:szCs w:val="16"/>
                <w:lang w:eastAsia="en-AU"/>
              </w:rPr>
            </w:pPr>
            <w:r w:rsidRPr="00AF4759">
              <w:rPr>
                <w:rFonts w:eastAsia="Times New Roman"/>
                <w:b/>
                <w:bCs/>
                <w:color w:val="000000"/>
                <w:sz w:val="16"/>
                <w:szCs w:val="16"/>
                <w:lang w:eastAsia="en-AU"/>
              </w:rPr>
              <w:t>1.9</w:t>
            </w:r>
          </w:p>
        </w:tc>
      </w:tr>
      <w:tr w:rsidR="004C1FCE" w:rsidRPr="00AF4759" w14:paraId="499C32C9" w14:textId="77777777" w:rsidTr="00781A6A">
        <w:trPr>
          <w:trHeight w:val="370"/>
        </w:trPr>
        <w:tc>
          <w:tcPr>
            <w:tcW w:w="1418" w:type="dxa"/>
            <w:tcBorders>
              <w:top w:val="nil"/>
              <w:left w:val="nil"/>
              <w:bottom w:val="nil"/>
              <w:right w:val="nil"/>
            </w:tcBorders>
            <w:shd w:val="clear" w:color="000000" w:fill="FFFFFF"/>
            <w:noWrap/>
            <w:vAlign w:val="center"/>
            <w:hideMark/>
          </w:tcPr>
          <w:p w14:paraId="3E4483BE"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309</w:t>
            </w:r>
            <w:r w:rsidRPr="00AF4759">
              <w:rPr>
                <w:rFonts w:eastAsia="Times New Roman"/>
                <w:b/>
                <w:bCs/>
                <w:color w:val="000000"/>
                <w:sz w:val="16"/>
                <w:szCs w:val="16"/>
                <w:lang w:eastAsia="en-AU"/>
              </w:rPr>
              <w:t>*</w:t>
            </w:r>
          </w:p>
        </w:tc>
        <w:tc>
          <w:tcPr>
            <w:tcW w:w="908" w:type="dxa"/>
            <w:tcBorders>
              <w:top w:val="nil"/>
              <w:left w:val="nil"/>
              <w:bottom w:val="nil"/>
              <w:right w:val="nil"/>
            </w:tcBorders>
            <w:shd w:val="clear" w:color="000000" w:fill="FFFFFF"/>
            <w:noWrap/>
            <w:vAlign w:val="center"/>
            <w:hideMark/>
          </w:tcPr>
          <w:p w14:paraId="657EF134"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2000</w:t>
            </w:r>
          </w:p>
        </w:tc>
        <w:tc>
          <w:tcPr>
            <w:tcW w:w="1163" w:type="dxa"/>
            <w:tcBorders>
              <w:top w:val="nil"/>
              <w:left w:val="nil"/>
              <w:bottom w:val="nil"/>
              <w:right w:val="nil"/>
            </w:tcBorders>
            <w:shd w:val="clear" w:color="000000" w:fill="FFFFFF"/>
            <w:noWrap/>
            <w:vAlign w:val="center"/>
            <w:hideMark/>
          </w:tcPr>
          <w:p w14:paraId="51F84848"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1185</w:t>
            </w:r>
          </w:p>
        </w:tc>
        <w:tc>
          <w:tcPr>
            <w:tcW w:w="1163" w:type="dxa"/>
            <w:tcBorders>
              <w:top w:val="nil"/>
              <w:left w:val="nil"/>
              <w:bottom w:val="nil"/>
              <w:right w:val="nil"/>
            </w:tcBorders>
            <w:shd w:val="clear" w:color="000000" w:fill="FFFFFF"/>
            <w:noWrap/>
            <w:vAlign w:val="center"/>
            <w:hideMark/>
          </w:tcPr>
          <w:p w14:paraId="3CF9DDAE"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196</w:t>
            </w:r>
          </w:p>
        </w:tc>
        <w:tc>
          <w:tcPr>
            <w:tcW w:w="1239" w:type="dxa"/>
            <w:tcBorders>
              <w:top w:val="nil"/>
              <w:left w:val="nil"/>
              <w:bottom w:val="nil"/>
              <w:right w:val="nil"/>
            </w:tcBorders>
            <w:shd w:val="clear" w:color="000000" w:fill="FFFFFF"/>
            <w:vAlign w:val="center"/>
            <w:hideMark/>
          </w:tcPr>
          <w:p w14:paraId="58BA28C9"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8</w:t>
            </w:r>
          </w:p>
        </w:tc>
        <w:tc>
          <w:tcPr>
            <w:tcW w:w="1163" w:type="dxa"/>
            <w:tcBorders>
              <w:top w:val="nil"/>
              <w:left w:val="nil"/>
              <w:bottom w:val="nil"/>
              <w:right w:val="nil"/>
            </w:tcBorders>
            <w:shd w:val="clear" w:color="000000" w:fill="FFFFFF"/>
            <w:noWrap/>
            <w:vAlign w:val="center"/>
            <w:hideMark/>
          </w:tcPr>
          <w:p w14:paraId="78BB9948"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77</w:t>
            </w:r>
          </w:p>
        </w:tc>
        <w:tc>
          <w:tcPr>
            <w:tcW w:w="1163" w:type="dxa"/>
            <w:tcBorders>
              <w:top w:val="nil"/>
              <w:left w:val="nil"/>
              <w:bottom w:val="nil"/>
              <w:right w:val="nil"/>
            </w:tcBorders>
            <w:shd w:val="clear" w:color="000000" w:fill="FFFFFF"/>
            <w:noWrap/>
            <w:vAlign w:val="center"/>
            <w:hideMark/>
          </w:tcPr>
          <w:p w14:paraId="4FF45F6F"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61</w:t>
            </w:r>
          </w:p>
        </w:tc>
        <w:tc>
          <w:tcPr>
            <w:tcW w:w="1163" w:type="dxa"/>
            <w:tcBorders>
              <w:top w:val="nil"/>
              <w:left w:val="nil"/>
              <w:bottom w:val="nil"/>
              <w:right w:val="nil"/>
            </w:tcBorders>
            <w:shd w:val="clear" w:color="000000" w:fill="FFFFFF"/>
            <w:noWrap/>
            <w:vAlign w:val="center"/>
            <w:hideMark/>
          </w:tcPr>
          <w:p w14:paraId="6CFDFDF6"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107</w:t>
            </w:r>
          </w:p>
        </w:tc>
        <w:tc>
          <w:tcPr>
            <w:tcW w:w="1221" w:type="dxa"/>
            <w:tcBorders>
              <w:top w:val="nil"/>
              <w:left w:val="nil"/>
              <w:bottom w:val="nil"/>
              <w:right w:val="nil"/>
            </w:tcBorders>
            <w:shd w:val="clear" w:color="000000" w:fill="FFFFFF"/>
            <w:noWrap/>
            <w:vAlign w:val="center"/>
            <w:hideMark/>
          </w:tcPr>
          <w:p w14:paraId="6704C1FF"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37</w:t>
            </w:r>
          </w:p>
        </w:tc>
        <w:tc>
          <w:tcPr>
            <w:tcW w:w="1114" w:type="dxa"/>
            <w:tcBorders>
              <w:top w:val="nil"/>
              <w:left w:val="nil"/>
              <w:bottom w:val="nil"/>
              <w:right w:val="nil"/>
            </w:tcBorders>
            <w:shd w:val="clear" w:color="000000" w:fill="FFFFFF"/>
            <w:vAlign w:val="center"/>
            <w:hideMark/>
          </w:tcPr>
          <w:p w14:paraId="3C9348C0"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30</w:t>
            </w:r>
          </w:p>
        </w:tc>
        <w:tc>
          <w:tcPr>
            <w:tcW w:w="1078" w:type="dxa"/>
            <w:tcBorders>
              <w:top w:val="nil"/>
              <w:left w:val="nil"/>
              <w:bottom w:val="nil"/>
              <w:right w:val="nil"/>
            </w:tcBorders>
            <w:shd w:val="clear" w:color="000000" w:fill="FFFFFF"/>
            <w:vAlign w:val="center"/>
            <w:hideMark/>
          </w:tcPr>
          <w:p w14:paraId="795AC3EA"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1</w:t>
            </w:r>
          </w:p>
        </w:tc>
        <w:tc>
          <w:tcPr>
            <w:tcW w:w="1163" w:type="dxa"/>
            <w:tcBorders>
              <w:top w:val="nil"/>
              <w:left w:val="nil"/>
              <w:bottom w:val="nil"/>
              <w:right w:val="nil"/>
            </w:tcBorders>
            <w:shd w:val="clear" w:color="000000" w:fill="FFFFFF"/>
            <w:noWrap/>
            <w:vAlign w:val="center"/>
            <w:hideMark/>
          </w:tcPr>
          <w:p w14:paraId="2A1AE3DE" w14:textId="77777777" w:rsidR="004C1FCE" w:rsidRPr="00AF4759" w:rsidRDefault="004C1FCE" w:rsidP="00781A6A">
            <w:pPr>
              <w:jc w:val="center"/>
              <w:rPr>
                <w:rFonts w:eastAsia="Times New Roman"/>
                <w:b/>
                <w:bCs/>
                <w:color w:val="000000"/>
                <w:sz w:val="16"/>
                <w:szCs w:val="16"/>
                <w:lang w:eastAsia="en-AU"/>
              </w:rPr>
            </w:pPr>
            <w:r w:rsidRPr="00AF4759">
              <w:rPr>
                <w:rFonts w:eastAsia="Times New Roman"/>
                <w:b/>
                <w:bCs/>
                <w:color w:val="000000"/>
                <w:sz w:val="16"/>
                <w:szCs w:val="16"/>
                <w:lang w:eastAsia="en-AU"/>
              </w:rPr>
              <w:t>1702</w:t>
            </w:r>
          </w:p>
        </w:tc>
        <w:tc>
          <w:tcPr>
            <w:tcW w:w="1163" w:type="dxa"/>
            <w:tcBorders>
              <w:top w:val="nil"/>
              <w:left w:val="nil"/>
              <w:bottom w:val="nil"/>
              <w:right w:val="nil"/>
            </w:tcBorders>
            <w:shd w:val="clear" w:color="000000" w:fill="FFFFFF"/>
            <w:noWrap/>
            <w:vAlign w:val="center"/>
            <w:hideMark/>
          </w:tcPr>
          <w:p w14:paraId="64A478DD" w14:textId="77777777" w:rsidR="004C1FCE" w:rsidRPr="00AF4759" w:rsidRDefault="004C1FCE" w:rsidP="00781A6A">
            <w:pPr>
              <w:jc w:val="center"/>
              <w:rPr>
                <w:rFonts w:eastAsia="Times New Roman"/>
                <w:b/>
                <w:bCs/>
                <w:color w:val="000000"/>
                <w:sz w:val="16"/>
                <w:szCs w:val="16"/>
                <w:lang w:eastAsia="en-AU"/>
              </w:rPr>
            </w:pPr>
            <w:r w:rsidRPr="00AF4759">
              <w:rPr>
                <w:rFonts w:eastAsia="Times New Roman"/>
                <w:b/>
                <w:bCs/>
                <w:color w:val="000000"/>
                <w:sz w:val="16"/>
                <w:szCs w:val="16"/>
                <w:lang w:eastAsia="en-AU"/>
              </w:rPr>
              <w:t>298</w:t>
            </w:r>
          </w:p>
        </w:tc>
        <w:tc>
          <w:tcPr>
            <w:tcW w:w="1163" w:type="dxa"/>
            <w:tcBorders>
              <w:top w:val="nil"/>
              <w:left w:val="nil"/>
              <w:bottom w:val="nil"/>
              <w:right w:val="nil"/>
            </w:tcBorders>
            <w:shd w:val="clear" w:color="000000" w:fill="FFFFFF"/>
            <w:vAlign w:val="center"/>
            <w:hideMark/>
          </w:tcPr>
          <w:p w14:paraId="14BD9F7D" w14:textId="77777777" w:rsidR="004C1FCE" w:rsidRPr="00AF4759" w:rsidRDefault="004C1FCE" w:rsidP="00781A6A">
            <w:pPr>
              <w:jc w:val="center"/>
              <w:rPr>
                <w:rFonts w:eastAsia="Times New Roman"/>
                <w:b/>
                <w:bCs/>
                <w:color w:val="000000"/>
                <w:sz w:val="16"/>
                <w:szCs w:val="16"/>
                <w:lang w:eastAsia="en-AU"/>
              </w:rPr>
            </w:pPr>
            <w:r w:rsidRPr="00AF4759">
              <w:rPr>
                <w:rFonts w:eastAsia="Times New Roman"/>
                <w:b/>
                <w:bCs/>
                <w:color w:val="000000"/>
                <w:sz w:val="16"/>
                <w:szCs w:val="16"/>
                <w:lang w:eastAsia="en-AU"/>
              </w:rPr>
              <w:t>14.9</w:t>
            </w:r>
          </w:p>
        </w:tc>
      </w:tr>
      <w:tr w:rsidR="004C1FCE" w:rsidRPr="00AF4759" w14:paraId="00F98BF5" w14:textId="77777777" w:rsidTr="00781A6A">
        <w:trPr>
          <w:trHeight w:val="370"/>
        </w:trPr>
        <w:tc>
          <w:tcPr>
            <w:tcW w:w="1418" w:type="dxa"/>
            <w:tcBorders>
              <w:top w:val="nil"/>
              <w:left w:val="nil"/>
              <w:bottom w:val="nil"/>
              <w:right w:val="nil"/>
            </w:tcBorders>
            <w:shd w:val="clear" w:color="000000" w:fill="FFFFFF"/>
            <w:noWrap/>
            <w:vAlign w:val="center"/>
            <w:hideMark/>
          </w:tcPr>
          <w:p w14:paraId="08552197"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308</w:t>
            </w:r>
          </w:p>
        </w:tc>
        <w:tc>
          <w:tcPr>
            <w:tcW w:w="908" w:type="dxa"/>
            <w:tcBorders>
              <w:top w:val="nil"/>
              <w:left w:val="nil"/>
              <w:bottom w:val="nil"/>
              <w:right w:val="nil"/>
            </w:tcBorders>
            <w:shd w:val="clear" w:color="000000" w:fill="FFFFFF"/>
            <w:noWrap/>
            <w:vAlign w:val="center"/>
            <w:hideMark/>
          </w:tcPr>
          <w:p w14:paraId="44F645CB"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1000</w:t>
            </w:r>
          </w:p>
        </w:tc>
        <w:tc>
          <w:tcPr>
            <w:tcW w:w="1163" w:type="dxa"/>
            <w:tcBorders>
              <w:top w:val="nil"/>
              <w:left w:val="nil"/>
              <w:bottom w:val="nil"/>
              <w:right w:val="nil"/>
            </w:tcBorders>
            <w:shd w:val="clear" w:color="000000" w:fill="FFFFFF"/>
            <w:noWrap/>
            <w:vAlign w:val="center"/>
            <w:hideMark/>
          </w:tcPr>
          <w:p w14:paraId="36E04F78"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895</w:t>
            </w:r>
          </w:p>
        </w:tc>
        <w:tc>
          <w:tcPr>
            <w:tcW w:w="1163" w:type="dxa"/>
            <w:tcBorders>
              <w:top w:val="nil"/>
              <w:left w:val="nil"/>
              <w:bottom w:val="nil"/>
              <w:right w:val="nil"/>
            </w:tcBorders>
            <w:shd w:val="clear" w:color="000000" w:fill="FFFFFF"/>
            <w:noWrap/>
            <w:vAlign w:val="center"/>
            <w:hideMark/>
          </w:tcPr>
          <w:p w14:paraId="56557673"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49</w:t>
            </w:r>
          </w:p>
        </w:tc>
        <w:tc>
          <w:tcPr>
            <w:tcW w:w="1239" w:type="dxa"/>
            <w:tcBorders>
              <w:top w:val="nil"/>
              <w:left w:val="nil"/>
              <w:bottom w:val="nil"/>
              <w:right w:val="nil"/>
            </w:tcBorders>
            <w:shd w:val="clear" w:color="000000" w:fill="FFFFFF"/>
            <w:vAlign w:val="center"/>
            <w:hideMark/>
          </w:tcPr>
          <w:p w14:paraId="27ADFB09"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2</w:t>
            </w:r>
          </w:p>
        </w:tc>
        <w:tc>
          <w:tcPr>
            <w:tcW w:w="1163" w:type="dxa"/>
            <w:tcBorders>
              <w:top w:val="nil"/>
              <w:left w:val="nil"/>
              <w:bottom w:val="nil"/>
              <w:right w:val="nil"/>
            </w:tcBorders>
            <w:shd w:val="clear" w:color="000000" w:fill="FFFFFF"/>
            <w:noWrap/>
            <w:vAlign w:val="center"/>
            <w:hideMark/>
          </w:tcPr>
          <w:p w14:paraId="58845944"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7</w:t>
            </w:r>
          </w:p>
        </w:tc>
        <w:tc>
          <w:tcPr>
            <w:tcW w:w="1163" w:type="dxa"/>
            <w:tcBorders>
              <w:top w:val="nil"/>
              <w:left w:val="nil"/>
              <w:bottom w:val="nil"/>
              <w:right w:val="nil"/>
            </w:tcBorders>
            <w:shd w:val="clear" w:color="000000" w:fill="FFFFFF"/>
            <w:noWrap/>
            <w:vAlign w:val="center"/>
            <w:hideMark/>
          </w:tcPr>
          <w:p w14:paraId="68616D1A"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7</w:t>
            </w:r>
          </w:p>
        </w:tc>
        <w:tc>
          <w:tcPr>
            <w:tcW w:w="1163" w:type="dxa"/>
            <w:tcBorders>
              <w:top w:val="nil"/>
              <w:left w:val="nil"/>
              <w:bottom w:val="nil"/>
              <w:right w:val="nil"/>
            </w:tcBorders>
            <w:shd w:val="clear" w:color="000000" w:fill="FFFFFF"/>
            <w:noWrap/>
            <w:vAlign w:val="center"/>
            <w:hideMark/>
          </w:tcPr>
          <w:p w14:paraId="7CA371C2"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13</w:t>
            </w:r>
          </w:p>
        </w:tc>
        <w:tc>
          <w:tcPr>
            <w:tcW w:w="1221" w:type="dxa"/>
            <w:tcBorders>
              <w:top w:val="nil"/>
              <w:left w:val="nil"/>
              <w:bottom w:val="nil"/>
              <w:right w:val="nil"/>
            </w:tcBorders>
            <w:shd w:val="clear" w:color="000000" w:fill="FFFFFF"/>
            <w:noWrap/>
            <w:vAlign w:val="center"/>
            <w:hideMark/>
          </w:tcPr>
          <w:p w14:paraId="25500E39"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6</w:t>
            </w:r>
          </w:p>
        </w:tc>
        <w:tc>
          <w:tcPr>
            <w:tcW w:w="1114" w:type="dxa"/>
            <w:tcBorders>
              <w:top w:val="nil"/>
              <w:left w:val="nil"/>
              <w:bottom w:val="nil"/>
              <w:right w:val="nil"/>
            </w:tcBorders>
            <w:shd w:val="clear" w:color="000000" w:fill="FFFFFF"/>
            <w:vAlign w:val="center"/>
            <w:hideMark/>
          </w:tcPr>
          <w:p w14:paraId="0B3E662B"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2</w:t>
            </w:r>
          </w:p>
        </w:tc>
        <w:tc>
          <w:tcPr>
            <w:tcW w:w="1078" w:type="dxa"/>
            <w:tcBorders>
              <w:top w:val="nil"/>
              <w:left w:val="nil"/>
              <w:bottom w:val="nil"/>
              <w:right w:val="nil"/>
            </w:tcBorders>
            <w:shd w:val="clear" w:color="000000" w:fill="FFFFFF"/>
            <w:vAlign w:val="center"/>
            <w:hideMark/>
          </w:tcPr>
          <w:p w14:paraId="73E241B4"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4</w:t>
            </w:r>
          </w:p>
        </w:tc>
        <w:tc>
          <w:tcPr>
            <w:tcW w:w="1163" w:type="dxa"/>
            <w:tcBorders>
              <w:top w:val="nil"/>
              <w:left w:val="nil"/>
              <w:bottom w:val="nil"/>
              <w:right w:val="nil"/>
            </w:tcBorders>
            <w:shd w:val="clear" w:color="000000" w:fill="FFFFFF"/>
            <w:noWrap/>
            <w:vAlign w:val="center"/>
            <w:hideMark/>
          </w:tcPr>
          <w:p w14:paraId="49FF9E89" w14:textId="77777777" w:rsidR="004C1FCE" w:rsidRPr="00AF4759" w:rsidRDefault="004C1FCE" w:rsidP="00781A6A">
            <w:pPr>
              <w:jc w:val="center"/>
              <w:rPr>
                <w:rFonts w:eastAsia="Times New Roman"/>
                <w:b/>
                <w:bCs/>
                <w:color w:val="000000"/>
                <w:sz w:val="16"/>
                <w:szCs w:val="16"/>
                <w:lang w:eastAsia="en-AU"/>
              </w:rPr>
            </w:pPr>
            <w:r w:rsidRPr="00AF4759">
              <w:rPr>
                <w:rFonts w:eastAsia="Times New Roman"/>
                <w:b/>
                <w:bCs/>
                <w:color w:val="000000"/>
                <w:sz w:val="16"/>
                <w:szCs w:val="16"/>
                <w:lang w:eastAsia="en-AU"/>
              </w:rPr>
              <w:t>985</w:t>
            </w:r>
          </w:p>
        </w:tc>
        <w:tc>
          <w:tcPr>
            <w:tcW w:w="1163" w:type="dxa"/>
            <w:tcBorders>
              <w:top w:val="nil"/>
              <w:left w:val="nil"/>
              <w:bottom w:val="nil"/>
              <w:right w:val="nil"/>
            </w:tcBorders>
            <w:shd w:val="clear" w:color="000000" w:fill="FFFFFF"/>
            <w:noWrap/>
            <w:vAlign w:val="center"/>
            <w:hideMark/>
          </w:tcPr>
          <w:p w14:paraId="6E71C941" w14:textId="77777777" w:rsidR="004C1FCE" w:rsidRPr="00AF4759" w:rsidRDefault="004C1FCE" w:rsidP="00781A6A">
            <w:pPr>
              <w:jc w:val="center"/>
              <w:rPr>
                <w:rFonts w:eastAsia="Times New Roman"/>
                <w:b/>
                <w:bCs/>
                <w:color w:val="000000"/>
                <w:sz w:val="16"/>
                <w:szCs w:val="16"/>
                <w:lang w:eastAsia="en-AU"/>
              </w:rPr>
            </w:pPr>
            <w:r w:rsidRPr="00AF4759">
              <w:rPr>
                <w:rFonts w:eastAsia="Times New Roman"/>
                <w:b/>
                <w:bCs/>
                <w:color w:val="000000"/>
                <w:sz w:val="16"/>
                <w:szCs w:val="16"/>
                <w:lang w:eastAsia="en-AU"/>
              </w:rPr>
              <w:t>15</w:t>
            </w:r>
          </w:p>
        </w:tc>
        <w:tc>
          <w:tcPr>
            <w:tcW w:w="1163" w:type="dxa"/>
            <w:tcBorders>
              <w:top w:val="nil"/>
              <w:left w:val="nil"/>
              <w:bottom w:val="nil"/>
              <w:right w:val="nil"/>
            </w:tcBorders>
            <w:shd w:val="clear" w:color="000000" w:fill="FFFFFF"/>
            <w:vAlign w:val="center"/>
            <w:hideMark/>
          </w:tcPr>
          <w:p w14:paraId="1E42BA80" w14:textId="77777777" w:rsidR="004C1FCE" w:rsidRPr="00AF4759" w:rsidRDefault="004C1FCE" w:rsidP="00781A6A">
            <w:pPr>
              <w:jc w:val="center"/>
              <w:rPr>
                <w:rFonts w:eastAsia="Times New Roman"/>
                <w:b/>
                <w:bCs/>
                <w:color w:val="000000"/>
                <w:sz w:val="16"/>
                <w:szCs w:val="16"/>
                <w:lang w:eastAsia="en-AU"/>
              </w:rPr>
            </w:pPr>
            <w:r w:rsidRPr="00AF4759">
              <w:rPr>
                <w:rFonts w:eastAsia="Times New Roman"/>
                <w:b/>
                <w:bCs/>
                <w:color w:val="000000"/>
                <w:sz w:val="16"/>
                <w:szCs w:val="16"/>
                <w:lang w:eastAsia="en-AU"/>
              </w:rPr>
              <w:t>1.5</w:t>
            </w:r>
          </w:p>
        </w:tc>
      </w:tr>
      <w:tr w:rsidR="004C1FCE" w:rsidRPr="00AF4759" w14:paraId="40FF6CEA" w14:textId="77777777" w:rsidTr="00781A6A">
        <w:trPr>
          <w:trHeight w:val="370"/>
        </w:trPr>
        <w:tc>
          <w:tcPr>
            <w:tcW w:w="1418" w:type="dxa"/>
            <w:tcBorders>
              <w:top w:val="nil"/>
              <w:left w:val="nil"/>
              <w:bottom w:val="nil"/>
              <w:right w:val="nil"/>
            </w:tcBorders>
            <w:shd w:val="clear" w:color="000000" w:fill="FFFFFF"/>
            <w:noWrap/>
            <w:vAlign w:val="center"/>
            <w:hideMark/>
          </w:tcPr>
          <w:p w14:paraId="007AE61D"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308</w:t>
            </w:r>
            <w:r w:rsidRPr="00AF4759">
              <w:rPr>
                <w:rFonts w:eastAsia="Times New Roman"/>
                <w:b/>
                <w:bCs/>
                <w:color w:val="000000"/>
                <w:sz w:val="16"/>
                <w:szCs w:val="16"/>
                <w:lang w:eastAsia="en-AU"/>
              </w:rPr>
              <w:t>*</w:t>
            </w:r>
          </w:p>
        </w:tc>
        <w:tc>
          <w:tcPr>
            <w:tcW w:w="908" w:type="dxa"/>
            <w:tcBorders>
              <w:top w:val="nil"/>
              <w:left w:val="nil"/>
              <w:bottom w:val="nil"/>
              <w:right w:val="nil"/>
            </w:tcBorders>
            <w:shd w:val="clear" w:color="000000" w:fill="FFFFFF"/>
            <w:noWrap/>
            <w:vAlign w:val="center"/>
            <w:hideMark/>
          </w:tcPr>
          <w:p w14:paraId="05DA8B2E"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2000</w:t>
            </w:r>
          </w:p>
        </w:tc>
        <w:tc>
          <w:tcPr>
            <w:tcW w:w="1163" w:type="dxa"/>
            <w:tcBorders>
              <w:top w:val="nil"/>
              <w:left w:val="nil"/>
              <w:bottom w:val="nil"/>
              <w:right w:val="nil"/>
            </w:tcBorders>
            <w:shd w:val="clear" w:color="000000" w:fill="FFFFFF"/>
            <w:noWrap/>
            <w:vAlign w:val="center"/>
            <w:hideMark/>
          </w:tcPr>
          <w:p w14:paraId="2C1A1BDE"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1400</w:t>
            </w:r>
          </w:p>
        </w:tc>
        <w:tc>
          <w:tcPr>
            <w:tcW w:w="1163" w:type="dxa"/>
            <w:tcBorders>
              <w:top w:val="nil"/>
              <w:left w:val="nil"/>
              <w:bottom w:val="nil"/>
              <w:right w:val="nil"/>
            </w:tcBorders>
            <w:shd w:val="clear" w:color="000000" w:fill="FFFFFF"/>
            <w:noWrap/>
            <w:vAlign w:val="center"/>
            <w:hideMark/>
          </w:tcPr>
          <w:p w14:paraId="00ABEF09"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290</w:t>
            </w:r>
          </w:p>
        </w:tc>
        <w:tc>
          <w:tcPr>
            <w:tcW w:w="1239" w:type="dxa"/>
            <w:tcBorders>
              <w:top w:val="nil"/>
              <w:left w:val="nil"/>
              <w:bottom w:val="nil"/>
              <w:right w:val="nil"/>
            </w:tcBorders>
            <w:shd w:val="clear" w:color="000000" w:fill="FFFFFF"/>
            <w:vAlign w:val="center"/>
            <w:hideMark/>
          </w:tcPr>
          <w:p w14:paraId="5EFDEF67"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3</w:t>
            </w:r>
          </w:p>
        </w:tc>
        <w:tc>
          <w:tcPr>
            <w:tcW w:w="1163" w:type="dxa"/>
            <w:tcBorders>
              <w:top w:val="nil"/>
              <w:left w:val="nil"/>
              <w:bottom w:val="nil"/>
              <w:right w:val="nil"/>
            </w:tcBorders>
            <w:shd w:val="clear" w:color="000000" w:fill="FFFFFF"/>
            <w:noWrap/>
            <w:vAlign w:val="center"/>
            <w:hideMark/>
          </w:tcPr>
          <w:p w14:paraId="4ED63908"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36</w:t>
            </w:r>
          </w:p>
        </w:tc>
        <w:tc>
          <w:tcPr>
            <w:tcW w:w="1163" w:type="dxa"/>
            <w:tcBorders>
              <w:top w:val="nil"/>
              <w:left w:val="nil"/>
              <w:bottom w:val="nil"/>
              <w:right w:val="nil"/>
            </w:tcBorders>
            <w:shd w:val="clear" w:color="000000" w:fill="FFFFFF"/>
            <w:noWrap/>
            <w:vAlign w:val="center"/>
            <w:hideMark/>
          </w:tcPr>
          <w:p w14:paraId="0B56BB74"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21</w:t>
            </w:r>
          </w:p>
        </w:tc>
        <w:tc>
          <w:tcPr>
            <w:tcW w:w="1163" w:type="dxa"/>
            <w:tcBorders>
              <w:top w:val="nil"/>
              <w:left w:val="nil"/>
              <w:bottom w:val="nil"/>
              <w:right w:val="nil"/>
            </w:tcBorders>
            <w:shd w:val="clear" w:color="000000" w:fill="FFFFFF"/>
            <w:noWrap/>
            <w:vAlign w:val="center"/>
            <w:hideMark/>
          </w:tcPr>
          <w:p w14:paraId="196218ED"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69</w:t>
            </w:r>
          </w:p>
        </w:tc>
        <w:tc>
          <w:tcPr>
            <w:tcW w:w="1221" w:type="dxa"/>
            <w:tcBorders>
              <w:top w:val="nil"/>
              <w:left w:val="nil"/>
              <w:bottom w:val="nil"/>
              <w:right w:val="nil"/>
            </w:tcBorders>
            <w:shd w:val="clear" w:color="000000" w:fill="FFFFFF"/>
            <w:noWrap/>
            <w:vAlign w:val="center"/>
            <w:hideMark/>
          </w:tcPr>
          <w:p w14:paraId="6362F005"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23</w:t>
            </w:r>
          </w:p>
        </w:tc>
        <w:tc>
          <w:tcPr>
            <w:tcW w:w="1114" w:type="dxa"/>
            <w:tcBorders>
              <w:top w:val="nil"/>
              <w:left w:val="nil"/>
              <w:bottom w:val="nil"/>
              <w:right w:val="nil"/>
            </w:tcBorders>
            <w:shd w:val="clear" w:color="000000" w:fill="FFFFFF"/>
            <w:vAlign w:val="center"/>
            <w:hideMark/>
          </w:tcPr>
          <w:p w14:paraId="659EEB4C"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29</w:t>
            </w:r>
          </w:p>
        </w:tc>
        <w:tc>
          <w:tcPr>
            <w:tcW w:w="1078" w:type="dxa"/>
            <w:tcBorders>
              <w:top w:val="nil"/>
              <w:left w:val="nil"/>
              <w:bottom w:val="nil"/>
              <w:right w:val="nil"/>
            </w:tcBorders>
            <w:shd w:val="clear" w:color="000000" w:fill="FFFFFF"/>
            <w:vAlign w:val="center"/>
            <w:hideMark/>
          </w:tcPr>
          <w:p w14:paraId="1CB5A9A3"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0</w:t>
            </w:r>
          </w:p>
        </w:tc>
        <w:tc>
          <w:tcPr>
            <w:tcW w:w="1163" w:type="dxa"/>
            <w:tcBorders>
              <w:top w:val="nil"/>
              <w:left w:val="nil"/>
              <w:bottom w:val="nil"/>
              <w:right w:val="nil"/>
            </w:tcBorders>
            <w:shd w:val="clear" w:color="000000" w:fill="FFFFFF"/>
            <w:noWrap/>
            <w:vAlign w:val="center"/>
            <w:hideMark/>
          </w:tcPr>
          <w:p w14:paraId="0039A2B1" w14:textId="77777777" w:rsidR="004C1FCE" w:rsidRPr="00AF4759" w:rsidRDefault="004C1FCE" w:rsidP="00781A6A">
            <w:pPr>
              <w:jc w:val="center"/>
              <w:rPr>
                <w:rFonts w:eastAsia="Times New Roman"/>
                <w:b/>
                <w:bCs/>
                <w:color w:val="000000"/>
                <w:sz w:val="16"/>
                <w:szCs w:val="16"/>
                <w:lang w:eastAsia="en-AU"/>
              </w:rPr>
            </w:pPr>
            <w:r w:rsidRPr="00AF4759">
              <w:rPr>
                <w:rFonts w:eastAsia="Times New Roman"/>
                <w:b/>
                <w:bCs/>
                <w:color w:val="000000"/>
                <w:sz w:val="16"/>
                <w:szCs w:val="16"/>
                <w:lang w:eastAsia="en-AU"/>
              </w:rPr>
              <w:t>1871</w:t>
            </w:r>
          </w:p>
        </w:tc>
        <w:tc>
          <w:tcPr>
            <w:tcW w:w="1163" w:type="dxa"/>
            <w:tcBorders>
              <w:top w:val="nil"/>
              <w:left w:val="nil"/>
              <w:bottom w:val="nil"/>
              <w:right w:val="nil"/>
            </w:tcBorders>
            <w:shd w:val="clear" w:color="000000" w:fill="FFFFFF"/>
            <w:noWrap/>
            <w:vAlign w:val="center"/>
            <w:hideMark/>
          </w:tcPr>
          <w:p w14:paraId="3E2316ED" w14:textId="77777777" w:rsidR="004C1FCE" w:rsidRPr="00AF4759" w:rsidRDefault="004C1FCE" w:rsidP="00781A6A">
            <w:pPr>
              <w:jc w:val="center"/>
              <w:rPr>
                <w:rFonts w:eastAsia="Times New Roman"/>
                <w:b/>
                <w:bCs/>
                <w:color w:val="000000"/>
                <w:sz w:val="16"/>
                <w:szCs w:val="16"/>
                <w:lang w:eastAsia="en-AU"/>
              </w:rPr>
            </w:pPr>
            <w:r w:rsidRPr="00AF4759">
              <w:rPr>
                <w:rFonts w:eastAsia="Times New Roman"/>
                <w:b/>
                <w:bCs/>
                <w:color w:val="000000"/>
                <w:sz w:val="16"/>
                <w:szCs w:val="16"/>
                <w:lang w:eastAsia="en-AU"/>
              </w:rPr>
              <w:t>129</w:t>
            </w:r>
          </w:p>
        </w:tc>
        <w:tc>
          <w:tcPr>
            <w:tcW w:w="1163" w:type="dxa"/>
            <w:tcBorders>
              <w:top w:val="nil"/>
              <w:left w:val="nil"/>
              <w:bottom w:val="nil"/>
              <w:right w:val="nil"/>
            </w:tcBorders>
            <w:shd w:val="clear" w:color="000000" w:fill="FFFFFF"/>
            <w:vAlign w:val="center"/>
            <w:hideMark/>
          </w:tcPr>
          <w:p w14:paraId="63334588" w14:textId="77777777" w:rsidR="004C1FCE" w:rsidRPr="00AF4759" w:rsidRDefault="004C1FCE" w:rsidP="00781A6A">
            <w:pPr>
              <w:jc w:val="center"/>
              <w:rPr>
                <w:rFonts w:eastAsia="Times New Roman"/>
                <w:b/>
                <w:bCs/>
                <w:color w:val="000000"/>
                <w:sz w:val="16"/>
                <w:szCs w:val="16"/>
                <w:lang w:eastAsia="en-AU"/>
              </w:rPr>
            </w:pPr>
            <w:r w:rsidRPr="00AF4759">
              <w:rPr>
                <w:rFonts w:eastAsia="Times New Roman"/>
                <w:b/>
                <w:bCs/>
                <w:color w:val="000000"/>
                <w:sz w:val="16"/>
                <w:szCs w:val="16"/>
                <w:lang w:eastAsia="en-AU"/>
              </w:rPr>
              <w:t>6.5</w:t>
            </w:r>
          </w:p>
        </w:tc>
      </w:tr>
      <w:tr w:rsidR="004C1FCE" w:rsidRPr="00AF4759" w14:paraId="694DB3C6" w14:textId="77777777" w:rsidTr="00781A6A">
        <w:trPr>
          <w:trHeight w:val="370"/>
        </w:trPr>
        <w:tc>
          <w:tcPr>
            <w:tcW w:w="1418" w:type="dxa"/>
            <w:tcBorders>
              <w:top w:val="nil"/>
              <w:left w:val="nil"/>
              <w:bottom w:val="nil"/>
              <w:right w:val="nil"/>
            </w:tcBorders>
            <w:shd w:val="clear" w:color="000000" w:fill="FFFFFF"/>
            <w:noWrap/>
            <w:vAlign w:val="center"/>
            <w:hideMark/>
          </w:tcPr>
          <w:p w14:paraId="2202262D"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312</w:t>
            </w:r>
          </w:p>
        </w:tc>
        <w:tc>
          <w:tcPr>
            <w:tcW w:w="908" w:type="dxa"/>
            <w:tcBorders>
              <w:top w:val="nil"/>
              <w:left w:val="nil"/>
              <w:bottom w:val="nil"/>
              <w:right w:val="nil"/>
            </w:tcBorders>
            <w:shd w:val="clear" w:color="000000" w:fill="FFFFFF"/>
            <w:noWrap/>
            <w:vAlign w:val="center"/>
            <w:hideMark/>
          </w:tcPr>
          <w:p w14:paraId="477F45AB"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1000</w:t>
            </w:r>
          </w:p>
        </w:tc>
        <w:tc>
          <w:tcPr>
            <w:tcW w:w="1163" w:type="dxa"/>
            <w:tcBorders>
              <w:top w:val="nil"/>
              <w:left w:val="nil"/>
              <w:bottom w:val="nil"/>
              <w:right w:val="nil"/>
            </w:tcBorders>
            <w:shd w:val="clear" w:color="000000" w:fill="FFFFFF"/>
            <w:noWrap/>
            <w:vAlign w:val="center"/>
            <w:hideMark/>
          </w:tcPr>
          <w:p w14:paraId="78A0893C"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882</w:t>
            </w:r>
          </w:p>
        </w:tc>
        <w:tc>
          <w:tcPr>
            <w:tcW w:w="1163" w:type="dxa"/>
            <w:tcBorders>
              <w:top w:val="nil"/>
              <w:left w:val="nil"/>
              <w:bottom w:val="nil"/>
              <w:right w:val="nil"/>
            </w:tcBorders>
            <w:shd w:val="clear" w:color="000000" w:fill="FFFFFF"/>
            <w:noWrap/>
            <w:vAlign w:val="center"/>
            <w:hideMark/>
          </w:tcPr>
          <w:p w14:paraId="41BDB404"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74</w:t>
            </w:r>
          </w:p>
        </w:tc>
        <w:tc>
          <w:tcPr>
            <w:tcW w:w="1239" w:type="dxa"/>
            <w:tcBorders>
              <w:top w:val="nil"/>
              <w:left w:val="nil"/>
              <w:bottom w:val="nil"/>
              <w:right w:val="nil"/>
            </w:tcBorders>
            <w:shd w:val="clear" w:color="000000" w:fill="FFFFFF"/>
            <w:vAlign w:val="center"/>
            <w:hideMark/>
          </w:tcPr>
          <w:p w14:paraId="25AFC29D"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1</w:t>
            </w:r>
          </w:p>
        </w:tc>
        <w:tc>
          <w:tcPr>
            <w:tcW w:w="1163" w:type="dxa"/>
            <w:tcBorders>
              <w:top w:val="nil"/>
              <w:left w:val="nil"/>
              <w:bottom w:val="nil"/>
              <w:right w:val="nil"/>
            </w:tcBorders>
            <w:shd w:val="clear" w:color="000000" w:fill="FFFFFF"/>
            <w:noWrap/>
            <w:vAlign w:val="center"/>
            <w:hideMark/>
          </w:tcPr>
          <w:p w14:paraId="62C9CD9C"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5</w:t>
            </w:r>
          </w:p>
        </w:tc>
        <w:tc>
          <w:tcPr>
            <w:tcW w:w="1163" w:type="dxa"/>
            <w:tcBorders>
              <w:top w:val="nil"/>
              <w:left w:val="nil"/>
              <w:bottom w:val="nil"/>
              <w:right w:val="nil"/>
            </w:tcBorders>
            <w:shd w:val="clear" w:color="000000" w:fill="FFFFFF"/>
            <w:noWrap/>
            <w:vAlign w:val="center"/>
            <w:hideMark/>
          </w:tcPr>
          <w:p w14:paraId="72E1CBEF"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7</w:t>
            </w:r>
          </w:p>
        </w:tc>
        <w:tc>
          <w:tcPr>
            <w:tcW w:w="1163" w:type="dxa"/>
            <w:tcBorders>
              <w:top w:val="nil"/>
              <w:left w:val="nil"/>
              <w:bottom w:val="nil"/>
              <w:right w:val="nil"/>
            </w:tcBorders>
            <w:shd w:val="clear" w:color="000000" w:fill="FFFFFF"/>
            <w:noWrap/>
            <w:vAlign w:val="center"/>
            <w:hideMark/>
          </w:tcPr>
          <w:p w14:paraId="5B59901A"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16</w:t>
            </w:r>
          </w:p>
        </w:tc>
        <w:tc>
          <w:tcPr>
            <w:tcW w:w="1221" w:type="dxa"/>
            <w:tcBorders>
              <w:top w:val="nil"/>
              <w:left w:val="nil"/>
              <w:bottom w:val="nil"/>
              <w:right w:val="nil"/>
            </w:tcBorders>
            <w:shd w:val="clear" w:color="000000" w:fill="FFFFFF"/>
            <w:noWrap/>
            <w:vAlign w:val="center"/>
            <w:hideMark/>
          </w:tcPr>
          <w:p w14:paraId="15FA0E17"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1</w:t>
            </w:r>
          </w:p>
        </w:tc>
        <w:tc>
          <w:tcPr>
            <w:tcW w:w="1114" w:type="dxa"/>
            <w:tcBorders>
              <w:top w:val="nil"/>
              <w:left w:val="nil"/>
              <w:bottom w:val="nil"/>
              <w:right w:val="nil"/>
            </w:tcBorders>
            <w:shd w:val="clear" w:color="000000" w:fill="FFFFFF"/>
            <w:vAlign w:val="center"/>
            <w:hideMark/>
          </w:tcPr>
          <w:p w14:paraId="34FB3743"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3</w:t>
            </w:r>
          </w:p>
        </w:tc>
        <w:tc>
          <w:tcPr>
            <w:tcW w:w="1078" w:type="dxa"/>
            <w:tcBorders>
              <w:top w:val="nil"/>
              <w:left w:val="nil"/>
              <w:bottom w:val="nil"/>
              <w:right w:val="nil"/>
            </w:tcBorders>
            <w:shd w:val="clear" w:color="000000" w:fill="FFFFFF"/>
            <w:vAlign w:val="center"/>
            <w:hideMark/>
          </w:tcPr>
          <w:p w14:paraId="2483D3F1"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2</w:t>
            </w:r>
          </w:p>
        </w:tc>
        <w:tc>
          <w:tcPr>
            <w:tcW w:w="1163" w:type="dxa"/>
            <w:tcBorders>
              <w:top w:val="nil"/>
              <w:left w:val="nil"/>
              <w:bottom w:val="nil"/>
              <w:right w:val="nil"/>
            </w:tcBorders>
            <w:shd w:val="clear" w:color="000000" w:fill="FFFFFF"/>
            <w:noWrap/>
            <w:vAlign w:val="center"/>
            <w:hideMark/>
          </w:tcPr>
          <w:p w14:paraId="70668CC7" w14:textId="77777777" w:rsidR="004C1FCE" w:rsidRPr="00AF4759" w:rsidRDefault="004C1FCE" w:rsidP="00781A6A">
            <w:pPr>
              <w:jc w:val="center"/>
              <w:rPr>
                <w:rFonts w:eastAsia="Times New Roman"/>
                <w:b/>
                <w:bCs/>
                <w:color w:val="000000"/>
                <w:sz w:val="16"/>
                <w:szCs w:val="16"/>
                <w:lang w:eastAsia="en-AU"/>
              </w:rPr>
            </w:pPr>
            <w:r w:rsidRPr="00AF4759">
              <w:rPr>
                <w:rFonts w:eastAsia="Times New Roman"/>
                <w:b/>
                <w:bCs/>
                <w:color w:val="000000"/>
                <w:sz w:val="16"/>
                <w:szCs w:val="16"/>
                <w:lang w:eastAsia="en-AU"/>
              </w:rPr>
              <w:t>991</w:t>
            </w:r>
          </w:p>
        </w:tc>
        <w:tc>
          <w:tcPr>
            <w:tcW w:w="1163" w:type="dxa"/>
            <w:tcBorders>
              <w:top w:val="nil"/>
              <w:left w:val="nil"/>
              <w:bottom w:val="nil"/>
              <w:right w:val="nil"/>
            </w:tcBorders>
            <w:shd w:val="clear" w:color="000000" w:fill="FFFFFF"/>
            <w:noWrap/>
            <w:vAlign w:val="center"/>
            <w:hideMark/>
          </w:tcPr>
          <w:p w14:paraId="2933B265" w14:textId="77777777" w:rsidR="004C1FCE" w:rsidRPr="00AF4759" w:rsidRDefault="004C1FCE" w:rsidP="00781A6A">
            <w:pPr>
              <w:jc w:val="center"/>
              <w:rPr>
                <w:rFonts w:eastAsia="Times New Roman"/>
                <w:b/>
                <w:bCs/>
                <w:color w:val="000000"/>
                <w:sz w:val="16"/>
                <w:szCs w:val="16"/>
                <w:lang w:eastAsia="en-AU"/>
              </w:rPr>
            </w:pPr>
            <w:r w:rsidRPr="00AF4759">
              <w:rPr>
                <w:rFonts w:eastAsia="Times New Roman"/>
                <w:b/>
                <w:bCs/>
                <w:color w:val="000000"/>
                <w:sz w:val="16"/>
                <w:szCs w:val="16"/>
                <w:lang w:eastAsia="en-AU"/>
              </w:rPr>
              <w:t>9</w:t>
            </w:r>
          </w:p>
        </w:tc>
        <w:tc>
          <w:tcPr>
            <w:tcW w:w="1163" w:type="dxa"/>
            <w:tcBorders>
              <w:top w:val="nil"/>
              <w:left w:val="nil"/>
              <w:bottom w:val="nil"/>
              <w:right w:val="nil"/>
            </w:tcBorders>
            <w:shd w:val="clear" w:color="000000" w:fill="FFFFFF"/>
            <w:vAlign w:val="center"/>
            <w:hideMark/>
          </w:tcPr>
          <w:p w14:paraId="3F4F8929" w14:textId="77777777" w:rsidR="004C1FCE" w:rsidRPr="00AF4759" w:rsidRDefault="004C1FCE" w:rsidP="00781A6A">
            <w:pPr>
              <w:jc w:val="center"/>
              <w:rPr>
                <w:rFonts w:eastAsia="Times New Roman"/>
                <w:b/>
                <w:bCs/>
                <w:color w:val="000000"/>
                <w:sz w:val="16"/>
                <w:szCs w:val="16"/>
                <w:lang w:eastAsia="en-AU"/>
              </w:rPr>
            </w:pPr>
            <w:r w:rsidRPr="00AF4759">
              <w:rPr>
                <w:rFonts w:eastAsia="Times New Roman"/>
                <w:b/>
                <w:bCs/>
                <w:color w:val="000000"/>
                <w:sz w:val="16"/>
                <w:szCs w:val="16"/>
                <w:lang w:eastAsia="en-AU"/>
              </w:rPr>
              <w:t>0.9</w:t>
            </w:r>
          </w:p>
        </w:tc>
      </w:tr>
      <w:tr w:rsidR="004C1FCE" w:rsidRPr="00AF4759" w14:paraId="78FEC322" w14:textId="77777777" w:rsidTr="00781A6A">
        <w:trPr>
          <w:trHeight w:val="384"/>
        </w:trPr>
        <w:tc>
          <w:tcPr>
            <w:tcW w:w="1418" w:type="dxa"/>
            <w:tcBorders>
              <w:top w:val="nil"/>
              <w:left w:val="nil"/>
              <w:bottom w:val="nil"/>
              <w:right w:val="nil"/>
            </w:tcBorders>
            <w:shd w:val="clear" w:color="000000" w:fill="FFFFFF"/>
            <w:noWrap/>
            <w:vAlign w:val="center"/>
            <w:hideMark/>
          </w:tcPr>
          <w:p w14:paraId="64F69083"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312</w:t>
            </w:r>
            <w:r w:rsidRPr="00AF4759">
              <w:rPr>
                <w:rFonts w:eastAsia="Times New Roman"/>
                <w:b/>
                <w:bCs/>
                <w:color w:val="000000"/>
                <w:sz w:val="16"/>
                <w:szCs w:val="16"/>
                <w:lang w:eastAsia="en-AU"/>
              </w:rPr>
              <w:t>*</w:t>
            </w:r>
          </w:p>
        </w:tc>
        <w:tc>
          <w:tcPr>
            <w:tcW w:w="908" w:type="dxa"/>
            <w:tcBorders>
              <w:top w:val="nil"/>
              <w:left w:val="nil"/>
              <w:bottom w:val="nil"/>
              <w:right w:val="nil"/>
            </w:tcBorders>
            <w:shd w:val="clear" w:color="000000" w:fill="FFFFFF"/>
            <w:noWrap/>
            <w:vAlign w:val="center"/>
            <w:hideMark/>
          </w:tcPr>
          <w:p w14:paraId="6212ECC5"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1900</w:t>
            </w:r>
          </w:p>
        </w:tc>
        <w:tc>
          <w:tcPr>
            <w:tcW w:w="1163" w:type="dxa"/>
            <w:tcBorders>
              <w:top w:val="nil"/>
              <w:left w:val="nil"/>
              <w:bottom w:val="nil"/>
              <w:right w:val="nil"/>
            </w:tcBorders>
            <w:shd w:val="clear" w:color="000000" w:fill="FFFFFF"/>
            <w:noWrap/>
            <w:vAlign w:val="center"/>
            <w:hideMark/>
          </w:tcPr>
          <w:p w14:paraId="0B123316"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1468</w:t>
            </w:r>
          </w:p>
        </w:tc>
        <w:tc>
          <w:tcPr>
            <w:tcW w:w="1163" w:type="dxa"/>
            <w:tcBorders>
              <w:top w:val="nil"/>
              <w:left w:val="nil"/>
              <w:bottom w:val="nil"/>
              <w:right w:val="nil"/>
            </w:tcBorders>
            <w:shd w:val="clear" w:color="000000" w:fill="FFFFFF"/>
            <w:noWrap/>
            <w:vAlign w:val="center"/>
            <w:hideMark/>
          </w:tcPr>
          <w:p w14:paraId="543E8D96"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247</w:t>
            </w:r>
          </w:p>
        </w:tc>
        <w:tc>
          <w:tcPr>
            <w:tcW w:w="1239" w:type="dxa"/>
            <w:tcBorders>
              <w:top w:val="nil"/>
              <w:left w:val="nil"/>
              <w:bottom w:val="nil"/>
              <w:right w:val="nil"/>
            </w:tcBorders>
            <w:shd w:val="clear" w:color="000000" w:fill="FFFFFF"/>
            <w:vAlign w:val="center"/>
            <w:hideMark/>
          </w:tcPr>
          <w:p w14:paraId="7ECA8EFA"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6</w:t>
            </w:r>
          </w:p>
        </w:tc>
        <w:tc>
          <w:tcPr>
            <w:tcW w:w="1163" w:type="dxa"/>
            <w:tcBorders>
              <w:top w:val="nil"/>
              <w:left w:val="nil"/>
              <w:bottom w:val="nil"/>
              <w:right w:val="nil"/>
            </w:tcBorders>
            <w:shd w:val="clear" w:color="000000" w:fill="FFFFFF"/>
            <w:noWrap/>
            <w:vAlign w:val="center"/>
            <w:hideMark/>
          </w:tcPr>
          <w:p w14:paraId="3BDC04B5"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25</w:t>
            </w:r>
          </w:p>
        </w:tc>
        <w:tc>
          <w:tcPr>
            <w:tcW w:w="1163" w:type="dxa"/>
            <w:tcBorders>
              <w:top w:val="nil"/>
              <w:left w:val="nil"/>
              <w:bottom w:val="nil"/>
              <w:right w:val="nil"/>
            </w:tcBorders>
            <w:shd w:val="clear" w:color="000000" w:fill="FFFFFF"/>
            <w:noWrap/>
            <w:vAlign w:val="center"/>
            <w:hideMark/>
          </w:tcPr>
          <w:p w14:paraId="02AD5F36"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27</w:t>
            </w:r>
          </w:p>
        </w:tc>
        <w:tc>
          <w:tcPr>
            <w:tcW w:w="1163" w:type="dxa"/>
            <w:tcBorders>
              <w:top w:val="nil"/>
              <w:left w:val="nil"/>
              <w:bottom w:val="nil"/>
              <w:right w:val="nil"/>
            </w:tcBorders>
            <w:shd w:val="clear" w:color="000000" w:fill="FFFFFF"/>
            <w:noWrap/>
            <w:vAlign w:val="center"/>
            <w:hideMark/>
          </w:tcPr>
          <w:p w14:paraId="502A4AB8"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40</w:t>
            </w:r>
          </w:p>
        </w:tc>
        <w:tc>
          <w:tcPr>
            <w:tcW w:w="1221" w:type="dxa"/>
            <w:tcBorders>
              <w:top w:val="nil"/>
              <w:left w:val="nil"/>
              <w:bottom w:val="nil"/>
              <w:right w:val="nil"/>
            </w:tcBorders>
            <w:shd w:val="clear" w:color="000000" w:fill="FFFFFF"/>
            <w:noWrap/>
            <w:vAlign w:val="center"/>
            <w:hideMark/>
          </w:tcPr>
          <w:p w14:paraId="01816637"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13</w:t>
            </w:r>
          </w:p>
        </w:tc>
        <w:tc>
          <w:tcPr>
            <w:tcW w:w="1114" w:type="dxa"/>
            <w:tcBorders>
              <w:top w:val="nil"/>
              <w:left w:val="nil"/>
              <w:bottom w:val="nil"/>
              <w:right w:val="nil"/>
            </w:tcBorders>
            <w:shd w:val="clear" w:color="000000" w:fill="FFFFFF"/>
            <w:vAlign w:val="center"/>
            <w:hideMark/>
          </w:tcPr>
          <w:p w14:paraId="5C3B0FA4"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15</w:t>
            </w:r>
          </w:p>
        </w:tc>
        <w:tc>
          <w:tcPr>
            <w:tcW w:w="1078" w:type="dxa"/>
            <w:tcBorders>
              <w:top w:val="nil"/>
              <w:left w:val="nil"/>
              <w:bottom w:val="nil"/>
              <w:right w:val="nil"/>
            </w:tcBorders>
            <w:shd w:val="clear" w:color="000000" w:fill="FFFFFF"/>
            <w:vAlign w:val="center"/>
            <w:hideMark/>
          </w:tcPr>
          <w:p w14:paraId="60D3E13E" w14:textId="77777777" w:rsidR="004C1FCE" w:rsidRPr="00AF4759" w:rsidRDefault="004C1FCE" w:rsidP="00781A6A">
            <w:pPr>
              <w:jc w:val="center"/>
              <w:rPr>
                <w:rFonts w:eastAsia="Times New Roman"/>
                <w:color w:val="000000"/>
                <w:sz w:val="16"/>
                <w:szCs w:val="16"/>
                <w:lang w:eastAsia="en-AU"/>
              </w:rPr>
            </w:pPr>
            <w:r w:rsidRPr="00AF4759">
              <w:rPr>
                <w:rFonts w:eastAsia="Times New Roman"/>
                <w:color w:val="000000"/>
                <w:sz w:val="16"/>
                <w:szCs w:val="16"/>
                <w:lang w:eastAsia="en-AU"/>
              </w:rPr>
              <w:t>2</w:t>
            </w:r>
          </w:p>
        </w:tc>
        <w:tc>
          <w:tcPr>
            <w:tcW w:w="1163" w:type="dxa"/>
            <w:tcBorders>
              <w:top w:val="nil"/>
              <w:left w:val="nil"/>
              <w:bottom w:val="nil"/>
              <w:right w:val="nil"/>
            </w:tcBorders>
            <w:shd w:val="clear" w:color="000000" w:fill="FFFFFF"/>
            <w:noWrap/>
            <w:vAlign w:val="center"/>
            <w:hideMark/>
          </w:tcPr>
          <w:p w14:paraId="3B74E496" w14:textId="77777777" w:rsidR="004C1FCE" w:rsidRPr="00AF4759" w:rsidRDefault="004C1FCE" w:rsidP="00781A6A">
            <w:pPr>
              <w:jc w:val="center"/>
              <w:rPr>
                <w:rFonts w:eastAsia="Times New Roman"/>
                <w:b/>
                <w:bCs/>
                <w:color w:val="000000"/>
                <w:sz w:val="16"/>
                <w:szCs w:val="16"/>
                <w:lang w:eastAsia="en-AU"/>
              </w:rPr>
            </w:pPr>
            <w:r w:rsidRPr="00AF4759">
              <w:rPr>
                <w:rFonts w:eastAsia="Times New Roman"/>
                <w:b/>
                <w:bCs/>
                <w:color w:val="000000"/>
                <w:sz w:val="16"/>
                <w:szCs w:val="16"/>
                <w:lang w:eastAsia="en-AU"/>
              </w:rPr>
              <w:t>1843</w:t>
            </w:r>
          </w:p>
        </w:tc>
        <w:tc>
          <w:tcPr>
            <w:tcW w:w="1163" w:type="dxa"/>
            <w:tcBorders>
              <w:top w:val="nil"/>
              <w:left w:val="nil"/>
              <w:bottom w:val="nil"/>
              <w:right w:val="nil"/>
            </w:tcBorders>
            <w:shd w:val="clear" w:color="000000" w:fill="FFFFFF"/>
            <w:noWrap/>
            <w:vAlign w:val="center"/>
            <w:hideMark/>
          </w:tcPr>
          <w:p w14:paraId="0E7218E6" w14:textId="77777777" w:rsidR="004C1FCE" w:rsidRPr="00AF4759" w:rsidRDefault="004C1FCE" w:rsidP="00781A6A">
            <w:pPr>
              <w:jc w:val="center"/>
              <w:rPr>
                <w:rFonts w:eastAsia="Times New Roman"/>
                <w:b/>
                <w:bCs/>
                <w:color w:val="000000"/>
                <w:sz w:val="16"/>
                <w:szCs w:val="16"/>
                <w:lang w:eastAsia="en-AU"/>
              </w:rPr>
            </w:pPr>
            <w:r w:rsidRPr="00AF4759">
              <w:rPr>
                <w:rFonts w:eastAsia="Times New Roman"/>
                <w:b/>
                <w:bCs/>
                <w:color w:val="000000"/>
                <w:sz w:val="16"/>
                <w:szCs w:val="16"/>
                <w:lang w:eastAsia="en-AU"/>
              </w:rPr>
              <w:t>57</w:t>
            </w:r>
          </w:p>
        </w:tc>
        <w:tc>
          <w:tcPr>
            <w:tcW w:w="1163" w:type="dxa"/>
            <w:tcBorders>
              <w:top w:val="nil"/>
              <w:left w:val="nil"/>
              <w:bottom w:val="nil"/>
              <w:right w:val="nil"/>
            </w:tcBorders>
            <w:shd w:val="clear" w:color="000000" w:fill="FFFFFF"/>
            <w:noWrap/>
            <w:vAlign w:val="center"/>
            <w:hideMark/>
          </w:tcPr>
          <w:p w14:paraId="4A31F131" w14:textId="77777777" w:rsidR="004C1FCE" w:rsidRPr="00AF4759" w:rsidRDefault="004C1FCE" w:rsidP="00781A6A">
            <w:pPr>
              <w:jc w:val="center"/>
              <w:rPr>
                <w:rFonts w:eastAsia="Times New Roman"/>
                <w:b/>
                <w:bCs/>
                <w:color w:val="000000"/>
                <w:sz w:val="16"/>
                <w:szCs w:val="16"/>
                <w:lang w:eastAsia="en-AU"/>
              </w:rPr>
            </w:pPr>
            <w:r w:rsidRPr="00AF4759">
              <w:rPr>
                <w:rFonts w:eastAsia="Times New Roman"/>
                <w:b/>
                <w:bCs/>
                <w:color w:val="000000"/>
                <w:sz w:val="16"/>
                <w:szCs w:val="16"/>
                <w:lang w:eastAsia="en-AU"/>
              </w:rPr>
              <w:t>3.0</w:t>
            </w:r>
          </w:p>
        </w:tc>
      </w:tr>
      <w:tr w:rsidR="004C1FCE" w:rsidRPr="00AF4759" w14:paraId="58B2D42A" w14:textId="77777777" w:rsidTr="00781A6A">
        <w:trPr>
          <w:trHeight w:val="384"/>
        </w:trPr>
        <w:tc>
          <w:tcPr>
            <w:tcW w:w="1418" w:type="dxa"/>
            <w:tcBorders>
              <w:top w:val="single" w:sz="8" w:space="0" w:color="auto"/>
              <w:left w:val="nil"/>
              <w:bottom w:val="single" w:sz="8" w:space="0" w:color="auto"/>
              <w:right w:val="nil"/>
            </w:tcBorders>
            <w:shd w:val="clear" w:color="000000" w:fill="FFFFFF"/>
            <w:noWrap/>
            <w:vAlign w:val="center"/>
            <w:hideMark/>
          </w:tcPr>
          <w:p w14:paraId="6090E37D" w14:textId="77777777" w:rsidR="004C1FCE" w:rsidRPr="00AF4759" w:rsidRDefault="004C1FCE" w:rsidP="00781A6A">
            <w:pPr>
              <w:jc w:val="center"/>
              <w:rPr>
                <w:rFonts w:eastAsia="Times New Roman"/>
                <w:b/>
                <w:bCs/>
                <w:i/>
                <w:iCs/>
                <w:color w:val="000000"/>
                <w:sz w:val="16"/>
                <w:szCs w:val="16"/>
                <w:lang w:eastAsia="en-AU"/>
              </w:rPr>
            </w:pPr>
            <w:r w:rsidRPr="00AF4759">
              <w:rPr>
                <w:rFonts w:eastAsia="Times New Roman"/>
                <w:b/>
                <w:bCs/>
                <w:i/>
                <w:iCs/>
                <w:color w:val="000000"/>
                <w:sz w:val="16"/>
                <w:szCs w:val="16"/>
                <w:lang w:eastAsia="en-AU"/>
              </w:rPr>
              <w:t>Total</w:t>
            </w:r>
          </w:p>
        </w:tc>
        <w:tc>
          <w:tcPr>
            <w:tcW w:w="908" w:type="dxa"/>
            <w:tcBorders>
              <w:top w:val="single" w:sz="8" w:space="0" w:color="auto"/>
              <w:left w:val="nil"/>
              <w:bottom w:val="single" w:sz="8" w:space="0" w:color="auto"/>
              <w:right w:val="nil"/>
            </w:tcBorders>
            <w:shd w:val="clear" w:color="000000" w:fill="FFFFFF"/>
            <w:noWrap/>
            <w:vAlign w:val="center"/>
            <w:hideMark/>
          </w:tcPr>
          <w:p w14:paraId="3174213B" w14:textId="77777777" w:rsidR="004C1FCE" w:rsidRPr="00AF4759" w:rsidRDefault="004C1FCE" w:rsidP="00781A6A">
            <w:pPr>
              <w:jc w:val="center"/>
              <w:rPr>
                <w:rFonts w:eastAsia="Times New Roman"/>
                <w:i/>
                <w:iCs/>
                <w:color w:val="000000"/>
                <w:sz w:val="16"/>
                <w:szCs w:val="16"/>
                <w:lang w:eastAsia="en-AU"/>
              </w:rPr>
            </w:pPr>
            <w:r w:rsidRPr="00AF4759">
              <w:rPr>
                <w:rFonts w:eastAsia="Times New Roman"/>
                <w:i/>
                <w:iCs/>
                <w:color w:val="000000"/>
                <w:sz w:val="16"/>
                <w:szCs w:val="16"/>
                <w:lang w:eastAsia="en-AU"/>
              </w:rPr>
              <w:t>10,900</w:t>
            </w:r>
          </w:p>
        </w:tc>
        <w:tc>
          <w:tcPr>
            <w:tcW w:w="1163" w:type="dxa"/>
            <w:tcBorders>
              <w:top w:val="single" w:sz="8" w:space="0" w:color="auto"/>
              <w:left w:val="nil"/>
              <w:bottom w:val="single" w:sz="8" w:space="0" w:color="auto"/>
              <w:right w:val="nil"/>
            </w:tcBorders>
            <w:shd w:val="clear" w:color="000000" w:fill="FFFFFF"/>
            <w:noWrap/>
            <w:vAlign w:val="center"/>
            <w:hideMark/>
          </w:tcPr>
          <w:p w14:paraId="4F2BA0B6" w14:textId="77777777" w:rsidR="004C1FCE" w:rsidRPr="00AF4759" w:rsidRDefault="004C1FCE" w:rsidP="00781A6A">
            <w:pPr>
              <w:jc w:val="center"/>
              <w:rPr>
                <w:rFonts w:eastAsia="Times New Roman"/>
                <w:i/>
                <w:iCs/>
                <w:color w:val="000000"/>
                <w:sz w:val="16"/>
                <w:szCs w:val="16"/>
                <w:lang w:eastAsia="en-AU"/>
              </w:rPr>
            </w:pPr>
            <w:r w:rsidRPr="00AF4759">
              <w:rPr>
                <w:rFonts w:eastAsia="Times New Roman"/>
                <w:i/>
                <w:iCs/>
                <w:color w:val="000000"/>
                <w:sz w:val="16"/>
                <w:szCs w:val="16"/>
                <w:lang w:eastAsia="en-AU"/>
              </w:rPr>
              <w:t>7970</w:t>
            </w:r>
          </w:p>
        </w:tc>
        <w:tc>
          <w:tcPr>
            <w:tcW w:w="1163" w:type="dxa"/>
            <w:tcBorders>
              <w:top w:val="single" w:sz="8" w:space="0" w:color="auto"/>
              <w:left w:val="nil"/>
              <w:bottom w:val="single" w:sz="8" w:space="0" w:color="auto"/>
              <w:right w:val="nil"/>
            </w:tcBorders>
            <w:shd w:val="clear" w:color="000000" w:fill="FFFFFF"/>
            <w:noWrap/>
            <w:vAlign w:val="center"/>
            <w:hideMark/>
          </w:tcPr>
          <w:p w14:paraId="57C13C82" w14:textId="77777777" w:rsidR="004C1FCE" w:rsidRPr="00AF4759" w:rsidRDefault="004C1FCE" w:rsidP="00781A6A">
            <w:pPr>
              <w:jc w:val="center"/>
              <w:rPr>
                <w:rFonts w:eastAsia="Times New Roman"/>
                <w:i/>
                <w:iCs/>
                <w:color w:val="000000"/>
                <w:sz w:val="16"/>
                <w:szCs w:val="16"/>
                <w:lang w:eastAsia="en-AU"/>
              </w:rPr>
            </w:pPr>
            <w:r w:rsidRPr="00AF4759">
              <w:rPr>
                <w:rFonts w:eastAsia="Times New Roman"/>
                <w:i/>
                <w:iCs/>
                <w:color w:val="000000"/>
                <w:sz w:val="16"/>
                <w:szCs w:val="16"/>
                <w:lang w:eastAsia="en-AU"/>
              </w:rPr>
              <w:t>1149</w:t>
            </w:r>
          </w:p>
        </w:tc>
        <w:tc>
          <w:tcPr>
            <w:tcW w:w="1239" w:type="dxa"/>
            <w:tcBorders>
              <w:top w:val="single" w:sz="8" w:space="0" w:color="auto"/>
              <w:left w:val="nil"/>
              <w:bottom w:val="single" w:sz="8" w:space="0" w:color="auto"/>
              <w:right w:val="nil"/>
            </w:tcBorders>
            <w:shd w:val="clear" w:color="000000" w:fill="FFFFFF"/>
            <w:vAlign w:val="center"/>
            <w:hideMark/>
          </w:tcPr>
          <w:p w14:paraId="2B3B31A0" w14:textId="77777777" w:rsidR="004C1FCE" w:rsidRPr="00AF4759" w:rsidRDefault="004C1FCE" w:rsidP="00781A6A">
            <w:pPr>
              <w:jc w:val="center"/>
              <w:rPr>
                <w:rFonts w:eastAsia="Times New Roman"/>
                <w:i/>
                <w:iCs/>
                <w:color w:val="000000"/>
                <w:sz w:val="16"/>
                <w:szCs w:val="16"/>
                <w:lang w:eastAsia="en-AU"/>
              </w:rPr>
            </w:pPr>
            <w:r w:rsidRPr="00AF4759">
              <w:rPr>
                <w:rFonts w:eastAsia="Times New Roman"/>
                <w:i/>
                <w:iCs/>
                <w:color w:val="000000"/>
                <w:sz w:val="16"/>
                <w:szCs w:val="16"/>
                <w:lang w:eastAsia="en-AU"/>
              </w:rPr>
              <w:t>33</w:t>
            </w:r>
          </w:p>
        </w:tc>
        <w:tc>
          <w:tcPr>
            <w:tcW w:w="1163" w:type="dxa"/>
            <w:tcBorders>
              <w:top w:val="single" w:sz="8" w:space="0" w:color="auto"/>
              <w:left w:val="nil"/>
              <w:bottom w:val="single" w:sz="8" w:space="0" w:color="auto"/>
              <w:right w:val="nil"/>
            </w:tcBorders>
            <w:shd w:val="clear" w:color="000000" w:fill="FFFFFF"/>
            <w:noWrap/>
            <w:vAlign w:val="center"/>
            <w:hideMark/>
          </w:tcPr>
          <w:p w14:paraId="18EB9E45" w14:textId="77777777" w:rsidR="004C1FCE" w:rsidRPr="00AF4759" w:rsidRDefault="004C1FCE" w:rsidP="00781A6A">
            <w:pPr>
              <w:jc w:val="center"/>
              <w:rPr>
                <w:rFonts w:eastAsia="Times New Roman"/>
                <w:i/>
                <w:iCs/>
                <w:color w:val="000000"/>
                <w:sz w:val="16"/>
                <w:szCs w:val="16"/>
                <w:lang w:eastAsia="en-AU"/>
              </w:rPr>
            </w:pPr>
            <w:r w:rsidRPr="00AF4759">
              <w:rPr>
                <w:rFonts w:eastAsia="Times New Roman"/>
                <w:i/>
                <w:iCs/>
                <w:color w:val="000000"/>
                <w:sz w:val="16"/>
                <w:szCs w:val="16"/>
                <w:lang w:eastAsia="en-AU"/>
              </w:rPr>
              <w:t>233</w:t>
            </w:r>
          </w:p>
        </w:tc>
        <w:tc>
          <w:tcPr>
            <w:tcW w:w="1163" w:type="dxa"/>
            <w:tcBorders>
              <w:top w:val="single" w:sz="8" w:space="0" w:color="auto"/>
              <w:left w:val="nil"/>
              <w:bottom w:val="single" w:sz="8" w:space="0" w:color="auto"/>
              <w:right w:val="nil"/>
            </w:tcBorders>
            <w:shd w:val="clear" w:color="000000" w:fill="FFFFFF"/>
            <w:noWrap/>
            <w:vAlign w:val="center"/>
            <w:hideMark/>
          </w:tcPr>
          <w:p w14:paraId="22237A0F" w14:textId="77777777" w:rsidR="004C1FCE" w:rsidRPr="00AF4759" w:rsidRDefault="004C1FCE" w:rsidP="00781A6A">
            <w:pPr>
              <w:jc w:val="center"/>
              <w:rPr>
                <w:rFonts w:eastAsia="Times New Roman"/>
                <w:i/>
                <w:iCs/>
                <w:color w:val="000000"/>
                <w:sz w:val="16"/>
                <w:szCs w:val="16"/>
                <w:lang w:eastAsia="en-AU"/>
              </w:rPr>
            </w:pPr>
            <w:r w:rsidRPr="00AF4759">
              <w:rPr>
                <w:rFonts w:eastAsia="Times New Roman"/>
                <w:i/>
                <w:iCs/>
                <w:color w:val="000000"/>
                <w:sz w:val="16"/>
                <w:szCs w:val="16"/>
                <w:lang w:eastAsia="en-AU"/>
              </w:rPr>
              <w:t>186</w:t>
            </w:r>
          </w:p>
        </w:tc>
        <w:tc>
          <w:tcPr>
            <w:tcW w:w="1163" w:type="dxa"/>
            <w:tcBorders>
              <w:top w:val="single" w:sz="8" w:space="0" w:color="auto"/>
              <w:left w:val="nil"/>
              <w:bottom w:val="single" w:sz="8" w:space="0" w:color="auto"/>
              <w:right w:val="nil"/>
            </w:tcBorders>
            <w:shd w:val="clear" w:color="000000" w:fill="FFFFFF"/>
            <w:noWrap/>
            <w:vAlign w:val="center"/>
            <w:hideMark/>
          </w:tcPr>
          <w:p w14:paraId="460E65BE" w14:textId="77777777" w:rsidR="004C1FCE" w:rsidRPr="00AF4759" w:rsidRDefault="004C1FCE" w:rsidP="00781A6A">
            <w:pPr>
              <w:jc w:val="center"/>
              <w:rPr>
                <w:rFonts w:eastAsia="Times New Roman"/>
                <w:i/>
                <w:iCs/>
                <w:color w:val="000000"/>
                <w:sz w:val="16"/>
                <w:szCs w:val="16"/>
                <w:lang w:eastAsia="en-AU"/>
              </w:rPr>
            </w:pPr>
            <w:r w:rsidRPr="00AF4759">
              <w:rPr>
                <w:rFonts w:eastAsia="Times New Roman"/>
                <w:i/>
                <w:iCs/>
                <w:color w:val="000000"/>
                <w:sz w:val="16"/>
                <w:szCs w:val="16"/>
                <w:lang w:eastAsia="en-AU"/>
              </w:rPr>
              <w:t>411</w:t>
            </w:r>
          </w:p>
        </w:tc>
        <w:tc>
          <w:tcPr>
            <w:tcW w:w="1221" w:type="dxa"/>
            <w:tcBorders>
              <w:top w:val="single" w:sz="8" w:space="0" w:color="auto"/>
              <w:left w:val="nil"/>
              <w:bottom w:val="single" w:sz="8" w:space="0" w:color="auto"/>
              <w:right w:val="nil"/>
            </w:tcBorders>
            <w:shd w:val="clear" w:color="000000" w:fill="FFFFFF"/>
            <w:noWrap/>
            <w:vAlign w:val="center"/>
            <w:hideMark/>
          </w:tcPr>
          <w:p w14:paraId="31621120" w14:textId="77777777" w:rsidR="004C1FCE" w:rsidRPr="00AF4759" w:rsidRDefault="004C1FCE" w:rsidP="00781A6A">
            <w:pPr>
              <w:jc w:val="center"/>
              <w:rPr>
                <w:rFonts w:eastAsia="Times New Roman"/>
                <w:i/>
                <w:iCs/>
                <w:color w:val="000000"/>
                <w:sz w:val="16"/>
                <w:szCs w:val="16"/>
                <w:lang w:eastAsia="en-AU"/>
              </w:rPr>
            </w:pPr>
            <w:r w:rsidRPr="00AF4759">
              <w:rPr>
                <w:rFonts w:eastAsia="Times New Roman"/>
                <w:i/>
                <w:iCs/>
                <w:color w:val="000000"/>
                <w:sz w:val="16"/>
                <w:szCs w:val="16"/>
                <w:lang w:eastAsia="en-AU"/>
              </w:rPr>
              <w:t>85</w:t>
            </w:r>
          </w:p>
        </w:tc>
        <w:tc>
          <w:tcPr>
            <w:tcW w:w="1114" w:type="dxa"/>
            <w:tcBorders>
              <w:top w:val="single" w:sz="8" w:space="0" w:color="auto"/>
              <w:left w:val="nil"/>
              <w:bottom w:val="single" w:sz="8" w:space="0" w:color="auto"/>
              <w:right w:val="nil"/>
            </w:tcBorders>
            <w:shd w:val="clear" w:color="000000" w:fill="FFFFFF"/>
            <w:vAlign w:val="center"/>
            <w:hideMark/>
          </w:tcPr>
          <w:p w14:paraId="1A37D012" w14:textId="77777777" w:rsidR="004C1FCE" w:rsidRPr="00AF4759" w:rsidRDefault="004C1FCE" w:rsidP="00781A6A">
            <w:pPr>
              <w:jc w:val="center"/>
              <w:rPr>
                <w:rFonts w:eastAsia="Times New Roman"/>
                <w:i/>
                <w:iCs/>
                <w:color w:val="000000"/>
                <w:sz w:val="16"/>
                <w:szCs w:val="16"/>
                <w:lang w:eastAsia="en-AU"/>
              </w:rPr>
            </w:pPr>
            <w:r w:rsidRPr="00AF4759">
              <w:rPr>
                <w:rFonts w:eastAsia="Times New Roman"/>
                <w:i/>
                <w:iCs/>
                <w:color w:val="000000"/>
                <w:sz w:val="16"/>
                <w:szCs w:val="16"/>
                <w:lang w:eastAsia="en-AU"/>
              </w:rPr>
              <w:t>87</w:t>
            </w:r>
          </w:p>
        </w:tc>
        <w:tc>
          <w:tcPr>
            <w:tcW w:w="1078" w:type="dxa"/>
            <w:tcBorders>
              <w:top w:val="single" w:sz="8" w:space="0" w:color="auto"/>
              <w:left w:val="nil"/>
              <w:bottom w:val="single" w:sz="8" w:space="0" w:color="auto"/>
              <w:right w:val="nil"/>
            </w:tcBorders>
            <w:shd w:val="clear" w:color="000000" w:fill="FFFFFF"/>
            <w:vAlign w:val="center"/>
            <w:hideMark/>
          </w:tcPr>
          <w:p w14:paraId="6A35F50A" w14:textId="77777777" w:rsidR="004C1FCE" w:rsidRPr="00AF4759" w:rsidRDefault="004C1FCE" w:rsidP="00781A6A">
            <w:pPr>
              <w:jc w:val="center"/>
              <w:rPr>
                <w:rFonts w:eastAsia="Times New Roman"/>
                <w:i/>
                <w:iCs/>
                <w:color w:val="000000"/>
                <w:sz w:val="16"/>
                <w:szCs w:val="16"/>
                <w:lang w:eastAsia="en-AU"/>
              </w:rPr>
            </w:pPr>
            <w:r w:rsidRPr="00AF4759">
              <w:rPr>
                <w:rFonts w:eastAsia="Times New Roman"/>
                <w:i/>
                <w:iCs/>
                <w:color w:val="000000"/>
                <w:sz w:val="16"/>
                <w:szCs w:val="16"/>
                <w:lang w:eastAsia="en-AU"/>
              </w:rPr>
              <w:t>18</w:t>
            </w:r>
          </w:p>
        </w:tc>
        <w:tc>
          <w:tcPr>
            <w:tcW w:w="1163" w:type="dxa"/>
            <w:tcBorders>
              <w:top w:val="single" w:sz="8" w:space="0" w:color="auto"/>
              <w:left w:val="nil"/>
              <w:bottom w:val="single" w:sz="8" w:space="0" w:color="auto"/>
              <w:right w:val="nil"/>
            </w:tcBorders>
            <w:shd w:val="clear" w:color="000000" w:fill="FFFFFF"/>
            <w:noWrap/>
            <w:vAlign w:val="center"/>
            <w:hideMark/>
          </w:tcPr>
          <w:p w14:paraId="33066ACF" w14:textId="77777777" w:rsidR="004C1FCE" w:rsidRPr="00AF4759" w:rsidRDefault="004C1FCE" w:rsidP="00781A6A">
            <w:pPr>
              <w:jc w:val="center"/>
              <w:rPr>
                <w:rFonts w:eastAsia="Times New Roman"/>
                <w:b/>
                <w:bCs/>
                <w:i/>
                <w:iCs/>
                <w:color w:val="000000"/>
                <w:sz w:val="16"/>
                <w:szCs w:val="16"/>
                <w:lang w:eastAsia="en-AU"/>
              </w:rPr>
            </w:pPr>
            <w:r w:rsidRPr="00AF4759">
              <w:rPr>
                <w:rFonts w:eastAsia="Times New Roman"/>
                <w:b/>
                <w:bCs/>
                <w:i/>
                <w:iCs/>
                <w:color w:val="000000"/>
                <w:sz w:val="16"/>
                <w:szCs w:val="16"/>
                <w:lang w:eastAsia="en-AU"/>
              </w:rPr>
              <w:t>10,172</w:t>
            </w:r>
          </w:p>
        </w:tc>
        <w:tc>
          <w:tcPr>
            <w:tcW w:w="1163" w:type="dxa"/>
            <w:tcBorders>
              <w:top w:val="single" w:sz="8" w:space="0" w:color="auto"/>
              <w:left w:val="nil"/>
              <w:bottom w:val="single" w:sz="8" w:space="0" w:color="auto"/>
              <w:right w:val="nil"/>
            </w:tcBorders>
            <w:shd w:val="clear" w:color="000000" w:fill="FFFFFF"/>
            <w:noWrap/>
            <w:vAlign w:val="center"/>
            <w:hideMark/>
          </w:tcPr>
          <w:p w14:paraId="183C4970" w14:textId="77777777" w:rsidR="004C1FCE" w:rsidRPr="00AF4759" w:rsidRDefault="004C1FCE" w:rsidP="00781A6A">
            <w:pPr>
              <w:jc w:val="center"/>
              <w:rPr>
                <w:rFonts w:eastAsia="Times New Roman"/>
                <w:b/>
                <w:bCs/>
                <w:i/>
                <w:iCs/>
                <w:color w:val="000000"/>
                <w:sz w:val="16"/>
                <w:szCs w:val="16"/>
                <w:lang w:eastAsia="en-AU"/>
              </w:rPr>
            </w:pPr>
            <w:r w:rsidRPr="00AF4759">
              <w:rPr>
                <w:rFonts w:eastAsia="Times New Roman"/>
                <w:b/>
                <w:bCs/>
                <w:i/>
                <w:iCs/>
                <w:color w:val="000000"/>
                <w:sz w:val="16"/>
                <w:szCs w:val="16"/>
                <w:lang w:eastAsia="en-AU"/>
              </w:rPr>
              <w:t>728</w:t>
            </w:r>
          </w:p>
        </w:tc>
        <w:tc>
          <w:tcPr>
            <w:tcW w:w="1163" w:type="dxa"/>
            <w:tcBorders>
              <w:top w:val="single" w:sz="8" w:space="0" w:color="auto"/>
              <w:left w:val="nil"/>
              <w:bottom w:val="single" w:sz="8" w:space="0" w:color="auto"/>
              <w:right w:val="nil"/>
            </w:tcBorders>
            <w:shd w:val="clear" w:color="000000" w:fill="FFFFFF"/>
            <w:noWrap/>
            <w:vAlign w:val="center"/>
            <w:hideMark/>
          </w:tcPr>
          <w:p w14:paraId="5BDA170A" w14:textId="77777777" w:rsidR="004C1FCE" w:rsidRPr="00AF4759" w:rsidRDefault="004C1FCE" w:rsidP="00781A6A">
            <w:pPr>
              <w:jc w:val="center"/>
              <w:rPr>
                <w:rFonts w:eastAsia="Times New Roman"/>
                <w:b/>
                <w:bCs/>
                <w:i/>
                <w:iCs/>
                <w:color w:val="000000"/>
                <w:sz w:val="16"/>
                <w:szCs w:val="16"/>
                <w:lang w:eastAsia="en-AU"/>
              </w:rPr>
            </w:pPr>
            <w:r w:rsidRPr="00AF4759">
              <w:rPr>
                <w:rFonts w:eastAsia="Times New Roman"/>
                <w:b/>
                <w:bCs/>
                <w:i/>
                <w:iCs/>
                <w:color w:val="000000"/>
                <w:sz w:val="16"/>
                <w:szCs w:val="16"/>
                <w:lang w:eastAsia="en-AU"/>
              </w:rPr>
              <w:t>6.7</w:t>
            </w:r>
          </w:p>
        </w:tc>
      </w:tr>
    </w:tbl>
    <w:p w14:paraId="5F8240EC" w14:textId="77777777" w:rsidR="004C1FCE" w:rsidRPr="00AF4759" w:rsidRDefault="004C1FCE" w:rsidP="004C1FCE"/>
    <w:p w14:paraId="23018CA1" w14:textId="6FEE5F4C" w:rsidR="004C1FCE" w:rsidRPr="00AF4759" w:rsidRDefault="004C1FCE" w:rsidP="004C1FCE">
      <w:pPr>
        <w:spacing w:line="276" w:lineRule="auto"/>
        <w:jc w:val="both"/>
      </w:pPr>
      <w:r w:rsidRPr="00AF4759">
        <w:rPr>
          <w:b/>
        </w:rPr>
        <w:t xml:space="preserve">Table </w:t>
      </w:r>
      <w:r w:rsidR="001C440D">
        <w:rPr>
          <w:b/>
        </w:rPr>
        <w:t>S5</w:t>
      </w:r>
      <w:r w:rsidR="00CF6538" w:rsidRPr="00AF4759">
        <w:rPr>
          <w:b/>
        </w:rPr>
        <w:t>-</w:t>
      </w:r>
      <w:r w:rsidRPr="00AF4759">
        <w:rPr>
          <w:b/>
        </w:rPr>
        <w:t>2. Number of single-grain measurements rejected</w:t>
      </w:r>
      <w:r w:rsidR="00F80944" w:rsidRPr="00AF4759">
        <w:rPr>
          <w:b/>
        </w:rPr>
        <w:t>,</w:t>
      </w:r>
      <w:r w:rsidRPr="00AF4759">
        <w:rPr>
          <w:b/>
        </w:rPr>
        <w:t xml:space="preserve"> measured and accepted for final D</w:t>
      </w:r>
      <w:r w:rsidRPr="00AF4759">
        <w:rPr>
          <w:b/>
          <w:vertAlign w:val="subscript"/>
        </w:rPr>
        <w:t>e</w:t>
      </w:r>
      <w:r w:rsidRPr="00AF4759">
        <w:rPr>
          <w:b/>
        </w:rPr>
        <w:t xml:space="preserve">. </w:t>
      </w:r>
      <w:r w:rsidRPr="00AF4759">
        <w:t>Analysis was undertaken on 1000 individual 180-212 µm-diameter quartz grains for each sample. Samples which had additional analyses undertaken on their 150-180 µm-diameter quartz grain fraction are marked with (</w:t>
      </w:r>
      <w:r w:rsidRPr="00AF4759">
        <w:rPr>
          <w:b/>
        </w:rPr>
        <w:t>*</w:t>
      </w:r>
      <w:r w:rsidRPr="00AF4759">
        <w:t>). Grains were rejected from final D</w:t>
      </w:r>
      <w:r w:rsidRPr="00AF4759">
        <w:rPr>
          <w:vertAlign w:val="subscript"/>
        </w:rPr>
        <w:t>e</w:t>
      </w:r>
      <w:r w:rsidRPr="00AF4759">
        <w:t xml:space="preserve"> estimations if they failed one or more of the following criteria.</w:t>
      </w:r>
    </w:p>
    <w:p w14:paraId="0D7CCFBD" w14:textId="77777777" w:rsidR="004C1FCE" w:rsidRPr="00AF4759" w:rsidRDefault="004C1FCE" w:rsidP="004C1FCE">
      <w:pPr>
        <w:spacing w:line="276" w:lineRule="auto"/>
        <w:jc w:val="both"/>
      </w:pPr>
    </w:p>
    <w:p w14:paraId="083A3192" w14:textId="77777777" w:rsidR="004C1FCE" w:rsidRPr="00AF4759" w:rsidRDefault="004C1FCE" w:rsidP="004C1FCE">
      <w:pPr>
        <w:pStyle w:val="ListParagraph"/>
        <w:numPr>
          <w:ilvl w:val="0"/>
          <w:numId w:val="3"/>
        </w:numPr>
        <w:spacing w:line="276" w:lineRule="auto"/>
        <w:jc w:val="both"/>
        <w:rPr>
          <w:rFonts w:ascii="Times New Roman" w:hAnsi="Times New Roman" w:cs="Times New Roman"/>
          <w:sz w:val="24"/>
          <w:szCs w:val="24"/>
        </w:rPr>
      </w:pPr>
      <w:r w:rsidRPr="00AF4759">
        <w:rPr>
          <w:rFonts w:ascii="Times New Roman" w:hAnsi="Times New Roman" w:cs="Times New Roman"/>
          <w:sz w:val="24"/>
          <w:szCs w:val="24"/>
        </w:rPr>
        <w:t>Initial T</w:t>
      </w:r>
      <w:r w:rsidRPr="00AF4759">
        <w:rPr>
          <w:rFonts w:ascii="Times New Roman" w:hAnsi="Times New Roman" w:cs="Times New Roman"/>
          <w:sz w:val="24"/>
          <w:szCs w:val="24"/>
          <w:vertAlign w:val="subscript"/>
        </w:rPr>
        <w:t>N</w:t>
      </w:r>
      <w:r w:rsidRPr="00AF4759">
        <w:rPr>
          <w:rFonts w:ascii="Times New Roman" w:hAnsi="Times New Roman" w:cs="Times New Roman"/>
          <w:sz w:val="24"/>
          <w:szCs w:val="24"/>
        </w:rPr>
        <w:t xml:space="preserve"> signal &lt;3σ above corresponding background count.</w:t>
      </w:r>
    </w:p>
    <w:p w14:paraId="3B8C7273" w14:textId="77777777" w:rsidR="004C1FCE" w:rsidRPr="00AF4759" w:rsidRDefault="004C1FCE" w:rsidP="004C1FCE">
      <w:pPr>
        <w:pStyle w:val="ListParagraph"/>
        <w:numPr>
          <w:ilvl w:val="0"/>
          <w:numId w:val="3"/>
        </w:numPr>
        <w:spacing w:line="276" w:lineRule="auto"/>
        <w:jc w:val="both"/>
        <w:rPr>
          <w:rFonts w:ascii="Times New Roman" w:hAnsi="Times New Roman" w:cs="Times New Roman"/>
          <w:sz w:val="24"/>
          <w:szCs w:val="24"/>
        </w:rPr>
      </w:pPr>
      <w:r w:rsidRPr="00AF4759">
        <w:rPr>
          <w:rFonts w:ascii="Times New Roman" w:hAnsi="Times New Roman" w:cs="Times New Roman"/>
          <w:sz w:val="24"/>
          <w:szCs w:val="24"/>
        </w:rPr>
        <w:t>Relative standard error on T</w:t>
      </w:r>
      <w:r w:rsidRPr="00AF4759">
        <w:rPr>
          <w:rFonts w:ascii="Times New Roman" w:hAnsi="Times New Roman" w:cs="Times New Roman"/>
          <w:sz w:val="24"/>
          <w:szCs w:val="24"/>
          <w:vertAlign w:val="subscript"/>
        </w:rPr>
        <w:t>N</w:t>
      </w:r>
      <w:r w:rsidRPr="00AF4759">
        <w:rPr>
          <w:rFonts w:ascii="Times New Roman" w:hAnsi="Times New Roman" w:cs="Times New Roman"/>
          <w:sz w:val="24"/>
          <w:szCs w:val="24"/>
        </w:rPr>
        <w:t xml:space="preserve"> &gt;25%.</w:t>
      </w:r>
    </w:p>
    <w:p w14:paraId="160F7966" w14:textId="77777777" w:rsidR="004C1FCE" w:rsidRPr="00AF4759" w:rsidRDefault="004C1FCE" w:rsidP="004C1FCE">
      <w:pPr>
        <w:pStyle w:val="ListParagraph"/>
        <w:numPr>
          <w:ilvl w:val="0"/>
          <w:numId w:val="3"/>
        </w:numPr>
        <w:spacing w:line="276" w:lineRule="auto"/>
        <w:jc w:val="both"/>
        <w:rPr>
          <w:rFonts w:ascii="Times New Roman" w:hAnsi="Times New Roman" w:cs="Times New Roman"/>
          <w:sz w:val="24"/>
          <w:szCs w:val="24"/>
        </w:rPr>
      </w:pPr>
      <w:r w:rsidRPr="00AF4759">
        <w:rPr>
          <w:rFonts w:ascii="Times New Roman" w:hAnsi="Times New Roman" w:cs="Times New Roman"/>
          <w:sz w:val="24"/>
          <w:szCs w:val="24"/>
        </w:rPr>
        <w:t>Recuperation ratio &gt;5%.</w:t>
      </w:r>
    </w:p>
    <w:p w14:paraId="6AB10CCD" w14:textId="77777777" w:rsidR="004C1FCE" w:rsidRPr="00AF4759" w:rsidRDefault="004C1FCE" w:rsidP="004C1FCE">
      <w:pPr>
        <w:pStyle w:val="ListParagraph"/>
        <w:numPr>
          <w:ilvl w:val="0"/>
          <w:numId w:val="3"/>
        </w:numPr>
        <w:spacing w:line="276" w:lineRule="auto"/>
        <w:jc w:val="both"/>
        <w:rPr>
          <w:rFonts w:ascii="Times New Roman" w:hAnsi="Times New Roman" w:cs="Times New Roman"/>
          <w:sz w:val="24"/>
          <w:szCs w:val="24"/>
        </w:rPr>
      </w:pPr>
      <w:r w:rsidRPr="00AF4759">
        <w:rPr>
          <w:rFonts w:ascii="Times New Roman" w:hAnsi="Times New Roman" w:cs="Times New Roman"/>
          <w:sz w:val="24"/>
          <w:szCs w:val="24"/>
        </w:rPr>
        <w:t>Recycling ratio inconsistent with unity at 2σ.</w:t>
      </w:r>
    </w:p>
    <w:p w14:paraId="25451101" w14:textId="77777777" w:rsidR="004C1FCE" w:rsidRPr="00AF4759" w:rsidRDefault="004C1FCE" w:rsidP="004C1FCE">
      <w:pPr>
        <w:pStyle w:val="ListParagraph"/>
        <w:numPr>
          <w:ilvl w:val="0"/>
          <w:numId w:val="3"/>
        </w:numPr>
        <w:spacing w:line="276" w:lineRule="auto"/>
        <w:jc w:val="both"/>
        <w:rPr>
          <w:rFonts w:ascii="Times New Roman" w:hAnsi="Times New Roman" w:cs="Times New Roman"/>
          <w:sz w:val="24"/>
          <w:szCs w:val="24"/>
        </w:rPr>
      </w:pPr>
      <w:r w:rsidRPr="00AF4759">
        <w:rPr>
          <w:rFonts w:ascii="Times New Roman" w:hAnsi="Times New Roman" w:cs="Times New Roman"/>
          <w:sz w:val="24"/>
          <w:szCs w:val="24"/>
        </w:rPr>
        <w:t>OSL IR depletion-ratio more than 2σ below unity.</w:t>
      </w:r>
    </w:p>
    <w:p w14:paraId="65AA28DB" w14:textId="77777777" w:rsidR="004C1FCE" w:rsidRPr="00AF4759" w:rsidRDefault="004C1FCE" w:rsidP="004C1FCE">
      <w:pPr>
        <w:pStyle w:val="ListParagraph"/>
        <w:numPr>
          <w:ilvl w:val="0"/>
          <w:numId w:val="3"/>
        </w:numPr>
        <w:spacing w:line="276" w:lineRule="auto"/>
        <w:jc w:val="both"/>
        <w:rPr>
          <w:rFonts w:ascii="Times New Roman" w:hAnsi="Times New Roman" w:cs="Times New Roman"/>
          <w:sz w:val="24"/>
          <w:szCs w:val="24"/>
        </w:rPr>
      </w:pPr>
      <w:r w:rsidRPr="00AF4759">
        <w:rPr>
          <w:rFonts w:ascii="Times New Roman" w:hAnsi="Times New Roman" w:cs="Times New Roman"/>
          <w:sz w:val="24"/>
          <w:szCs w:val="24"/>
        </w:rPr>
        <w:t>Figure-of-merit (FOM) value for L</w:t>
      </w:r>
      <w:r w:rsidRPr="00AF4759">
        <w:rPr>
          <w:rFonts w:ascii="Times New Roman" w:hAnsi="Times New Roman" w:cs="Times New Roman"/>
          <w:sz w:val="24"/>
          <w:szCs w:val="24"/>
          <w:vertAlign w:val="subscript"/>
        </w:rPr>
        <w:t>X</w:t>
      </w:r>
      <w:r w:rsidRPr="00AF4759">
        <w:rPr>
          <w:rFonts w:ascii="Times New Roman" w:hAnsi="Times New Roman" w:cs="Times New Roman"/>
          <w:sz w:val="24"/>
          <w:szCs w:val="24"/>
        </w:rPr>
        <w:t>/T</w:t>
      </w:r>
      <w:r w:rsidRPr="00AF4759">
        <w:rPr>
          <w:rFonts w:ascii="Times New Roman" w:hAnsi="Times New Roman" w:cs="Times New Roman"/>
          <w:sz w:val="24"/>
          <w:szCs w:val="24"/>
          <w:vertAlign w:val="subscript"/>
        </w:rPr>
        <w:t>X</w:t>
      </w:r>
      <w:r w:rsidRPr="00AF4759">
        <w:rPr>
          <w:rFonts w:ascii="Times New Roman" w:hAnsi="Times New Roman" w:cs="Times New Roman"/>
          <w:sz w:val="24"/>
          <w:szCs w:val="24"/>
        </w:rPr>
        <w:t xml:space="preserve"> ratio &gt;10%.</w:t>
      </w:r>
    </w:p>
    <w:p w14:paraId="4BEE3D10" w14:textId="77777777" w:rsidR="004C1FCE" w:rsidRPr="00AF4759" w:rsidRDefault="004C1FCE" w:rsidP="004C1FCE">
      <w:pPr>
        <w:pStyle w:val="ListParagraph"/>
        <w:numPr>
          <w:ilvl w:val="0"/>
          <w:numId w:val="3"/>
        </w:numPr>
        <w:spacing w:line="276" w:lineRule="auto"/>
        <w:jc w:val="both"/>
        <w:rPr>
          <w:rFonts w:ascii="Times New Roman" w:hAnsi="Times New Roman" w:cs="Times New Roman"/>
          <w:sz w:val="24"/>
          <w:szCs w:val="24"/>
        </w:rPr>
      </w:pPr>
      <w:r w:rsidRPr="00AF4759">
        <w:rPr>
          <w:rFonts w:ascii="Times New Roman" w:hAnsi="Times New Roman" w:cs="Times New Roman"/>
          <w:sz w:val="24"/>
          <w:szCs w:val="24"/>
        </w:rPr>
        <w:t>D</w:t>
      </w:r>
      <w:r w:rsidRPr="00AF4759">
        <w:rPr>
          <w:rFonts w:ascii="Times New Roman" w:hAnsi="Times New Roman" w:cs="Times New Roman"/>
          <w:sz w:val="24"/>
          <w:szCs w:val="24"/>
          <w:vertAlign w:val="subscript"/>
        </w:rPr>
        <w:t>e</w:t>
      </w:r>
      <w:r w:rsidRPr="00AF4759">
        <w:rPr>
          <w:rFonts w:ascii="Times New Roman" w:hAnsi="Times New Roman" w:cs="Times New Roman"/>
          <w:sz w:val="24"/>
          <w:szCs w:val="24"/>
        </w:rPr>
        <w:t xml:space="preserve"> value calculated by extrapolation of dose-response curve beyond the largest regenerative dose.</w:t>
      </w:r>
    </w:p>
    <w:p w14:paraId="0DA9710C" w14:textId="77777777" w:rsidR="004C1FCE" w:rsidRPr="00AF4759" w:rsidRDefault="004C1FCE" w:rsidP="004C1FCE">
      <w:pPr>
        <w:pStyle w:val="ListParagraph"/>
        <w:numPr>
          <w:ilvl w:val="0"/>
          <w:numId w:val="3"/>
        </w:numPr>
        <w:spacing w:line="276" w:lineRule="auto"/>
        <w:jc w:val="both"/>
        <w:rPr>
          <w:rFonts w:ascii="Times New Roman" w:hAnsi="Times New Roman" w:cs="Times New Roman"/>
          <w:sz w:val="24"/>
          <w:szCs w:val="24"/>
        </w:rPr>
      </w:pPr>
      <w:r w:rsidRPr="00AF4759">
        <w:rPr>
          <w:rFonts w:ascii="Times New Roman" w:hAnsi="Times New Roman" w:cs="Times New Roman"/>
          <w:sz w:val="24"/>
          <w:szCs w:val="24"/>
        </w:rPr>
        <w:t>L</w:t>
      </w:r>
      <w:r w:rsidRPr="00AF4759">
        <w:rPr>
          <w:rFonts w:ascii="Times New Roman" w:hAnsi="Times New Roman" w:cs="Times New Roman"/>
          <w:sz w:val="24"/>
          <w:szCs w:val="24"/>
          <w:vertAlign w:val="subscript"/>
        </w:rPr>
        <w:t>N</w:t>
      </w:r>
      <w:r w:rsidRPr="00AF4759">
        <w:rPr>
          <w:rFonts w:ascii="Times New Roman" w:hAnsi="Times New Roman" w:cs="Times New Roman"/>
          <w:sz w:val="24"/>
          <w:szCs w:val="24"/>
        </w:rPr>
        <w:t>/T</w:t>
      </w:r>
      <w:r w:rsidRPr="00AF4759">
        <w:rPr>
          <w:rFonts w:ascii="Times New Roman" w:hAnsi="Times New Roman" w:cs="Times New Roman"/>
          <w:sz w:val="24"/>
          <w:szCs w:val="24"/>
          <w:vertAlign w:val="subscript"/>
        </w:rPr>
        <w:t>N</w:t>
      </w:r>
      <w:r w:rsidRPr="00AF4759">
        <w:rPr>
          <w:rFonts w:ascii="Times New Roman" w:hAnsi="Times New Roman" w:cs="Times New Roman"/>
          <w:sz w:val="24"/>
          <w:szCs w:val="24"/>
        </w:rPr>
        <w:t xml:space="preserve"> ratio statistically consistent with or higher than the saturation limit of the dose-response curve.</w:t>
      </w:r>
    </w:p>
    <w:p w14:paraId="386291DB" w14:textId="7851E9E1" w:rsidR="004C1FCE" w:rsidRPr="00AF4759" w:rsidRDefault="004C1FCE" w:rsidP="004C1FCE">
      <w:pPr>
        <w:pStyle w:val="ListParagraph"/>
        <w:numPr>
          <w:ilvl w:val="0"/>
          <w:numId w:val="3"/>
        </w:numPr>
        <w:spacing w:line="276" w:lineRule="auto"/>
        <w:jc w:val="both"/>
        <w:rPr>
          <w:rFonts w:ascii="Times New Roman" w:hAnsi="Times New Roman" w:cs="Times New Roman"/>
          <w:sz w:val="24"/>
          <w:szCs w:val="24"/>
        </w:rPr>
      </w:pPr>
      <w:r w:rsidRPr="00AF4759">
        <w:rPr>
          <w:rFonts w:ascii="Times New Roman" w:hAnsi="Times New Roman" w:cs="Times New Roman"/>
          <w:sz w:val="24"/>
          <w:szCs w:val="24"/>
        </w:rPr>
        <w:t>D</w:t>
      </w:r>
      <w:r w:rsidRPr="00AF4759">
        <w:rPr>
          <w:rFonts w:ascii="Times New Roman" w:hAnsi="Times New Roman" w:cs="Times New Roman"/>
          <w:sz w:val="24"/>
          <w:szCs w:val="24"/>
          <w:vertAlign w:val="subscript"/>
        </w:rPr>
        <w:t xml:space="preserve">e </w:t>
      </w:r>
      <w:r w:rsidRPr="00AF4759">
        <w:rPr>
          <w:rFonts w:ascii="Times New Roman" w:hAnsi="Times New Roman" w:cs="Times New Roman"/>
          <w:sz w:val="24"/>
          <w:szCs w:val="24"/>
        </w:rPr>
        <w:t xml:space="preserve">values below 1 </w:t>
      </w:r>
      <w:proofErr w:type="spellStart"/>
      <w:r w:rsidRPr="00AF4759">
        <w:rPr>
          <w:rFonts w:ascii="Times New Roman" w:hAnsi="Times New Roman" w:cs="Times New Roman"/>
          <w:sz w:val="24"/>
          <w:szCs w:val="24"/>
        </w:rPr>
        <w:t>Gy</w:t>
      </w:r>
      <w:proofErr w:type="spellEnd"/>
      <w:r w:rsidR="003F2F97" w:rsidRPr="00AF4759">
        <w:rPr>
          <w:rFonts w:ascii="Times New Roman" w:hAnsi="Times New Roman" w:cs="Times New Roman"/>
          <w:sz w:val="24"/>
          <w:szCs w:val="24"/>
        </w:rPr>
        <w:t>.</w:t>
      </w:r>
    </w:p>
    <w:p w14:paraId="6B755AD7" w14:textId="677C295D" w:rsidR="004C1FCE" w:rsidRPr="00AF4759" w:rsidRDefault="004C1FCE" w:rsidP="00135774">
      <w:pPr>
        <w:spacing w:line="276" w:lineRule="auto"/>
        <w:jc w:val="both"/>
      </w:pPr>
    </w:p>
    <w:p w14:paraId="214BC135" w14:textId="723FE1B9" w:rsidR="004C1FCE" w:rsidRPr="00AF4759" w:rsidRDefault="004C1FCE" w:rsidP="00135774">
      <w:pPr>
        <w:spacing w:line="276" w:lineRule="auto"/>
        <w:jc w:val="both"/>
      </w:pPr>
    </w:p>
    <w:p w14:paraId="31FF77D2" w14:textId="77777777" w:rsidR="004C1FCE" w:rsidRPr="00AF4759" w:rsidRDefault="004C1FCE" w:rsidP="00135774">
      <w:pPr>
        <w:spacing w:line="276" w:lineRule="auto"/>
        <w:jc w:val="both"/>
        <w:sectPr w:rsidR="004C1FCE" w:rsidRPr="00AF4759" w:rsidSect="004C1FCE">
          <w:pgSz w:w="16840" w:h="11900" w:orient="landscape"/>
          <w:pgMar w:top="1440" w:right="1440" w:bottom="1440" w:left="1440" w:header="708" w:footer="708" w:gutter="0"/>
          <w:cols w:space="708"/>
          <w:docGrid w:linePitch="360"/>
        </w:sectPr>
      </w:pPr>
    </w:p>
    <w:p w14:paraId="66C7C5D8" w14:textId="4084F4CA" w:rsidR="004C1FCE" w:rsidRPr="00AF4759" w:rsidRDefault="004C1FCE" w:rsidP="004C1FCE">
      <w:bookmarkStart w:id="4" w:name="_GoBack"/>
      <w:r w:rsidRPr="00AF4759">
        <w:rPr>
          <w:noProof/>
          <w:lang w:val="en-US" w:eastAsia="en-US"/>
        </w:rPr>
        <mc:AlternateContent>
          <mc:Choice Requires="wps">
            <w:drawing>
              <wp:anchor distT="45720" distB="45720" distL="114300" distR="114300" simplePos="0" relativeHeight="251659264" behindDoc="0" locked="0" layoutInCell="1" allowOverlap="1" wp14:anchorId="18FDD453" wp14:editId="0C88DAA4">
                <wp:simplePos x="0" y="0"/>
                <wp:positionH relativeFrom="margin">
                  <wp:posOffset>2981324</wp:posOffset>
                </wp:positionH>
                <wp:positionV relativeFrom="paragraph">
                  <wp:posOffset>5715000</wp:posOffset>
                </wp:positionV>
                <wp:extent cx="3019425" cy="2962275"/>
                <wp:effectExtent l="0" t="0" r="9525" b="952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9425" cy="2962275"/>
                        </a:xfrm>
                        <a:prstGeom prst="rect">
                          <a:avLst/>
                        </a:prstGeom>
                        <a:solidFill>
                          <a:srgbClr val="FFFFFF"/>
                        </a:solidFill>
                        <a:ln w="9525">
                          <a:noFill/>
                          <a:miter lim="800000"/>
                          <a:headEnd/>
                          <a:tailEnd/>
                        </a:ln>
                      </wps:spPr>
                      <wps:txbx>
                        <w:txbxContent>
                          <w:p w14:paraId="318FA674" w14:textId="06AAC6E5" w:rsidR="00592642" w:rsidRPr="00067C23" w:rsidRDefault="00592642" w:rsidP="004C1FCE">
                            <w:pPr>
                              <w:jc w:val="both"/>
                            </w:pPr>
                            <w:r w:rsidRPr="00067C23">
                              <w:rPr>
                                <w:b/>
                              </w:rPr>
                              <w:t xml:space="preserve">Figure </w:t>
                            </w:r>
                            <w:r w:rsidR="001C440D">
                              <w:rPr>
                                <w:b/>
                              </w:rPr>
                              <w:t>S5</w:t>
                            </w:r>
                            <w:r>
                              <w:rPr>
                                <w:b/>
                              </w:rPr>
                              <w:t>-</w:t>
                            </w:r>
                            <w:r w:rsidRPr="00067C23">
                              <w:rPr>
                                <w:b/>
                              </w:rPr>
                              <w:t>3.</w:t>
                            </w:r>
                            <w:r w:rsidRPr="00067C23">
                              <w:t xml:space="preserve"> </w:t>
                            </w:r>
                            <w:r w:rsidRPr="00067C23">
                              <w:rPr>
                                <w:b/>
                              </w:rPr>
                              <w:t>Single grain quartz</w:t>
                            </w:r>
                            <w:r w:rsidRPr="00067C23">
                              <w:t xml:space="preserve"> </w:t>
                            </w:r>
                            <w:r w:rsidRPr="00067C23">
                              <w:rPr>
                                <w:b/>
                              </w:rPr>
                              <w:t>D</w:t>
                            </w:r>
                            <w:r w:rsidRPr="00067C23">
                              <w:rPr>
                                <w:b/>
                                <w:vertAlign w:val="subscript"/>
                              </w:rPr>
                              <w:t>e</w:t>
                            </w:r>
                            <w:r w:rsidRPr="00067C23">
                              <w:rPr>
                                <w:b/>
                              </w:rPr>
                              <w:t xml:space="preserve"> values obtained for all Waterfall Bluff OSL samples.</w:t>
                            </w:r>
                            <w:r w:rsidRPr="00067C23">
                              <w:t xml:space="preserve"> Filled-in circles indicate individual D</w:t>
                            </w:r>
                            <w:r w:rsidRPr="00067C23">
                              <w:rPr>
                                <w:vertAlign w:val="subscript"/>
                              </w:rPr>
                              <w:t>e</w:t>
                            </w:r>
                            <w:r w:rsidRPr="00067C23">
                              <w:t xml:space="preserve"> values obtained from sand-sized quartz. For samples </w:t>
                            </w:r>
                            <w:r>
                              <w:t>CN</w:t>
                            </w:r>
                            <w:r w:rsidRPr="00067C23">
                              <w:t xml:space="preserve">311 and </w:t>
                            </w:r>
                            <w:r>
                              <w:t>CN</w:t>
                            </w:r>
                            <w:r w:rsidRPr="00067C23">
                              <w:t xml:space="preserve">310 </w:t>
                            </w:r>
                            <w:r w:rsidRPr="006B10F7">
                              <w:t>(</w:t>
                            </w:r>
                            <w:r w:rsidR="001C440D">
                              <w:t>S5</w:t>
                            </w:r>
                            <w:r w:rsidR="000F68AC" w:rsidRPr="006B10F7">
                              <w:t>-3</w:t>
                            </w:r>
                            <w:r w:rsidRPr="006B10F7">
                              <w:t>a and b) these were measured solely from quartz grains 180-212 µm in diameter. For CN309, CN308 and CN312 (</w:t>
                            </w:r>
                            <w:r w:rsidR="001C440D">
                              <w:t>S5</w:t>
                            </w:r>
                            <w:r w:rsidR="000F68AC" w:rsidRPr="006B10F7">
                              <w:t>-3</w:t>
                            </w:r>
                            <w:r w:rsidRPr="006B10F7">
                              <w:t xml:space="preserve">c-e) these were measured primarily on 150-180 µm-diameter quartz. In the case of the latter, measurements undertaken on 180-212 µm-diameter quartz are indicated by open triangles. The grey bar in </w:t>
                            </w:r>
                            <w:r w:rsidR="001C440D">
                              <w:t>S5</w:t>
                            </w:r>
                            <w:r w:rsidR="00926642" w:rsidRPr="006B10F7">
                              <w:t>-3</w:t>
                            </w:r>
                            <w:r w:rsidRPr="006B10F7">
                              <w:t xml:space="preserve">a </w:t>
                            </w:r>
                            <w:r w:rsidR="003B4C8E" w:rsidRPr="006B10F7">
                              <w:t>is</w:t>
                            </w:r>
                            <w:r w:rsidRPr="006B10F7">
                              <w:t xml:space="preserve"> centred on the weighted mean D</w:t>
                            </w:r>
                            <w:r w:rsidRPr="006B10F7">
                              <w:rPr>
                                <w:vertAlign w:val="subscript"/>
                              </w:rPr>
                              <w:t>e</w:t>
                            </w:r>
                            <w:r w:rsidRPr="006B10F7">
                              <w:t xml:space="preserve"> value using the CAM. The two red data points in </w:t>
                            </w:r>
                            <w:r w:rsidR="001C440D">
                              <w:t>S5</w:t>
                            </w:r>
                            <w:r w:rsidR="00D54A4D" w:rsidRPr="006B10F7">
                              <w:t>-3</w:t>
                            </w:r>
                            <w:r w:rsidRPr="006B10F7">
                              <w:t>e indicate younger intrus</w:t>
                            </w:r>
                            <w:r w:rsidRPr="00A2254B">
                              <w:t>ive grains that were excluded for MAM calculations.</w:t>
                            </w:r>
                          </w:p>
                          <w:p w14:paraId="6EF17DC4" w14:textId="77777777" w:rsidR="00592642" w:rsidRPr="00A02123" w:rsidRDefault="00592642" w:rsidP="004C1FCE">
                            <w:pPr>
                              <w:jc w:val="both"/>
                              <w:rPr>
                                <w:sz w:val="20"/>
                                <w:szCs w:val="20"/>
                              </w:rPr>
                            </w:pPr>
                            <w:r>
                              <w:rPr>
                                <w:sz w:val="20"/>
                                <w:szCs w:val="2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FDD453" id="_x0000_t202" coordsize="21600,21600" o:spt="202" path="m,l,21600r21600,l21600,xe">
                <v:stroke joinstyle="miter"/>
                <v:path gradientshapeok="t" o:connecttype="rect"/>
              </v:shapetype>
              <v:shape id="Text Box 2" o:spid="_x0000_s1026" type="#_x0000_t202" style="position:absolute;margin-left:234.75pt;margin-top:450pt;width:237.75pt;height:23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6cXIgIAAB4EAAAOAAAAZHJzL2Uyb0RvYy54bWysU9tuGyEQfa/Uf0C813upncQrr6PUqatK&#10;6UVK+gEsy3pRgaGAvet+fQfWcdz2rSoPiGFmDmfODKvbUStyEM5LMDUtZjklwnBopdnV9NvT9s0N&#10;JT4w0zIFRtT0KDy9Xb9+tRpsJUroQbXCEQQxvhpsTfsQbJVlnvdCMz8DKww6O3CaBTTdLmsdGxBd&#10;q6zM86tsANdaB1x4j7f3k5OuE37XCR6+dJ0XgaiaIreQdpf2Ju7ZesWqnWO2l/xEg/0DC82kwUfP&#10;UPcsMLJ38i8oLbkDD12YcdAZdJ3kItWA1RT5H9U89syKVAuK4+1ZJv//YPnnw1dHZFvTsrimxDCN&#10;TXoSYyDvYCRl1GewvsKwR4uBYcRr7HOq1dsH4N89MbDpmdmJO+dg6AVrkV8RM7OL1AnHR5Bm+AQt&#10;PsP2ARLQ2DkdxUM5CKJjn47n3kQqHC/f5sVyXi4o4egrl1dleb1Ib7DqOd06Hz4I0CQeauqw+Qme&#10;HR58iHRY9RwSX/OgZLuVSiXD7ZqNcuTAcFC2aZ3QfwtThgw1XS6QSMwyEPPTDGkZcJCV1DW9yeOK&#10;6ayKcrw3bToHJtV0RibKnPSJkkzihLEZMTCK1kB7RKUcTAOLHwwPPbiflAw4rDX1P/bMCUrUR4Nq&#10;L4v5PE53MuaL6xINd+lpLj3McISqaaBkOm5C+hFTRXfYlU4mvV6YnLjiECYZTx8mTvmlnaJevvX6&#10;FwAAAP//AwBQSwMEFAAGAAgAAAAhAAFe84jfAAAADAEAAA8AAABkcnMvZG93bnJldi54bWxMj8FO&#10;wzAMhu9IvENkJC6IJUCb0dJ0AiQQ1409gNtmbUXjVE22dm+PObGbLX/6/f3FZnGDONkp9J4MPKwU&#10;CEu1b3pqDey/P+6fQYSI1ODgyRo42wCb8vqqwLzxM23taRdbwSEUcjTQxTjmUoa6sw7Dyo+W+Hbw&#10;k8PI69TKZsKZw90gH5XS0mFP/KHD0b53tv7ZHZ2Bw9d8l2Zz9Rn3622i37BfV/5szO3N8voCItol&#10;/sPwp8/qULJT5Y/UBDEYSHSWMmogU4pLMZElKQ8Vo09apyDLQl6WKH8BAAD//wMAUEsBAi0AFAAG&#10;AAgAAAAhALaDOJL+AAAA4QEAABMAAAAAAAAAAAAAAAAAAAAAAFtDb250ZW50X1R5cGVzXS54bWxQ&#10;SwECLQAUAAYACAAAACEAOP0h/9YAAACUAQAACwAAAAAAAAAAAAAAAAAvAQAAX3JlbHMvLnJlbHNQ&#10;SwECLQAUAAYACAAAACEAC4enFyICAAAeBAAADgAAAAAAAAAAAAAAAAAuAgAAZHJzL2Uyb0RvYy54&#10;bWxQSwECLQAUAAYACAAAACEAAV7ziN8AAAAMAQAADwAAAAAAAAAAAAAAAAB8BAAAZHJzL2Rvd25y&#10;ZXYueG1sUEsFBgAAAAAEAAQA8wAAAIgFAAAAAA==&#10;" stroked="f">
                <v:textbox>
                  <w:txbxContent>
                    <w:p w14:paraId="318FA674" w14:textId="06AAC6E5" w:rsidR="00592642" w:rsidRPr="00067C23" w:rsidRDefault="00592642" w:rsidP="004C1FCE">
                      <w:pPr>
                        <w:jc w:val="both"/>
                      </w:pPr>
                      <w:r w:rsidRPr="00067C23">
                        <w:rPr>
                          <w:b/>
                        </w:rPr>
                        <w:t xml:space="preserve">Figure </w:t>
                      </w:r>
                      <w:r w:rsidR="001C440D">
                        <w:rPr>
                          <w:b/>
                        </w:rPr>
                        <w:t>S5</w:t>
                      </w:r>
                      <w:r>
                        <w:rPr>
                          <w:b/>
                        </w:rPr>
                        <w:t>-</w:t>
                      </w:r>
                      <w:r w:rsidRPr="00067C23">
                        <w:rPr>
                          <w:b/>
                        </w:rPr>
                        <w:t>3.</w:t>
                      </w:r>
                      <w:r w:rsidRPr="00067C23">
                        <w:t xml:space="preserve"> </w:t>
                      </w:r>
                      <w:r w:rsidRPr="00067C23">
                        <w:rPr>
                          <w:b/>
                        </w:rPr>
                        <w:t>Single grain quartz</w:t>
                      </w:r>
                      <w:r w:rsidRPr="00067C23">
                        <w:t xml:space="preserve"> </w:t>
                      </w:r>
                      <w:r w:rsidRPr="00067C23">
                        <w:rPr>
                          <w:b/>
                        </w:rPr>
                        <w:t>D</w:t>
                      </w:r>
                      <w:r w:rsidRPr="00067C23">
                        <w:rPr>
                          <w:b/>
                          <w:vertAlign w:val="subscript"/>
                        </w:rPr>
                        <w:t>e</w:t>
                      </w:r>
                      <w:r w:rsidRPr="00067C23">
                        <w:rPr>
                          <w:b/>
                        </w:rPr>
                        <w:t xml:space="preserve"> values obtained for all Waterfall Bluff OSL samples.</w:t>
                      </w:r>
                      <w:r w:rsidRPr="00067C23">
                        <w:t xml:space="preserve"> Filled-in circles indicate individual D</w:t>
                      </w:r>
                      <w:r w:rsidRPr="00067C23">
                        <w:rPr>
                          <w:vertAlign w:val="subscript"/>
                        </w:rPr>
                        <w:t>e</w:t>
                      </w:r>
                      <w:r w:rsidRPr="00067C23">
                        <w:t xml:space="preserve"> values obtained from sand-sized quartz. For samples </w:t>
                      </w:r>
                      <w:r>
                        <w:t>CN</w:t>
                      </w:r>
                      <w:r w:rsidRPr="00067C23">
                        <w:t xml:space="preserve">311 and </w:t>
                      </w:r>
                      <w:r>
                        <w:t>CN</w:t>
                      </w:r>
                      <w:r w:rsidRPr="00067C23">
                        <w:t xml:space="preserve">310 </w:t>
                      </w:r>
                      <w:r w:rsidRPr="006B10F7">
                        <w:t>(</w:t>
                      </w:r>
                      <w:r w:rsidR="001C440D">
                        <w:t>S5</w:t>
                      </w:r>
                      <w:r w:rsidR="000F68AC" w:rsidRPr="006B10F7">
                        <w:t>-3</w:t>
                      </w:r>
                      <w:r w:rsidRPr="006B10F7">
                        <w:t>a and b) these were measured solely from quartz grains 180-212 µm in diameter. For CN309, CN308 and CN312 (</w:t>
                      </w:r>
                      <w:r w:rsidR="001C440D">
                        <w:t>S5</w:t>
                      </w:r>
                      <w:r w:rsidR="000F68AC" w:rsidRPr="006B10F7">
                        <w:t>-3</w:t>
                      </w:r>
                      <w:r w:rsidRPr="006B10F7">
                        <w:t xml:space="preserve">c-e) these were measured primarily on 150-180 µm-diameter quartz. In the case of the latter, measurements undertaken on 180-212 µm-diameter quartz are indicated by open triangles. The grey bar in </w:t>
                      </w:r>
                      <w:r w:rsidR="001C440D">
                        <w:t>S5</w:t>
                      </w:r>
                      <w:r w:rsidR="00926642" w:rsidRPr="006B10F7">
                        <w:t>-3</w:t>
                      </w:r>
                      <w:r w:rsidRPr="006B10F7">
                        <w:t xml:space="preserve">a </w:t>
                      </w:r>
                      <w:r w:rsidR="003B4C8E" w:rsidRPr="006B10F7">
                        <w:t>is</w:t>
                      </w:r>
                      <w:r w:rsidRPr="006B10F7">
                        <w:t xml:space="preserve"> centred on the weighted mean D</w:t>
                      </w:r>
                      <w:r w:rsidRPr="006B10F7">
                        <w:rPr>
                          <w:vertAlign w:val="subscript"/>
                        </w:rPr>
                        <w:t>e</w:t>
                      </w:r>
                      <w:r w:rsidRPr="006B10F7">
                        <w:t xml:space="preserve"> value using the CAM. The two red data points in </w:t>
                      </w:r>
                      <w:r w:rsidR="001C440D">
                        <w:t>S5</w:t>
                      </w:r>
                      <w:r w:rsidR="00D54A4D" w:rsidRPr="006B10F7">
                        <w:t>-3</w:t>
                      </w:r>
                      <w:r w:rsidRPr="006B10F7">
                        <w:t>e indicate younger intrus</w:t>
                      </w:r>
                      <w:r w:rsidRPr="00A2254B">
                        <w:t>ive grains that were excluded for MAM calculations.</w:t>
                      </w:r>
                    </w:p>
                    <w:p w14:paraId="6EF17DC4" w14:textId="77777777" w:rsidR="00592642" w:rsidRPr="00A02123" w:rsidRDefault="00592642" w:rsidP="004C1FCE">
                      <w:pPr>
                        <w:jc w:val="both"/>
                        <w:rPr>
                          <w:sz w:val="20"/>
                          <w:szCs w:val="20"/>
                        </w:rPr>
                      </w:pPr>
                      <w:r>
                        <w:rPr>
                          <w:sz w:val="20"/>
                          <w:szCs w:val="20"/>
                        </w:rPr>
                        <w:t xml:space="preserve"> </w:t>
                      </w:r>
                    </w:p>
                  </w:txbxContent>
                </v:textbox>
                <w10:wrap anchorx="margin"/>
              </v:shape>
            </w:pict>
          </mc:Fallback>
        </mc:AlternateContent>
      </w:r>
      <w:r w:rsidR="00553019">
        <w:rPr>
          <w:noProof/>
          <w:lang w:val="en-US" w:eastAsia="en-US"/>
        </w:rPr>
        <w:drawing>
          <wp:inline distT="0" distB="0" distL="0" distR="0" wp14:anchorId="2BFD6B6D" wp14:editId="49D66246">
            <wp:extent cx="5725160" cy="7999095"/>
            <wp:effectExtent l="0" t="0" r="889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25160" cy="7999095"/>
                    </a:xfrm>
                    <a:prstGeom prst="rect">
                      <a:avLst/>
                    </a:prstGeom>
                    <a:noFill/>
                    <a:ln>
                      <a:noFill/>
                    </a:ln>
                  </pic:spPr>
                </pic:pic>
              </a:graphicData>
            </a:graphic>
          </wp:inline>
        </w:drawing>
      </w:r>
    </w:p>
    <w:bookmarkEnd w:id="4"/>
    <w:p w14:paraId="629F8C60" w14:textId="4E6D1040" w:rsidR="004C1FCE" w:rsidRPr="00AF4759" w:rsidRDefault="004C1FCE" w:rsidP="00135774">
      <w:pPr>
        <w:spacing w:line="276" w:lineRule="auto"/>
        <w:jc w:val="both"/>
      </w:pPr>
    </w:p>
    <w:p w14:paraId="4141235C" w14:textId="7AF658FC" w:rsidR="004C1FCE" w:rsidRPr="00AF4759" w:rsidRDefault="004C1FCE" w:rsidP="00135774">
      <w:pPr>
        <w:spacing w:line="276" w:lineRule="auto"/>
        <w:jc w:val="both"/>
      </w:pPr>
    </w:p>
    <w:p w14:paraId="57C0B036" w14:textId="2B3995FD" w:rsidR="004C1FCE" w:rsidRPr="00AF4759" w:rsidRDefault="004C1FCE" w:rsidP="00135774">
      <w:pPr>
        <w:spacing w:line="276" w:lineRule="auto"/>
        <w:jc w:val="both"/>
      </w:pPr>
    </w:p>
    <w:tbl>
      <w:tblPr>
        <w:tblpPr w:leftFromText="180" w:rightFromText="180" w:vertAnchor="page" w:horzAnchor="margin" w:tblpY="1501"/>
        <w:tblW w:w="9356" w:type="dxa"/>
        <w:tblLook w:val="04A0" w:firstRow="1" w:lastRow="0" w:firstColumn="1" w:lastColumn="0" w:noHBand="0" w:noVBand="1"/>
      </w:tblPr>
      <w:tblGrid>
        <w:gridCol w:w="1844"/>
        <w:gridCol w:w="2380"/>
        <w:gridCol w:w="2581"/>
        <w:gridCol w:w="2551"/>
      </w:tblGrid>
      <w:tr w:rsidR="00891F90" w:rsidRPr="00AF4759" w14:paraId="13C2F501" w14:textId="77777777" w:rsidTr="00891F90">
        <w:trPr>
          <w:trHeight w:val="528"/>
        </w:trPr>
        <w:tc>
          <w:tcPr>
            <w:tcW w:w="1844" w:type="dxa"/>
            <w:tcBorders>
              <w:top w:val="single" w:sz="4" w:space="0" w:color="auto"/>
              <w:left w:val="nil"/>
              <w:bottom w:val="single" w:sz="4" w:space="0" w:color="auto"/>
              <w:right w:val="nil"/>
            </w:tcBorders>
            <w:shd w:val="clear" w:color="000000" w:fill="FFFFFF"/>
            <w:vAlign w:val="center"/>
            <w:hideMark/>
          </w:tcPr>
          <w:p w14:paraId="043B4C95" w14:textId="01BEFB54" w:rsidR="00891F90" w:rsidRPr="00AF4759" w:rsidRDefault="00891F90" w:rsidP="00891F90">
            <w:pPr>
              <w:jc w:val="center"/>
              <w:rPr>
                <w:rFonts w:eastAsia="Times New Roman"/>
                <w:b/>
                <w:bCs/>
                <w:color w:val="000000"/>
                <w:sz w:val="20"/>
                <w:szCs w:val="20"/>
                <w:lang w:eastAsia="en-AU"/>
              </w:rPr>
            </w:pPr>
            <w:r w:rsidRPr="00AF4759">
              <w:rPr>
                <w:rFonts w:eastAsia="Times New Roman"/>
                <w:b/>
                <w:bCs/>
                <w:color w:val="000000"/>
                <w:sz w:val="20"/>
                <w:szCs w:val="20"/>
                <w:lang w:eastAsia="en-AU"/>
              </w:rPr>
              <w:t>OSL sample code (</w:t>
            </w:r>
            <w:r w:rsidR="00923D79" w:rsidRPr="00AF4759">
              <w:rPr>
                <w:rFonts w:eastAsia="Times New Roman"/>
                <w:b/>
                <w:bCs/>
                <w:color w:val="000000"/>
                <w:sz w:val="20"/>
                <w:szCs w:val="20"/>
                <w:lang w:eastAsia="en-AU"/>
              </w:rPr>
              <w:t>CN)</w:t>
            </w:r>
          </w:p>
        </w:tc>
        <w:tc>
          <w:tcPr>
            <w:tcW w:w="2380" w:type="dxa"/>
            <w:tcBorders>
              <w:top w:val="single" w:sz="4" w:space="0" w:color="auto"/>
              <w:left w:val="nil"/>
              <w:bottom w:val="single" w:sz="4" w:space="0" w:color="auto"/>
              <w:right w:val="nil"/>
            </w:tcBorders>
            <w:shd w:val="clear" w:color="000000" w:fill="FFFFFF"/>
            <w:vAlign w:val="center"/>
            <w:hideMark/>
          </w:tcPr>
          <w:p w14:paraId="71F5AF37" w14:textId="77777777" w:rsidR="00891F90" w:rsidRPr="00AF4759" w:rsidRDefault="00891F90" w:rsidP="00891F90">
            <w:pPr>
              <w:jc w:val="center"/>
              <w:rPr>
                <w:rFonts w:eastAsia="Times New Roman"/>
                <w:b/>
                <w:bCs/>
                <w:color w:val="000000"/>
                <w:sz w:val="20"/>
                <w:szCs w:val="20"/>
                <w:lang w:eastAsia="en-AU"/>
              </w:rPr>
            </w:pPr>
            <w:r w:rsidRPr="00AF4759">
              <w:rPr>
                <w:rFonts w:eastAsia="Times New Roman"/>
                <w:b/>
                <w:bCs/>
                <w:color w:val="000000"/>
                <w:sz w:val="20"/>
                <w:szCs w:val="20"/>
                <w:lang w:eastAsia="en-AU"/>
              </w:rPr>
              <w:t>No. of accepted grains (180-212 µm/150-180 µm)</w:t>
            </w:r>
          </w:p>
        </w:tc>
        <w:tc>
          <w:tcPr>
            <w:tcW w:w="2581" w:type="dxa"/>
            <w:tcBorders>
              <w:top w:val="single" w:sz="4" w:space="0" w:color="auto"/>
              <w:left w:val="nil"/>
              <w:bottom w:val="single" w:sz="4" w:space="0" w:color="auto"/>
              <w:right w:val="nil"/>
            </w:tcBorders>
            <w:shd w:val="clear" w:color="000000" w:fill="FFFFFF"/>
            <w:vAlign w:val="center"/>
            <w:hideMark/>
          </w:tcPr>
          <w:p w14:paraId="794FCEEF" w14:textId="77777777" w:rsidR="00891F90" w:rsidRPr="00AF4759" w:rsidRDefault="00891F90" w:rsidP="00891F90">
            <w:pPr>
              <w:jc w:val="center"/>
              <w:rPr>
                <w:rFonts w:eastAsia="Times New Roman"/>
                <w:b/>
                <w:bCs/>
                <w:color w:val="000000"/>
                <w:sz w:val="20"/>
                <w:szCs w:val="20"/>
                <w:lang w:eastAsia="en-AU"/>
              </w:rPr>
            </w:pPr>
            <w:r w:rsidRPr="00AF4759">
              <w:rPr>
                <w:rFonts w:eastAsia="Times New Roman"/>
                <w:b/>
                <w:bCs/>
                <w:color w:val="000000"/>
                <w:sz w:val="20"/>
                <w:szCs w:val="20"/>
                <w:lang w:eastAsia="en-AU"/>
              </w:rPr>
              <w:t>CAM D</w:t>
            </w:r>
            <w:r w:rsidRPr="00AF4759">
              <w:rPr>
                <w:rFonts w:eastAsia="Times New Roman"/>
                <w:b/>
                <w:bCs/>
                <w:color w:val="000000"/>
                <w:sz w:val="20"/>
                <w:szCs w:val="20"/>
                <w:vertAlign w:val="subscript"/>
                <w:lang w:eastAsia="en-AU"/>
              </w:rPr>
              <w:t>e</w:t>
            </w:r>
            <w:r w:rsidRPr="00AF4759">
              <w:rPr>
                <w:rFonts w:eastAsia="Times New Roman"/>
                <w:b/>
                <w:bCs/>
                <w:color w:val="000000"/>
                <w:sz w:val="20"/>
                <w:szCs w:val="20"/>
                <w:lang w:eastAsia="en-AU"/>
              </w:rPr>
              <w:t xml:space="preserve"> (180–212 µm) (</w:t>
            </w:r>
            <w:proofErr w:type="spellStart"/>
            <w:r w:rsidRPr="00AF4759">
              <w:rPr>
                <w:rFonts w:eastAsia="Times New Roman"/>
                <w:b/>
                <w:bCs/>
                <w:color w:val="000000"/>
                <w:sz w:val="20"/>
                <w:szCs w:val="20"/>
                <w:lang w:eastAsia="en-AU"/>
              </w:rPr>
              <w:t>Gy</w:t>
            </w:r>
            <w:proofErr w:type="spellEnd"/>
            <w:r w:rsidRPr="00AF4759">
              <w:rPr>
                <w:rFonts w:eastAsia="Times New Roman"/>
                <w:b/>
                <w:bCs/>
                <w:color w:val="000000"/>
                <w:sz w:val="20"/>
                <w:szCs w:val="20"/>
                <w:lang w:eastAsia="en-AU"/>
              </w:rPr>
              <w:t>)</w:t>
            </w:r>
          </w:p>
        </w:tc>
        <w:tc>
          <w:tcPr>
            <w:tcW w:w="2551" w:type="dxa"/>
            <w:tcBorders>
              <w:top w:val="single" w:sz="4" w:space="0" w:color="auto"/>
              <w:left w:val="nil"/>
              <w:bottom w:val="single" w:sz="4" w:space="0" w:color="auto"/>
              <w:right w:val="nil"/>
            </w:tcBorders>
            <w:shd w:val="clear" w:color="000000" w:fill="FFFFFF"/>
            <w:vAlign w:val="center"/>
            <w:hideMark/>
          </w:tcPr>
          <w:p w14:paraId="05C28DB4" w14:textId="77777777" w:rsidR="00891F90" w:rsidRPr="00AF4759" w:rsidRDefault="00891F90" w:rsidP="00891F90">
            <w:pPr>
              <w:jc w:val="center"/>
              <w:rPr>
                <w:rFonts w:eastAsia="Times New Roman"/>
                <w:b/>
                <w:bCs/>
                <w:color w:val="000000"/>
                <w:sz w:val="20"/>
                <w:szCs w:val="20"/>
                <w:lang w:eastAsia="en-AU"/>
              </w:rPr>
            </w:pPr>
            <w:r w:rsidRPr="00AF4759">
              <w:rPr>
                <w:rFonts w:eastAsia="Times New Roman"/>
                <w:b/>
                <w:bCs/>
                <w:color w:val="000000"/>
                <w:sz w:val="20"/>
                <w:szCs w:val="20"/>
                <w:lang w:eastAsia="en-AU"/>
              </w:rPr>
              <w:t>CAM D</w:t>
            </w:r>
            <w:r w:rsidRPr="00AF4759">
              <w:rPr>
                <w:rFonts w:eastAsia="Times New Roman"/>
                <w:b/>
                <w:bCs/>
                <w:color w:val="000000"/>
                <w:sz w:val="20"/>
                <w:szCs w:val="20"/>
                <w:vertAlign w:val="subscript"/>
                <w:lang w:eastAsia="en-AU"/>
              </w:rPr>
              <w:t>e</w:t>
            </w:r>
            <w:r w:rsidRPr="00AF4759">
              <w:rPr>
                <w:rFonts w:eastAsia="Times New Roman"/>
                <w:b/>
                <w:bCs/>
                <w:color w:val="000000"/>
                <w:sz w:val="20"/>
                <w:szCs w:val="20"/>
                <w:lang w:eastAsia="en-AU"/>
              </w:rPr>
              <w:t xml:space="preserve"> (150-180 µm) (</w:t>
            </w:r>
            <w:proofErr w:type="spellStart"/>
            <w:r w:rsidRPr="00AF4759">
              <w:rPr>
                <w:rFonts w:eastAsia="Times New Roman"/>
                <w:b/>
                <w:bCs/>
                <w:color w:val="000000"/>
                <w:sz w:val="20"/>
                <w:szCs w:val="20"/>
                <w:lang w:eastAsia="en-AU"/>
              </w:rPr>
              <w:t>Gy</w:t>
            </w:r>
            <w:proofErr w:type="spellEnd"/>
            <w:r w:rsidRPr="00AF4759">
              <w:rPr>
                <w:rFonts w:eastAsia="Times New Roman"/>
                <w:b/>
                <w:bCs/>
                <w:color w:val="000000"/>
                <w:sz w:val="20"/>
                <w:szCs w:val="20"/>
                <w:lang w:eastAsia="en-AU"/>
              </w:rPr>
              <w:t>)</w:t>
            </w:r>
          </w:p>
        </w:tc>
      </w:tr>
      <w:tr w:rsidR="00891F90" w:rsidRPr="00AF4759" w14:paraId="052E96B5" w14:textId="77777777" w:rsidTr="00891F90">
        <w:trPr>
          <w:trHeight w:val="288"/>
        </w:trPr>
        <w:tc>
          <w:tcPr>
            <w:tcW w:w="1844" w:type="dxa"/>
            <w:tcBorders>
              <w:top w:val="nil"/>
              <w:left w:val="nil"/>
              <w:bottom w:val="nil"/>
              <w:right w:val="nil"/>
            </w:tcBorders>
            <w:shd w:val="clear" w:color="000000" w:fill="FFFFFF"/>
            <w:noWrap/>
            <w:vAlign w:val="center"/>
            <w:hideMark/>
          </w:tcPr>
          <w:p w14:paraId="393DED32" w14:textId="77777777" w:rsidR="00891F90" w:rsidRPr="00AF4759" w:rsidRDefault="00891F90" w:rsidP="00891F90">
            <w:pPr>
              <w:jc w:val="center"/>
              <w:rPr>
                <w:rFonts w:eastAsia="Times New Roman"/>
                <w:color w:val="000000"/>
                <w:sz w:val="20"/>
                <w:szCs w:val="20"/>
                <w:lang w:eastAsia="en-AU"/>
              </w:rPr>
            </w:pPr>
            <w:r w:rsidRPr="00AF4759">
              <w:rPr>
                <w:rFonts w:eastAsia="Times New Roman"/>
                <w:color w:val="000000"/>
                <w:sz w:val="20"/>
                <w:szCs w:val="20"/>
                <w:lang w:eastAsia="en-AU"/>
              </w:rPr>
              <w:t>309</w:t>
            </w:r>
          </w:p>
        </w:tc>
        <w:tc>
          <w:tcPr>
            <w:tcW w:w="2380" w:type="dxa"/>
            <w:tcBorders>
              <w:top w:val="nil"/>
              <w:left w:val="nil"/>
              <w:bottom w:val="nil"/>
              <w:right w:val="nil"/>
            </w:tcBorders>
            <w:shd w:val="clear" w:color="000000" w:fill="FFFFFF"/>
            <w:noWrap/>
            <w:vAlign w:val="center"/>
            <w:hideMark/>
          </w:tcPr>
          <w:p w14:paraId="17C17C18" w14:textId="77777777" w:rsidR="00891F90" w:rsidRPr="00AF4759" w:rsidRDefault="00891F90" w:rsidP="00891F90">
            <w:pPr>
              <w:jc w:val="center"/>
              <w:rPr>
                <w:rFonts w:eastAsia="Times New Roman"/>
                <w:color w:val="000000"/>
                <w:sz w:val="20"/>
                <w:szCs w:val="20"/>
                <w:lang w:eastAsia="en-AU"/>
              </w:rPr>
            </w:pPr>
            <w:r w:rsidRPr="00AF4759">
              <w:rPr>
                <w:rFonts w:eastAsia="Times New Roman"/>
                <w:color w:val="000000"/>
                <w:sz w:val="20"/>
                <w:szCs w:val="20"/>
                <w:lang w:eastAsia="en-AU"/>
              </w:rPr>
              <w:t>19 / 298</w:t>
            </w:r>
          </w:p>
        </w:tc>
        <w:tc>
          <w:tcPr>
            <w:tcW w:w="2581" w:type="dxa"/>
            <w:tcBorders>
              <w:top w:val="nil"/>
              <w:left w:val="nil"/>
              <w:bottom w:val="nil"/>
              <w:right w:val="nil"/>
            </w:tcBorders>
            <w:shd w:val="clear" w:color="000000" w:fill="FFFFFF"/>
            <w:noWrap/>
            <w:vAlign w:val="center"/>
            <w:hideMark/>
          </w:tcPr>
          <w:p w14:paraId="74C271E4" w14:textId="3560D442" w:rsidR="00891F90" w:rsidRPr="00AF4759" w:rsidRDefault="004264D4" w:rsidP="00891F90">
            <w:pPr>
              <w:jc w:val="center"/>
              <w:rPr>
                <w:rFonts w:eastAsia="Times New Roman"/>
                <w:color w:val="000000"/>
                <w:sz w:val="20"/>
                <w:szCs w:val="20"/>
                <w:lang w:eastAsia="en-AU"/>
              </w:rPr>
            </w:pPr>
            <w:r w:rsidRPr="00AF4759">
              <w:rPr>
                <w:rFonts w:eastAsia="Times New Roman"/>
                <w:color w:val="000000"/>
                <w:sz w:val="20"/>
                <w:szCs w:val="20"/>
                <w:lang w:eastAsia="en-AU"/>
              </w:rPr>
              <w:t>58</w:t>
            </w:r>
            <w:r w:rsidR="00A318A8" w:rsidRPr="00AF4759">
              <w:rPr>
                <w:rFonts w:eastAsia="Times New Roman"/>
                <w:color w:val="000000"/>
                <w:sz w:val="20"/>
                <w:szCs w:val="20"/>
                <w:lang w:eastAsia="en-AU"/>
              </w:rPr>
              <w:t>.15</w:t>
            </w:r>
            <w:r w:rsidR="00891F90" w:rsidRPr="00AF4759">
              <w:rPr>
                <w:rFonts w:eastAsia="Times New Roman"/>
                <w:color w:val="000000"/>
                <w:sz w:val="20"/>
                <w:szCs w:val="20"/>
                <w:lang w:eastAsia="en-AU"/>
              </w:rPr>
              <w:t xml:space="preserve"> ± </w:t>
            </w:r>
            <w:r w:rsidR="00A318A8" w:rsidRPr="00AF4759">
              <w:rPr>
                <w:rFonts w:eastAsia="Times New Roman"/>
                <w:color w:val="000000"/>
                <w:sz w:val="20"/>
                <w:szCs w:val="20"/>
                <w:lang w:eastAsia="en-AU"/>
              </w:rPr>
              <w:t>6.15</w:t>
            </w:r>
          </w:p>
        </w:tc>
        <w:tc>
          <w:tcPr>
            <w:tcW w:w="2551" w:type="dxa"/>
            <w:tcBorders>
              <w:top w:val="nil"/>
              <w:left w:val="nil"/>
              <w:bottom w:val="nil"/>
              <w:right w:val="nil"/>
            </w:tcBorders>
            <w:shd w:val="clear" w:color="000000" w:fill="FFFFFF"/>
            <w:noWrap/>
            <w:vAlign w:val="center"/>
            <w:hideMark/>
          </w:tcPr>
          <w:p w14:paraId="62983B7A" w14:textId="77777777" w:rsidR="00891F90" w:rsidRPr="00AF4759" w:rsidRDefault="00891F90" w:rsidP="00891F90">
            <w:pPr>
              <w:jc w:val="center"/>
              <w:rPr>
                <w:rFonts w:eastAsia="Times New Roman"/>
                <w:color w:val="000000"/>
                <w:sz w:val="20"/>
                <w:szCs w:val="20"/>
                <w:lang w:eastAsia="en-AU"/>
              </w:rPr>
            </w:pPr>
            <w:r w:rsidRPr="00AF4759">
              <w:rPr>
                <w:rFonts w:eastAsia="Times New Roman"/>
                <w:color w:val="000000"/>
                <w:sz w:val="20"/>
                <w:szCs w:val="20"/>
                <w:lang w:eastAsia="en-AU"/>
              </w:rPr>
              <w:t>66.63 ± 2.0</w:t>
            </w:r>
          </w:p>
        </w:tc>
      </w:tr>
      <w:tr w:rsidR="00891F90" w:rsidRPr="00AF4759" w14:paraId="5C7FCB09" w14:textId="77777777" w:rsidTr="00891F90">
        <w:trPr>
          <w:trHeight w:val="288"/>
        </w:trPr>
        <w:tc>
          <w:tcPr>
            <w:tcW w:w="1844" w:type="dxa"/>
            <w:tcBorders>
              <w:top w:val="nil"/>
              <w:left w:val="nil"/>
              <w:bottom w:val="nil"/>
              <w:right w:val="nil"/>
            </w:tcBorders>
            <w:shd w:val="clear" w:color="000000" w:fill="FFFFFF"/>
            <w:noWrap/>
            <w:vAlign w:val="center"/>
            <w:hideMark/>
          </w:tcPr>
          <w:p w14:paraId="675859FF" w14:textId="77777777" w:rsidR="00891F90" w:rsidRPr="00AF4759" w:rsidRDefault="00891F90" w:rsidP="00891F90">
            <w:pPr>
              <w:jc w:val="center"/>
              <w:rPr>
                <w:rFonts w:eastAsia="Times New Roman"/>
                <w:color w:val="000000"/>
                <w:sz w:val="20"/>
                <w:szCs w:val="20"/>
                <w:lang w:eastAsia="en-AU"/>
              </w:rPr>
            </w:pPr>
            <w:r w:rsidRPr="00AF4759">
              <w:rPr>
                <w:rFonts w:eastAsia="Times New Roman"/>
                <w:color w:val="000000"/>
                <w:sz w:val="20"/>
                <w:szCs w:val="20"/>
                <w:lang w:eastAsia="en-AU"/>
              </w:rPr>
              <w:t>308</w:t>
            </w:r>
          </w:p>
        </w:tc>
        <w:tc>
          <w:tcPr>
            <w:tcW w:w="2380" w:type="dxa"/>
            <w:tcBorders>
              <w:top w:val="nil"/>
              <w:left w:val="nil"/>
              <w:bottom w:val="nil"/>
              <w:right w:val="nil"/>
            </w:tcBorders>
            <w:shd w:val="clear" w:color="000000" w:fill="FFFFFF"/>
            <w:noWrap/>
            <w:vAlign w:val="center"/>
            <w:hideMark/>
          </w:tcPr>
          <w:p w14:paraId="438166F9" w14:textId="77777777" w:rsidR="00891F90" w:rsidRPr="00AF4759" w:rsidRDefault="00891F90" w:rsidP="00891F90">
            <w:pPr>
              <w:jc w:val="center"/>
              <w:rPr>
                <w:rFonts w:eastAsia="Times New Roman"/>
                <w:color w:val="000000"/>
                <w:sz w:val="20"/>
                <w:szCs w:val="20"/>
                <w:lang w:eastAsia="en-AU"/>
              </w:rPr>
            </w:pPr>
            <w:r w:rsidRPr="00AF4759">
              <w:rPr>
                <w:rFonts w:eastAsia="Times New Roman"/>
                <w:color w:val="000000"/>
                <w:sz w:val="20"/>
                <w:szCs w:val="20"/>
                <w:lang w:eastAsia="en-AU"/>
              </w:rPr>
              <w:t>15 / 129</w:t>
            </w:r>
          </w:p>
        </w:tc>
        <w:tc>
          <w:tcPr>
            <w:tcW w:w="2581" w:type="dxa"/>
            <w:tcBorders>
              <w:top w:val="nil"/>
              <w:left w:val="nil"/>
              <w:bottom w:val="nil"/>
              <w:right w:val="nil"/>
            </w:tcBorders>
            <w:shd w:val="clear" w:color="000000" w:fill="FFFFFF"/>
            <w:noWrap/>
            <w:vAlign w:val="center"/>
            <w:hideMark/>
          </w:tcPr>
          <w:p w14:paraId="56584868" w14:textId="77777777" w:rsidR="00891F90" w:rsidRPr="00AF4759" w:rsidRDefault="00891F90" w:rsidP="00891F90">
            <w:pPr>
              <w:jc w:val="center"/>
              <w:rPr>
                <w:rFonts w:eastAsia="Times New Roman"/>
                <w:color w:val="000000"/>
                <w:sz w:val="20"/>
                <w:szCs w:val="20"/>
                <w:lang w:eastAsia="en-AU"/>
              </w:rPr>
            </w:pPr>
            <w:r w:rsidRPr="00AF4759">
              <w:rPr>
                <w:rFonts w:eastAsia="Times New Roman"/>
                <w:color w:val="000000"/>
                <w:sz w:val="20"/>
                <w:szCs w:val="20"/>
                <w:lang w:eastAsia="en-AU"/>
              </w:rPr>
              <w:t>76.81 ± 10.59</w:t>
            </w:r>
          </w:p>
        </w:tc>
        <w:tc>
          <w:tcPr>
            <w:tcW w:w="2551" w:type="dxa"/>
            <w:tcBorders>
              <w:top w:val="nil"/>
              <w:left w:val="nil"/>
              <w:bottom w:val="nil"/>
              <w:right w:val="nil"/>
            </w:tcBorders>
            <w:shd w:val="clear" w:color="000000" w:fill="FFFFFF"/>
            <w:noWrap/>
            <w:vAlign w:val="center"/>
            <w:hideMark/>
          </w:tcPr>
          <w:p w14:paraId="13DE917B" w14:textId="77777777" w:rsidR="00891F90" w:rsidRPr="00AF4759" w:rsidRDefault="00891F90" w:rsidP="00891F90">
            <w:pPr>
              <w:jc w:val="center"/>
              <w:rPr>
                <w:rFonts w:eastAsia="Times New Roman"/>
                <w:color w:val="000000"/>
                <w:sz w:val="20"/>
                <w:szCs w:val="20"/>
                <w:lang w:eastAsia="en-AU"/>
              </w:rPr>
            </w:pPr>
            <w:r w:rsidRPr="00AF4759">
              <w:rPr>
                <w:rFonts w:eastAsia="Times New Roman"/>
                <w:color w:val="000000"/>
                <w:sz w:val="20"/>
                <w:szCs w:val="20"/>
                <w:lang w:eastAsia="en-AU"/>
              </w:rPr>
              <w:t>88.17 ± 4.05</w:t>
            </w:r>
          </w:p>
        </w:tc>
      </w:tr>
      <w:tr w:rsidR="00891F90" w:rsidRPr="00AF4759" w14:paraId="04B95A0F" w14:textId="77777777" w:rsidTr="00891F90">
        <w:trPr>
          <w:trHeight w:val="288"/>
        </w:trPr>
        <w:tc>
          <w:tcPr>
            <w:tcW w:w="1844" w:type="dxa"/>
            <w:tcBorders>
              <w:top w:val="nil"/>
              <w:left w:val="nil"/>
              <w:bottom w:val="nil"/>
              <w:right w:val="nil"/>
            </w:tcBorders>
            <w:shd w:val="clear" w:color="000000" w:fill="FFFFFF"/>
            <w:noWrap/>
            <w:vAlign w:val="center"/>
            <w:hideMark/>
          </w:tcPr>
          <w:p w14:paraId="2D9D10AE" w14:textId="77777777" w:rsidR="00891F90" w:rsidRPr="00AF4759" w:rsidRDefault="00891F90" w:rsidP="00891F90">
            <w:pPr>
              <w:jc w:val="center"/>
              <w:rPr>
                <w:rFonts w:eastAsia="Times New Roman"/>
                <w:color w:val="000000"/>
                <w:sz w:val="20"/>
                <w:szCs w:val="20"/>
                <w:lang w:eastAsia="en-AU"/>
              </w:rPr>
            </w:pPr>
            <w:r w:rsidRPr="00AF4759">
              <w:rPr>
                <w:rFonts w:eastAsia="Times New Roman"/>
                <w:color w:val="000000"/>
                <w:sz w:val="20"/>
                <w:szCs w:val="20"/>
                <w:lang w:eastAsia="en-AU"/>
              </w:rPr>
              <w:t>312</w:t>
            </w:r>
          </w:p>
        </w:tc>
        <w:tc>
          <w:tcPr>
            <w:tcW w:w="2380" w:type="dxa"/>
            <w:tcBorders>
              <w:top w:val="nil"/>
              <w:left w:val="nil"/>
              <w:bottom w:val="nil"/>
              <w:right w:val="nil"/>
            </w:tcBorders>
            <w:shd w:val="clear" w:color="000000" w:fill="FFFFFF"/>
            <w:noWrap/>
            <w:vAlign w:val="center"/>
            <w:hideMark/>
          </w:tcPr>
          <w:p w14:paraId="7D95B913" w14:textId="77777777" w:rsidR="00891F90" w:rsidRPr="00AF4759" w:rsidRDefault="00891F90" w:rsidP="00891F90">
            <w:pPr>
              <w:jc w:val="center"/>
              <w:rPr>
                <w:rFonts w:eastAsia="Times New Roman"/>
                <w:color w:val="000000"/>
                <w:sz w:val="20"/>
                <w:szCs w:val="20"/>
                <w:lang w:eastAsia="en-AU"/>
              </w:rPr>
            </w:pPr>
            <w:r w:rsidRPr="00AF4759">
              <w:rPr>
                <w:rFonts w:eastAsia="Times New Roman"/>
                <w:color w:val="000000"/>
                <w:sz w:val="20"/>
                <w:szCs w:val="20"/>
                <w:lang w:eastAsia="en-AU"/>
              </w:rPr>
              <w:t>9 / 57 </w:t>
            </w:r>
          </w:p>
        </w:tc>
        <w:tc>
          <w:tcPr>
            <w:tcW w:w="2581" w:type="dxa"/>
            <w:tcBorders>
              <w:top w:val="nil"/>
              <w:left w:val="nil"/>
              <w:bottom w:val="nil"/>
              <w:right w:val="nil"/>
            </w:tcBorders>
            <w:shd w:val="clear" w:color="000000" w:fill="FFFFFF"/>
            <w:noWrap/>
            <w:vAlign w:val="center"/>
            <w:hideMark/>
          </w:tcPr>
          <w:p w14:paraId="73EA143F" w14:textId="77777777" w:rsidR="00891F90" w:rsidRPr="00AF4759" w:rsidRDefault="00891F90" w:rsidP="00891F90">
            <w:pPr>
              <w:jc w:val="center"/>
              <w:rPr>
                <w:rFonts w:eastAsia="Times New Roman"/>
                <w:color w:val="000000"/>
                <w:sz w:val="20"/>
                <w:szCs w:val="20"/>
                <w:lang w:eastAsia="en-AU"/>
              </w:rPr>
            </w:pPr>
            <w:r w:rsidRPr="00AF4759">
              <w:rPr>
                <w:rFonts w:eastAsia="Times New Roman"/>
                <w:color w:val="000000"/>
                <w:sz w:val="20"/>
                <w:szCs w:val="20"/>
                <w:lang w:eastAsia="en-AU"/>
              </w:rPr>
              <w:t>111.00 ± 11.06</w:t>
            </w:r>
          </w:p>
        </w:tc>
        <w:tc>
          <w:tcPr>
            <w:tcW w:w="2551" w:type="dxa"/>
            <w:tcBorders>
              <w:top w:val="nil"/>
              <w:left w:val="nil"/>
              <w:bottom w:val="nil"/>
              <w:right w:val="nil"/>
            </w:tcBorders>
            <w:shd w:val="clear" w:color="000000" w:fill="FFFFFF"/>
            <w:noWrap/>
            <w:vAlign w:val="center"/>
            <w:hideMark/>
          </w:tcPr>
          <w:p w14:paraId="7617A8F3" w14:textId="77777777" w:rsidR="00891F90" w:rsidRPr="00AF4759" w:rsidRDefault="00891F90" w:rsidP="00891F90">
            <w:pPr>
              <w:jc w:val="center"/>
              <w:rPr>
                <w:rFonts w:eastAsia="Times New Roman"/>
                <w:color w:val="000000"/>
                <w:sz w:val="20"/>
                <w:szCs w:val="20"/>
                <w:lang w:eastAsia="en-AU"/>
              </w:rPr>
            </w:pPr>
            <w:r w:rsidRPr="00AF4759">
              <w:rPr>
                <w:rFonts w:eastAsia="Times New Roman"/>
                <w:color w:val="000000"/>
                <w:sz w:val="20"/>
                <w:szCs w:val="20"/>
                <w:lang w:eastAsia="en-AU"/>
              </w:rPr>
              <w:t>99.28 ± 8.27</w:t>
            </w:r>
          </w:p>
        </w:tc>
      </w:tr>
    </w:tbl>
    <w:p w14:paraId="581145F6" w14:textId="77777777" w:rsidR="00891F90" w:rsidRPr="00AF4759" w:rsidRDefault="00891F90" w:rsidP="004C1FCE">
      <w:pPr>
        <w:rPr>
          <w:b/>
        </w:rPr>
      </w:pPr>
    </w:p>
    <w:p w14:paraId="35221619" w14:textId="2DE1B175" w:rsidR="004C1FCE" w:rsidRPr="00AF4759" w:rsidRDefault="004C1FCE" w:rsidP="004C1FCE">
      <w:r w:rsidRPr="00AF4759">
        <w:rPr>
          <w:b/>
        </w:rPr>
        <w:t xml:space="preserve">Table </w:t>
      </w:r>
      <w:r w:rsidR="001C440D">
        <w:rPr>
          <w:b/>
        </w:rPr>
        <w:t>S5</w:t>
      </w:r>
      <w:r w:rsidR="00CF6538" w:rsidRPr="00AF4759">
        <w:rPr>
          <w:b/>
        </w:rPr>
        <w:t>-</w:t>
      </w:r>
      <w:r w:rsidRPr="00AF4759">
        <w:rPr>
          <w:b/>
        </w:rPr>
        <w:t>3. Weighted mean D</w:t>
      </w:r>
      <w:r w:rsidRPr="00AF4759">
        <w:rPr>
          <w:b/>
          <w:vertAlign w:val="subscript"/>
        </w:rPr>
        <w:t>e</w:t>
      </w:r>
      <w:r w:rsidRPr="00AF4759">
        <w:rPr>
          <w:b/>
        </w:rPr>
        <w:t xml:space="preserve"> results obtained for 180–212 and 150-180 µm-diameter quartz grains from samples </w:t>
      </w:r>
      <w:r w:rsidR="00923D79" w:rsidRPr="00AF4759">
        <w:rPr>
          <w:b/>
        </w:rPr>
        <w:t>CN</w:t>
      </w:r>
      <w:r w:rsidRPr="00AF4759">
        <w:rPr>
          <w:b/>
        </w:rPr>
        <w:t xml:space="preserve">309, </w:t>
      </w:r>
      <w:r w:rsidR="00C41841" w:rsidRPr="00AF4759">
        <w:rPr>
          <w:b/>
        </w:rPr>
        <w:t>CN</w:t>
      </w:r>
      <w:r w:rsidRPr="00AF4759">
        <w:rPr>
          <w:b/>
        </w:rPr>
        <w:t xml:space="preserve">308 and </w:t>
      </w:r>
      <w:r w:rsidR="00C41841" w:rsidRPr="00AF4759">
        <w:rPr>
          <w:b/>
        </w:rPr>
        <w:t>CN</w:t>
      </w:r>
      <w:r w:rsidRPr="00AF4759">
        <w:rPr>
          <w:b/>
        </w:rPr>
        <w:t xml:space="preserve">312. </w:t>
      </w:r>
      <w:r w:rsidRPr="00AF4759">
        <w:t>Weighted mean D</w:t>
      </w:r>
      <w:r w:rsidRPr="00AF4759">
        <w:rPr>
          <w:vertAlign w:val="subscript"/>
        </w:rPr>
        <w:t>e</w:t>
      </w:r>
      <w:r w:rsidRPr="00AF4759">
        <w:t xml:space="preserve"> values were calculated using the CAM (Galbraith et al. 1999). </w:t>
      </w:r>
    </w:p>
    <w:p w14:paraId="04ABE356" w14:textId="4FB860AB" w:rsidR="004C1FCE" w:rsidRPr="00AF4759" w:rsidRDefault="004C1FCE" w:rsidP="00135774">
      <w:pPr>
        <w:spacing w:line="276" w:lineRule="auto"/>
        <w:jc w:val="both"/>
      </w:pPr>
    </w:p>
    <w:p w14:paraId="6F61686B" w14:textId="06EFCB15" w:rsidR="004C1FCE" w:rsidRPr="00AF4759" w:rsidRDefault="004C1FCE" w:rsidP="00135774">
      <w:pPr>
        <w:spacing w:line="276" w:lineRule="auto"/>
        <w:jc w:val="both"/>
      </w:pPr>
    </w:p>
    <w:p w14:paraId="742D83F4" w14:textId="1172D54D" w:rsidR="004C1FCE" w:rsidRPr="00AF4759" w:rsidRDefault="004C1FCE" w:rsidP="00135774">
      <w:pPr>
        <w:spacing w:line="276" w:lineRule="auto"/>
        <w:jc w:val="both"/>
      </w:pPr>
    </w:p>
    <w:tbl>
      <w:tblPr>
        <w:tblW w:w="9634" w:type="dxa"/>
        <w:jc w:val="center"/>
        <w:tblLook w:val="04A0" w:firstRow="1" w:lastRow="0" w:firstColumn="1" w:lastColumn="0" w:noHBand="0" w:noVBand="1"/>
      </w:tblPr>
      <w:tblGrid>
        <w:gridCol w:w="2464"/>
        <w:gridCol w:w="1075"/>
        <w:gridCol w:w="1276"/>
        <w:gridCol w:w="1134"/>
        <w:gridCol w:w="1134"/>
        <w:gridCol w:w="1276"/>
        <w:gridCol w:w="1275"/>
      </w:tblGrid>
      <w:tr w:rsidR="004C1FCE" w:rsidRPr="00AF4759" w14:paraId="1E74615E" w14:textId="77777777" w:rsidTr="00781A6A">
        <w:trPr>
          <w:trHeight w:val="277"/>
          <w:jc w:val="center"/>
        </w:trPr>
        <w:tc>
          <w:tcPr>
            <w:tcW w:w="2464" w:type="dxa"/>
            <w:vMerge w:val="restart"/>
            <w:tcBorders>
              <w:top w:val="single" w:sz="4" w:space="0" w:color="auto"/>
              <w:left w:val="single" w:sz="4" w:space="0" w:color="auto"/>
              <w:bottom w:val="nil"/>
              <w:right w:val="single" w:sz="4" w:space="0" w:color="auto"/>
            </w:tcBorders>
            <w:shd w:val="clear" w:color="000000" w:fill="FFFFFF"/>
            <w:noWrap/>
            <w:vAlign w:val="center"/>
            <w:hideMark/>
          </w:tcPr>
          <w:p w14:paraId="2E38A8BD" w14:textId="57FBD420" w:rsidR="004C1FCE" w:rsidRPr="00AF4759" w:rsidRDefault="004C1FCE" w:rsidP="00781A6A">
            <w:pPr>
              <w:jc w:val="center"/>
              <w:rPr>
                <w:rFonts w:eastAsia="Times New Roman"/>
                <w:b/>
                <w:bCs/>
                <w:color w:val="000000"/>
                <w:sz w:val="20"/>
                <w:szCs w:val="20"/>
                <w:lang w:eastAsia="en-AU"/>
              </w:rPr>
            </w:pPr>
            <w:r w:rsidRPr="00AF4759">
              <w:rPr>
                <w:rFonts w:eastAsia="Times New Roman"/>
                <w:b/>
                <w:bCs/>
                <w:color w:val="000000"/>
                <w:sz w:val="20"/>
                <w:szCs w:val="20"/>
                <w:lang w:eastAsia="en-AU"/>
              </w:rPr>
              <w:t>Sample (</w:t>
            </w:r>
            <w:r w:rsidR="00923D79" w:rsidRPr="00AF4759">
              <w:rPr>
                <w:rFonts w:eastAsia="Times New Roman"/>
                <w:b/>
                <w:bCs/>
                <w:color w:val="000000"/>
                <w:sz w:val="20"/>
                <w:szCs w:val="20"/>
                <w:lang w:eastAsia="en-AU"/>
              </w:rPr>
              <w:t>CN)</w:t>
            </w:r>
          </w:p>
        </w:tc>
        <w:tc>
          <w:tcPr>
            <w:tcW w:w="3485" w:type="dxa"/>
            <w:gridSpan w:val="3"/>
            <w:tcBorders>
              <w:top w:val="single" w:sz="4" w:space="0" w:color="auto"/>
              <w:left w:val="nil"/>
              <w:bottom w:val="single" w:sz="4" w:space="0" w:color="auto"/>
              <w:right w:val="single" w:sz="4" w:space="0" w:color="000000"/>
            </w:tcBorders>
            <w:shd w:val="clear" w:color="000000" w:fill="FFFFFF"/>
            <w:noWrap/>
            <w:vAlign w:val="bottom"/>
            <w:hideMark/>
          </w:tcPr>
          <w:p w14:paraId="4EAE2151" w14:textId="77777777" w:rsidR="004C1FCE" w:rsidRPr="00AF4759" w:rsidRDefault="004C1FCE" w:rsidP="00781A6A">
            <w:pPr>
              <w:jc w:val="center"/>
              <w:rPr>
                <w:rFonts w:eastAsia="Times New Roman"/>
                <w:b/>
                <w:bCs/>
                <w:color w:val="000000"/>
                <w:sz w:val="20"/>
                <w:szCs w:val="20"/>
                <w:lang w:eastAsia="en-AU"/>
              </w:rPr>
            </w:pPr>
            <w:r w:rsidRPr="00AF4759">
              <w:rPr>
                <w:rFonts w:eastAsia="Times New Roman"/>
                <w:b/>
                <w:bCs/>
                <w:color w:val="000000"/>
                <w:sz w:val="20"/>
                <w:szCs w:val="20"/>
                <w:lang w:eastAsia="en-AU"/>
              </w:rPr>
              <w:t>ICP-MS/OES</w:t>
            </w:r>
          </w:p>
        </w:tc>
        <w:tc>
          <w:tcPr>
            <w:tcW w:w="3685" w:type="dxa"/>
            <w:gridSpan w:val="3"/>
            <w:tcBorders>
              <w:top w:val="single" w:sz="4" w:space="0" w:color="auto"/>
              <w:left w:val="nil"/>
              <w:bottom w:val="single" w:sz="4" w:space="0" w:color="auto"/>
              <w:right w:val="single" w:sz="4" w:space="0" w:color="000000"/>
            </w:tcBorders>
            <w:shd w:val="clear" w:color="000000" w:fill="FFFFFF"/>
            <w:noWrap/>
            <w:vAlign w:val="bottom"/>
            <w:hideMark/>
          </w:tcPr>
          <w:p w14:paraId="09410548" w14:textId="77777777" w:rsidR="004C1FCE" w:rsidRPr="00AF4759" w:rsidRDefault="004C1FCE" w:rsidP="00781A6A">
            <w:pPr>
              <w:jc w:val="center"/>
              <w:rPr>
                <w:rFonts w:eastAsia="Times New Roman"/>
                <w:b/>
                <w:bCs/>
                <w:color w:val="000000"/>
                <w:sz w:val="20"/>
                <w:szCs w:val="20"/>
                <w:lang w:eastAsia="en-AU"/>
              </w:rPr>
            </w:pPr>
            <w:r w:rsidRPr="00AF4759">
              <w:rPr>
                <w:rFonts w:eastAsia="Times New Roman"/>
                <w:b/>
                <w:bCs/>
                <w:color w:val="000000"/>
                <w:sz w:val="20"/>
                <w:szCs w:val="20"/>
                <w:lang w:eastAsia="en-AU"/>
              </w:rPr>
              <w:t>TSAC + GMBC</w:t>
            </w:r>
          </w:p>
        </w:tc>
      </w:tr>
      <w:tr w:rsidR="004C1FCE" w:rsidRPr="00AF4759" w14:paraId="45923514" w14:textId="77777777" w:rsidTr="00781A6A">
        <w:trPr>
          <w:trHeight w:val="277"/>
          <w:jc w:val="center"/>
        </w:trPr>
        <w:tc>
          <w:tcPr>
            <w:tcW w:w="2464" w:type="dxa"/>
            <w:vMerge/>
            <w:tcBorders>
              <w:top w:val="single" w:sz="4" w:space="0" w:color="auto"/>
              <w:left w:val="single" w:sz="4" w:space="0" w:color="auto"/>
              <w:bottom w:val="nil"/>
              <w:right w:val="single" w:sz="4" w:space="0" w:color="auto"/>
            </w:tcBorders>
            <w:vAlign w:val="center"/>
            <w:hideMark/>
          </w:tcPr>
          <w:p w14:paraId="71C80E30" w14:textId="77777777" w:rsidR="004C1FCE" w:rsidRPr="00AF4759" w:rsidRDefault="004C1FCE" w:rsidP="00781A6A">
            <w:pPr>
              <w:rPr>
                <w:rFonts w:eastAsia="Times New Roman"/>
                <w:b/>
                <w:bCs/>
                <w:color w:val="000000"/>
                <w:sz w:val="20"/>
                <w:szCs w:val="20"/>
                <w:lang w:eastAsia="en-AU"/>
              </w:rPr>
            </w:pPr>
          </w:p>
        </w:tc>
        <w:tc>
          <w:tcPr>
            <w:tcW w:w="1075" w:type="dxa"/>
            <w:tcBorders>
              <w:top w:val="nil"/>
              <w:left w:val="nil"/>
              <w:bottom w:val="single" w:sz="4" w:space="0" w:color="auto"/>
              <w:right w:val="nil"/>
            </w:tcBorders>
            <w:shd w:val="clear" w:color="000000" w:fill="FFFFFF"/>
            <w:noWrap/>
            <w:vAlign w:val="center"/>
            <w:hideMark/>
          </w:tcPr>
          <w:p w14:paraId="22D54CBD" w14:textId="77777777" w:rsidR="004C1FCE" w:rsidRPr="00AF4759" w:rsidRDefault="004C1FCE" w:rsidP="00781A6A">
            <w:pPr>
              <w:jc w:val="center"/>
              <w:rPr>
                <w:rFonts w:eastAsia="Times New Roman"/>
                <w:b/>
                <w:bCs/>
                <w:color w:val="000000"/>
                <w:sz w:val="20"/>
                <w:szCs w:val="20"/>
                <w:lang w:eastAsia="en-AU"/>
              </w:rPr>
            </w:pPr>
            <w:r w:rsidRPr="00AF4759">
              <w:rPr>
                <w:rFonts w:eastAsia="Times New Roman"/>
                <w:b/>
                <w:bCs/>
                <w:color w:val="000000"/>
                <w:sz w:val="20"/>
                <w:szCs w:val="20"/>
                <w:lang w:eastAsia="en-AU"/>
              </w:rPr>
              <w:t>K (%)</w:t>
            </w:r>
          </w:p>
        </w:tc>
        <w:tc>
          <w:tcPr>
            <w:tcW w:w="1276" w:type="dxa"/>
            <w:tcBorders>
              <w:top w:val="nil"/>
              <w:left w:val="nil"/>
              <w:bottom w:val="single" w:sz="4" w:space="0" w:color="auto"/>
              <w:right w:val="nil"/>
            </w:tcBorders>
            <w:shd w:val="clear" w:color="000000" w:fill="FFFFFF"/>
            <w:noWrap/>
            <w:vAlign w:val="center"/>
            <w:hideMark/>
          </w:tcPr>
          <w:p w14:paraId="6BEDA787" w14:textId="77777777" w:rsidR="004C1FCE" w:rsidRPr="00AF4759" w:rsidRDefault="004C1FCE" w:rsidP="00781A6A">
            <w:pPr>
              <w:jc w:val="center"/>
              <w:rPr>
                <w:rFonts w:eastAsia="Times New Roman"/>
                <w:b/>
                <w:bCs/>
                <w:color w:val="000000"/>
                <w:sz w:val="20"/>
                <w:szCs w:val="20"/>
                <w:lang w:eastAsia="en-AU"/>
              </w:rPr>
            </w:pPr>
            <w:proofErr w:type="spellStart"/>
            <w:r w:rsidRPr="00AF4759">
              <w:rPr>
                <w:rFonts w:eastAsia="Times New Roman"/>
                <w:b/>
                <w:bCs/>
                <w:color w:val="000000"/>
                <w:sz w:val="20"/>
                <w:szCs w:val="20"/>
                <w:lang w:eastAsia="en-AU"/>
              </w:rPr>
              <w:t>Th</w:t>
            </w:r>
            <w:proofErr w:type="spellEnd"/>
            <w:r w:rsidRPr="00AF4759">
              <w:rPr>
                <w:rFonts w:eastAsia="Times New Roman"/>
                <w:b/>
                <w:bCs/>
                <w:color w:val="000000"/>
                <w:sz w:val="20"/>
                <w:szCs w:val="20"/>
                <w:lang w:eastAsia="en-AU"/>
              </w:rPr>
              <w:t xml:space="preserve"> (ppm)</w:t>
            </w:r>
          </w:p>
        </w:tc>
        <w:tc>
          <w:tcPr>
            <w:tcW w:w="1134" w:type="dxa"/>
            <w:tcBorders>
              <w:top w:val="nil"/>
              <w:left w:val="nil"/>
              <w:bottom w:val="single" w:sz="4" w:space="0" w:color="auto"/>
              <w:right w:val="single" w:sz="4" w:space="0" w:color="auto"/>
            </w:tcBorders>
            <w:shd w:val="clear" w:color="000000" w:fill="FFFFFF"/>
            <w:noWrap/>
            <w:vAlign w:val="center"/>
            <w:hideMark/>
          </w:tcPr>
          <w:p w14:paraId="1740E114" w14:textId="77777777" w:rsidR="004C1FCE" w:rsidRPr="00AF4759" w:rsidRDefault="004C1FCE" w:rsidP="00781A6A">
            <w:pPr>
              <w:jc w:val="center"/>
              <w:rPr>
                <w:rFonts w:eastAsia="Times New Roman"/>
                <w:b/>
                <w:bCs/>
                <w:color w:val="000000"/>
                <w:sz w:val="20"/>
                <w:szCs w:val="20"/>
                <w:lang w:eastAsia="en-AU"/>
              </w:rPr>
            </w:pPr>
            <w:r w:rsidRPr="00AF4759">
              <w:rPr>
                <w:rFonts w:eastAsia="Times New Roman"/>
                <w:b/>
                <w:bCs/>
                <w:color w:val="000000"/>
                <w:sz w:val="20"/>
                <w:szCs w:val="20"/>
                <w:lang w:eastAsia="en-AU"/>
              </w:rPr>
              <w:t>U (ppm)</w:t>
            </w:r>
          </w:p>
        </w:tc>
        <w:tc>
          <w:tcPr>
            <w:tcW w:w="1134" w:type="dxa"/>
            <w:tcBorders>
              <w:top w:val="nil"/>
              <w:left w:val="nil"/>
              <w:bottom w:val="single" w:sz="4" w:space="0" w:color="auto"/>
              <w:right w:val="nil"/>
            </w:tcBorders>
            <w:shd w:val="clear" w:color="000000" w:fill="FFFFFF"/>
            <w:noWrap/>
            <w:vAlign w:val="center"/>
            <w:hideMark/>
          </w:tcPr>
          <w:p w14:paraId="2F0779A2" w14:textId="77777777" w:rsidR="004C1FCE" w:rsidRPr="00AF4759" w:rsidRDefault="004C1FCE" w:rsidP="00781A6A">
            <w:pPr>
              <w:jc w:val="center"/>
              <w:rPr>
                <w:rFonts w:eastAsia="Times New Roman"/>
                <w:b/>
                <w:bCs/>
                <w:color w:val="000000"/>
                <w:sz w:val="20"/>
                <w:szCs w:val="20"/>
                <w:lang w:eastAsia="en-AU"/>
              </w:rPr>
            </w:pPr>
            <w:r w:rsidRPr="00AF4759">
              <w:rPr>
                <w:rFonts w:eastAsia="Times New Roman"/>
                <w:b/>
                <w:bCs/>
                <w:color w:val="000000"/>
                <w:sz w:val="20"/>
                <w:szCs w:val="20"/>
                <w:lang w:eastAsia="en-AU"/>
              </w:rPr>
              <w:t>K (%)</w:t>
            </w:r>
          </w:p>
        </w:tc>
        <w:tc>
          <w:tcPr>
            <w:tcW w:w="1276" w:type="dxa"/>
            <w:tcBorders>
              <w:top w:val="nil"/>
              <w:left w:val="nil"/>
              <w:bottom w:val="single" w:sz="4" w:space="0" w:color="auto"/>
              <w:right w:val="nil"/>
            </w:tcBorders>
            <w:shd w:val="clear" w:color="000000" w:fill="FFFFFF"/>
            <w:noWrap/>
            <w:vAlign w:val="center"/>
            <w:hideMark/>
          </w:tcPr>
          <w:p w14:paraId="4CD20CA0" w14:textId="77777777" w:rsidR="004C1FCE" w:rsidRPr="00AF4759" w:rsidRDefault="004C1FCE" w:rsidP="00781A6A">
            <w:pPr>
              <w:jc w:val="center"/>
              <w:rPr>
                <w:rFonts w:eastAsia="Times New Roman"/>
                <w:b/>
                <w:bCs/>
                <w:color w:val="000000"/>
                <w:sz w:val="20"/>
                <w:szCs w:val="20"/>
                <w:lang w:eastAsia="en-AU"/>
              </w:rPr>
            </w:pPr>
            <w:proofErr w:type="spellStart"/>
            <w:r w:rsidRPr="00AF4759">
              <w:rPr>
                <w:rFonts w:eastAsia="Times New Roman"/>
                <w:b/>
                <w:bCs/>
                <w:color w:val="000000"/>
                <w:sz w:val="20"/>
                <w:szCs w:val="20"/>
                <w:lang w:eastAsia="en-AU"/>
              </w:rPr>
              <w:t>Th</w:t>
            </w:r>
            <w:proofErr w:type="spellEnd"/>
            <w:r w:rsidRPr="00AF4759">
              <w:rPr>
                <w:rFonts w:eastAsia="Times New Roman"/>
                <w:b/>
                <w:bCs/>
                <w:color w:val="000000"/>
                <w:sz w:val="20"/>
                <w:szCs w:val="20"/>
                <w:lang w:eastAsia="en-AU"/>
              </w:rPr>
              <w:t xml:space="preserve"> (ppm)</w:t>
            </w:r>
          </w:p>
        </w:tc>
        <w:tc>
          <w:tcPr>
            <w:tcW w:w="1275" w:type="dxa"/>
            <w:tcBorders>
              <w:top w:val="nil"/>
              <w:left w:val="nil"/>
              <w:bottom w:val="single" w:sz="4" w:space="0" w:color="auto"/>
              <w:right w:val="single" w:sz="4" w:space="0" w:color="auto"/>
            </w:tcBorders>
            <w:shd w:val="clear" w:color="000000" w:fill="FFFFFF"/>
            <w:noWrap/>
            <w:vAlign w:val="center"/>
            <w:hideMark/>
          </w:tcPr>
          <w:p w14:paraId="313B289F" w14:textId="77777777" w:rsidR="004C1FCE" w:rsidRPr="00AF4759" w:rsidRDefault="004C1FCE" w:rsidP="00781A6A">
            <w:pPr>
              <w:jc w:val="center"/>
              <w:rPr>
                <w:rFonts w:eastAsia="Times New Roman"/>
                <w:b/>
                <w:bCs/>
                <w:color w:val="000000"/>
                <w:sz w:val="20"/>
                <w:szCs w:val="20"/>
                <w:lang w:eastAsia="en-AU"/>
              </w:rPr>
            </w:pPr>
            <w:r w:rsidRPr="00AF4759">
              <w:rPr>
                <w:rFonts w:eastAsia="Times New Roman"/>
                <w:b/>
                <w:bCs/>
                <w:color w:val="000000"/>
                <w:sz w:val="20"/>
                <w:szCs w:val="20"/>
                <w:lang w:eastAsia="en-AU"/>
              </w:rPr>
              <w:t>U (ppm)</w:t>
            </w:r>
          </w:p>
        </w:tc>
      </w:tr>
      <w:tr w:rsidR="004C1FCE" w:rsidRPr="00AF4759" w14:paraId="2DAA99FD" w14:textId="77777777" w:rsidTr="00781A6A">
        <w:trPr>
          <w:trHeight w:val="277"/>
          <w:jc w:val="center"/>
        </w:trPr>
        <w:tc>
          <w:tcPr>
            <w:tcW w:w="2464" w:type="dxa"/>
            <w:tcBorders>
              <w:top w:val="single" w:sz="4" w:space="0" w:color="auto"/>
              <w:left w:val="single" w:sz="4" w:space="0" w:color="auto"/>
              <w:bottom w:val="nil"/>
              <w:right w:val="single" w:sz="4" w:space="0" w:color="auto"/>
            </w:tcBorders>
            <w:shd w:val="clear" w:color="000000" w:fill="FFFFFF"/>
            <w:noWrap/>
            <w:vAlign w:val="bottom"/>
            <w:hideMark/>
          </w:tcPr>
          <w:p w14:paraId="150B0786" w14:textId="77777777" w:rsidR="004C1FCE" w:rsidRPr="00AF4759" w:rsidRDefault="004C1FCE" w:rsidP="00781A6A">
            <w:pPr>
              <w:jc w:val="center"/>
              <w:rPr>
                <w:rFonts w:eastAsia="Times New Roman"/>
                <w:color w:val="000000"/>
                <w:sz w:val="20"/>
                <w:szCs w:val="20"/>
                <w:lang w:eastAsia="en-AU"/>
              </w:rPr>
            </w:pPr>
            <w:r w:rsidRPr="00AF4759">
              <w:rPr>
                <w:rFonts w:eastAsia="Times New Roman"/>
                <w:color w:val="000000"/>
                <w:sz w:val="20"/>
                <w:szCs w:val="20"/>
                <w:lang w:eastAsia="en-AU"/>
              </w:rPr>
              <w:t>311</w:t>
            </w:r>
          </w:p>
        </w:tc>
        <w:tc>
          <w:tcPr>
            <w:tcW w:w="1075" w:type="dxa"/>
            <w:tcBorders>
              <w:top w:val="nil"/>
              <w:left w:val="nil"/>
              <w:bottom w:val="nil"/>
              <w:right w:val="nil"/>
            </w:tcBorders>
            <w:shd w:val="clear" w:color="000000" w:fill="FFFFFF"/>
            <w:noWrap/>
            <w:vAlign w:val="center"/>
            <w:hideMark/>
          </w:tcPr>
          <w:p w14:paraId="632C6F8D" w14:textId="77777777" w:rsidR="004C1FCE" w:rsidRPr="00AF4759" w:rsidRDefault="004C1FCE" w:rsidP="00781A6A">
            <w:pPr>
              <w:jc w:val="center"/>
              <w:rPr>
                <w:rFonts w:eastAsia="Times New Roman"/>
                <w:color w:val="000000"/>
                <w:sz w:val="20"/>
                <w:szCs w:val="20"/>
                <w:lang w:eastAsia="en-AU"/>
              </w:rPr>
            </w:pPr>
            <w:r w:rsidRPr="00AF4759">
              <w:rPr>
                <w:rFonts w:eastAsia="Times New Roman"/>
                <w:color w:val="000000"/>
                <w:sz w:val="20"/>
                <w:szCs w:val="20"/>
                <w:lang w:eastAsia="en-AU"/>
              </w:rPr>
              <w:t>0.4306</w:t>
            </w:r>
          </w:p>
        </w:tc>
        <w:tc>
          <w:tcPr>
            <w:tcW w:w="1276" w:type="dxa"/>
            <w:tcBorders>
              <w:top w:val="nil"/>
              <w:left w:val="nil"/>
              <w:bottom w:val="nil"/>
              <w:right w:val="nil"/>
            </w:tcBorders>
            <w:shd w:val="clear" w:color="000000" w:fill="FFFFFF"/>
            <w:noWrap/>
            <w:vAlign w:val="center"/>
            <w:hideMark/>
          </w:tcPr>
          <w:p w14:paraId="3AC06630" w14:textId="77777777" w:rsidR="004C1FCE" w:rsidRPr="00AF4759" w:rsidRDefault="004C1FCE" w:rsidP="00781A6A">
            <w:pPr>
              <w:jc w:val="center"/>
              <w:rPr>
                <w:rFonts w:eastAsia="Times New Roman"/>
                <w:color w:val="000000"/>
                <w:sz w:val="20"/>
                <w:szCs w:val="20"/>
                <w:lang w:eastAsia="en-AU"/>
              </w:rPr>
            </w:pPr>
            <w:r w:rsidRPr="00AF4759">
              <w:rPr>
                <w:rFonts w:eastAsia="Times New Roman"/>
                <w:color w:val="000000"/>
                <w:sz w:val="20"/>
                <w:szCs w:val="20"/>
                <w:lang w:eastAsia="en-AU"/>
              </w:rPr>
              <w:t>4.03</w:t>
            </w:r>
          </w:p>
        </w:tc>
        <w:tc>
          <w:tcPr>
            <w:tcW w:w="1134" w:type="dxa"/>
            <w:tcBorders>
              <w:top w:val="nil"/>
              <w:left w:val="nil"/>
              <w:bottom w:val="nil"/>
              <w:right w:val="single" w:sz="4" w:space="0" w:color="auto"/>
            </w:tcBorders>
            <w:shd w:val="clear" w:color="000000" w:fill="FFFFFF"/>
            <w:noWrap/>
            <w:vAlign w:val="center"/>
            <w:hideMark/>
          </w:tcPr>
          <w:p w14:paraId="021D23D8" w14:textId="77777777" w:rsidR="004C1FCE" w:rsidRPr="00AF4759" w:rsidRDefault="004C1FCE" w:rsidP="00781A6A">
            <w:pPr>
              <w:jc w:val="center"/>
              <w:rPr>
                <w:rFonts w:eastAsia="Times New Roman"/>
                <w:color w:val="000000"/>
                <w:sz w:val="20"/>
                <w:szCs w:val="20"/>
                <w:lang w:eastAsia="en-AU"/>
              </w:rPr>
            </w:pPr>
            <w:r w:rsidRPr="00AF4759">
              <w:rPr>
                <w:rFonts w:eastAsia="Times New Roman"/>
                <w:color w:val="000000"/>
                <w:sz w:val="20"/>
                <w:szCs w:val="20"/>
                <w:lang w:eastAsia="en-AU"/>
              </w:rPr>
              <w:t>0.86</w:t>
            </w:r>
          </w:p>
        </w:tc>
        <w:tc>
          <w:tcPr>
            <w:tcW w:w="1134" w:type="dxa"/>
            <w:tcBorders>
              <w:top w:val="nil"/>
              <w:left w:val="nil"/>
              <w:bottom w:val="nil"/>
              <w:right w:val="nil"/>
            </w:tcBorders>
            <w:shd w:val="clear" w:color="000000" w:fill="FFFFFF"/>
            <w:noWrap/>
            <w:vAlign w:val="center"/>
            <w:hideMark/>
          </w:tcPr>
          <w:p w14:paraId="32F4D83B" w14:textId="77777777" w:rsidR="004C1FCE" w:rsidRPr="00AF4759" w:rsidRDefault="004C1FCE" w:rsidP="00781A6A">
            <w:pPr>
              <w:jc w:val="center"/>
              <w:rPr>
                <w:rFonts w:eastAsia="Times New Roman"/>
                <w:color w:val="000000"/>
                <w:sz w:val="20"/>
                <w:szCs w:val="20"/>
                <w:lang w:eastAsia="en-AU"/>
              </w:rPr>
            </w:pPr>
            <w:r w:rsidRPr="00AF4759">
              <w:rPr>
                <w:rFonts w:eastAsia="Times New Roman"/>
                <w:color w:val="000000"/>
                <w:sz w:val="20"/>
                <w:szCs w:val="20"/>
                <w:lang w:eastAsia="en-AU"/>
              </w:rPr>
              <w:t>0.4268</w:t>
            </w:r>
          </w:p>
        </w:tc>
        <w:tc>
          <w:tcPr>
            <w:tcW w:w="1276" w:type="dxa"/>
            <w:tcBorders>
              <w:top w:val="nil"/>
              <w:left w:val="nil"/>
              <w:bottom w:val="nil"/>
              <w:right w:val="nil"/>
            </w:tcBorders>
            <w:shd w:val="clear" w:color="000000" w:fill="FFFFFF"/>
            <w:noWrap/>
            <w:vAlign w:val="center"/>
            <w:hideMark/>
          </w:tcPr>
          <w:p w14:paraId="76182334" w14:textId="77777777" w:rsidR="004C1FCE" w:rsidRPr="00AF4759" w:rsidRDefault="004C1FCE" w:rsidP="00781A6A">
            <w:pPr>
              <w:jc w:val="center"/>
              <w:rPr>
                <w:rFonts w:eastAsia="Times New Roman"/>
                <w:color w:val="000000"/>
                <w:sz w:val="20"/>
                <w:szCs w:val="20"/>
                <w:lang w:eastAsia="en-AU"/>
              </w:rPr>
            </w:pPr>
            <w:r w:rsidRPr="00AF4759">
              <w:rPr>
                <w:rFonts w:eastAsia="Times New Roman"/>
                <w:color w:val="000000"/>
                <w:sz w:val="20"/>
                <w:szCs w:val="20"/>
                <w:lang w:eastAsia="en-AU"/>
              </w:rPr>
              <w:t>2.28</w:t>
            </w:r>
          </w:p>
        </w:tc>
        <w:tc>
          <w:tcPr>
            <w:tcW w:w="1275" w:type="dxa"/>
            <w:tcBorders>
              <w:top w:val="nil"/>
              <w:left w:val="nil"/>
              <w:bottom w:val="nil"/>
              <w:right w:val="single" w:sz="4" w:space="0" w:color="auto"/>
            </w:tcBorders>
            <w:shd w:val="clear" w:color="000000" w:fill="FFFFFF"/>
            <w:noWrap/>
            <w:vAlign w:val="center"/>
            <w:hideMark/>
          </w:tcPr>
          <w:p w14:paraId="170B7595" w14:textId="77777777" w:rsidR="004C1FCE" w:rsidRPr="00AF4759" w:rsidRDefault="004C1FCE" w:rsidP="00781A6A">
            <w:pPr>
              <w:jc w:val="center"/>
              <w:rPr>
                <w:rFonts w:eastAsia="Times New Roman"/>
                <w:color w:val="000000"/>
                <w:sz w:val="20"/>
                <w:szCs w:val="20"/>
                <w:lang w:eastAsia="en-AU"/>
              </w:rPr>
            </w:pPr>
            <w:r w:rsidRPr="00AF4759">
              <w:rPr>
                <w:rFonts w:eastAsia="Times New Roman"/>
                <w:color w:val="000000"/>
                <w:sz w:val="20"/>
                <w:szCs w:val="20"/>
                <w:lang w:eastAsia="en-AU"/>
              </w:rPr>
              <w:t>1.00</w:t>
            </w:r>
          </w:p>
        </w:tc>
      </w:tr>
      <w:tr w:rsidR="004C1FCE" w:rsidRPr="00AF4759" w14:paraId="3D2D8AC8" w14:textId="77777777" w:rsidTr="00781A6A">
        <w:trPr>
          <w:trHeight w:val="277"/>
          <w:jc w:val="center"/>
        </w:trPr>
        <w:tc>
          <w:tcPr>
            <w:tcW w:w="2464" w:type="dxa"/>
            <w:tcBorders>
              <w:top w:val="nil"/>
              <w:left w:val="single" w:sz="4" w:space="0" w:color="auto"/>
              <w:bottom w:val="nil"/>
              <w:right w:val="single" w:sz="4" w:space="0" w:color="auto"/>
            </w:tcBorders>
            <w:shd w:val="clear" w:color="000000" w:fill="FFFFFF"/>
            <w:noWrap/>
            <w:vAlign w:val="bottom"/>
            <w:hideMark/>
          </w:tcPr>
          <w:p w14:paraId="04E255FB" w14:textId="77777777" w:rsidR="004C1FCE" w:rsidRPr="00AF4759" w:rsidRDefault="004C1FCE" w:rsidP="00781A6A">
            <w:pPr>
              <w:jc w:val="center"/>
              <w:rPr>
                <w:rFonts w:eastAsia="Times New Roman"/>
                <w:color w:val="000000"/>
                <w:sz w:val="20"/>
                <w:szCs w:val="20"/>
                <w:lang w:eastAsia="en-AU"/>
              </w:rPr>
            </w:pPr>
            <w:r w:rsidRPr="00AF4759">
              <w:rPr>
                <w:rFonts w:eastAsia="Times New Roman"/>
                <w:color w:val="000000"/>
                <w:sz w:val="20"/>
                <w:szCs w:val="20"/>
                <w:lang w:eastAsia="en-AU"/>
              </w:rPr>
              <w:t>310</w:t>
            </w:r>
          </w:p>
        </w:tc>
        <w:tc>
          <w:tcPr>
            <w:tcW w:w="1075" w:type="dxa"/>
            <w:tcBorders>
              <w:top w:val="nil"/>
              <w:left w:val="nil"/>
              <w:bottom w:val="nil"/>
              <w:right w:val="nil"/>
            </w:tcBorders>
            <w:shd w:val="clear" w:color="000000" w:fill="FFFFFF"/>
            <w:noWrap/>
            <w:vAlign w:val="center"/>
            <w:hideMark/>
          </w:tcPr>
          <w:p w14:paraId="7A093434" w14:textId="77777777" w:rsidR="004C1FCE" w:rsidRPr="00AF4759" w:rsidRDefault="004C1FCE" w:rsidP="00781A6A">
            <w:pPr>
              <w:jc w:val="center"/>
              <w:rPr>
                <w:rFonts w:eastAsia="Times New Roman"/>
                <w:color w:val="000000"/>
                <w:sz w:val="20"/>
                <w:szCs w:val="20"/>
                <w:lang w:eastAsia="en-AU"/>
              </w:rPr>
            </w:pPr>
            <w:r w:rsidRPr="00AF4759">
              <w:rPr>
                <w:rFonts w:eastAsia="Times New Roman"/>
                <w:color w:val="000000"/>
                <w:sz w:val="20"/>
                <w:szCs w:val="20"/>
                <w:lang w:eastAsia="en-AU"/>
              </w:rPr>
              <w:t>0.8098</w:t>
            </w:r>
          </w:p>
        </w:tc>
        <w:tc>
          <w:tcPr>
            <w:tcW w:w="1276" w:type="dxa"/>
            <w:tcBorders>
              <w:top w:val="nil"/>
              <w:left w:val="nil"/>
              <w:bottom w:val="nil"/>
              <w:right w:val="nil"/>
            </w:tcBorders>
            <w:shd w:val="clear" w:color="000000" w:fill="FFFFFF"/>
            <w:noWrap/>
            <w:vAlign w:val="center"/>
            <w:hideMark/>
          </w:tcPr>
          <w:p w14:paraId="4E24ADAB" w14:textId="77777777" w:rsidR="004C1FCE" w:rsidRPr="00AF4759" w:rsidRDefault="004C1FCE" w:rsidP="00781A6A">
            <w:pPr>
              <w:jc w:val="center"/>
              <w:rPr>
                <w:rFonts w:eastAsia="Times New Roman"/>
                <w:color w:val="000000"/>
                <w:sz w:val="20"/>
                <w:szCs w:val="20"/>
                <w:lang w:eastAsia="en-AU"/>
              </w:rPr>
            </w:pPr>
            <w:r w:rsidRPr="00AF4759">
              <w:rPr>
                <w:rFonts w:eastAsia="Times New Roman"/>
                <w:color w:val="000000"/>
                <w:sz w:val="20"/>
                <w:szCs w:val="20"/>
                <w:lang w:eastAsia="en-AU"/>
              </w:rPr>
              <w:t>7</w:t>
            </w:r>
          </w:p>
        </w:tc>
        <w:tc>
          <w:tcPr>
            <w:tcW w:w="1134" w:type="dxa"/>
            <w:tcBorders>
              <w:top w:val="nil"/>
              <w:left w:val="nil"/>
              <w:bottom w:val="nil"/>
              <w:right w:val="single" w:sz="4" w:space="0" w:color="auto"/>
            </w:tcBorders>
            <w:shd w:val="clear" w:color="000000" w:fill="FFFFFF"/>
            <w:noWrap/>
            <w:vAlign w:val="center"/>
            <w:hideMark/>
          </w:tcPr>
          <w:p w14:paraId="70275FD8" w14:textId="77777777" w:rsidR="004C1FCE" w:rsidRPr="00AF4759" w:rsidRDefault="004C1FCE" w:rsidP="00781A6A">
            <w:pPr>
              <w:jc w:val="center"/>
              <w:rPr>
                <w:rFonts w:eastAsia="Times New Roman"/>
                <w:color w:val="000000"/>
                <w:sz w:val="20"/>
                <w:szCs w:val="20"/>
                <w:lang w:eastAsia="en-AU"/>
              </w:rPr>
            </w:pPr>
            <w:r w:rsidRPr="00AF4759">
              <w:rPr>
                <w:rFonts w:eastAsia="Times New Roman"/>
                <w:color w:val="000000"/>
                <w:sz w:val="20"/>
                <w:szCs w:val="20"/>
                <w:lang w:eastAsia="en-AU"/>
              </w:rPr>
              <w:t>1.39</w:t>
            </w:r>
          </w:p>
        </w:tc>
        <w:tc>
          <w:tcPr>
            <w:tcW w:w="1134" w:type="dxa"/>
            <w:tcBorders>
              <w:top w:val="nil"/>
              <w:left w:val="nil"/>
              <w:bottom w:val="nil"/>
              <w:right w:val="nil"/>
            </w:tcBorders>
            <w:shd w:val="clear" w:color="000000" w:fill="FFFFFF"/>
            <w:noWrap/>
            <w:vAlign w:val="center"/>
            <w:hideMark/>
          </w:tcPr>
          <w:p w14:paraId="3194E2CC" w14:textId="77777777" w:rsidR="004C1FCE" w:rsidRPr="00AF4759" w:rsidRDefault="004C1FCE" w:rsidP="00781A6A">
            <w:pPr>
              <w:jc w:val="center"/>
              <w:rPr>
                <w:rFonts w:eastAsia="Times New Roman"/>
                <w:color w:val="000000"/>
                <w:sz w:val="20"/>
                <w:szCs w:val="20"/>
                <w:lang w:eastAsia="en-AU"/>
              </w:rPr>
            </w:pPr>
            <w:r w:rsidRPr="00AF4759">
              <w:rPr>
                <w:rFonts w:eastAsia="Times New Roman"/>
                <w:color w:val="000000"/>
                <w:sz w:val="20"/>
                <w:szCs w:val="20"/>
                <w:lang w:eastAsia="en-AU"/>
              </w:rPr>
              <w:t>0.8142</w:t>
            </w:r>
          </w:p>
        </w:tc>
        <w:tc>
          <w:tcPr>
            <w:tcW w:w="1276" w:type="dxa"/>
            <w:tcBorders>
              <w:top w:val="nil"/>
              <w:left w:val="nil"/>
              <w:bottom w:val="nil"/>
              <w:right w:val="nil"/>
            </w:tcBorders>
            <w:shd w:val="clear" w:color="000000" w:fill="FFFFFF"/>
            <w:noWrap/>
            <w:vAlign w:val="center"/>
            <w:hideMark/>
          </w:tcPr>
          <w:p w14:paraId="37CD735E" w14:textId="77777777" w:rsidR="004C1FCE" w:rsidRPr="00AF4759" w:rsidRDefault="004C1FCE" w:rsidP="00781A6A">
            <w:pPr>
              <w:jc w:val="center"/>
              <w:rPr>
                <w:rFonts w:eastAsia="Times New Roman"/>
                <w:color w:val="000000"/>
                <w:sz w:val="20"/>
                <w:szCs w:val="20"/>
                <w:lang w:eastAsia="en-AU"/>
              </w:rPr>
            </w:pPr>
            <w:r w:rsidRPr="00AF4759">
              <w:rPr>
                <w:rFonts w:eastAsia="Times New Roman"/>
                <w:color w:val="000000"/>
                <w:sz w:val="20"/>
                <w:szCs w:val="20"/>
                <w:lang w:eastAsia="en-AU"/>
              </w:rPr>
              <w:t>4.95</w:t>
            </w:r>
          </w:p>
        </w:tc>
        <w:tc>
          <w:tcPr>
            <w:tcW w:w="1275" w:type="dxa"/>
            <w:tcBorders>
              <w:top w:val="nil"/>
              <w:left w:val="nil"/>
              <w:bottom w:val="nil"/>
              <w:right w:val="single" w:sz="4" w:space="0" w:color="auto"/>
            </w:tcBorders>
            <w:shd w:val="clear" w:color="000000" w:fill="FFFFFF"/>
            <w:noWrap/>
            <w:vAlign w:val="center"/>
            <w:hideMark/>
          </w:tcPr>
          <w:p w14:paraId="5FCFAD05" w14:textId="77777777" w:rsidR="004C1FCE" w:rsidRPr="00AF4759" w:rsidRDefault="004C1FCE" w:rsidP="00781A6A">
            <w:pPr>
              <w:jc w:val="center"/>
              <w:rPr>
                <w:rFonts w:eastAsia="Times New Roman"/>
                <w:color w:val="000000"/>
                <w:sz w:val="20"/>
                <w:szCs w:val="20"/>
                <w:lang w:eastAsia="en-AU"/>
              </w:rPr>
            </w:pPr>
            <w:r w:rsidRPr="00AF4759">
              <w:rPr>
                <w:rFonts w:eastAsia="Times New Roman"/>
                <w:color w:val="000000"/>
                <w:sz w:val="20"/>
                <w:szCs w:val="20"/>
                <w:lang w:eastAsia="en-AU"/>
              </w:rPr>
              <w:t>2.60</w:t>
            </w:r>
          </w:p>
        </w:tc>
      </w:tr>
      <w:tr w:rsidR="004C1FCE" w:rsidRPr="00AF4759" w14:paraId="26E059B9" w14:textId="77777777" w:rsidTr="00781A6A">
        <w:trPr>
          <w:trHeight w:val="277"/>
          <w:jc w:val="center"/>
        </w:trPr>
        <w:tc>
          <w:tcPr>
            <w:tcW w:w="2464" w:type="dxa"/>
            <w:tcBorders>
              <w:top w:val="nil"/>
              <w:left w:val="single" w:sz="4" w:space="0" w:color="auto"/>
              <w:bottom w:val="nil"/>
              <w:right w:val="single" w:sz="4" w:space="0" w:color="auto"/>
            </w:tcBorders>
            <w:shd w:val="clear" w:color="000000" w:fill="FFFFFF"/>
            <w:noWrap/>
            <w:vAlign w:val="bottom"/>
            <w:hideMark/>
          </w:tcPr>
          <w:p w14:paraId="1731FF10" w14:textId="77777777" w:rsidR="004C1FCE" w:rsidRPr="00AF4759" w:rsidRDefault="004C1FCE" w:rsidP="00781A6A">
            <w:pPr>
              <w:jc w:val="center"/>
              <w:rPr>
                <w:rFonts w:eastAsia="Times New Roman"/>
                <w:color w:val="000000"/>
                <w:sz w:val="20"/>
                <w:szCs w:val="20"/>
                <w:lang w:eastAsia="en-AU"/>
              </w:rPr>
            </w:pPr>
            <w:r w:rsidRPr="00AF4759">
              <w:rPr>
                <w:rFonts w:eastAsia="Times New Roman"/>
                <w:color w:val="000000"/>
                <w:sz w:val="20"/>
                <w:szCs w:val="20"/>
                <w:lang w:eastAsia="en-AU"/>
              </w:rPr>
              <w:t>309</w:t>
            </w:r>
          </w:p>
        </w:tc>
        <w:tc>
          <w:tcPr>
            <w:tcW w:w="1075" w:type="dxa"/>
            <w:tcBorders>
              <w:top w:val="nil"/>
              <w:left w:val="nil"/>
              <w:bottom w:val="nil"/>
              <w:right w:val="nil"/>
            </w:tcBorders>
            <w:shd w:val="clear" w:color="000000" w:fill="FFFFFF"/>
            <w:noWrap/>
            <w:vAlign w:val="center"/>
            <w:hideMark/>
          </w:tcPr>
          <w:p w14:paraId="7412CB92" w14:textId="77777777" w:rsidR="004C1FCE" w:rsidRPr="00AF4759" w:rsidRDefault="004C1FCE" w:rsidP="00781A6A">
            <w:pPr>
              <w:jc w:val="center"/>
              <w:rPr>
                <w:rFonts w:eastAsia="Times New Roman"/>
                <w:color w:val="000000"/>
                <w:sz w:val="20"/>
                <w:szCs w:val="20"/>
                <w:lang w:eastAsia="en-AU"/>
              </w:rPr>
            </w:pPr>
            <w:r w:rsidRPr="00AF4759">
              <w:rPr>
                <w:rFonts w:eastAsia="Times New Roman"/>
                <w:color w:val="000000"/>
                <w:sz w:val="20"/>
                <w:szCs w:val="20"/>
                <w:lang w:eastAsia="en-AU"/>
              </w:rPr>
              <w:t>0.8463</w:t>
            </w:r>
          </w:p>
        </w:tc>
        <w:tc>
          <w:tcPr>
            <w:tcW w:w="1276" w:type="dxa"/>
            <w:tcBorders>
              <w:top w:val="nil"/>
              <w:left w:val="nil"/>
              <w:bottom w:val="nil"/>
              <w:right w:val="nil"/>
            </w:tcBorders>
            <w:shd w:val="clear" w:color="000000" w:fill="FFFFFF"/>
            <w:noWrap/>
            <w:vAlign w:val="center"/>
            <w:hideMark/>
          </w:tcPr>
          <w:p w14:paraId="10189A2D" w14:textId="77777777" w:rsidR="004C1FCE" w:rsidRPr="00AF4759" w:rsidRDefault="004C1FCE" w:rsidP="00781A6A">
            <w:pPr>
              <w:jc w:val="center"/>
              <w:rPr>
                <w:rFonts w:eastAsia="Times New Roman"/>
                <w:color w:val="000000"/>
                <w:sz w:val="20"/>
                <w:szCs w:val="20"/>
                <w:lang w:eastAsia="en-AU"/>
              </w:rPr>
            </w:pPr>
            <w:r w:rsidRPr="00AF4759">
              <w:rPr>
                <w:rFonts w:eastAsia="Times New Roman"/>
                <w:color w:val="000000"/>
                <w:sz w:val="20"/>
                <w:szCs w:val="20"/>
                <w:lang w:eastAsia="en-AU"/>
              </w:rPr>
              <w:t>8.5</w:t>
            </w:r>
          </w:p>
        </w:tc>
        <w:tc>
          <w:tcPr>
            <w:tcW w:w="1134" w:type="dxa"/>
            <w:tcBorders>
              <w:top w:val="nil"/>
              <w:left w:val="nil"/>
              <w:bottom w:val="nil"/>
              <w:right w:val="single" w:sz="4" w:space="0" w:color="auto"/>
            </w:tcBorders>
            <w:shd w:val="clear" w:color="000000" w:fill="FFFFFF"/>
            <w:noWrap/>
            <w:vAlign w:val="center"/>
            <w:hideMark/>
          </w:tcPr>
          <w:p w14:paraId="1ADF66D3" w14:textId="77777777" w:rsidR="004C1FCE" w:rsidRPr="00AF4759" w:rsidRDefault="004C1FCE" w:rsidP="00781A6A">
            <w:pPr>
              <w:jc w:val="center"/>
              <w:rPr>
                <w:rFonts w:eastAsia="Times New Roman"/>
                <w:color w:val="000000"/>
                <w:sz w:val="20"/>
                <w:szCs w:val="20"/>
                <w:lang w:eastAsia="en-AU"/>
              </w:rPr>
            </w:pPr>
            <w:r w:rsidRPr="00AF4759">
              <w:rPr>
                <w:rFonts w:eastAsia="Times New Roman"/>
                <w:color w:val="000000"/>
                <w:sz w:val="20"/>
                <w:szCs w:val="20"/>
                <w:lang w:eastAsia="en-AU"/>
              </w:rPr>
              <w:t>1.44</w:t>
            </w:r>
          </w:p>
        </w:tc>
        <w:tc>
          <w:tcPr>
            <w:tcW w:w="1134" w:type="dxa"/>
            <w:tcBorders>
              <w:top w:val="nil"/>
              <w:left w:val="nil"/>
              <w:bottom w:val="nil"/>
              <w:right w:val="nil"/>
            </w:tcBorders>
            <w:shd w:val="clear" w:color="000000" w:fill="FFFFFF"/>
            <w:noWrap/>
            <w:vAlign w:val="center"/>
            <w:hideMark/>
          </w:tcPr>
          <w:p w14:paraId="07786228" w14:textId="77777777" w:rsidR="004C1FCE" w:rsidRPr="00AF4759" w:rsidRDefault="004C1FCE" w:rsidP="00781A6A">
            <w:pPr>
              <w:jc w:val="center"/>
              <w:rPr>
                <w:rFonts w:eastAsia="Times New Roman"/>
                <w:color w:val="000000"/>
                <w:sz w:val="20"/>
                <w:szCs w:val="20"/>
                <w:lang w:eastAsia="en-AU"/>
              </w:rPr>
            </w:pPr>
            <w:r w:rsidRPr="00AF4759">
              <w:rPr>
                <w:rFonts w:eastAsia="Times New Roman"/>
                <w:color w:val="000000"/>
                <w:sz w:val="20"/>
                <w:szCs w:val="20"/>
                <w:lang w:eastAsia="en-AU"/>
              </w:rPr>
              <w:t>0.8742</w:t>
            </w:r>
          </w:p>
        </w:tc>
        <w:tc>
          <w:tcPr>
            <w:tcW w:w="1276" w:type="dxa"/>
            <w:tcBorders>
              <w:top w:val="nil"/>
              <w:left w:val="nil"/>
              <w:bottom w:val="nil"/>
              <w:right w:val="nil"/>
            </w:tcBorders>
            <w:shd w:val="clear" w:color="000000" w:fill="FFFFFF"/>
            <w:noWrap/>
            <w:vAlign w:val="center"/>
            <w:hideMark/>
          </w:tcPr>
          <w:p w14:paraId="305A402B" w14:textId="77777777" w:rsidR="004C1FCE" w:rsidRPr="00AF4759" w:rsidRDefault="004C1FCE" w:rsidP="00781A6A">
            <w:pPr>
              <w:jc w:val="center"/>
              <w:rPr>
                <w:rFonts w:eastAsia="Times New Roman"/>
                <w:color w:val="000000"/>
                <w:sz w:val="20"/>
                <w:szCs w:val="20"/>
                <w:lang w:eastAsia="en-AU"/>
              </w:rPr>
            </w:pPr>
            <w:r w:rsidRPr="00AF4759">
              <w:rPr>
                <w:rFonts w:eastAsia="Times New Roman"/>
                <w:color w:val="000000"/>
                <w:sz w:val="20"/>
                <w:szCs w:val="20"/>
                <w:lang w:eastAsia="en-AU"/>
              </w:rPr>
              <w:t>7.24</w:t>
            </w:r>
          </w:p>
        </w:tc>
        <w:tc>
          <w:tcPr>
            <w:tcW w:w="1275" w:type="dxa"/>
            <w:tcBorders>
              <w:top w:val="nil"/>
              <w:left w:val="nil"/>
              <w:bottom w:val="nil"/>
              <w:right w:val="single" w:sz="4" w:space="0" w:color="auto"/>
            </w:tcBorders>
            <w:shd w:val="clear" w:color="000000" w:fill="FFFFFF"/>
            <w:noWrap/>
            <w:vAlign w:val="center"/>
            <w:hideMark/>
          </w:tcPr>
          <w:p w14:paraId="115C8ED6" w14:textId="77777777" w:rsidR="004C1FCE" w:rsidRPr="00AF4759" w:rsidRDefault="004C1FCE" w:rsidP="00781A6A">
            <w:pPr>
              <w:jc w:val="center"/>
              <w:rPr>
                <w:rFonts w:eastAsia="Times New Roman"/>
                <w:color w:val="000000"/>
                <w:sz w:val="20"/>
                <w:szCs w:val="20"/>
                <w:lang w:eastAsia="en-AU"/>
              </w:rPr>
            </w:pPr>
            <w:r w:rsidRPr="00AF4759">
              <w:rPr>
                <w:rFonts w:eastAsia="Times New Roman"/>
                <w:color w:val="000000"/>
                <w:sz w:val="20"/>
                <w:szCs w:val="20"/>
                <w:lang w:eastAsia="en-AU"/>
              </w:rPr>
              <w:t>2.10</w:t>
            </w:r>
          </w:p>
        </w:tc>
      </w:tr>
      <w:tr w:rsidR="004C1FCE" w:rsidRPr="00AF4759" w14:paraId="489DBEE4" w14:textId="77777777" w:rsidTr="00781A6A">
        <w:trPr>
          <w:trHeight w:val="277"/>
          <w:jc w:val="center"/>
        </w:trPr>
        <w:tc>
          <w:tcPr>
            <w:tcW w:w="2464" w:type="dxa"/>
            <w:tcBorders>
              <w:top w:val="nil"/>
              <w:left w:val="single" w:sz="4" w:space="0" w:color="auto"/>
              <w:bottom w:val="nil"/>
              <w:right w:val="single" w:sz="4" w:space="0" w:color="auto"/>
            </w:tcBorders>
            <w:shd w:val="clear" w:color="000000" w:fill="FFFFFF"/>
            <w:noWrap/>
            <w:vAlign w:val="bottom"/>
            <w:hideMark/>
          </w:tcPr>
          <w:p w14:paraId="07DEC79B" w14:textId="77777777" w:rsidR="004C1FCE" w:rsidRPr="00AF4759" w:rsidRDefault="004C1FCE" w:rsidP="00781A6A">
            <w:pPr>
              <w:jc w:val="center"/>
              <w:rPr>
                <w:rFonts w:eastAsia="Times New Roman"/>
                <w:color w:val="000000"/>
                <w:sz w:val="20"/>
                <w:szCs w:val="20"/>
                <w:lang w:eastAsia="en-AU"/>
              </w:rPr>
            </w:pPr>
            <w:r w:rsidRPr="00AF4759">
              <w:rPr>
                <w:rFonts w:eastAsia="Times New Roman"/>
                <w:color w:val="000000"/>
                <w:sz w:val="20"/>
                <w:szCs w:val="20"/>
                <w:lang w:eastAsia="en-AU"/>
              </w:rPr>
              <w:t>308</w:t>
            </w:r>
          </w:p>
        </w:tc>
        <w:tc>
          <w:tcPr>
            <w:tcW w:w="1075" w:type="dxa"/>
            <w:tcBorders>
              <w:top w:val="nil"/>
              <w:left w:val="nil"/>
              <w:bottom w:val="nil"/>
              <w:right w:val="nil"/>
            </w:tcBorders>
            <w:shd w:val="clear" w:color="000000" w:fill="FFFFFF"/>
            <w:noWrap/>
            <w:vAlign w:val="center"/>
            <w:hideMark/>
          </w:tcPr>
          <w:p w14:paraId="089C3E08" w14:textId="77777777" w:rsidR="004C1FCE" w:rsidRPr="00AF4759" w:rsidRDefault="004C1FCE" w:rsidP="00781A6A">
            <w:pPr>
              <w:jc w:val="center"/>
              <w:rPr>
                <w:rFonts w:eastAsia="Times New Roman"/>
                <w:color w:val="000000"/>
                <w:sz w:val="20"/>
                <w:szCs w:val="20"/>
                <w:lang w:eastAsia="en-AU"/>
              </w:rPr>
            </w:pPr>
            <w:r w:rsidRPr="00AF4759">
              <w:rPr>
                <w:rFonts w:eastAsia="Times New Roman"/>
                <w:color w:val="000000"/>
                <w:sz w:val="20"/>
                <w:szCs w:val="20"/>
                <w:lang w:eastAsia="en-AU"/>
              </w:rPr>
              <w:t>0.8827</w:t>
            </w:r>
          </w:p>
        </w:tc>
        <w:tc>
          <w:tcPr>
            <w:tcW w:w="1276" w:type="dxa"/>
            <w:tcBorders>
              <w:top w:val="nil"/>
              <w:left w:val="nil"/>
              <w:bottom w:val="nil"/>
              <w:right w:val="nil"/>
            </w:tcBorders>
            <w:shd w:val="clear" w:color="000000" w:fill="FFFFFF"/>
            <w:noWrap/>
            <w:vAlign w:val="center"/>
            <w:hideMark/>
          </w:tcPr>
          <w:p w14:paraId="6D047FA3" w14:textId="77777777" w:rsidR="004C1FCE" w:rsidRPr="00AF4759" w:rsidRDefault="004C1FCE" w:rsidP="00781A6A">
            <w:pPr>
              <w:jc w:val="center"/>
              <w:rPr>
                <w:rFonts w:eastAsia="Times New Roman"/>
                <w:color w:val="000000"/>
                <w:sz w:val="20"/>
                <w:szCs w:val="20"/>
                <w:lang w:eastAsia="en-AU"/>
              </w:rPr>
            </w:pPr>
            <w:r w:rsidRPr="00AF4759">
              <w:rPr>
                <w:rFonts w:eastAsia="Times New Roman"/>
                <w:color w:val="000000"/>
                <w:sz w:val="20"/>
                <w:szCs w:val="20"/>
                <w:lang w:eastAsia="en-AU"/>
              </w:rPr>
              <w:t>8.46</w:t>
            </w:r>
          </w:p>
        </w:tc>
        <w:tc>
          <w:tcPr>
            <w:tcW w:w="1134" w:type="dxa"/>
            <w:tcBorders>
              <w:top w:val="nil"/>
              <w:left w:val="nil"/>
              <w:bottom w:val="nil"/>
              <w:right w:val="single" w:sz="4" w:space="0" w:color="auto"/>
            </w:tcBorders>
            <w:shd w:val="clear" w:color="000000" w:fill="FFFFFF"/>
            <w:noWrap/>
            <w:vAlign w:val="center"/>
            <w:hideMark/>
          </w:tcPr>
          <w:p w14:paraId="60A17C09" w14:textId="77777777" w:rsidR="004C1FCE" w:rsidRPr="00AF4759" w:rsidRDefault="004C1FCE" w:rsidP="00781A6A">
            <w:pPr>
              <w:jc w:val="center"/>
              <w:rPr>
                <w:rFonts w:eastAsia="Times New Roman"/>
                <w:color w:val="000000"/>
                <w:sz w:val="20"/>
                <w:szCs w:val="20"/>
                <w:lang w:eastAsia="en-AU"/>
              </w:rPr>
            </w:pPr>
            <w:r w:rsidRPr="00AF4759">
              <w:rPr>
                <w:rFonts w:eastAsia="Times New Roman"/>
                <w:color w:val="000000"/>
                <w:sz w:val="20"/>
                <w:szCs w:val="20"/>
                <w:lang w:eastAsia="en-AU"/>
              </w:rPr>
              <w:t>1.77</w:t>
            </w:r>
          </w:p>
        </w:tc>
        <w:tc>
          <w:tcPr>
            <w:tcW w:w="1134" w:type="dxa"/>
            <w:tcBorders>
              <w:top w:val="nil"/>
              <w:left w:val="nil"/>
              <w:bottom w:val="nil"/>
              <w:right w:val="nil"/>
            </w:tcBorders>
            <w:shd w:val="clear" w:color="000000" w:fill="FFFFFF"/>
            <w:noWrap/>
            <w:vAlign w:val="center"/>
            <w:hideMark/>
          </w:tcPr>
          <w:p w14:paraId="2E204DCC" w14:textId="77777777" w:rsidR="004C1FCE" w:rsidRPr="00AF4759" w:rsidRDefault="004C1FCE" w:rsidP="00781A6A">
            <w:pPr>
              <w:jc w:val="center"/>
              <w:rPr>
                <w:rFonts w:eastAsia="Times New Roman"/>
                <w:color w:val="000000"/>
                <w:sz w:val="20"/>
                <w:szCs w:val="20"/>
                <w:lang w:eastAsia="en-AU"/>
              </w:rPr>
            </w:pPr>
            <w:r w:rsidRPr="00AF4759">
              <w:rPr>
                <w:rFonts w:eastAsia="Times New Roman"/>
                <w:color w:val="000000"/>
                <w:sz w:val="20"/>
                <w:szCs w:val="20"/>
                <w:lang w:eastAsia="en-AU"/>
              </w:rPr>
              <w:t>0.9345</w:t>
            </w:r>
          </w:p>
        </w:tc>
        <w:tc>
          <w:tcPr>
            <w:tcW w:w="1276" w:type="dxa"/>
            <w:tcBorders>
              <w:top w:val="nil"/>
              <w:left w:val="nil"/>
              <w:bottom w:val="nil"/>
              <w:right w:val="nil"/>
            </w:tcBorders>
            <w:shd w:val="clear" w:color="000000" w:fill="FFFFFF"/>
            <w:noWrap/>
            <w:vAlign w:val="center"/>
            <w:hideMark/>
          </w:tcPr>
          <w:p w14:paraId="28554D7F" w14:textId="77777777" w:rsidR="004C1FCE" w:rsidRPr="00AF4759" w:rsidRDefault="004C1FCE" w:rsidP="00781A6A">
            <w:pPr>
              <w:jc w:val="center"/>
              <w:rPr>
                <w:rFonts w:eastAsia="Times New Roman"/>
                <w:color w:val="000000"/>
                <w:sz w:val="20"/>
                <w:szCs w:val="20"/>
                <w:lang w:eastAsia="en-AU"/>
              </w:rPr>
            </w:pPr>
            <w:r w:rsidRPr="00AF4759">
              <w:rPr>
                <w:rFonts w:eastAsia="Times New Roman"/>
                <w:color w:val="000000"/>
                <w:sz w:val="20"/>
                <w:szCs w:val="20"/>
                <w:lang w:eastAsia="en-AU"/>
              </w:rPr>
              <w:t>5.69</w:t>
            </w:r>
          </w:p>
        </w:tc>
        <w:tc>
          <w:tcPr>
            <w:tcW w:w="1275" w:type="dxa"/>
            <w:tcBorders>
              <w:top w:val="nil"/>
              <w:left w:val="nil"/>
              <w:bottom w:val="nil"/>
              <w:right w:val="single" w:sz="4" w:space="0" w:color="auto"/>
            </w:tcBorders>
            <w:shd w:val="clear" w:color="000000" w:fill="FFFFFF"/>
            <w:noWrap/>
            <w:vAlign w:val="center"/>
            <w:hideMark/>
          </w:tcPr>
          <w:p w14:paraId="6B8AD86D" w14:textId="77777777" w:rsidR="004C1FCE" w:rsidRPr="00AF4759" w:rsidRDefault="004C1FCE" w:rsidP="00781A6A">
            <w:pPr>
              <w:jc w:val="center"/>
              <w:rPr>
                <w:rFonts w:eastAsia="Times New Roman"/>
                <w:color w:val="000000"/>
                <w:sz w:val="20"/>
                <w:szCs w:val="20"/>
                <w:lang w:eastAsia="en-AU"/>
              </w:rPr>
            </w:pPr>
            <w:r w:rsidRPr="00AF4759">
              <w:rPr>
                <w:rFonts w:eastAsia="Times New Roman"/>
                <w:color w:val="000000"/>
                <w:sz w:val="20"/>
                <w:szCs w:val="20"/>
                <w:lang w:eastAsia="en-AU"/>
              </w:rPr>
              <w:t>2.43</w:t>
            </w:r>
          </w:p>
        </w:tc>
      </w:tr>
      <w:tr w:rsidR="004C1FCE" w:rsidRPr="00AF4759" w14:paraId="2DFC8895" w14:textId="77777777" w:rsidTr="00781A6A">
        <w:trPr>
          <w:trHeight w:val="277"/>
          <w:jc w:val="center"/>
        </w:trPr>
        <w:tc>
          <w:tcPr>
            <w:tcW w:w="2464" w:type="dxa"/>
            <w:tcBorders>
              <w:top w:val="nil"/>
              <w:left w:val="single" w:sz="4" w:space="0" w:color="auto"/>
              <w:bottom w:val="single" w:sz="4" w:space="0" w:color="auto"/>
              <w:right w:val="single" w:sz="4" w:space="0" w:color="auto"/>
            </w:tcBorders>
            <w:shd w:val="clear" w:color="000000" w:fill="FFFFFF"/>
            <w:noWrap/>
            <w:vAlign w:val="bottom"/>
            <w:hideMark/>
          </w:tcPr>
          <w:p w14:paraId="66B0FCE1" w14:textId="77777777" w:rsidR="004C1FCE" w:rsidRPr="00AF4759" w:rsidRDefault="004C1FCE" w:rsidP="00781A6A">
            <w:pPr>
              <w:jc w:val="center"/>
              <w:rPr>
                <w:rFonts w:eastAsia="Times New Roman"/>
                <w:color w:val="000000"/>
                <w:sz w:val="20"/>
                <w:szCs w:val="20"/>
                <w:lang w:eastAsia="en-AU"/>
              </w:rPr>
            </w:pPr>
            <w:r w:rsidRPr="00AF4759">
              <w:rPr>
                <w:rFonts w:eastAsia="Times New Roman"/>
                <w:color w:val="000000"/>
                <w:sz w:val="20"/>
                <w:szCs w:val="20"/>
                <w:lang w:eastAsia="en-AU"/>
              </w:rPr>
              <w:t>312</w:t>
            </w:r>
          </w:p>
        </w:tc>
        <w:tc>
          <w:tcPr>
            <w:tcW w:w="1075" w:type="dxa"/>
            <w:tcBorders>
              <w:top w:val="nil"/>
              <w:left w:val="nil"/>
              <w:bottom w:val="single" w:sz="4" w:space="0" w:color="auto"/>
              <w:right w:val="nil"/>
            </w:tcBorders>
            <w:shd w:val="clear" w:color="000000" w:fill="FFFFFF"/>
            <w:noWrap/>
            <w:vAlign w:val="center"/>
            <w:hideMark/>
          </w:tcPr>
          <w:p w14:paraId="2EE22B97" w14:textId="77777777" w:rsidR="004C1FCE" w:rsidRPr="00AF4759" w:rsidRDefault="004C1FCE" w:rsidP="00781A6A">
            <w:pPr>
              <w:jc w:val="center"/>
              <w:rPr>
                <w:rFonts w:eastAsia="Times New Roman"/>
                <w:color w:val="000000"/>
                <w:sz w:val="20"/>
                <w:szCs w:val="20"/>
                <w:lang w:eastAsia="en-AU"/>
              </w:rPr>
            </w:pPr>
            <w:r w:rsidRPr="00AF4759">
              <w:rPr>
                <w:rFonts w:eastAsia="Times New Roman"/>
                <w:color w:val="000000"/>
                <w:sz w:val="20"/>
                <w:szCs w:val="20"/>
                <w:lang w:eastAsia="en-AU"/>
              </w:rPr>
              <w:t>0.8996</w:t>
            </w:r>
          </w:p>
        </w:tc>
        <w:tc>
          <w:tcPr>
            <w:tcW w:w="1276" w:type="dxa"/>
            <w:tcBorders>
              <w:top w:val="nil"/>
              <w:left w:val="nil"/>
              <w:bottom w:val="single" w:sz="4" w:space="0" w:color="auto"/>
              <w:right w:val="nil"/>
            </w:tcBorders>
            <w:shd w:val="clear" w:color="000000" w:fill="FFFFFF"/>
            <w:noWrap/>
            <w:vAlign w:val="center"/>
            <w:hideMark/>
          </w:tcPr>
          <w:p w14:paraId="35AF1041" w14:textId="77777777" w:rsidR="004C1FCE" w:rsidRPr="00AF4759" w:rsidRDefault="004C1FCE" w:rsidP="00781A6A">
            <w:pPr>
              <w:jc w:val="center"/>
              <w:rPr>
                <w:rFonts w:eastAsia="Times New Roman"/>
                <w:color w:val="000000"/>
                <w:sz w:val="20"/>
                <w:szCs w:val="20"/>
                <w:lang w:eastAsia="en-AU"/>
              </w:rPr>
            </w:pPr>
            <w:r w:rsidRPr="00AF4759">
              <w:rPr>
                <w:rFonts w:eastAsia="Times New Roman"/>
                <w:color w:val="000000"/>
                <w:sz w:val="20"/>
                <w:szCs w:val="20"/>
                <w:lang w:eastAsia="en-AU"/>
              </w:rPr>
              <w:t>8.46</w:t>
            </w:r>
          </w:p>
        </w:tc>
        <w:tc>
          <w:tcPr>
            <w:tcW w:w="1134" w:type="dxa"/>
            <w:tcBorders>
              <w:top w:val="nil"/>
              <w:left w:val="nil"/>
              <w:bottom w:val="single" w:sz="4" w:space="0" w:color="auto"/>
              <w:right w:val="single" w:sz="4" w:space="0" w:color="auto"/>
            </w:tcBorders>
            <w:shd w:val="clear" w:color="000000" w:fill="FFFFFF"/>
            <w:noWrap/>
            <w:vAlign w:val="center"/>
            <w:hideMark/>
          </w:tcPr>
          <w:p w14:paraId="180F63A2" w14:textId="77777777" w:rsidR="004C1FCE" w:rsidRPr="00AF4759" w:rsidRDefault="004C1FCE" w:rsidP="00781A6A">
            <w:pPr>
              <w:jc w:val="center"/>
              <w:rPr>
                <w:rFonts w:eastAsia="Times New Roman"/>
                <w:color w:val="000000"/>
                <w:sz w:val="20"/>
                <w:szCs w:val="20"/>
                <w:lang w:eastAsia="en-AU"/>
              </w:rPr>
            </w:pPr>
            <w:r w:rsidRPr="00AF4759">
              <w:rPr>
                <w:rFonts w:eastAsia="Times New Roman"/>
                <w:color w:val="000000"/>
                <w:sz w:val="20"/>
                <w:szCs w:val="20"/>
                <w:lang w:eastAsia="en-AU"/>
              </w:rPr>
              <w:t>2.25</w:t>
            </w:r>
          </w:p>
        </w:tc>
        <w:tc>
          <w:tcPr>
            <w:tcW w:w="1134" w:type="dxa"/>
            <w:tcBorders>
              <w:top w:val="nil"/>
              <w:left w:val="nil"/>
              <w:bottom w:val="single" w:sz="4" w:space="0" w:color="auto"/>
              <w:right w:val="nil"/>
            </w:tcBorders>
            <w:shd w:val="clear" w:color="000000" w:fill="FFFFFF"/>
            <w:noWrap/>
            <w:vAlign w:val="center"/>
            <w:hideMark/>
          </w:tcPr>
          <w:p w14:paraId="216E0569" w14:textId="77777777" w:rsidR="004C1FCE" w:rsidRPr="00AF4759" w:rsidRDefault="004C1FCE" w:rsidP="00781A6A">
            <w:pPr>
              <w:jc w:val="center"/>
              <w:rPr>
                <w:rFonts w:eastAsia="Times New Roman"/>
                <w:color w:val="000000"/>
                <w:sz w:val="20"/>
                <w:szCs w:val="20"/>
                <w:lang w:eastAsia="en-AU"/>
              </w:rPr>
            </w:pPr>
            <w:r w:rsidRPr="00AF4759">
              <w:rPr>
                <w:rFonts w:eastAsia="Times New Roman"/>
                <w:color w:val="000000"/>
                <w:sz w:val="20"/>
                <w:szCs w:val="20"/>
                <w:lang w:eastAsia="en-AU"/>
              </w:rPr>
              <w:t>0.9249</w:t>
            </w:r>
          </w:p>
        </w:tc>
        <w:tc>
          <w:tcPr>
            <w:tcW w:w="1276" w:type="dxa"/>
            <w:tcBorders>
              <w:top w:val="nil"/>
              <w:left w:val="nil"/>
              <w:bottom w:val="single" w:sz="4" w:space="0" w:color="auto"/>
              <w:right w:val="nil"/>
            </w:tcBorders>
            <w:shd w:val="clear" w:color="000000" w:fill="FFFFFF"/>
            <w:noWrap/>
            <w:vAlign w:val="center"/>
            <w:hideMark/>
          </w:tcPr>
          <w:p w14:paraId="14D25288" w14:textId="77777777" w:rsidR="004C1FCE" w:rsidRPr="00AF4759" w:rsidRDefault="004C1FCE" w:rsidP="00781A6A">
            <w:pPr>
              <w:jc w:val="center"/>
              <w:rPr>
                <w:rFonts w:eastAsia="Times New Roman"/>
                <w:color w:val="000000"/>
                <w:sz w:val="20"/>
                <w:szCs w:val="20"/>
                <w:lang w:eastAsia="en-AU"/>
              </w:rPr>
            </w:pPr>
            <w:r w:rsidRPr="00AF4759">
              <w:rPr>
                <w:rFonts w:eastAsia="Times New Roman"/>
                <w:color w:val="000000"/>
                <w:sz w:val="20"/>
                <w:szCs w:val="20"/>
                <w:lang w:eastAsia="en-AU"/>
              </w:rPr>
              <w:t>7.39</w:t>
            </w:r>
          </w:p>
        </w:tc>
        <w:tc>
          <w:tcPr>
            <w:tcW w:w="1275" w:type="dxa"/>
            <w:tcBorders>
              <w:top w:val="nil"/>
              <w:left w:val="nil"/>
              <w:bottom w:val="single" w:sz="4" w:space="0" w:color="auto"/>
              <w:right w:val="single" w:sz="4" w:space="0" w:color="auto"/>
            </w:tcBorders>
            <w:shd w:val="clear" w:color="000000" w:fill="FFFFFF"/>
            <w:noWrap/>
            <w:vAlign w:val="center"/>
            <w:hideMark/>
          </w:tcPr>
          <w:p w14:paraId="63B4E686" w14:textId="77777777" w:rsidR="004C1FCE" w:rsidRPr="00AF4759" w:rsidRDefault="004C1FCE" w:rsidP="00781A6A">
            <w:pPr>
              <w:jc w:val="center"/>
              <w:rPr>
                <w:rFonts w:eastAsia="Times New Roman"/>
                <w:color w:val="000000"/>
                <w:sz w:val="20"/>
                <w:szCs w:val="20"/>
                <w:lang w:eastAsia="en-AU"/>
              </w:rPr>
            </w:pPr>
            <w:r w:rsidRPr="00AF4759">
              <w:rPr>
                <w:rFonts w:eastAsia="Times New Roman"/>
                <w:color w:val="000000"/>
                <w:sz w:val="20"/>
                <w:szCs w:val="20"/>
                <w:lang w:eastAsia="en-AU"/>
              </w:rPr>
              <w:t>2.32</w:t>
            </w:r>
          </w:p>
        </w:tc>
      </w:tr>
    </w:tbl>
    <w:p w14:paraId="4C10972B" w14:textId="77777777" w:rsidR="004C1FCE" w:rsidRPr="00AF4759" w:rsidRDefault="004C1FCE" w:rsidP="004C1FCE"/>
    <w:p w14:paraId="33841AB3" w14:textId="29B0B5C0" w:rsidR="004C1FCE" w:rsidRPr="00AF4759" w:rsidRDefault="004C1FCE" w:rsidP="004C1FCE">
      <w:pPr>
        <w:rPr>
          <w:b/>
        </w:rPr>
      </w:pPr>
      <w:r w:rsidRPr="00AF4759">
        <w:rPr>
          <w:b/>
        </w:rPr>
        <w:t xml:space="preserve">Table </w:t>
      </w:r>
      <w:r w:rsidR="001C440D">
        <w:rPr>
          <w:b/>
        </w:rPr>
        <w:t>S5</w:t>
      </w:r>
      <w:r w:rsidR="00CF6538" w:rsidRPr="00AF4759">
        <w:rPr>
          <w:b/>
        </w:rPr>
        <w:t>-</w:t>
      </w:r>
      <w:r w:rsidRPr="00AF4759">
        <w:rPr>
          <w:b/>
        </w:rPr>
        <w:t>4. Measured elemental concentrations obtained using ICP-MS/OES and a combination of GMBC and TSAC.</w:t>
      </w:r>
    </w:p>
    <w:p w14:paraId="639A36E4" w14:textId="4B42FC12" w:rsidR="004C1FCE" w:rsidRPr="00AF4759" w:rsidRDefault="004C1FCE" w:rsidP="00135774">
      <w:pPr>
        <w:spacing w:line="276" w:lineRule="auto"/>
        <w:jc w:val="both"/>
      </w:pPr>
    </w:p>
    <w:p w14:paraId="63CD1A19" w14:textId="4E6F2FEF" w:rsidR="004C1FCE" w:rsidRPr="00AF4759" w:rsidRDefault="004C1FCE" w:rsidP="00135774">
      <w:pPr>
        <w:spacing w:line="276" w:lineRule="auto"/>
        <w:jc w:val="both"/>
      </w:pPr>
    </w:p>
    <w:p w14:paraId="1A8ED186" w14:textId="7408B228" w:rsidR="004C1FCE" w:rsidRPr="00AF4759" w:rsidRDefault="004C1FCE" w:rsidP="00135774">
      <w:pPr>
        <w:spacing w:line="276" w:lineRule="auto"/>
        <w:jc w:val="both"/>
      </w:pPr>
    </w:p>
    <w:p w14:paraId="0CA79661" w14:textId="1440C5CE" w:rsidR="004C1FCE" w:rsidRPr="00AF4759" w:rsidRDefault="004C1FCE" w:rsidP="00135774">
      <w:pPr>
        <w:spacing w:line="276" w:lineRule="auto"/>
        <w:jc w:val="both"/>
      </w:pPr>
    </w:p>
    <w:p w14:paraId="13F13D04" w14:textId="28BE7961" w:rsidR="004C1FCE" w:rsidRPr="00AF4759" w:rsidRDefault="004C1FCE" w:rsidP="00135774">
      <w:pPr>
        <w:spacing w:line="276" w:lineRule="auto"/>
        <w:jc w:val="both"/>
      </w:pPr>
    </w:p>
    <w:p w14:paraId="3D2C421A" w14:textId="65F0C054" w:rsidR="004C1FCE" w:rsidRPr="00AF4759" w:rsidRDefault="004C1FCE" w:rsidP="00135774">
      <w:pPr>
        <w:spacing w:line="276" w:lineRule="auto"/>
        <w:jc w:val="both"/>
      </w:pPr>
    </w:p>
    <w:p w14:paraId="600F4209" w14:textId="44654636" w:rsidR="004C1FCE" w:rsidRPr="00AF4759" w:rsidRDefault="004C1FCE" w:rsidP="00135774">
      <w:pPr>
        <w:spacing w:line="276" w:lineRule="auto"/>
        <w:jc w:val="both"/>
      </w:pPr>
    </w:p>
    <w:p w14:paraId="14228EC3" w14:textId="0CCB9820" w:rsidR="004C1FCE" w:rsidRPr="00AF4759" w:rsidRDefault="004C1FCE" w:rsidP="00135774">
      <w:pPr>
        <w:spacing w:line="276" w:lineRule="auto"/>
        <w:jc w:val="both"/>
      </w:pPr>
    </w:p>
    <w:p w14:paraId="7997A976" w14:textId="4A4D09A7" w:rsidR="004C1FCE" w:rsidRPr="00AF4759" w:rsidRDefault="004C1FCE" w:rsidP="00135774">
      <w:pPr>
        <w:spacing w:line="276" w:lineRule="auto"/>
        <w:jc w:val="both"/>
      </w:pPr>
    </w:p>
    <w:p w14:paraId="08783A31" w14:textId="075D1A35" w:rsidR="004C1FCE" w:rsidRPr="00AF4759" w:rsidRDefault="004C1FCE" w:rsidP="00135774">
      <w:pPr>
        <w:spacing w:line="276" w:lineRule="auto"/>
        <w:jc w:val="both"/>
      </w:pPr>
    </w:p>
    <w:p w14:paraId="19C323C5" w14:textId="6E3FFF1A" w:rsidR="004C1FCE" w:rsidRPr="00AF4759" w:rsidRDefault="004C1FCE" w:rsidP="00135774">
      <w:pPr>
        <w:spacing w:line="276" w:lineRule="auto"/>
        <w:jc w:val="both"/>
      </w:pPr>
    </w:p>
    <w:p w14:paraId="282A6DAD" w14:textId="7EBE489B" w:rsidR="004C1FCE" w:rsidRPr="00AF4759" w:rsidRDefault="004C1FCE" w:rsidP="00135774">
      <w:pPr>
        <w:spacing w:line="276" w:lineRule="auto"/>
        <w:jc w:val="both"/>
      </w:pPr>
    </w:p>
    <w:p w14:paraId="64F45C71" w14:textId="0D8B37E4" w:rsidR="004C1FCE" w:rsidRPr="00AF4759" w:rsidRDefault="004C1FCE" w:rsidP="00135774">
      <w:pPr>
        <w:spacing w:line="276" w:lineRule="auto"/>
        <w:jc w:val="both"/>
      </w:pPr>
    </w:p>
    <w:p w14:paraId="30EBDB54" w14:textId="6349F384" w:rsidR="004C1FCE" w:rsidRPr="00AF4759" w:rsidRDefault="004C1FCE" w:rsidP="00135774">
      <w:pPr>
        <w:spacing w:line="276" w:lineRule="auto"/>
        <w:jc w:val="both"/>
      </w:pPr>
    </w:p>
    <w:p w14:paraId="270FEC2A" w14:textId="28E3DF9A" w:rsidR="004C1FCE" w:rsidRPr="00AF4759" w:rsidRDefault="004C1FCE" w:rsidP="00135774">
      <w:pPr>
        <w:spacing w:line="276" w:lineRule="auto"/>
        <w:jc w:val="both"/>
      </w:pPr>
    </w:p>
    <w:p w14:paraId="4905D057" w14:textId="7F1678B0" w:rsidR="004C1FCE" w:rsidRPr="00AF4759" w:rsidRDefault="004C1FCE" w:rsidP="00135774">
      <w:pPr>
        <w:spacing w:line="276" w:lineRule="auto"/>
        <w:jc w:val="both"/>
      </w:pPr>
    </w:p>
    <w:p w14:paraId="1C20E509" w14:textId="34FF4FBB" w:rsidR="004C1FCE" w:rsidRPr="00AF4759" w:rsidRDefault="004C1FCE" w:rsidP="00135774">
      <w:pPr>
        <w:spacing w:line="276" w:lineRule="auto"/>
        <w:jc w:val="both"/>
      </w:pPr>
    </w:p>
    <w:p w14:paraId="35B11C60" w14:textId="77777777" w:rsidR="004C1FCE" w:rsidRPr="00AF4759" w:rsidRDefault="004C1FCE" w:rsidP="00135774">
      <w:pPr>
        <w:spacing w:line="276" w:lineRule="auto"/>
        <w:jc w:val="both"/>
        <w:sectPr w:rsidR="004C1FCE" w:rsidRPr="00AF4759">
          <w:pgSz w:w="11906" w:h="16838"/>
          <w:pgMar w:top="1440" w:right="1440" w:bottom="1440" w:left="1440" w:header="708" w:footer="708" w:gutter="0"/>
          <w:cols w:space="708"/>
          <w:docGrid w:linePitch="360"/>
        </w:sectPr>
      </w:pPr>
    </w:p>
    <w:tbl>
      <w:tblPr>
        <w:tblpPr w:leftFromText="180" w:rightFromText="180" w:vertAnchor="page" w:horzAnchor="page" w:tblpX="556" w:tblpY="1606"/>
        <w:tblW w:w="15870" w:type="dxa"/>
        <w:tblLook w:val="04A0" w:firstRow="1" w:lastRow="0" w:firstColumn="1" w:lastColumn="0" w:noHBand="0" w:noVBand="1"/>
      </w:tblPr>
      <w:tblGrid>
        <w:gridCol w:w="1450"/>
        <w:gridCol w:w="1370"/>
        <w:gridCol w:w="1370"/>
        <w:gridCol w:w="1372"/>
        <w:gridCol w:w="1708"/>
        <w:gridCol w:w="1450"/>
        <w:gridCol w:w="1348"/>
        <w:gridCol w:w="1348"/>
        <w:gridCol w:w="1348"/>
        <w:gridCol w:w="1680"/>
        <w:gridCol w:w="1426"/>
      </w:tblGrid>
      <w:tr w:rsidR="002E43C3" w:rsidRPr="00AF4759" w14:paraId="26DA46E4" w14:textId="77777777" w:rsidTr="00696663">
        <w:trPr>
          <w:trHeight w:val="387"/>
        </w:trPr>
        <w:tc>
          <w:tcPr>
            <w:tcW w:w="145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7B6F2AB5" w14:textId="77777777" w:rsidR="002E43C3" w:rsidRPr="00AF4759" w:rsidRDefault="002E43C3" w:rsidP="00696663">
            <w:pPr>
              <w:jc w:val="center"/>
              <w:rPr>
                <w:rFonts w:eastAsia="Times New Roman"/>
                <w:b/>
                <w:bCs/>
                <w:color w:val="000000"/>
                <w:sz w:val="18"/>
                <w:szCs w:val="18"/>
                <w:lang w:eastAsia="en-AU"/>
              </w:rPr>
            </w:pPr>
            <w:r w:rsidRPr="00AF4759">
              <w:rPr>
                <w:rFonts w:eastAsia="Times New Roman"/>
                <w:b/>
                <w:bCs/>
                <w:color w:val="000000"/>
                <w:sz w:val="18"/>
                <w:szCs w:val="18"/>
                <w:lang w:eastAsia="en-AU"/>
              </w:rPr>
              <w:t xml:space="preserve">Sample </w:t>
            </w:r>
          </w:p>
          <w:p w14:paraId="72C6501F" w14:textId="7305C662" w:rsidR="002E43C3" w:rsidRPr="00AF4759" w:rsidRDefault="002E43C3" w:rsidP="00696663">
            <w:pPr>
              <w:jc w:val="center"/>
              <w:rPr>
                <w:rFonts w:eastAsia="Times New Roman"/>
                <w:b/>
                <w:bCs/>
                <w:color w:val="000000"/>
                <w:sz w:val="18"/>
                <w:szCs w:val="18"/>
                <w:lang w:eastAsia="en-AU"/>
              </w:rPr>
            </w:pPr>
            <w:r w:rsidRPr="00AF4759">
              <w:rPr>
                <w:rFonts w:eastAsia="Times New Roman"/>
                <w:b/>
                <w:bCs/>
                <w:color w:val="000000"/>
                <w:sz w:val="18"/>
                <w:szCs w:val="18"/>
                <w:lang w:eastAsia="en-AU"/>
              </w:rPr>
              <w:t>(</w:t>
            </w:r>
            <w:r w:rsidR="00923D79" w:rsidRPr="00AF4759">
              <w:rPr>
                <w:rFonts w:eastAsia="Times New Roman"/>
                <w:b/>
                <w:bCs/>
                <w:color w:val="000000"/>
                <w:sz w:val="18"/>
                <w:szCs w:val="18"/>
                <w:lang w:eastAsia="en-AU"/>
              </w:rPr>
              <w:t>CN)</w:t>
            </w:r>
          </w:p>
        </w:tc>
        <w:tc>
          <w:tcPr>
            <w:tcW w:w="7270"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3CFCA488" w14:textId="77777777" w:rsidR="002E43C3" w:rsidRPr="00AF4759" w:rsidRDefault="002E43C3" w:rsidP="00696663">
            <w:pPr>
              <w:jc w:val="center"/>
              <w:rPr>
                <w:rFonts w:eastAsia="Times New Roman"/>
                <w:b/>
                <w:bCs/>
                <w:color w:val="000000"/>
                <w:sz w:val="18"/>
                <w:szCs w:val="18"/>
                <w:lang w:eastAsia="en-AU"/>
              </w:rPr>
            </w:pPr>
            <w:r w:rsidRPr="00AF4759">
              <w:rPr>
                <w:rFonts w:eastAsia="Times New Roman"/>
                <w:b/>
                <w:bCs/>
                <w:color w:val="000000"/>
                <w:sz w:val="18"/>
                <w:szCs w:val="18"/>
                <w:lang w:eastAsia="en-AU"/>
              </w:rPr>
              <w:t>ICP-MS/OES</w:t>
            </w:r>
          </w:p>
        </w:tc>
        <w:tc>
          <w:tcPr>
            <w:tcW w:w="7150"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4340C534" w14:textId="77777777" w:rsidR="002E43C3" w:rsidRPr="00AF4759" w:rsidRDefault="002E43C3" w:rsidP="00696663">
            <w:pPr>
              <w:jc w:val="center"/>
              <w:rPr>
                <w:rFonts w:eastAsia="Times New Roman"/>
                <w:b/>
                <w:bCs/>
                <w:color w:val="000000"/>
                <w:sz w:val="18"/>
                <w:szCs w:val="18"/>
                <w:lang w:eastAsia="en-AU"/>
              </w:rPr>
            </w:pPr>
            <w:r w:rsidRPr="00AF4759">
              <w:rPr>
                <w:rFonts w:eastAsia="Times New Roman"/>
                <w:b/>
                <w:bCs/>
                <w:color w:val="000000"/>
                <w:sz w:val="18"/>
                <w:szCs w:val="18"/>
                <w:lang w:eastAsia="en-AU"/>
              </w:rPr>
              <w:t>GMBC + TSAC</w:t>
            </w:r>
          </w:p>
        </w:tc>
      </w:tr>
      <w:tr w:rsidR="002E43C3" w:rsidRPr="00AF4759" w14:paraId="18B8E6BC" w14:textId="77777777" w:rsidTr="00696663">
        <w:trPr>
          <w:trHeight w:val="290"/>
        </w:trPr>
        <w:tc>
          <w:tcPr>
            <w:tcW w:w="1450" w:type="dxa"/>
            <w:vMerge/>
            <w:tcBorders>
              <w:top w:val="single" w:sz="4" w:space="0" w:color="auto"/>
              <w:left w:val="single" w:sz="4" w:space="0" w:color="auto"/>
              <w:bottom w:val="single" w:sz="4" w:space="0" w:color="000000"/>
              <w:right w:val="single" w:sz="4" w:space="0" w:color="auto"/>
            </w:tcBorders>
            <w:vAlign w:val="center"/>
            <w:hideMark/>
          </w:tcPr>
          <w:p w14:paraId="1EDE5AFE" w14:textId="77777777" w:rsidR="002E43C3" w:rsidRPr="00AF4759" w:rsidRDefault="002E43C3" w:rsidP="00696663">
            <w:pPr>
              <w:rPr>
                <w:rFonts w:eastAsia="Times New Roman"/>
                <w:b/>
                <w:bCs/>
                <w:color w:val="000000"/>
                <w:sz w:val="18"/>
                <w:szCs w:val="18"/>
                <w:lang w:eastAsia="en-AU"/>
              </w:rPr>
            </w:pPr>
          </w:p>
        </w:tc>
        <w:tc>
          <w:tcPr>
            <w:tcW w:w="1370" w:type="dxa"/>
            <w:vMerge w:val="restart"/>
            <w:tcBorders>
              <w:top w:val="nil"/>
              <w:left w:val="nil"/>
              <w:bottom w:val="single" w:sz="4" w:space="0" w:color="000000"/>
              <w:right w:val="nil"/>
            </w:tcBorders>
            <w:shd w:val="clear" w:color="000000" w:fill="FFFFFF"/>
            <w:noWrap/>
            <w:vAlign w:val="center"/>
            <w:hideMark/>
          </w:tcPr>
          <w:p w14:paraId="535584A9" w14:textId="77777777" w:rsidR="002E43C3" w:rsidRPr="00AF4759" w:rsidRDefault="002E43C3" w:rsidP="00696663">
            <w:pPr>
              <w:jc w:val="center"/>
              <w:rPr>
                <w:rFonts w:eastAsia="Times New Roman"/>
                <w:b/>
                <w:bCs/>
                <w:color w:val="000000"/>
                <w:sz w:val="18"/>
                <w:szCs w:val="18"/>
                <w:lang w:eastAsia="en-AU"/>
              </w:rPr>
            </w:pPr>
            <w:r w:rsidRPr="00AF4759">
              <w:rPr>
                <w:rFonts w:eastAsia="Times New Roman"/>
                <w:b/>
                <w:bCs/>
                <w:color w:val="000000"/>
                <w:sz w:val="18"/>
                <w:szCs w:val="18"/>
                <w:lang w:eastAsia="en-AU"/>
              </w:rPr>
              <w:t>β Dr (</w:t>
            </w:r>
            <w:proofErr w:type="spellStart"/>
            <w:r w:rsidRPr="00AF4759">
              <w:rPr>
                <w:rFonts w:eastAsia="Times New Roman"/>
                <w:b/>
                <w:bCs/>
                <w:color w:val="000000"/>
                <w:sz w:val="18"/>
                <w:szCs w:val="18"/>
                <w:lang w:eastAsia="en-AU"/>
              </w:rPr>
              <w:t>Gy</w:t>
            </w:r>
            <w:proofErr w:type="spellEnd"/>
            <w:r w:rsidRPr="00AF4759">
              <w:rPr>
                <w:rFonts w:eastAsia="Times New Roman"/>
                <w:b/>
                <w:bCs/>
                <w:color w:val="000000"/>
                <w:sz w:val="18"/>
                <w:szCs w:val="18"/>
                <w:lang w:eastAsia="en-AU"/>
              </w:rPr>
              <w:t>/ka)</w:t>
            </w:r>
          </w:p>
        </w:tc>
        <w:tc>
          <w:tcPr>
            <w:tcW w:w="2742" w:type="dxa"/>
            <w:gridSpan w:val="2"/>
            <w:tcBorders>
              <w:top w:val="nil"/>
              <w:left w:val="nil"/>
              <w:bottom w:val="single" w:sz="4" w:space="0" w:color="auto"/>
              <w:right w:val="nil"/>
            </w:tcBorders>
            <w:shd w:val="clear" w:color="000000" w:fill="FFFFFF"/>
            <w:noWrap/>
            <w:vAlign w:val="center"/>
            <w:hideMark/>
          </w:tcPr>
          <w:p w14:paraId="12CF1EB0" w14:textId="77777777" w:rsidR="002E43C3" w:rsidRPr="00AF4759" w:rsidRDefault="002E43C3" w:rsidP="00696663">
            <w:pPr>
              <w:jc w:val="center"/>
              <w:rPr>
                <w:rFonts w:eastAsia="Times New Roman"/>
                <w:b/>
                <w:bCs/>
                <w:color w:val="000000"/>
                <w:sz w:val="18"/>
                <w:szCs w:val="18"/>
                <w:lang w:eastAsia="en-AU"/>
              </w:rPr>
            </w:pPr>
            <w:r w:rsidRPr="00AF4759">
              <w:rPr>
                <w:rFonts w:eastAsia="Times New Roman"/>
                <w:b/>
                <w:bCs/>
                <w:color w:val="000000"/>
                <w:sz w:val="18"/>
                <w:szCs w:val="18"/>
                <w:lang w:eastAsia="en-AU"/>
              </w:rPr>
              <w:t>γ Dr (</w:t>
            </w:r>
            <w:proofErr w:type="spellStart"/>
            <w:r w:rsidRPr="00AF4759">
              <w:rPr>
                <w:rFonts w:eastAsia="Times New Roman"/>
                <w:b/>
                <w:bCs/>
                <w:color w:val="000000"/>
                <w:sz w:val="18"/>
                <w:szCs w:val="18"/>
                <w:lang w:eastAsia="en-AU"/>
              </w:rPr>
              <w:t>Gy</w:t>
            </w:r>
            <w:proofErr w:type="spellEnd"/>
            <w:r w:rsidRPr="00AF4759">
              <w:rPr>
                <w:rFonts w:eastAsia="Times New Roman"/>
                <w:b/>
                <w:bCs/>
                <w:color w:val="000000"/>
                <w:sz w:val="18"/>
                <w:szCs w:val="18"/>
                <w:lang w:eastAsia="en-AU"/>
              </w:rPr>
              <w:t>/ka)</w:t>
            </w:r>
          </w:p>
        </w:tc>
        <w:tc>
          <w:tcPr>
            <w:tcW w:w="3158" w:type="dxa"/>
            <w:gridSpan w:val="2"/>
            <w:tcBorders>
              <w:top w:val="nil"/>
              <w:left w:val="nil"/>
              <w:bottom w:val="single" w:sz="4" w:space="0" w:color="auto"/>
              <w:right w:val="single" w:sz="4" w:space="0" w:color="auto"/>
            </w:tcBorders>
            <w:shd w:val="clear" w:color="000000" w:fill="FFFFFF"/>
            <w:noWrap/>
            <w:vAlign w:val="center"/>
            <w:hideMark/>
          </w:tcPr>
          <w:p w14:paraId="2ED910DE" w14:textId="77777777" w:rsidR="002E43C3" w:rsidRPr="00AF4759" w:rsidRDefault="002E43C3" w:rsidP="00696663">
            <w:pPr>
              <w:jc w:val="center"/>
              <w:rPr>
                <w:rFonts w:eastAsia="Times New Roman"/>
                <w:b/>
                <w:bCs/>
                <w:color w:val="000000"/>
                <w:sz w:val="18"/>
                <w:szCs w:val="18"/>
                <w:lang w:eastAsia="en-AU"/>
              </w:rPr>
            </w:pPr>
            <w:r w:rsidRPr="00AF4759">
              <w:rPr>
                <w:rFonts w:eastAsia="Times New Roman"/>
                <w:b/>
                <w:bCs/>
                <w:color w:val="000000"/>
                <w:sz w:val="18"/>
                <w:szCs w:val="18"/>
                <w:lang w:eastAsia="en-AU"/>
              </w:rPr>
              <w:t>Age (ka)</w:t>
            </w:r>
          </w:p>
        </w:tc>
        <w:tc>
          <w:tcPr>
            <w:tcW w:w="1348" w:type="dxa"/>
            <w:vMerge w:val="restart"/>
            <w:tcBorders>
              <w:top w:val="nil"/>
              <w:left w:val="single" w:sz="4" w:space="0" w:color="auto"/>
              <w:bottom w:val="single" w:sz="4" w:space="0" w:color="000000"/>
              <w:right w:val="nil"/>
            </w:tcBorders>
            <w:shd w:val="clear" w:color="000000" w:fill="FFFFFF"/>
            <w:noWrap/>
            <w:vAlign w:val="center"/>
            <w:hideMark/>
          </w:tcPr>
          <w:p w14:paraId="5868E0B3" w14:textId="77777777" w:rsidR="002E43C3" w:rsidRPr="00AF4759" w:rsidRDefault="002E43C3" w:rsidP="00696663">
            <w:pPr>
              <w:jc w:val="center"/>
              <w:rPr>
                <w:rFonts w:eastAsia="Times New Roman"/>
                <w:b/>
                <w:bCs/>
                <w:color w:val="000000"/>
                <w:sz w:val="18"/>
                <w:szCs w:val="18"/>
                <w:lang w:eastAsia="en-AU"/>
              </w:rPr>
            </w:pPr>
            <w:r w:rsidRPr="00AF4759">
              <w:rPr>
                <w:rFonts w:eastAsia="Times New Roman"/>
                <w:b/>
                <w:bCs/>
                <w:color w:val="000000"/>
                <w:sz w:val="18"/>
                <w:szCs w:val="18"/>
                <w:lang w:eastAsia="en-AU"/>
              </w:rPr>
              <w:t>β Dr (</w:t>
            </w:r>
            <w:proofErr w:type="spellStart"/>
            <w:r w:rsidRPr="00AF4759">
              <w:rPr>
                <w:rFonts w:eastAsia="Times New Roman"/>
                <w:b/>
                <w:bCs/>
                <w:color w:val="000000"/>
                <w:sz w:val="18"/>
                <w:szCs w:val="18"/>
                <w:lang w:eastAsia="en-AU"/>
              </w:rPr>
              <w:t>Gy</w:t>
            </w:r>
            <w:proofErr w:type="spellEnd"/>
            <w:r w:rsidRPr="00AF4759">
              <w:rPr>
                <w:rFonts w:eastAsia="Times New Roman"/>
                <w:b/>
                <w:bCs/>
                <w:color w:val="000000"/>
                <w:sz w:val="18"/>
                <w:szCs w:val="18"/>
                <w:lang w:eastAsia="en-AU"/>
              </w:rPr>
              <w:t>/ka)</w:t>
            </w:r>
          </w:p>
        </w:tc>
        <w:tc>
          <w:tcPr>
            <w:tcW w:w="2696" w:type="dxa"/>
            <w:gridSpan w:val="2"/>
            <w:tcBorders>
              <w:top w:val="nil"/>
              <w:left w:val="nil"/>
              <w:bottom w:val="single" w:sz="4" w:space="0" w:color="auto"/>
              <w:right w:val="nil"/>
            </w:tcBorders>
            <w:shd w:val="clear" w:color="000000" w:fill="FFFFFF"/>
            <w:noWrap/>
            <w:vAlign w:val="center"/>
            <w:hideMark/>
          </w:tcPr>
          <w:p w14:paraId="4A811AE1" w14:textId="77777777" w:rsidR="002E43C3" w:rsidRPr="00AF4759" w:rsidRDefault="002E43C3" w:rsidP="00696663">
            <w:pPr>
              <w:jc w:val="center"/>
              <w:rPr>
                <w:rFonts w:eastAsia="Times New Roman"/>
                <w:b/>
                <w:bCs/>
                <w:color w:val="000000"/>
                <w:sz w:val="18"/>
                <w:szCs w:val="18"/>
                <w:lang w:eastAsia="en-AU"/>
              </w:rPr>
            </w:pPr>
            <w:r w:rsidRPr="00AF4759">
              <w:rPr>
                <w:rFonts w:eastAsia="Times New Roman"/>
                <w:b/>
                <w:bCs/>
                <w:color w:val="000000"/>
                <w:sz w:val="18"/>
                <w:szCs w:val="18"/>
                <w:lang w:eastAsia="en-AU"/>
              </w:rPr>
              <w:t>γ Dr (</w:t>
            </w:r>
            <w:proofErr w:type="spellStart"/>
            <w:r w:rsidRPr="00AF4759">
              <w:rPr>
                <w:rFonts w:eastAsia="Times New Roman"/>
                <w:b/>
                <w:bCs/>
                <w:color w:val="000000"/>
                <w:sz w:val="18"/>
                <w:szCs w:val="18"/>
                <w:lang w:eastAsia="en-AU"/>
              </w:rPr>
              <w:t>Gy</w:t>
            </w:r>
            <w:proofErr w:type="spellEnd"/>
            <w:r w:rsidRPr="00AF4759">
              <w:rPr>
                <w:rFonts w:eastAsia="Times New Roman"/>
                <w:b/>
                <w:bCs/>
                <w:color w:val="000000"/>
                <w:sz w:val="18"/>
                <w:szCs w:val="18"/>
                <w:lang w:eastAsia="en-AU"/>
              </w:rPr>
              <w:t>/ka)</w:t>
            </w:r>
          </w:p>
        </w:tc>
        <w:tc>
          <w:tcPr>
            <w:tcW w:w="3106" w:type="dxa"/>
            <w:gridSpan w:val="2"/>
            <w:tcBorders>
              <w:top w:val="nil"/>
              <w:left w:val="nil"/>
              <w:bottom w:val="single" w:sz="4" w:space="0" w:color="auto"/>
              <w:right w:val="single" w:sz="4" w:space="0" w:color="000000"/>
            </w:tcBorders>
            <w:shd w:val="clear" w:color="000000" w:fill="FFFFFF"/>
            <w:noWrap/>
            <w:vAlign w:val="center"/>
            <w:hideMark/>
          </w:tcPr>
          <w:p w14:paraId="55F0FA23" w14:textId="77777777" w:rsidR="002E43C3" w:rsidRPr="00AF4759" w:rsidRDefault="002E43C3" w:rsidP="00696663">
            <w:pPr>
              <w:jc w:val="center"/>
              <w:rPr>
                <w:rFonts w:eastAsia="Times New Roman"/>
                <w:b/>
                <w:bCs/>
                <w:color w:val="000000"/>
                <w:sz w:val="18"/>
                <w:szCs w:val="18"/>
                <w:lang w:eastAsia="en-AU"/>
              </w:rPr>
            </w:pPr>
            <w:r w:rsidRPr="00AF4759">
              <w:rPr>
                <w:rFonts w:eastAsia="Times New Roman"/>
                <w:b/>
                <w:bCs/>
                <w:color w:val="000000"/>
                <w:sz w:val="18"/>
                <w:szCs w:val="18"/>
                <w:lang w:eastAsia="en-AU"/>
              </w:rPr>
              <w:t>Age (ka)</w:t>
            </w:r>
          </w:p>
        </w:tc>
      </w:tr>
      <w:tr w:rsidR="002E43C3" w:rsidRPr="00AF4759" w14:paraId="503D206E" w14:textId="77777777" w:rsidTr="00696663">
        <w:trPr>
          <w:trHeight w:val="290"/>
        </w:trPr>
        <w:tc>
          <w:tcPr>
            <w:tcW w:w="1450" w:type="dxa"/>
            <w:vMerge/>
            <w:tcBorders>
              <w:top w:val="single" w:sz="4" w:space="0" w:color="auto"/>
              <w:left w:val="single" w:sz="4" w:space="0" w:color="auto"/>
              <w:bottom w:val="single" w:sz="4" w:space="0" w:color="000000"/>
              <w:right w:val="single" w:sz="4" w:space="0" w:color="auto"/>
            </w:tcBorders>
            <w:vAlign w:val="center"/>
            <w:hideMark/>
          </w:tcPr>
          <w:p w14:paraId="087881DB" w14:textId="77777777" w:rsidR="002E43C3" w:rsidRPr="00AF4759" w:rsidRDefault="002E43C3" w:rsidP="00696663">
            <w:pPr>
              <w:rPr>
                <w:rFonts w:eastAsia="Times New Roman"/>
                <w:b/>
                <w:bCs/>
                <w:color w:val="000000"/>
                <w:sz w:val="18"/>
                <w:szCs w:val="18"/>
                <w:lang w:eastAsia="en-AU"/>
              </w:rPr>
            </w:pPr>
          </w:p>
        </w:tc>
        <w:tc>
          <w:tcPr>
            <w:tcW w:w="1370" w:type="dxa"/>
            <w:vMerge/>
            <w:tcBorders>
              <w:top w:val="nil"/>
              <w:left w:val="nil"/>
              <w:bottom w:val="single" w:sz="4" w:space="0" w:color="000000"/>
              <w:right w:val="nil"/>
            </w:tcBorders>
            <w:vAlign w:val="center"/>
            <w:hideMark/>
          </w:tcPr>
          <w:p w14:paraId="121A73F2" w14:textId="77777777" w:rsidR="002E43C3" w:rsidRPr="00AF4759" w:rsidRDefault="002E43C3" w:rsidP="00696663">
            <w:pPr>
              <w:rPr>
                <w:rFonts w:eastAsia="Times New Roman"/>
                <w:b/>
                <w:bCs/>
                <w:color w:val="000000"/>
                <w:sz w:val="18"/>
                <w:szCs w:val="18"/>
                <w:lang w:eastAsia="en-AU"/>
              </w:rPr>
            </w:pPr>
          </w:p>
        </w:tc>
        <w:tc>
          <w:tcPr>
            <w:tcW w:w="1370" w:type="dxa"/>
            <w:tcBorders>
              <w:top w:val="nil"/>
              <w:left w:val="nil"/>
              <w:bottom w:val="single" w:sz="4" w:space="0" w:color="auto"/>
              <w:right w:val="nil"/>
            </w:tcBorders>
            <w:shd w:val="clear" w:color="000000" w:fill="FFFFFF"/>
            <w:noWrap/>
            <w:vAlign w:val="center"/>
            <w:hideMark/>
          </w:tcPr>
          <w:p w14:paraId="1BDEC609" w14:textId="77777777" w:rsidR="002E43C3" w:rsidRPr="00AF4759" w:rsidRDefault="002E43C3" w:rsidP="00696663">
            <w:pPr>
              <w:jc w:val="center"/>
              <w:rPr>
                <w:rFonts w:eastAsia="Times New Roman"/>
                <w:b/>
                <w:bCs/>
                <w:color w:val="000000"/>
                <w:sz w:val="18"/>
                <w:szCs w:val="18"/>
                <w:lang w:eastAsia="en-AU"/>
              </w:rPr>
            </w:pPr>
            <w:proofErr w:type="spellStart"/>
            <w:r w:rsidRPr="00AF4759">
              <w:rPr>
                <w:rFonts w:eastAsia="Times New Roman"/>
                <w:b/>
                <w:bCs/>
                <w:color w:val="000000"/>
                <w:sz w:val="18"/>
                <w:szCs w:val="18"/>
                <w:lang w:eastAsia="en-AU"/>
              </w:rPr>
              <w:t>Unmodelled</w:t>
            </w:r>
            <w:proofErr w:type="spellEnd"/>
          </w:p>
        </w:tc>
        <w:tc>
          <w:tcPr>
            <w:tcW w:w="1372" w:type="dxa"/>
            <w:tcBorders>
              <w:top w:val="nil"/>
              <w:left w:val="nil"/>
              <w:bottom w:val="single" w:sz="4" w:space="0" w:color="auto"/>
              <w:right w:val="nil"/>
            </w:tcBorders>
            <w:shd w:val="clear" w:color="000000" w:fill="FFFFFF"/>
            <w:noWrap/>
            <w:vAlign w:val="center"/>
            <w:hideMark/>
          </w:tcPr>
          <w:p w14:paraId="4C6006CF" w14:textId="77777777" w:rsidR="002E43C3" w:rsidRPr="00AF4759" w:rsidRDefault="002E43C3" w:rsidP="00696663">
            <w:pPr>
              <w:jc w:val="center"/>
              <w:rPr>
                <w:rFonts w:eastAsia="Times New Roman"/>
                <w:b/>
                <w:bCs/>
                <w:color w:val="000000"/>
                <w:sz w:val="18"/>
                <w:szCs w:val="18"/>
                <w:lang w:eastAsia="en-AU"/>
              </w:rPr>
            </w:pPr>
            <w:r w:rsidRPr="00AF4759">
              <w:rPr>
                <w:rFonts w:eastAsia="Times New Roman"/>
                <w:b/>
                <w:bCs/>
                <w:color w:val="000000"/>
                <w:sz w:val="18"/>
                <w:szCs w:val="18"/>
                <w:lang w:eastAsia="en-AU"/>
              </w:rPr>
              <w:t>Modelled</w:t>
            </w:r>
          </w:p>
        </w:tc>
        <w:tc>
          <w:tcPr>
            <w:tcW w:w="1708" w:type="dxa"/>
            <w:tcBorders>
              <w:top w:val="nil"/>
              <w:left w:val="nil"/>
              <w:bottom w:val="single" w:sz="4" w:space="0" w:color="auto"/>
              <w:right w:val="nil"/>
            </w:tcBorders>
            <w:shd w:val="clear" w:color="000000" w:fill="FFFFFF"/>
            <w:noWrap/>
            <w:vAlign w:val="center"/>
            <w:hideMark/>
          </w:tcPr>
          <w:p w14:paraId="1AF20E3D" w14:textId="77777777" w:rsidR="002E43C3" w:rsidRPr="00AF4759" w:rsidRDefault="002E43C3" w:rsidP="00696663">
            <w:pPr>
              <w:jc w:val="center"/>
              <w:rPr>
                <w:rFonts w:eastAsia="Times New Roman"/>
                <w:b/>
                <w:bCs/>
                <w:color w:val="000000"/>
                <w:sz w:val="18"/>
                <w:szCs w:val="18"/>
                <w:lang w:eastAsia="en-AU"/>
              </w:rPr>
            </w:pPr>
            <w:r w:rsidRPr="00AF4759">
              <w:rPr>
                <w:rFonts w:eastAsia="Times New Roman"/>
                <w:b/>
                <w:bCs/>
                <w:color w:val="000000"/>
                <w:sz w:val="18"/>
                <w:szCs w:val="18"/>
                <w:lang w:eastAsia="en-AU"/>
              </w:rPr>
              <w:t xml:space="preserve">γ Dr </w:t>
            </w:r>
            <w:proofErr w:type="spellStart"/>
            <w:r w:rsidRPr="00AF4759">
              <w:rPr>
                <w:rFonts w:eastAsia="Times New Roman"/>
                <w:b/>
                <w:bCs/>
                <w:color w:val="000000"/>
                <w:sz w:val="18"/>
                <w:szCs w:val="18"/>
                <w:lang w:eastAsia="en-AU"/>
              </w:rPr>
              <w:t>unmodelled</w:t>
            </w:r>
            <w:proofErr w:type="spellEnd"/>
          </w:p>
        </w:tc>
        <w:tc>
          <w:tcPr>
            <w:tcW w:w="1450" w:type="dxa"/>
            <w:tcBorders>
              <w:top w:val="nil"/>
              <w:left w:val="nil"/>
              <w:bottom w:val="single" w:sz="4" w:space="0" w:color="auto"/>
              <w:right w:val="single" w:sz="4" w:space="0" w:color="auto"/>
            </w:tcBorders>
            <w:shd w:val="clear" w:color="000000" w:fill="FFFFFF"/>
            <w:noWrap/>
            <w:vAlign w:val="center"/>
            <w:hideMark/>
          </w:tcPr>
          <w:p w14:paraId="5319083C" w14:textId="77777777" w:rsidR="002E43C3" w:rsidRPr="00AF4759" w:rsidRDefault="002E43C3" w:rsidP="00696663">
            <w:pPr>
              <w:jc w:val="center"/>
              <w:rPr>
                <w:rFonts w:eastAsia="Times New Roman"/>
                <w:b/>
                <w:bCs/>
                <w:color w:val="000000"/>
                <w:sz w:val="18"/>
                <w:szCs w:val="18"/>
                <w:lang w:eastAsia="en-AU"/>
              </w:rPr>
            </w:pPr>
            <w:r w:rsidRPr="00AF4759">
              <w:rPr>
                <w:rFonts w:eastAsia="Times New Roman"/>
                <w:b/>
                <w:bCs/>
                <w:color w:val="000000"/>
                <w:sz w:val="18"/>
                <w:szCs w:val="18"/>
                <w:lang w:eastAsia="en-AU"/>
              </w:rPr>
              <w:t>γ Dr modelled</w:t>
            </w:r>
          </w:p>
        </w:tc>
        <w:tc>
          <w:tcPr>
            <w:tcW w:w="1348" w:type="dxa"/>
            <w:vMerge/>
            <w:tcBorders>
              <w:top w:val="nil"/>
              <w:left w:val="nil"/>
              <w:bottom w:val="single" w:sz="4" w:space="0" w:color="000000"/>
              <w:right w:val="nil"/>
            </w:tcBorders>
            <w:vAlign w:val="center"/>
            <w:hideMark/>
          </w:tcPr>
          <w:p w14:paraId="025DC9FB" w14:textId="77777777" w:rsidR="002E43C3" w:rsidRPr="00AF4759" w:rsidRDefault="002E43C3" w:rsidP="00696663">
            <w:pPr>
              <w:rPr>
                <w:rFonts w:eastAsia="Times New Roman"/>
                <w:b/>
                <w:bCs/>
                <w:color w:val="000000"/>
                <w:sz w:val="18"/>
                <w:szCs w:val="18"/>
                <w:lang w:eastAsia="en-AU"/>
              </w:rPr>
            </w:pPr>
          </w:p>
        </w:tc>
        <w:tc>
          <w:tcPr>
            <w:tcW w:w="1348" w:type="dxa"/>
            <w:tcBorders>
              <w:top w:val="nil"/>
              <w:left w:val="nil"/>
              <w:bottom w:val="single" w:sz="4" w:space="0" w:color="auto"/>
              <w:right w:val="nil"/>
            </w:tcBorders>
            <w:shd w:val="clear" w:color="000000" w:fill="FFFFFF"/>
            <w:noWrap/>
            <w:vAlign w:val="center"/>
            <w:hideMark/>
          </w:tcPr>
          <w:p w14:paraId="631A500A" w14:textId="77777777" w:rsidR="002E43C3" w:rsidRPr="00AF4759" w:rsidRDefault="002E43C3" w:rsidP="00696663">
            <w:pPr>
              <w:jc w:val="center"/>
              <w:rPr>
                <w:rFonts w:eastAsia="Times New Roman"/>
                <w:b/>
                <w:bCs/>
                <w:color w:val="000000"/>
                <w:sz w:val="18"/>
                <w:szCs w:val="18"/>
                <w:lang w:eastAsia="en-AU"/>
              </w:rPr>
            </w:pPr>
            <w:proofErr w:type="spellStart"/>
            <w:r w:rsidRPr="00AF4759">
              <w:rPr>
                <w:rFonts w:eastAsia="Times New Roman"/>
                <w:b/>
                <w:bCs/>
                <w:color w:val="000000"/>
                <w:sz w:val="18"/>
                <w:szCs w:val="18"/>
                <w:lang w:eastAsia="en-AU"/>
              </w:rPr>
              <w:t>Unmodelled</w:t>
            </w:r>
            <w:proofErr w:type="spellEnd"/>
          </w:p>
        </w:tc>
        <w:tc>
          <w:tcPr>
            <w:tcW w:w="1348" w:type="dxa"/>
            <w:tcBorders>
              <w:top w:val="nil"/>
              <w:left w:val="nil"/>
              <w:bottom w:val="single" w:sz="4" w:space="0" w:color="auto"/>
              <w:right w:val="nil"/>
            </w:tcBorders>
            <w:shd w:val="clear" w:color="000000" w:fill="FFFFFF"/>
            <w:noWrap/>
            <w:vAlign w:val="center"/>
            <w:hideMark/>
          </w:tcPr>
          <w:p w14:paraId="037D6FC6" w14:textId="77777777" w:rsidR="002E43C3" w:rsidRPr="00AF4759" w:rsidRDefault="002E43C3" w:rsidP="00696663">
            <w:pPr>
              <w:jc w:val="center"/>
              <w:rPr>
                <w:rFonts w:eastAsia="Times New Roman"/>
                <w:b/>
                <w:bCs/>
                <w:color w:val="000000"/>
                <w:sz w:val="18"/>
                <w:szCs w:val="18"/>
                <w:lang w:eastAsia="en-AU"/>
              </w:rPr>
            </w:pPr>
            <w:r w:rsidRPr="00AF4759">
              <w:rPr>
                <w:rFonts w:eastAsia="Times New Roman"/>
                <w:b/>
                <w:bCs/>
                <w:color w:val="000000"/>
                <w:sz w:val="18"/>
                <w:szCs w:val="18"/>
                <w:lang w:eastAsia="en-AU"/>
              </w:rPr>
              <w:t>Modelled</w:t>
            </w:r>
          </w:p>
        </w:tc>
        <w:tc>
          <w:tcPr>
            <w:tcW w:w="1680" w:type="dxa"/>
            <w:tcBorders>
              <w:top w:val="nil"/>
              <w:left w:val="nil"/>
              <w:bottom w:val="single" w:sz="4" w:space="0" w:color="auto"/>
              <w:right w:val="nil"/>
            </w:tcBorders>
            <w:shd w:val="clear" w:color="000000" w:fill="FFFFFF"/>
            <w:noWrap/>
            <w:vAlign w:val="center"/>
            <w:hideMark/>
          </w:tcPr>
          <w:p w14:paraId="7E35A4C4" w14:textId="77777777" w:rsidR="002E43C3" w:rsidRPr="00AF4759" w:rsidRDefault="002E43C3" w:rsidP="00696663">
            <w:pPr>
              <w:jc w:val="center"/>
              <w:rPr>
                <w:rFonts w:eastAsia="Times New Roman"/>
                <w:b/>
                <w:bCs/>
                <w:color w:val="000000"/>
                <w:sz w:val="18"/>
                <w:szCs w:val="18"/>
                <w:lang w:eastAsia="en-AU"/>
              </w:rPr>
            </w:pPr>
            <w:r w:rsidRPr="00AF4759">
              <w:rPr>
                <w:rFonts w:eastAsia="Times New Roman"/>
                <w:b/>
                <w:bCs/>
                <w:color w:val="000000"/>
                <w:sz w:val="18"/>
                <w:szCs w:val="18"/>
                <w:lang w:eastAsia="en-AU"/>
              </w:rPr>
              <w:t xml:space="preserve">γ Dr </w:t>
            </w:r>
            <w:proofErr w:type="spellStart"/>
            <w:r w:rsidRPr="00AF4759">
              <w:rPr>
                <w:rFonts w:eastAsia="Times New Roman"/>
                <w:b/>
                <w:bCs/>
                <w:color w:val="000000"/>
                <w:sz w:val="18"/>
                <w:szCs w:val="18"/>
                <w:lang w:eastAsia="en-AU"/>
              </w:rPr>
              <w:t>unmodelled</w:t>
            </w:r>
            <w:proofErr w:type="spellEnd"/>
          </w:p>
        </w:tc>
        <w:tc>
          <w:tcPr>
            <w:tcW w:w="1426" w:type="dxa"/>
            <w:tcBorders>
              <w:top w:val="nil"/>
              <w:left w:val="nil"/>
              <w:bottom w:val="single" w:sz="4" w:space="0" w:color="auto"/>
              <w:right w:val="single" w:sz="4" w:space="0" w:color="auto"/>
            </w:tcBorders>
            <w:shd w:val="clear" w:color="000000" w:fill="FFFFFF"/>
            <w:noWrap/>
            <w:vAlign w:val="center"/>
            <w:hideMark/>
          </w:tcPr>
          <w:p w14:paraId="6AFEE8FD" w14:textId="77777777" w:rsidR="002E43C3" w:rsidRPr="00AF4759" w:rsidRDefault="002E43C3" w:rsidP="00696663">
            <w:pPr>
              <w:jc w:val="center"/>
              <w:rPr>
                <w:rFonts w:eastAsia="Times New Roman"/>
                <w:b/>
                <w:bCs/>
                <w:color w:val="000000"/>
                <w:sz w:val="18"/>
                <w:szCs w:val="18"/>
                <w:lang w:eastAsia="en-AU"/>
              </w:rPr>
            </w:pPr>
            <w:r w:rsidRPr="00AF4759">
              <w:rPr>
                <w:rFonts w:eastAsia="Times New Roman"/>
                <w:b/>
                <w:bCs/>
                <w:color w:val="000000"/>
                <w:sz w:val="18"/>
                <w:szCs w:val="18"/>
                <w:lang w:eastAsia="en-AU"/>
              </w:rPr>
              <w:t>γ Dr modelled</w:t>
            </w:r>
          </w:p>
        </w:tc>
      </w:tr>
      <w:tr w:rsidR="002E43C3" w:rsidRPr="00AF4759" w14:paraId="6FE5CC07" w14:textId="77777777" w:rsidTr="00696663">
        <w:trPr>
          <w:trHeight w:val="290"/>
        </w:trPr>
        <w:tc>
          <w:tcPr>
            <w:tcW w:w="1450" w:type="dxa"/>
            <w:tcBorders>
              <w:top w:val="nil"/>
              <w:left w:val="single" w:sz="4" w:space="0" w:color="auto"/>
              <w:bottom w:val="single" w:sz="4" w:space="0" w:color="auto"/>
              <w:right w:val="single" w:sz="4" w:space="0" w:color="auto"/>
            </w:tcBorders>
            <w:shd w:val="clear" w:color="000000" w:fill="FFFFFF"/>
            <w:noWrap/>
            <w:vAlign w:val="center"/>
            <w:hideMark/>
          </w:tcPr>
          <w:p w14:paraId="5411F2CD"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311</w:t>
            </w:r>
          </w:p>
        </w:tc>
        <w:tc>
          <w:tcPr>
            <w:tcW w:w="1370" w:type="dxa"/>
            <w:tcBorders>
              <w:top w:val="nil"/>
              <w:left w:val="nil"/>
              <w:bottom w:val="single" w:sz="4" w:space="0" w:color="auto"/>
              <w:right w:val="nil"/>
            </w:tcBorders>
            <w:shd w:val="clear" w:color="000000" w:fill="FFFFFF"/>
            <w:noWrap/>
            <w:vAlign w:val="center"/>
            <w:hideMark/>
          </w:tcPr>
          <w:p w14:paraId="4F9C9051"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0.397 ± 0.024</w:t>
            </w:r>
          </w:p>
        </w:tc>
        <w:tc>
          <w:tcPr>
            <w:tcW w:w="1370" w:type="dxa"/>
            <w:tcBorders>
              <w:top w:val="nil"/>
              <w:left w:val="nil"/>
              <w:bottom w:val="single" w:sz="4" w:space="0" w:color="auto"/>
              <w:right w:val="nil"/>
            </w:tcBorders>
            <w:shd w:val="clear" w:color="000000" w:fill="FFFFFF"/>
            <w:noWrap/>
            <w:vAlign w:val="center"/>
            <w:hideMark/>
          </w:tcPr>
          <w:p w14:paraId="44595834"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0.319 ± 0.020</w:t>
            </w:r>
          </w:p>
        </w:tc>
        <w:tc>
          <w:tcPr>
            <w:tcW w:w="1372" w:type="dxa"/>
            <w:tcBorders>
              <w:top w:val="nil"/>
              <w:left w:val="nil"/>
              <w:bottom w:val="single" w:sz="4" w:space="0" w:color="auto"/>
              <w:right w:val="nil"/>
            </w:tcBorders>
            <w:shd w:val="clear" w:color="000000" w:fill="FFFFFF"/>
            <w:noWrap/>
            <w:vAlign w:val="center"/>
            <w:hideMark/>
          </w:tcPr>
          <w:p w14:paraId="3299A87F"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0.429 ± 0.021</w:t>
            </w:r>
          </w:p>
        </w:tc>
        <w:tc>
          <w:tcPr>
            <w:tcW w:w="1708" w:type="dxa"/>
            <w:tcBorders>
              <w:top w:val="nil"/>
              <w:left w:val="nil"/>
              <w:bottom w:val="single" w:sz="4" w:space="0" w:color="auto"/>
              <w:right w:val="nil"/>
            </w:tcBorders>
            <w:shd w:val="clear" w:color="000000" w:fill="FFFFFF"/>
            <w:noWrap/>
            <w:vAlign w:val="center"/>
            <w:hideMark/>
          </w:tcPr>
          <w:p w14:paraId="4BE1CF4D"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15.2 ± 0.9</w:t>
            </w:r>
          </w:p>
        </w:tc>
        <w:tc>
          <w:tcPr>
            <w:tcW w:w="1450" w:type="dxa"/>
            <w:tcBorders>
              <w:top w:val="nil"/>
              <w:left w:val="nil"/>
              <w:bottom w:val="single" w:sz="4" w:space="0" w:color="auto"/>
              <w:right w:val="single" w:sz="4" w:space="0" w:color="auto"/>
            </w:tcBorders>
            <w:shd w:val="clear" w:color="000000" w:fill="FFFFFF"/>
            <w:noWrap/>
            <w:vAlign w:val="center"/>
            <w:hideMark/>
          </w:tcPr>
          <w:p w14:paraId="30DA9B89"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13.3 ± 0.7</w:t>
            </w:r>
          </w:p>
        </w:tc>
        <w:tc>
          <w:tcPr>
            <w:tcW w:w="1348" w:type="dxa"/>
            <w:tcBorders>
              <w:top w:val="nil"/>
              <w:left w:val="nil"/>
              <w:bottom w:val="single" w:sz="4" w:space="0" w:color="auto"/>
              <w:right w:val="nil"/>
            </w:tcBorders>
            <w:shd w:val="clear" w:color="000000" w:fill="FFFFFF"/>
            <w:noWrap/>
            <w:vAlign w:val="center"/>
            <w:hideMark/>
          </w:tcPr>
          <w:p w14:paraId="4D8D9316"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0.375 ± 0.026</w:t>
            </w:r>
          </w:p>
        </w:tc>
        <w:tc>
          <w:tcPr>
            <w:tcW w:w="1348" w:type="dxa"/>
            <w:tcBorders>
              <w:top w:val="nil"/>
              <w:left w:val="nil"/>
              <w:bottom w:val="single" w:sz="4" w:space="0" w:color="auto"/>
              <w:right w:val="nil"/>
            </w:tcBorders>
            <w:shd w:val="clear" w:color="000000" w:fill="FFFFFF"/>
            <w:noWrap/>
            <w:vAlign w:val="center"/>
            <w:hideMark/>
          </w:tcPr>
          <w:p w14:paraId="4B50954C"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0.263 ± 0.021</w:t>
            </w:r>
          </w:p>
        </w:tc>
        <w:tc>
          <w:tcPr>
            <w:tcW w:w="1348" w:type="dxa"/>
            <w:tcBorders>
              <w:top w:val="nil"/>
              <w:left w:val="nil"/>
              <w:bottom w:val="single" w:sz="4" w:space="0" w:color="auto"/>
              <w:right w:val="nil"/>
            </w:tcBorders>
            <w:shd w:val="clear" w:color="000000" w:fill="FFFFFF"/>
            <w:noWrap/>
            <w:vAlign w:val="center"/>
            <w:hideMark/>
          </w:tcPr>
          <w:p w14:paraId="6D7C6A6F"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0.401 ± 0.021</w:t>
            </w:r>
          </w:p>
        </w:tc>
        <w:tc>
          <w:tcPr>
            <w:tcW w:w="1680" w:type="dxa"/>
            <w:tcBorders>
              <w:top w:val="nil"/>
              <w:left w:val="nil"/>
              <w:bottom w:val="single" w:sz="4" w:space="0" w:color="auto"/>
              <w:right w:val="nil"/>
            </w:tcBorders>
            <w:shd w:val="clear" w:color="000000" w:fill="FFFFFF"/>
            <w:noWrap/>
            <w:vAlign w:val="center"/>
            <w:hideMark/>
          </w:tcPr>
          <w:p w14:paraId="590C1EC1"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16.8 ± 1.1</w:t>
            </w:r>
          </w:p>
        </w:tc>
        <w:tc>
          <w:tcPr>
            <w:tcW w:w="1426" w:type="dxa"/>
            <w:tcBorders>
              <w:top w:val="nil"/>
              <w:left w:val="nil"/>
              <w:bottom w:val="single" w:sz="4" w:space="0" w:color="auto"/>
              <w:right w:val="single" w:sz="4" w:space="0" w:color="auto"/>
            </w:tcBorders>
            <w:shd w:val="clear" w:color="000000" w:fill="FFFFFF"/>
            <w:noWrap/>
            <w:vAlign w:val="center"/>
            <w:hideMark/>
          </w:tcPr>
          <w:p w14:paraId="4104CAD3"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14.1 ± 0.8</w:t>
            </w:r>
          </w:p>
        </w:tc>
      </w:tr>
      <w:tr w:rsidR="002E43C3" w:rsidRPr="00AF4759" w14:paraId="7D45256D" w14:textId="77777777" w:rsidTr="00696663">
        <w:trPr>
          <w:trHeight w:val="290"/>
        </w:trPr>
        <w:tc>
          <w:tcPr>
            <w:tcW w:w="1450" w:type="dxa"/>
            <w:tcBorders>
              <w:top w:val="nil"/>
              <w:left w:val="single" w:sz="4" w:space="0" w:color="auto"/>
              <w:bottom w:val="single" w:sz="4" w:space="0" w:color="auto"/>
              <w:right w:val="single" w:sz="4" w:space="0" w:color="auto"/>
            </w:tcBorders>
            <w:shd w:val="clear" w:color="000000" w:fill="FFFFFF"/>
            <w:noWrap/>
            <w:vAlign w:val="center"/>
            <w:hideMark/>
          </w:tcPr>
          <w:p w14:paraId="5DD11E67"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310</w:t>
            </w:r>
          </w:p>
        </w:tc>
        <w:tc>
          <w:tcPr>
            <w:tcW w:w="1370" w:type="dxa"/>
            <w:tcBorders>
              <w:top w:val="nil"/>
              <w:left w:val="nil"/>
              <w:bottom w:val="single" w:sz="4" w:space="0" w:color="auto"/>
              <w:right w:val="nil"/>
            </w:tcBorders>
            <w:shd w:val="clear" w:color="000000" w:fill="FFFFFF"/>
            <w:noWrap/>
            <w:vAlign w:val="center"/>
            <w:hideMark/>
          </w:tcPr>
          <w:p w14:paraId="3A884AFB"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0.849 ± 0.031</w:t>
            </w:r>
          </w:p>
        </w:tc>
        <w:tc>
          <w:tcPr>
            <w:tcW w:w="1370" w:type="dxa"/>
            <w:tcBorders>
              <w:top w:val="nil"/>
              <w:left w:val="nil"/>
              <w:bottom w:val="single" w:sz="4" w:space="0" w:color="auto"/>
              <w:right w:val="nil"/>
            </w:tcBorders>
            <w:shd w:val="clear" w:color="000000" w:fill="FFFFFF"/>
            <w:noWrap/>
            <w:vAlign w:val="center"/>
            <w:hideMark/>
          </w:tcPr>
          <w:p w14:paraId="19B158CD"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0.656 ± 0.026</w:t>
            </w:r>
          </w:p>
        </w:tc>
        <w:tc>
          <w:tcPr>
            <w:tcW w:w="1372" w:type="dxa"/>
            <w:tcBorders>
              <w:top w:val="nil"/>
              <w:left w:val="nil"/>
              <w:bottom w:val="single" w:sz="4" w:space="0" w:color="auto"/>
              <w:right w:val="nil"/>
            </w:tcBorders>
            <w:shd w:val="clear" w:color="000000" w:fill="FFFFFF"/>
            <w:noWrap/>
            <w:vAlign w:val="center"/>
            <w:hideMark/>
          </w:tcPr>
          <w:p w14:paraId="43A86D3D"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0.578 ± 0.026</w:t>
            </w:r>
          </w:p>
        </w:tc>
        <w:tc>
          <w:tcPr>
            <w:tcW w:w="1708" w:type="dxa"/>
            <w:tcBorders>
              <w:top w:val="nil"/>
              <w:left w:val="nil"/>
              <w:bottom w:val="single" w:sz="4" w:space="0" w:color="auto"/>
              <w:right w:val="nil"/>
            </w:tcBorders>
            <w:shd w:val="clear" w:color="000000" w:fill="FFFFFF"/>
            <w:noWrap/>
            <w:vAlign w:val="center"/>
            <w:hideMark/>
          </w:tcPr>
          <w:p w14:paraId="32C99C73" w14:textId="523DF771" w:rsidR="001B3D32" w:rsidRPr="003F35E6" w:rsidRDefault="00872D97" w:rsidP="00872D97">
            <w:pPr>
              <w:spacing w:line="276" w:lineRule="auto"/>
              <w:jc w:val="center"/>
              <w:rPr>
                <w:rFonts w:eastAsia="Times New Roman"/>
                <w:color w:val="000000"/>
                <w:sz w:val="18"/>
                <w:szCs w:val="18"/>
                <w:lang w:eastAsia="en-AU"/>
              </w:rPr>
            </w:pPr>
            <w:r w:rsidRPr="003F35E6">
              <w:rPr>
                <w:rFonts w:eastAsia="Times New Roman"/>
                <w:color w:val="000000"/>
                <w:sz w:val="18"/>
                <w:szCs w:val="18"/>
                <w:lang w:eastAsia="en-AU"/>
              </w:rPr>
              <w:t>11.9 ± 1.2*</w:t>
            </w:r>
          </w:p>
          <w:p w14:paraId="44582064" w14:textId="57996522" w:rsidR="002E43C3" w:rsidRPr="003F35E6" w:rsidRDefault="002E43C3" w:rsidP="00872D97">
            <w:pPr>
              <w:spacing w:line="276" w:lineRule="auto"/>
              <w:jc w:val="center"/>
              <w:rPr>
                <w:rFonts w:eastAsia="Times New Roman"/>
                <w:color w:val="000000"/>
                <w:sz w:val="18"/>
                <w:szCs w:val="18"/>
                <w:lang w:eastAsia="en-AU"/>
              </w:rPr>
            </w:pPr>
            <w:r w:rsidRPr="003F35E6">
              <w:rPr>
                <w:rFonts w:eastAsia="Times New Roman"/>
                <w:color w:val="000000"/>
                <w:sz w:val="18"/>
                <w:szCs w:val="18"/>
                <w:lang w:eastAsia="en-AU"/>
              </w:rPr>
              <w:t>22.0 ± 1.5</w:t>
            </w:r>
          </w:p>
          <w:p w14:paraId="2F73A2EA" w14:textId="6F7A5D3F" w:rsidR="001B3D32" w:rsidRPr="003F35E6" w:rsidRDefault="001B3D32" w:rsidP="00872D97">
            <w:pPr>
              <w:spacing w:line="276" w:lineRule="auto"/>
              <w:jc w:val="center"/>
              <w:rPr>
                <w:rFonts w:eastAsia="Times New Roman"/>
                <w:color w:val="000000"/>
                <w:sz w:val="18"/>
                <w:szCs w:val="18"/>
                <w:lang w:eastAsia="en-AU"/>
              </w:rPr>
            </w:pPr>
          </w:p>
        </w:tc>
        <w:tc>
          <w:tcPr>
            <w:tcW w:w="1450" w:type="dxa"/>
            <w:tcBorders>
              <w:top w:val="nil"/>
              <w:left w:val="nil"/>
              <w:bottom w:val="single" w:sz="4" w:space="0" w:color="auto"/>
              <w:right w:val="single" w:sz="4" w:space="0" w:color="auto"/>
            </w:tcBorders>
            <w:shd w:val="clear" w:color="000000" w:fill="FFFFFF"/>
            <w:noWrap/>
            <w:vAlign w:val="center"/>
            <w:hideMark/>
          </w:tcPr>
          <w:p w14:paraId="056EA131" w14:textId="705DFB6C" w:rsidR="001B3D32" w:rsidRPr="003F35E6" w:rsidRDefault="00872D97" w:rsidP="00872D97">
            <w:pPr>
              <w:spacing w:line="276" w:lineRule="auto"/>
              <w:jc w:val="center"/>
              <w:rPr>
                <w:rFonts w:eastAsia="Times New Roman"/>
                <w:b/>
                <w:bCs/>
                <w:color w:val="000000"/>
                <w:sz w:val="18"/>
                <w:szCs w:val="18"/>
                <w:lang w:eastAsia="en-AU"/>
              </w:rPr>
            </w:pPr>
            <w:r w:rsidRPr="003F35E6">
              <w:rPr>
                <w:rFonts w:eastAsia="Times New Roman"/>
                <w:color w:val="000000"/>
                <w:sz w:val="18"/>
                <w:szCs w:val="18"/>
                <w:lang w:eastAsia="en-AU"/>
              </w:rPr>
              <w:t>12.5 ± 1.2*</w:t>
            </w:r>
          </w:p>
          <w:p w14:paraId="2BCE4370" w14:textId="7B83AC1C" w:rsidR="002E43C3" w:rsidRPr="003F35E6" w:rsidRDefault="002E43C3" w:rsidP="00872D97">
            <w:pPr>
              <w:spacing w:line="276" w:lineRule="auto"/>
              <w:jc w:val="center"/>
              <w:rPr>
                <w:rFonts w:eastAsia="Times New Roman"/>
                <w:color w:val="000000"/>
                <w:sz w:val="18"/>
                <w:szCs w:val="18"/>
                <w:lang w:eastAsia="en-AU"/>
              </w:rPr>
            </w:pPr>
            <w:r w:rsidRPr="003F35E6">
              <w:rPr>
                <w:rFonts w:eastAsia="Times New Roman"/>
                <w:color w:val="000000"/>
                <w:sz w:val="18"/>
                <w:szCs w:val="18"/>
                <w:lang w:eastAsia="en-AU"/>
              </w:rPr>
              <w:t>23.1 ± 1.6</w:t>
            </w:r>
          </w:p>
          <w:p w14:paraId="023DB81D" w14:textId="03DF6264" w:rsidR="001B3D32" w:rsidRPr="003F35E6" w:rsidRDefault="001B3D32" w:rsidP="00872D97">
            <w:pPr>
              <w:spacing w:line="276" w:lineRule="auto"/>
              <w:jc w:val="center"/>
              <w:rPr>
                <w:rFonts w:eastAsia="Times New Roman"/>
                <w:color w:val="000000"/>
                <w:sz w:val="18"/>
                <w:szCs w:val="18"/>
                <w:lang w:eastAsia="en-AU"/>
              </w:rPr>
            </w:pPr>
          </w:p>
        </w:tc>
        <w:tc>
          <w:tcPr>
            <w:tcW w:w="1348" w:type="dxa"/>
            <w:tcBorders>
              <w:top w:val="nil"/>
              <w:left w:val="nil"/>
              <w:bottom w:val="single" w:sz="4" w:space="0" w:color="auto"/>
              <w:right w:val="nil"/>
            </w:tcBorders>
            <w:shd w:val="clear" w:color="000000" w:fill="FFFFFF"/>
            <w:noWrap/>
            <w:vAlign w:val="center"/>
            <w:hideMark/>
          </w:tcPr>
          <w:p w14:paraId="14CCE07E" w14:textId="77777777" w:rsidR="002E43C3" w:rsidRPr="003F35E6" w:rsidRDefault="002E43C3" w:rsidP="00872D97">
            <w:pPr>
              <w:spacing w:line="276" w:lineRule="auto"/>
              <w:jc w:val="center"/>
              <w:rPr>
                <w:rFonts w:eastAsia="Times New Roman"/>
                <w:color w:val="000000"/>
                <w:sz w:val="18"/>
                <w:szCs w:val="18"/>
                <w:lang w:eastAsia="en-AU"/>
              </w:rPr>
            </w:pPr>
            <w:r w:rsidRPr="003F35E6">
              <w:rPr>
                <w:rFonts w:eastAsia="Times New Roman"/>
                <w:color w:val="000000"/>
                <w:sz w:val="18"/>
                <w:szCs w:val="18"/>
                <w:lang w:eastAsia="en-AU"/>
              </w:rPr>
              <w:t>0.950 ± 0.035</w:t>
            </w:r>
          </w:p>
        </w:tc>
        <w:tc>
          <w:tcPr>
            <w:tcW w:w="1348" w:type="dxa"/>
            <w:tcBorders>
              <w:top w:val="nil"/>
              <w:left w:val="nil"/>
              <w:bottom w:val="single" w:sz="4" w:space="0" w:color="auto"/>
              <w:right w:val="nil"/>
            </w:tcBorders>
            <w:shd w:val="clear" w:color="000000" w:fill="FFFFFF"/>
            <w:noWrap/>
            <w:vAlign w:val="center"/>
            <w:hideMark/>
          </w:tcPr>
          <w:p w14:paraId="12CCFED8" w14:textId="77777777" w:rsidR="002E43C3" w:rsidRPr="003F35E6" w:rsidRDefault="002E43C3" w:rsidP="00872D97">
            <w:pPr>
              <w:spacing w:line="276" w:lineRule="auto"/>
              <w:jc w:val="center"/>
              <w:rPr>
                <w:rFonts w:eastAsia="Times New Roman"/>
                <w:color w:val="000000"/>
                <w:sz w:val="18"/>
                <w:szCs w:val="18"/>
                <w:lang w:eastAsia="en-AU"/>
              </w:rPr>
            </w:pPr>
            <w:r w:rsidRPr="003F35E6">
              <w:rPr>
                <w:rFonts w:eastAsia="Times New Roman"/>
                <w:color w:val="000000"/>
                <w:sz w:val="18"/>
                <w:szCs w:val="18"/>
                <w:lang w:eastAsia="en-AU"/>
              </w:rPr>
              <w:t>0.692 ± 0.037</w:t>
            </w:r>
          </w:p>
        </w:tc>
        <w:tc>
          <w:tcPr>
            <w:tcW w:w="1348" w:type="dxa"/>
            <w:tcBorders>
              <w:top w:val="nil"/>
              <w:left w:val="nil"/>
              <w:bottom w:val="single" w:sz="4" w:space="0" w:color="auto"/>
              <w:right w:val="nil"/>
            </w:tcBorders>
            <w:shd w:val="clear" w:color="000000" w:fill="FFFFFF"/>
            <w:noWrap/>
            <w:vAlign w:val="center"/>
            <w:hideMark/>
          </w:tcPr>
          <w:p w14:paraId="5D59705F" w14:textId="77777777" w:rsidR="002E43C3" w:rsidRPr="003F35E6" w:rsidRDefault="002E43C3" w:rsidP="00872D97">
            <w:pPr>
              <w:spacing w:line="276" w:lineRule="auto"/>
              <w:jc w:val="center"/>
              <w:rPr>
                <w:rFonts w:eastAsia="Times New Roman"/>
                <w:color w:val="000000"/>
                <w:sz w:val="18"/>
                <w:szCs w:val="18"/>
                <w:lang w:eastAsia="en-AU"/>
              </w:rPr>
            </w:pPr>
            <w:r w:rsidRPr="003F35E6">
              <w:rPr>
                <w:rFonts w:eastAsia="Times New Roman"/>
                <w:color w:val="000000"/>
                <w:sz w:val="18"/>
                <w:szCs w:val="18"/>
                <w:lang w:eastAsia="en-AU"/>
              </w:rPr>
              <w:t>0.589 ± 0.027</w:t>
            </w:r>
          </w:p>
        </w:tc>
        <w:tc>
          <w:tcPr>
            <w:tcW w:w="1680" w:type="dxa"/>
            <w:tcBorders>
              <w:top w:val="nil"/>
              <w:left w:val="nil"/>
              <w:bottom w:val="single" w:sz="4" w:space="0" w:color="auto"/>
              <w:right w:val="nil"/>
            </w:tcBorders>
            <w:shd w:val="clear" w:color="000000" w:fill="FFFFFF"/>
            <w:noWrap/>
            <w:vAlign w:val="center"/>
            <w:hideMark/>
          </w:tcPr>
          <w:p w14:paraId="79B2695C" w14:textId="224DDF4C" w:rsidR="001B3D32" w:rsidRPr="003F35E6" w:rsidRDefault="00872D97" w:rsidP="00872D97">
            <w:pPr>
              <w:spacing w:line="276" w:lineRule="auto"/>
              <w:jc w:val="center"/>
              <w:rPr>
                <w:rFonts w:eastAsia="Times New Roman"/>
                <w:b/>
                <w:bCs/>
                <w:color w:val="000000"/>
                <w:sz w:val="18"/>
                <w:szCs w:val="18"/>
                <w:lang w:eastAsia="en-AU"/>
              </w:rPr>
            </w:pPr>
            <w:r w:rsidRPr="003F35E6">
              <w:rPr>
                <w:rFonts w:eastAsia="Times New Roman"/>
                <w:color w:val="000000"/>
                <w:sz w:val="18"/>
                <w:szCs w:val="18"/>
                <w:lang w:eastAsia="en-AU"/>
              </w:rPr>
              <w:t>11.0 ± 1.1*</w:t>
            </w:r>
          </w:p>
          <w:p w14:paraId="009A6CEA" w14:textId="002A8163" w:rsidR="002E43C3" w:rsidRPr="003F35E6" w:rsidRDefault="002E43C3" w:rsidP="00872D97">
            <w:pPr>
              <w:spacing w:line="276" w:lineRule="auto"/>
              <w:jc w:val="center"/>
              <w:rPr>
                <w:rFonts w:eastAsia="Times New Roman"/>
                <w:color w:val="000000"/>
                <w:sz w:val="18"/>
                <w:szCs w:val="18"/>
                <w:lang w:eastAsia="en-AU"/>
              </w:rPr>
            </w:pPr>
            <w:r w:rsidRPr="003F35E6">
              <w:rPr>
                <w:rFonts w:eastAsia="Times New Roman"/>
                <w:color w:val="000000"/>
                <w:sz w:val="18"/>
                <w:szCs w:val="18"/>
                <w:lang w:eastAsia="en-AU"/>
              </w:rPr>
              <w:t>20.2 ± 1.4</w:t>
            </w:r>
          </w:p>
          <w:p w14:paraId="4B38C66D" w14:textId="22FDE081" w:rsidR="001B3D32" w:rsidRPr="003F35E6" w:rsidRDefault="001B3D32" w:rsidP="00872D97">
            <w:pPr>
              <w:spacing w:line="276" w:lineRule="auto"/>
              <w:jc w:val="center"/>
              <w:rPr>
                <w:rFonts w:eastAsia="Times New Roman"/>
                <w:color w:val="000000"/>
                <w:sz w:val="18"/>
                <w:szCs w:val="18"/>
                <w:lang w:eastAsia="en-AU"/>
              </w:rPr>
            </w:pPr>
          </w:p>
        </w:tc>
        <w:tc>
          <w:tcPr>
            <w:tcW w:w="1426" w:type="dxa"/>
            <w:tcBorders>
              <w:top w:val="nil"/>
              <w:left w:val="nil"/>
              <w:bottom w:val="single" w:sz="4" w:space="0" w:color="auto"/>
              <w:right w:val="single" w:sz="4" w:space="0" w:color="auto"/>
            </w:tcBorders>
            <w:shd w:val="clear" w:color="000000" w:fill="FFFFFF"/>
            <w:noWrap/>
            <w:vAlign w:val="center"/>
            <w:hideMark/>
          </w:tcPr>
          <w:p w14:paraId="089198CC" w14:textId="52DB617E" w:rsidR="001B3D32" w:rsidRPr="003F35E6" w:rsidRDefault="00872D97" w:rsidP="00872D97">
            <w:pPr>
              <w:spacing w:line="276" w:lineRule="auto"/>
              <w:jc w:val="center"/>
              <w:rPr>
                <w:rFonts w:eastAsia="Times New Roman"/>
                <w:color w:val="000000"/>
                <w:sz w:val="18"/>
                <w:szCs w:val="18"/>
                <w:lang w:eastAsia="en-AU"/>
              </w:rPr>
            </w:pPr>
            <w:r w:rsidRPr="003F35E6">
              <w:rPr>
                <w:rFonts w:eastAsia="Times New Roman"/>
                <w:color w:val="000000"/>
                <w:sz w:val="18"/>
                <w:szCs w:val="18"/>
                <w:lang w:eastAsia="en-AU"/>
              </w:rPr>
              <w:t>11.7 ± 1.2*</w:t>
            </w:r>
          </w:p>
          <w:p w14:paraId="20C8EF84" w14:textId="4C80E9AE" w:rsidR="002E43C3" w:rsidRPr="003F35E6" w:rsidRDefault="002E43C3" w:rsidP="00872D97">
            <w:pPr>
              <w:spacing w:line="276" w:lineRule="auto"/>
              <w:jc w:val="center"/>
              <w:rPr>
                <w:rFonts w:eastAsia="Times New Roman"/>
                <w:color w:val="000000"/>
                <w:sz w:val="18"/>
                <w:szCs w:val="18"/>
                <w:lang w:eastAsia="en-AU"/>
              </w:rPr>
            </w:pPr>
            <w:r w:rsidRPr="003F35E6">
              <w:rPr>
                <w:rFonts w:eastAsia="Times New Roman"/>
                <w:color w:val="000000"/>
                <w:sz w:val="18"/>
                <w:szCs w:val="18"/>
                <w:lang w:eastAsia="en-AU"/>
              </w:rPr>
              <w:t>21.5 ±1.5</w:t>
            </w:r>
          </w:p>
          <w:p w14:paraId="5C211C3D" w14:textId="3F50FB64" w:rsidR="001B3D32" w:rsidRPr="003F35E6" w:rsidRDefault="001B3D32" w:rsidP="00872D97">
            <w:pPr>
              <w:spacing w:line="276" w:lineRule="auto"/>
              <w:jc w:val="center"/>
              <w:rPr>
                <w:rFonts w:eastAsia="Times New Roman"/>
                <w:color w:val="000000"/>
                <w:sz w:val="18"/>
                <w:szCs w:val="18"/>
                <w:lang w:eastAsia="en-AU"/>
              </w:rPr>
            </w:pPr>
          </w:p>
        </w:tc>
      </w:tr>
      <w:tr w:rsidR="002E43C3" w:rsidRPr="00AF4759" w14:paraId="15F96C4E" w14:textId="77777777" w:rsidTr="00696663">
        <w:trPr>
          <w:trHeight w:val="290"/>
        </w:trPr>
        <w:tc>
          <w:tcPr>
            <w:tcW w:w="145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0B9BB8F"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309</w:t>
            </w:r>
          </w:p>
        </w:tc>
        <w:tc>
          <w:tcPr>
            <w:tcW w:w="1370" w:type="dxa"/>
            <w:vMerge w:val="restart"/>
            <w:tcBorders>
              <w:top w:val="nil"/>
              <w:left w:val="single" w:sz="4" w:space="0" w:color="auto"/>
              <w:bottom w:val="single" w:sz="4" w:space="0" w:color="000000"/>
              <w:right w:val="nil"/>
            </w:tcBorders>
            <w:shd w:val="clear" w:color="000000" w:fill="FFFFFF"/>
            <w:noWrap/>
            <w:vAlign w:val="center"/>
            <w:hideMark/>
          </w:tcPr>
          <w:p w14:paraId="505D4B9E"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0.877 ± 0.037</w:t>
            </w:r>
          </w:p>
        </w:tc>
        <w:tc>
          <w:tcPr>
            <w:tcW w:w="1370" w:type="dxa"/>
            <w:vMerge w:val="restart"/>
            <w:tcBorders>
              <w:top w:val="nil"/>
              <w:left w:val="nil"/>
              <w:bottom w:val="single" w:sz="4" w:space="0" w:color="000000"/>
              <w:right w:val="nil"/>
            </w:tcBorders>
            <w:shd w:val="clear" w:color="000000" w:fill="FFFFFF"/>
            <w:noWrap/>
            <w:vAlign w:val="center"/>
            <w:hideMark/>
          </w:tcPr>
          <w:p w14:paraId="262AD11B"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0.701 ± 0.031</w:t>
            </w:r>
          </w:p>
        </w:tc>
        <w:tc>
          <w:tcPr>
            <w:tcW w:w="1372" w:type="dxa"/>
            <w:vMerge w:val="restart"/>
            <w:tcBorders>
              <w:top w:val="nil"/>
              <w:left w:val="nil"/>
              <w:bottom w:val="single" w:sz="4" w:space="0" w:color="000000"/>
              <w:right w:val="nil"/>
            </w:tcBorders>
            <w:shd w:val="clear" w:color="000000" w:fill="FFFFFF"/>
            <w:noWrap/>
            <w:vAlign w:val="center"/>
            <w:hideMark/>
          </w:tcPr>
          <w:p w14:paraId="53A4B114"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0.695 ± 0.030</w:t>
            </w:r>
          </w:p>
        </w:tc>
        <w:tc>
          <w:tcPr>
            <w:tcW w:w="1708" w:type="dxa"/>
            <w:tcBorders>
              <w:top w:val="nil"/>
              <w:left w:val="nil"/>
              <w:bottom w:val="nil"/>
              <w:right w:val="nil"/>
            </w:tcBorders>
            <w:shd w:val="clear" w:color="000000" w:fill="FFFFFF"/>
            <w:noWrap/>
            <w:vAlign w:val="center"/>
            <w:hideMark/>
          </w:tcPr>
          <w:p w14:paraId="702A35E9"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22.0 ± 1.3*</w:t>
            </w:r>
          </w:p>
        </w:tc>
        <w:tc>
          <w:tcPr>
            <w:tcW w:w="1450" w:type="dxa"/>
            <w:tcBorders>
              <w:top w:val="nil"/>
              <w:left w:val="nil"/>
              <w:bottom w:val="nil"/>
              <w:right w:val="single" w:sz="4" w:space="0" w:color="auto"/>
            </w:tcBorders>
            <w:shd w:val="clear" w:color="000000" w:fill="FFFFFF"/>
            <w:noWrap/>
            <w:vAlign w:val="center"/>
            <w:hideMark/>
          </w:tcPr>
          <w:p w14:paraId="1E633032"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22.1 ± 1.3*</w:t>
            </w:r>
          </w:p>
        </w:tc>
        <w:tc>
          <w:tcPr>
            <w:tcW w:w="1348" w:type="dxa"/>
            <w:vMerge w:val="restart"/>
            <w:tcBorders>
              <w:top w:val="nil"/>
              <w:left w:val="single" w:sz="4" w:space="0" w:color="auto"/>
              <w:bottom w:val="single" w:sz="4" w:space="0" w:color="000000"/>
              <w:right w:val="nil"/>
            </w:tcBorders>
            <w:shd w:val="clear" w:color="000000" w:fill="FFFFFF"/>
            <w:noWrap/>
            <w:vAlign w:val="center"/>
            <w:hideMark/>
          </w:tcPr>
          <w:p w14:paraId="5E3CAE14"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0.942 ± 0.040</w:t>
            </w:r>
          </w:p>
        </w:tc>
        <w:tc>
          <w:tcPr>
            <w:tcW w:w="1348" w:type="dxa"/>
            <w:vMerge w:val="restart"/>
            <w:tcBorders>
              <w:top w:val="nil"/>
              <w:left w:val="nil"/>
              <w:bottom w:val="single" w:sz="4" w:space="0" w:color="000000"/>
              <w:right w:val="nil"/>
            </w:tcBorders>
            <w:shd w:val="clear" w:color="000000" w:fill="FFFFFF"/>
            <w:noWrap/>
            <w:vAlign w:val="center"/>
            <w:hideMark/>
          </w:tcPr>
          <w:p w14:paraId="58EF0CC8"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0.719 ± 0.047</w:t>
            </w:r>
          </w:p>
        </w:tc>
        <w:tc>
          <w:tcPr>
            <w:tcW w:w="1348" w:type="dxa"/>
            <w:vMerge w:val="restart"/>
            <w:tcBorders>
              <w:top w:val="nil"/>
              <w:left w:val="nil"/>
              <w:bottom w:val="single" w:sz="4" w:space="0" w:color="000000"/>
              <w:right w:val="nil"/>
            </w:tcBorders>
            <w:shd w:val="clear" w:color="000000" w:fill="FFFFFF"/>
            <w:noWrap/>
            <w:vAlign w:val="center"/>
            <w:hideMark/>
          </w:tcPr>
          <w:p w14:paraId="65CA347D"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0.700 ± 0.031</w:t>
            </w:r>
          </w:p>
        </w:tc>
        <w:tc>
          <w:tcPr>
            <w:tcW w:w="1680" w:type="dxa"/>
            <w:tcBorders>
              <w:top w:val="nil"/>
              <w:left w:val="nil"/>
              <w:bottom w:val="nil"/>
              <w:right w:val="nil"/>
            </w:tcBorders>
            <w:shd w:val="clear" w:color="000000" w:fill="FFFFFF"/>
            <w:noWrap/>
            <w:vAlign w:val="center"/>
            <w:hideMark/>
          </w:tcPr>
          <w:p w14:paraId="194C8577"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21.0 ± 1.3*</w:t>
            </w:r>
          </w:p>
        </w:tc>
        <w:tc>
          <w:tcPr>
            <w:tcW w:w="1426" w:type="dxa"/>
            <w:tcBorders>
              <w:top w:val="nil"/>
              <w:left w:val="nil"/>
              <w:bottom w:val="nil"/>
              <w:right w:val="single" w:sz="4" w:space="0" w:color="auto"/>
            </w:tcBorders>
            <w:shd w:val="clear" w:color="000000" w:fill="FFFFFF"/>
            <w:noWrap/>
            <w:vAlign w:val="center"/>
            <w:hideMark/>
          </w:tcPr>
          <w:p w14:paraId="27A8E8D8"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21.2 ± 1.2*</w:t>
            </w:r>
          </w:p>
        </w:tc>
      </w:tr>
      <w:tr w:rsidR="002E43C3" w:rsidRPr="00AF4759" w14:paraId="0B5B1F30" w14:textId="77777777" w:rsidTr="00696663">
        <w:trPr>
          <w:trHeight w:val="290"/>
        </w:trPr>
        <w:tc>
          <w:tcPr>
            <w:tcW w:w="1450" w:type="dxa"/>
            <w:vMerge/>
            <w:tcBorders>
              <w:top w:val="nil"/>
              <w:left w:val="single" w:sz="4" w:space="0" w:color="auto"/>
              <w:bottom w:val="single" w:sz="4" w:space="0" w:color="000000"/>
              <w:right w:val="single" w:sz="4" w:space="0" w:color="auto"/>
            </w:tcBorders>
            <w:vAlign w:val="center"/>
            <w:hideMark/>
          </w:tcPr>
          <w:p w14:paraId="1CBCAAE7" w14:textId="77777777" w:rsidR="002E43C3" w:rsidRPr="00AF4759" w:rsidRDefault="002E43C3" w:rsidP="00696663">
            <w:pPr>
              <w:rPr>
                <w:rFonts w:eastAsia="Times New Roman"/>
                <w:color w:val="000000"/>
                <w:sz w:val="18"/>
                <w:szCs w:val="18"/>
                <w:lang w:eastAsia="en-AU"/>
              </w:rPr>
            </w:pPr>
          </w:p>
        </w:tc>
        <w:tc>
          <w:tcPr>
            <w:tcW w:w="1370" w:type="dxa"/>
            <w:vMerge/>
            <w:tcBorders>
              <w:top w:val="nil"/>
              <w:left w:val="single" w:sz="4" w:space="0" w:color="auto"/>
              <w:bottom w:val="single" w:sz="4" w:space="0" w:color="000000"/>
              <w:right w:val="nil"/>
            </w:tcBorders>
            <w:vAlign w:val="center"/>
            <w:hideMark/>
          </w:tcPr>
          <w:p w14:paraId="0CF52D19" w14:textId="77777777" w:rsidR="002E43C3" w:rsidRPr="00AF4759" w:rsidRDefault="002E43C3" w:rsidP="00696663">
            <w:pPr>
              <w:rPr>
                <w:rFonts w:eastAsia="Times New Roman"/>
                <w:color w:val="000000"/>
                <w:sz w:val="18"/>
                <w:szCs w:val="18"/>
                <w:lang w:eastAsia="en-AU"/>
              </w:rPr>
            </w:pPr>
          </w:p>
        </w:tc>
        <w:tc>
          <w:tcPr>
            <w:tcW w:w="1370" w:type="dxa"/>
            <w:vMerge/>
            <w:tcBorders>
              <w:top w:val="nil"/>
              <w:left w:val="nil"/>
              <w:bottom w:val="single" w:sz="4" w:space="0" w:color="000000"/>
              <w:right w:val="nil"/>
            </w:tcBorders>
            <w:vAlign w:val="center"/>
            <w:hideMark/>
          </w:tcPr>
          <w:p w14:paraId="34CFCF01" w14:textId="77777777" w:rsidR="002E43C3" w:rsidRPr="00AF4759" w:rsidRDefault="002E43C3" w:rsidP="00696663">
            <w:pPr>
              <w:rPr>
                <w:rFonts w:eastAsia="Times New Roman"/>
                <w:color w:val="000000"/>
                <w:sz w:val="18"/>
                <w:szCs w:val="18"/>
                <w:lang w:eastAsia="en-AU"/>
              </w:rPr>
            </w:pPr>
          </w:p>
        </w:tc>
        <w:tc>
          <w:tcPr>
            <w:tcW w:w="1372" w:type="dxa"/>
            <w:vMerge/>
            <w:tcBorders>
              <w:top w:val="nil"/>
              <w:left w:val="nil"/>
              <w:bottom w:val="single" w:sz="4" w:space="0" w:color="000000"/>
              <w:right w:val="nil"/>
            </w:tcBorders>
            <w:vAlign w:val="center"/>
            <w:hideMark/>
          </w:tcPr>
          <w:p w14:paraId="234538AD" w14:textId="77777777" w:rsidR="002E43C3" w:rsidRPr="00AF4759" w:rsidRDefault="002E43C3" w:rsidP="00696663">
            <w:pPr>
              <w:rPr>
                <w:rFonts w:eastAsia="Times New Roman"/>
                <w:color w:val="000000"/>
                <w:sz w:val="18"/>
                <w:szCs w:val="18"/>
                <w:lang w:eastAsia="en-AU"/>
              </w:rPr>
            </w:pPr>
          </w:p>
        </w:tc>
        <w:tc>
          <w:tcPr>
            <w:tcW w:w="1708" w:type="dxa"/>
            <w:tcBorders>
              <w:top w:val="nil"/>
              <w:left w:val="nil"/>
              <w:bottom w:val="single" w:sz="4" w:space="0" w:color="auto"/>
              <w:right w:val="nil"/>
            </w:tcBorders>
            <w:shd w:val="clear" w:color="000000" w:fill="FFFFFF"/>
            <w:noWrap/>
            <w:vAlign w:val="center"/>
            <w:hideMark/>
          </w:tcPr>
          <w:p w14:paraId="319BFA1F"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39.8 ± 1.8</w:t>
            </w:r>
          </w:p>
        </w:tc>
        <w:tc>
          <w:tcPr>
            <w:tcW w:w="1450" w:type="dxa"/>
            <w:tcBorders>
              <w:top w:val="nil"/>
              <w:left w:val="nil"/>
              <w:bottom w:val="single" w:sz="4" w:space="0" w:color="auto"/>
              <w:right w:val="single" w:sz="4" w:space="0" w:color="auto"/>
            </w:tcBorders>
            <w:shd w:val="clear" w:color="000000" w:fill="FFFFFF"/>
            <w:noWrap/>
            <w:vAlign w:val="center"/>
            <w:hideMark/>
          </w:tcPr>
          <w:p w14:paraId="47D756B8"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39.9 ± 1.8</w:t>
            </w:r>
          </w:p>
        </w:tc>
        <w:tc>
          <w:tcPr>
            <w:tcW w:w="1348" w:type="dxa"/>
            <w:vMerge/>
            <w:tcBorders>
              <w:top w:val="nil"/>
              <w:left w:val="single" w:sz="4" w:space="0" w:color="auto"/>
              <w:bottom w:val="single" w:sz="4" w:space="0" w:color="000000"/>
              <w:right w:val="nil"/>
            </w:tcBorders>
            <w:vAlign w:val="center"/>
            <w:hideMark/>
          </w:tcPr>
          <w:p w14:paraId="2B26BA6B" w14:textId="77777777" w:rsidR="002E43C3" w:rsidRPr="00AF4759" w:rsidRDefault="002E43C3" w:rsidP="00696663">
            <w:pPr>
              <w:rPr>
                <w:rFonts w:eastAsia="Times New Roman"/>
                <w:color w:val="000000"/>
                <w:sz w:val="18"/>
                <w:szCs w:val="18"/>
                <w:lang w:eastAsia="en-AU"/>
              </w:rPr>
            </w:pPr>
          </w:p>
        </w:tc>
        <w:tc>
          <w:tcPr>
            <w:tcW w:w="1348" w:type="dxa"/>
            <w:vMerge/>
            <w:tcBorders>
              <w:top w:val="nil"/>
              <w:left w:val="nil"/>
              <w:bottom w:val="single" w:sz="4" w:space="0" w:color="000000"/>
              <w:right w:val="nil"/>
            </w:tcBorders>
            <w:vAlign w:val="center"/>
            <w:hideMark/>
          </w:tcPr>
          <w:p w14:paraId="07CA7217" w14:textId="77777777" w:rsidR="002E43C3" w:rsidRPr="00AF4759" w:rsidRDefault="002E43C3" w:rsidP="00696663">
            <w:pPr>
              <w:rPr>
                <w:rFonts w:eastAsia="Times New Roman"/>
                <w:color w:val="000000"/>
                <w:sz w:val="18"/>
                <w:szCs w:val="18"/>
                <w:lang w:eastAsia="en-AU"/>
              </w:rPr>
            </w:pPr>
          </w:p>
        </w:tc>
        <w:tc>
          <w:tcPr>
            <w:tcW w:w="1348" w:type="dxa"/>
            <w:vMerge/>
            <w:tcBorders>
              <w:top w:val="nil"/>
              <w:left w:val="nil"/>
              <w:bottom w:val="single" w:sz="4" w:space="0" w:color="000000"/>
              <w:right w:val="nil"/>
            </w:tcBorders>
            <w:vAlign w:val="center"/>
            <w:hideMark/>
          </w:tcPr>
          <w:p w14:paraId="7C87A050" w14:textId="77777777" w:rsidR="002E43C3" w:rsidRPr="00AF4759" w:rsidRDefault="002E43C3" w:rsidP="00696663">
            <w:pPr>
              <w:rPr>
                <w:rFonts w:eastAsia="Times New Roman"/>
                <w:color w:val="000000"/>
                <w:sz w:val="18"/>
                <w:szCs w:val="18"/>
                <w:lang w:eastAsia="en-AU"/>
              </w:rPr>
            </w:pPr>
          </w:p>
        </w:tc>
        <w:tc>
          <w:tcPr>
            <w:tcW w:w="1680" w:type="dxa"/>
            <w:tcBorders>
              <w:top w:val="nil"/>
              <w:left w:val="nil"/>
              <w:bottom w:val="single" w:sz="4" w:space="0" w:color="auto"/>
              <w:right w:val="nil"/>
            </w:tcBorders>
            <w:shd w:val="clear" w:color="000000" w:fill="FFFFFF"/>
            <w:noWrap/>
            <w:vAlign w:val="center"/>
            <w:hideMark/>
          </w:tcPr>
          <w:p w14:paraId="7A1E1399"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37.9 ± 1.9</w:t>
            </w:r>
          </w:p>
        </w:tc>
        <w:tc>
          <w:tcPr>
            <w:tcW w:w="1426" w:type="dxa"/>
            <w:tcBorders>
              <w:top w:val="nil"/>
              <w:left w:val="nil"/>
              <w:bottom w:val="single" w:sz="4" w:space="0" w:color="auto"/>
              <w:right w:val="single" w:sz="4" w:space="0" w:color="auto"/>
            </w:tcBorders>
            <w:shd w:val="clear" w:color="000000" w:fill="FFFFFF"/>
            <w:noWrap/>
            <w:vAlign w:val="center"/>
            <w:hideMark/>
          </w:tcPr>
          <w:p w14:paraId="6EE2BC35"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38.3 ± 1.8</w:t>
            </w:r>
          </w:p>
        </w:tc>
      </w:tr>
      <w:tr w:rsidR="002E43C3" w:rsidRPr="00AF4759" w14:paraId="38E0D20E" w14:textId="77777777" w:rsidTr="00696663">
        <w:trPr>
          <w:trHeight w:val="290"/>
        </w:trPr>
        <w:tc>
          <w:tcPr>
            <w:tcW w:w="1450" w:type="dxa"/>
            <w:vMerge w:val="restart"/>
            <w:tcBorders>
              <w:top w:val="nil"/>
              <w:left w:val="single" w:sz="4" w:space="0" w:color="auto"/>
              <w:bottom w:val="nil"/>
              <w:right w:val="single" w:sz="4" w:space="0" w:color="auto"/>
            </w:tcBorders>
            <w:shd w:val="clear" w:color="000000" w:fill="FFFFFF"/>
            <w:noWrap/>
            <w:vAlign w:val="center"/>
            <w:hideMark/>
          </w:tcPr>
          <w:p w14:paraId="41C83780"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308</w:t>
            </w:r>
          </w:p>
        </w:tc>
        <w:tc>
          <w:tcPr>
            <w:tcW w:w="1370" w:type="dxa"/>
            <w:vMerge w:val="restart"/>
            <w:tcBorders>
              <w:top w:val="nil"/>
              <w:left w:val="single" w:sz="4" w:space="0" w:color="auto"/>
              <w:bottom w:val="single" w:sz="4" w:space="0" w:color="000000"/>
              <w:right w:val="nil"/>
            </w:tcBorders>
            <w:shd w:val="clear" w:color="000000" w:fill="FFFFFF"/>
            <w:noWrap/>
            <w:vAlign w:val="center"/>
            <w:hideMark/>
          </w:tcPr>
          <w:p w14:paraId="3905F2C8"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0.989 ± 0.035</w:t>
            </w:r>
          </w:p>
        </w:tc>
        <w:tc>
          <w:tcPr>
            <w:tcW w:w="1370" w:type="dxa"/>
            <w:vMerge w:val="restart"/>
            <w:tcBorders>
              <w:top w:val="nil"/>
              <w:left w:val="nil"/>
              <w:bottom w:val="single" w:sz="4" w:space="0" w:color="000000"/>
              <w:right w:val="nil"/>
            </w:tcBorders>
            <w:shd w:val="clear" w:color="000000" w:fill="FFFFFF"/>
            <w:noWrap/>
            <w:vAlign w:val="center"/>
            <w:hideMark/>
          </w:tcPr>
          <w:p w14:paraId="343FAEDC"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0.780 ± 0.031</w:t>
            </w:r>
          </w:p>
        </w:tc>
        <w:tc>
          <w:tcPr>
            <w:tcW w:w="1372" w:type="dxa"/>
            <w:vMerge w:val="restart"/>
            <w:tcBorders>
              <w:top w:val="nil"/>
              <w:left w:val="nil"/>
              <w:bottom w:val="single" w:sz="4" w:space="0" w:color="000000"/>
              <w:right w:val="nil"/>
            </w:tcBorders>
            <w:shd w:val="clear" w:color="000000" w:fill="FFFFFF"/>
            <w:noWrap/>
            <w:vAlign w:val="center"/>
            <w:hideMark/>
          </w:tcPr>
          <w:p w14:paraId="0A23FD59"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0.740 ± 0.033</w:t>
            </w:r>
          </w:p>
        </w:tc>
        <w:tc>
          <w:tcPr>
            <w:tcW w:w="1708" w:type="dxa"/>
            <w:tcBorders>
              <w:top w:val="nil"/>
              <w:left w:val="nil"/>
              <w:bottom w:val="nil"/>
              <w:right w:val="nil"/>
            </w:tcBorders>
            <w:shd w:val="clear" w:color="000000" w:fill="FFFFFF"/>
            <w:noWrap/>
            <w:vAlign w:val="center"/>
            <w:hideMark/>
          </w:tcPr>
          <w:p w14:paraId="21BB077D"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27.2 ± 2.0*</w:t>
            </w:r>
          </w:p>
        </w:tc>
        <w:tc>
          <w:tcPr>
            <w:tcW w:w="1450" w:type="dxa"/>
            <w:tcBorders>
              <w:top w:val="nil"/>
              <w:left w:val="nil"/>
              <w:bottom w:val="nil"/>
              <w:right w:val="single" w:sz="4" w:space="0" w:color="auto"/>
            </w:tcBorders>
            <w:shd w:val="clear" w:color="000000" w:fill="FFFFFF"/>
            <w:noWrap/>
            <w:vAlign w:val="center"/>
            <w:hideMark/>
          </w:tcPr>
          <w:p w14:paraId="1F1B1D2E"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27.8 ± 2.1*</w:t>
            </w:r>
          </w:p>
        </w:tc>
        <w:tc>
          <w:tcPr>
            <w:tcW w:w="1348" w:type="dxa"/>
            <w:vMerge w:val="restart"/>
            <w:tcBorders>
              <w:top w:val="nil"/>
              <w:left w:val="single" w:sz="4" w:space="0" w:color="auto"/>
              <w:bottom w:val="single" w:sz="4" w:space="0" w:color="000000"/>
              <w:right w:val="nil"/>
            </w:tcBorders>
            <w:shd w:val="clear" w:color="000000" w:fill="FFFFFF"/>
            <w:noWrap/>
            <w:vAlign w:val="center"/>
            <w:hideMark/>
          </w:tcPr>
          <w:p w14:paraId="6E3B2E39"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1.038 ± 0.037</w:t>
            </w:r>
          </w:p>
        </w:tc>
        <w:tc>
          <w:tcPr>
            <w:tcW w:w="1348" w:type="dxa"/>
            <w:vMerge w:val="restart"/>
            <w:tcBorders>
              <w:top w:val="nil"/>
              <w:left w:val="nil"/>
              <w:bottom w:val="single" w:sz="4" w:space="0" w:color="000000"/>
              <w:right w:val="nil"/>
            </w:tcBorders>
            <w:shd w:val="clear" w:color="000000" w:fill="FFFFFF"/>
            <w:noWrap/>
            <w:vAlign w:val="center"/>
            <w:hideMark/>
          </w:tcPr>
          <w:p w14:paraId="6F69299B"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0.735 ± 0.039</w:t>
            </w:r>
          </w:p>
        </w:tc>
        <w:tc>
          <w:tcPr>
            <w:tcW w:w="1348" w:type="dxa"/>
            <w:vMerge w:val="restart"/>
            <w:tcBorders>
              <w:top w:val="nil"/>
              <w:left w:val="nil"/>
              <w:bottom w:val="single" w:sz="4" w:space="0" w:color="000000"/>
              <w:right w:val="nil"/>
            </w:tcBorders>
            <w:shd w:val="clear" w:color="000000" w:fill="FFFFFF"/>
            <w:noWrap/>
            <w:vAlign w:val="center"/>
            <w:hideMark/>
          </w:tcPr>
          <w:p w14:paraId="306E048A"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0.721 ± 0.033</w:t>
            </w:r>
          </w:p>
        </w:tc>
        <w:tc>
          <w:tcPr>
            <w:tcW w:w="1680" w:type="dxa"/>
            <w:tcBorders>
              <w:top w:val="nil"/>
              <w:left w:val="nil"/>
              <w:bottom w:val="nil"/>
              <w:right w:val="nil"/>
            </w:tcBorders>
            <w:shd w:val="clear" w:color="000000" w:fill="FFFFFF"/>
            <w:noWrap/>
            <w:vAlign w:val="center"/>
            <w:hideMark/>
          </w:tcPr>
          <w:p w14:paraId="07B0E4E6"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27.1 ± 2.1*</w:t>
            </w:r>
          </w:p>
        </w:tc>
        <w:tc>
          <w:tcPr>
            <w:tcW w:w="1426" w:type="dxa"/>
            <w:tcBorders>
              <w:top w:val="nil"/>
              <w:left w:val="nil"/>
              <w:bottom w:val="nil"/>
              <w:right w:val="single" w:sz="4" w:space="0" w:color="auto"/>
            </w:tcBorders>
            <w:shd w:val="clear" w:color="000000" w:fill="FFFFFF"/>
            <w:noWrap/>
            <w:vAlign w:val="center"/>
            <w:hideMark/>
          </w:tcPr>
          <w:p w14:paraId="2849F8F7"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27.3 ± 2.1*</w:t>
            </w:r>
          </w:p>
        </w:tc>
      </w:tr>
      <w:tr w:rsidR="002E43C3" w:rsidRPr="00AF4759" w14:paraId="29B052F0" w14:textId="77777777" w:rsidTr="00696663">
        <w:trPr>
          <w:trHeight w:val="290"/>
        </w:trPr>
        <w:tc>
          <w:tcPr>
            <w:tcW w:w="1450" w:type="dxa"/>
            <w:vMerge/>
            <w:tcBorders>
              <w:top w:val="nil"/>
              <w:left w:val="single" w:sz="4" w:space="0" w:color="auto"/>
              <w:bottom w:val="nil"/>
              <w:right w:val="single" w:sz="4" w:space="0" w:color="auto"/>
            </w:tcBorders>
            <w:vAlign w:val="center"/>
            <w:hideMark/>
          </w:tcPr>
          <w:p w14:paraId="23E73103" w14:textId="77777777" w:rsidR="002E43C3" w:rsidRPr="00AF4759" w:rsidRDefault="002E43C3" w:rsidP="00696663">
            <w:pPr>
              <w:rPr>
                <w:rFonts w:eastAsia="Times New Roman"/>
                <w:color w:val="000000"/>
                <w:sz w:val="18"/>
                <w:szCs w:val="18"/>
                <w:lang w:eastAsia="en-AU"/>
              </w:rPr>
            </w:pPr>
          </w:p>
        </w:tc>
        <w:tc>
          <w:tcPr>
            <w:tcW w:w="1370" w:type="dxa"/>
            <w:vMerge/>
            <w:tcBorders>
              <w:top w:val="nil"/>
              <w:left w:val="single" w:sz="4" w:space="0" w:color="auto"/>
              <w:bottom w:val="single" w:sz="4" w:space="0" w:color="000000"/>
              <w:right w:val="nil"/>
            </w:tcBorders>
            <w:vAlign w:val="center"/>
            <w:hideMark/>
          </w:tcPr>
          <w:p w14:paraId="77501654" w14:textId="77777777" w:rsidR="002E43C3" w:rsidRPr="00AF4759" w:rsidRDefault="002E43C3" w:rsidP="00696663">
            <w:pPr>
              <w:rPr>
                <w:rFonts w:eastAsia="Times New Roman"/>
                <w:color w:val="000000"/>
                <w:sz w:val="18"/>
                <w:szCs w:val="18"/>
                <w:lang w:eastAsia="en-AU"/>
              </w:rPr>
            </w:pPr>
          </w:p>
        </w:tc>
        <w:tc>
          <w:tcPr>
            <w:tcW w:w="1370" w:type="dxa"/>
            <w:vMerge/>
            <w:tcBorders>
              <w:top w:val="nil"/>
              <w:left w:val="nil"/>
              <w:bottom w:val="single" w:sz="4" w:space="0" w:color="000000"/>
              <w:right w:val="nil"/>
            </w:tcBorders>
            <w:vAlign w:val="center"/>
            <w:hideMark/>
          </w:tcPr>
          <w:p w14:paraId="56759757" w14:textId="77777777" w:rsidR="002E43C3" w:rsidRPr="00AF4759" w:rsidRDefault="002E43C3" w:rsidP="00696663">
            <w:pPr>
              <w:rPr>
                <w:rFonts w:eastAsia="Times New Roman"/>
                <w:color w:val="000000"/>
                <w:sz w:val="18"/>
                <w:szCs w:val="18"/>
                <w:lang w:eastAsia="en-AU"/>
              </w:rPr>
            </w:pPr>
          </w:p>
        </w:tc>
        <w:tc>
          <w:tcPr>
            <w:tcW w:w="1372" w:type="dxa"/>
            <w:vMerge/>
            <w:tcBorders>
              <w:top w:val="nil"/>
              <w:left w:val="nil"/>
              <w:bottom w:val="single" w:sz="4" w:space="0" w:color="000000"/>
              <w:right w:val="nil"/>
            </w:tcBorders>
            <w:vAlign w:val="center"/>
            <w:hideMark/>
          </w:tcPr>
          <w:p w14:paraId="783BC423" w14:textId="77777777" w:rsidR="002E43C3" w:rsidRPr="00AF4759" w:rsidRDefault="002E43C3" w:rsidP="00696663">
            <w:pPr>
              <w:rPr>
                <w:rFonts w:eastAsia="Times New Roman"/>
                <w:color w:val="000000"/>
                <w:sz w:val="18"/>
                <w:szCs w:val="18"/>
                <w:lang w:eastAsia="en-AU"/>
              </w:rPr>
            </w:pPr>
          </w:p>
        </w:tc>
        <w:tc>
          <w:tcPr>
            <w:tcW w:w="1708" w:type="dxa"/>
            <w:tcBorders>
              <w:top w:val="nil"/>
              <w:left w:val="nil"/>
              <w:bottom w:val="nil"/>
              <w:right w:val="nil"/>
            </w:tcBorders>
            <w:shd w:val="clear" w:color="000000" w:fill="FFFFFF"/>
            <w:noWrap/>
            <w:vAlign w:val="center"/>
            <w:hideMark/>
          </w:tcPr>
          <w:p w14:paraId="27E06342"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46.9 ± 2.6</w:t>
            </w:r>
          </w:p>
        </w:tc>
        <w:tc>
          <w:tcPr>
            <w:tcW w:w="1450" w:type="dxa"/>
            <w:tcBorders>
              <w:top w:val="nil"/>
              <w:left w:val="nil"/>
              <w:bottom w:val="nil"/>
              <w:right w:val="single" w:sz="4" w:space="0" w:color="auto"/>
            </w:tcBorders>
            <w:shd w:val="clear" w:color="000000" w:fill="FFFFFF"/>
            <w:noWrap/>
            <w:vAlign w:val="center"/>
            <w:hideMark/>
          </w:tcPr>
          <w:p w14:paraId="664CAE38"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47.9 ± 2.7</w:t>
            </w:r>
          </w:p>
        </w:tc>
        <w:tc>
          <w:tcPr>
            <w:tcW w:w="1348" w:type="dxa"/>
            <w:vMerge/>
            <w:tcBorders>
              <w:top w:val="nil"/>
              <w:left w:val="single" w:sz="4" w:space="0" w:color="auto"/>
              <w:bottom w:val="single" w:sz="4" w:space="0" w:color="000000"/>
              <w:right w:val="nil"/>
            </w:tcBorders>
            <w:vAlign w:val="center"/>
            <w:hideMark/>
          </w:tcPr>
          <w:p w14:paraId="26C492FB" w14:textId="77777777" w:rsidR="002E43C3" w:rsidRPr="00AF4759" w:rsidRDefault="002E43C3" w:rsidP="00696663">
            <w:pPr>
              <w:rPr>
                <w:rFonts w:eastAsia="Times New Roman"/>
                <w:color w:val="000000"/>
                <w:sz w:val="18"/>
                <w:szCs w:val="18"/>
                <w:lang w:eastAsia="en-AU"/>
              </w:rPr>
            </w:pPr>
          </w:p>
        </w:tc>
        <w:tc>
          <w:tcPr>
            <w:tcW w:w="1348" w:type="dxa"/>
            <w:vMerge/>
            <w:tcBorders>
              <w:top w:val="nil"/>
              <w:left w:val="nil"/>
              <w:bottom w:val="single" w:sz="4" w:space="0" w:color="000000"/>
              <w:right w:val="nil"/>
            </w:tcBorders>
            <w:vAlign w:val="center"/>
            <w:hideMark/>
          </w:tcPr>
          <w:p w14:paraId="5E476B97" w14:textId="77777777" w:rsidR="002E43C3" w:rsidRPr="00AF4759" w:rsidRDefault="002E43C3" w:rsidP="00696663">
            <w:pPr>
              <w:rPr>
                <w:rFonts w:eastAsia="Times New Roman"/>
                <w:color w:val="000000"/>
                <w:sz w:val="18"/>
                <w:szCs w:val="18"/>
                <w:lang w:eastAsia="en-AU"/>
              </w:rPr>
            </w:pPr>
          </w:p>
        </w:tc>
        <w:tc>
          <w:tcPr>
            <w:tcW w:w="1348" w:type="dxa"/>
            <w:vMerge/>
            <w:tcBorders>
              <w:top w:val="nil"/>
              <w:left w:val="nil"/>
              <w:bottom w:val="single" w:sz="4" w:space="0" w:color="000000"/>
              <w:right w:val="nil"/>
            </w:tcBorders>
            <w:vAlign w:val="center"/>
            <w:hideMark/>
          </w:tcPr>
          <w:p w14:paraId="74F779D6" w14:textId="77777777" w:rsidR="002E43C3" w:rsidRPr="00AF4759" w:rsidRDefault="002E43C3" w:rsidP="00696663">
            <w:pPr>
              <w:rPr>
                <w:rFonts w:eastAsia="Times New Roman"/>
                <w:color w:val="000000"/>
                <w:sz w:val="18"/>
                <w:szCs w:val="18"/>
                <w:lang w:eastAsia="en-AU"/>
              </w:rPr>
            </w:pPr>
          </w:p>
        </w:tc>
        <w:tc>
          <w:tcPr>
            <w:tcW w:w="1680" w:type="dxa"/>
            <w:tcBorders>
              <w:top w:val="nil"/>
              <w:left w:val="nil"/>
              <w:bottom w:val="single" w:sz="4" w:space="0" w:color="auto"/>
              <w:right w:val="nil"/>
            </w:tcBorders>
            <w:shd w:val="clear" w:color="000000" w:fill="FFFFFF"/>
            <w:noWrap/>
            <w:vAlign w:val="center"/>
            <w:hideMark/>
          </w:tcPr>
          <w:p w14:paraId="5509FBDB"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46.7 ± 2.6</w:t>
            </w:r>
          </w:p>
        </w:tc>
        <w:tc>
          <w:tcPr>
            <w:tcW w:w="1426" w:type="dxa"/>
            <w:tcBorders>
              <w:top w:val="nil"/>
              <w:left w:val="nil"/>
              <w:bottom w:val="single" w:sz="4" w:space="0" w:color="auto"/>
              <w:right w:val="single" w:sz="4" w:space="0" w:color="auto"/>
            </w:tcBorders>
            <w:shd w:val="clear" w:color="000000" w:fill="FFFFFF"/>
            <w:noWrap/>
            <w:vAlign w:val="center"/>
            <w:hideMark/>
          </w:tcPr>
          <w:p w14:paraId="7B0FD6CC"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47.1 ± 2.6</w:t>
            </w:r>
          </w:p>
        </w:tc>
      </w:tr>
      <w:tr w:rsidR="002E43C3" w:rsidRPr="00AF4759" w14:paraId="263ED7C1" w14:textId="77777777" w:rsidTr="00696663">
        <w:trPr>
          <w:trHeight w:val="290"/>
        </w:trPr>
        <w:tc>
          <w:tcPr>
            <w:tcW w:w="145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6C6A7A5B"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312</w:t>
            </w:r>
          </w:p>
        </w:tc>
        <w:tc>
          <w:tcPr>
            <w:tcW w:w="1370" w:type="dxa"/>
            <w:vMerge w:val="restart"/>
            <w:tcBorders>
              <w:top w:val="nil"/>
              <w:left w:val="nil"/>
              <w:bottom w:val="single" w:sz="4" w:space="0" w:color="000000"/>
              <w:right w:val="nil"/>
            </w:tcBorders>
            <w:shd w:val="clear" w:color="000000" w:fill="FFFFFF"/>
            <w:noWrap/>
            <w:vAlign w:val="center"/>
            <w:hideMark/>
          </w:tcPr>
          <w:p w14:paraId="4BE4E59A"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1.058 ± 0.038</w:t>
            </w:r>
          </w:p>
        </w:tc>
        <w:tc>
          <w:tcPr>
            <w:tcW w:w="1370" w:type="dxa"/>
            <w:vMerge w:val="restart"/>
            <w:tcBorders>
              <w:top w:val="nil"/>
              <w:left w:val="nil"/>
              <w:bottom w:val="single" w:sz="4" w:space="0" w:color="000000"/>
              <w:right w:val="nil"/>
            </w:tcBorders>
            <w:shd w:val="clear" w:color="000000" w:fill="FFFFFF"/>
            <w:noWrap/>
            <w:vAlign w:val="center"/>
            <w:hideMark/>
          </w:tcPr>
          <w:p w14:paraId="27491831"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0.834 ± 0.033</w:t>
            </w:r>
          </w:p>
        </w:tc>
        <w:tc>
          <w:tcPr>
            <w:tcW w:w="1372" w:type="dxa"/>
            <w:vMerge w:val="restart"/>
            <w:tcBorders>
              <w:top w:val="nil"/>
              <w:left w:val="nil"/>
              <w:bottom w:val="single" w:sz="4" w:space="0" w:color="000000"/>
              <w:right w:val="nil"/>
            </w:tcBorders>
            <w:shd w:val="clear" w:color="000000" w:fill="FFFFFF"/>
            <w:noWrap/>
            <w:vAlign w:val="center"/>
            <w:hideMark/>
          </w:tcPr>
          <w:p w14:paraId="3A31E213"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0.808 ± 0.035</w:t>
            </w:r>
          </w:p>
        </w:tc>
        <w:tc>
          <w:tcPr>
            <w:tcW w:w="1708" w:type="dxa"/>
            <w:tcBorders>
              <w:top w:val="single" w:sz="4" w:space="0" w:color="auto"/>
              <w:left w:val="nil"/>
              <w:bottom w:val="nil"/>
              <w:right w:val="nil"/>
            </w:tcBorders>
            <w:shd w:val="clear" w:color="000000" w:fill="FFFFFF"/>
            <w:noWrap/>
            <w:vAlign w:val="center"/>
            <w:hideMark/>
          </w:tcPr>
          <w:p w14:paraId="26BAB750"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37.1 ± 4.2*</w:t>
            </w:r>
          </w:p>
        </w:tc>
        <w:tc>
          <w:tcPr>
            <w:tcW w:w="1450" w:type="dxa"/>
            <w:tcBorders>
              <w:top w:val="single" w:sz="4" w:space="0" w:color="auto"/>
              <w:left w:val="nil"/>
              <w:bottom w:val="nil"/>
              <w:right w:val="single" w:sz="4" w:space="0" w:color="auto"/>
            </w:tcBorders>
            <w:shd w:val="clear" w:color="000000" w:fill="FFFFFF"/>
            <w:noWrap/>
            <w:vAlign w:val="center"/>
            <w:hideMark/>
          </w:tcPr>
          <w:p w14:paraId="64174BAE"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37.6 ± 4.2*</w:t>
            </w:r>
          </w:p>
        </w:tc>
        <w:tc>
          <w:tcPr>
            <w:tcW w:w="1348" w:type="dxa"/>
            <w:vMerge w:val="restart"/>
            <w:tcBorders>
              <w:top w:val="nil"/>
              <w:left w:val="nil"/>
              <w:bottom w:val="single" w:sz="4" w:space="0" w:color="auto"/>
              <w:right w:val="nil"/>
            </w:tcBorders>
            <w:shd w:val="clear" w:color="000000" w:fill="FFFFFF"/>
            <w:noWrap/>
            <w:vAlign w:val="center"/>
            <w:hideMark/>
          </w:tcPr>
          <w:p w14:paraId="6CBF4752"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1.058 ± 0.037</w:t>
            </w:r>
          </w:p>
        </w:tc>
        <w:tc>
          <w:tcPr>
            <w:tcW w:w="1348" w:type="dxa"/>
            <w:vMerge w:val="restart"/>
            <w:tcBorders>
              <w:top w:val="nil"/>
              <w:left w:val="nil"/>
              <w:bottom w:val="single" w:sz="4" w:space="0" w:color="auto"/>
              <w:right w:val="nil"/>
            </w:tcBorders>
            <w:shd w:val="clear" w:color="000000" w:fill="FFFFFF"/>
            <w:noWrap/>
            <w:vAlign w:val="center"/>
            <w:hideMark/>
          </w:tcPr>
          <w:p w14:paraId="01201153"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0.799 ± 0.048</w:t>
            </w:r>
          </w:p>
        </w:tc>
        <w:tc>
          <w:tcPr>
            <w:tcW w:w="1348" w:type="dxa"/>
            <w:vMerge w:val="restart"/>
            <w:tcBorders>
              <w:top w:val="nil"/>
              <w:left w:val="nil"/>
              <w:bottom w:val="single" w:sz="4" w:space="0" w:color="auto"/>
              <w:right w:val="nil"/>
            </w:tcBorders>
            <w:shd w:val="clear" w:color="000000" w:fill="FFFFFF"/>
            <w:noWrap/>
            <w:vAlign w:val="center"/>
            <w:hideMark/>
          </w:tcPr>
          <w:p w14:paraId="46454C6F"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0.775 ± 0.034</w:t>
            </w:r>
          </w:p>
        </w:tc>
        <w:tc>
          <w:tcPr>
            <w:tcW w:w="1680" w:type="dxa"/>
            <w:tcBorders>
              <w:top w:val="nil"/>
              <w:left w:val="nil"/>
              <w:bottom w:val="nil"/>
              <w:right w:val="nil"/>
            </w:tcBorders>
            <w:shd w:val="clear" w:color="000000" w:fill="FFFFFF"/>
            <w:noWrap/>
            <w:vAlign w:val="center"/>
            <w:hideMark/>
          </w:tcPr>
          <w:p w14:paraId="6B920967"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37.7 ± 4.3*</w:t>
            </w:r>
          </w:p>
        </w:tc>
        <w:tc>
          <w:tcPr>
            <w:tcW w:w="1426" w:type="dxa"/>
            <w:tcBorders>
              <w:top w:val="nil"/>
              <w:left w:val="nil"/>
              <w:bottom w:val="nil"/>
              <w:right w:val="single" w:sz="4" w:space="0" w:color="auto"/>
            </w:tcBorders>
            <w:shd w:val="clear" w:color="000000" w:fill="FFFFFF"/>
            <w:noWrap/>
            <w:vAlign w:val="center"/>
            <w:hideMark/>
          </w:tcPr>
          <w:p w14:paraId="5C7F99DF"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38.2 ± 4.3*</w:t>
            </w:r>
          </w:p>
        </w:tc>
      </w:tr>
      <w:tr w:rsidR="002E43C3" w:rsidRPr="00AF4759" w14:paraId="39C5FF3E" w14:textId="77777777" w:rsidTr="00696663">
        <w:trPr>
          <w:trHeight w:val="290"/>
        </w:trPr>
        <w:tc>
          <w:tcPr>
            <w:tcW w:w="1450" w:type="dxa"/>
            <w:vMerge/>
            <w:tcBorders>
              <w:top w:val="single" w:sz="4" w:space="0" w:color="auto"/>
              <w:left w:val="single" w:sz="4" w:space="0" w:color="auto"/>
              <w:bottom w:val="single" w:sz="4" w:space="0" w:color="000000"/>
              <w:right w:val="single" w:sz="4" w:space="0" w:color="auto"/>
            </w:tcBorders>
            <w:vAlign w:val="center"/>
            <w:hideMark/>
          </w:tcPr>
          <w:p w14:paraId="53E7D57D" w14:textId="77777777" w:rsidR="002E43C3" w:rsidRPr="00AF4759" w:rsidRDefault="002E43C3" w:rsidP="00696663">
            <w:pPr>
              <w:rPr>
                <w:rFonts w:eastAsia="Times New Roman"/>
                <w:color w:val="000000"/>
                <w:sz w:val="18"/>
                <w:szCs w:val="18"/>
                <w:lang w:eastAsia="en-AU"/>
              </w:rPr>
            </w:pPr>
          </w:p>
        </w:tc>
        <w:tc>
          <w:tcPr>
            <w:tcW w:w="1370" w:type="dxa"/>
            <w:vMerge/>
            <w:tcBorders>
              <w:top w:val="nil"/>
              <w:left w:val="nil"/>
              <w:bottom w:val="single" w:sz="4" w:space="0" w:color="000000"/>
              <w:right w:val="nil"/>
            </w:tcBorders>
            <w:vAlign w:val="center"/>
            <w:hideMark/>
          </w:tcPr>
          <w:p w14:paraId="7FF5F619" w14:textId="77777777" w:rsidR="002E43C3" w:rsidRPr="00AF4759" w:rsidRDefault="002E43C3" w:rsidP="00696663">
            <w:pPr>
              <w:rPr>
                <w:rFonts w:eastAsia="Times New Roman"/>
                <w:color w:val="000000"/>
                <w:sz w:val="18"/>
                <w:szCs w:val="18"/>
                <w:lang w:eastAsia="en-AU"/>
              </w:rPr>
            </w:pPr>
          </w:p>
        </w:tc>
        <w:tc>
          <w:tcPr>
            <w:tcW w:w="1370" w:type="dxa"/>
            <w:vMerge/>
            <w:tcBorders>
              <w:top w:val="nil"/>
              <w:left w:val="nil"/>
              <w:bottom w:val="single" w:sz="4" w:space="0" w:color="000000"/>
              <w:right w:val="nil"/>
            </w:tcBorders>
            <w:vAlign w:val="center"/>
            <w:hideMark/>
          </w:tcPr>
          <w:p w14:paraId="19EF072F" w14:textId="77777777" w:rsidR="002E43C3" w:rsidRPr="00AF4759" w:rsidRDefault="002E43C3" w:rsidP="00696663">
            <w:pPr>
              <w:rPr>
                <w:rFonts w:eastAsia="Times New Roman"/>
                <w:color w:val="000000"/>
                <w:sz w:val="18"/>
                <w:szCs w:val="18"/>
                <w:lang w:eastAsia="en-AU"/>
              </w:rPr>
            </w:pPr>
          </w:p>
        </w:tc>
        <w:tc>
          <w:tcPr>
            <w:tcW w:w="1372" w:type="dxa"/>
            <w:vMerge/>
            <w:tcBorders>
              <w:top w:val="nil"/>
              <w:left w:val="nil"/>
              <w:bottom w:val="single" w:sz="4" w:space="0" w:color="000000"/>
              <w:right w:val="nil"/>
            </w:tcBorders>
            <w:vAlign w:val="center"/>
            <w:hideMark/>
          </w:tcPr>
          <w:p w14:paraId="01F35159" w14:textId="77777777" w:rsidR="002E43C3" w:rsidRPr="00AF4759" w:rsidRDefault="002E43C3" w:rsidP="00696663">
            <w:pPr>
              <w:rPr>
                <w:rFonts w:eastAsia="Times New Roman"/>
                <w:color w:val="000000"/>
                <w:sz w:val="18"/>
                <w:szCs w:val="18"/>
                <w:lang w:eastAsia="en-AU"/>
              </w:rPr>
            </w:pPr>
          </w:p>
        </w:tc>
        <w:tc>
          <w:tcPr>
            <w:tcW w:w="1708" w:type="dxa"/>
            <w:tcBorders>
              <w:top w:val="nil"/>
              <w:left w:val="nil"/>
              <w:bottom w:val="single" w:sz="4" w:space="0" w:color="auto"/>
              <w:right w:val="nil"/>
            </w:tcBorders>
            <w:shd w:val="clear" w:color="auto" w:fill="auto"/>
            <w:noWrap/>
            <w:vAlign w:val="center"/>
            <w:hideMark/>
          </w:tcPr>
          <w:p w14:paraId="6E846A71"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51.1 ± 4.1</w:t>
            </w:r>
          </w:p>
        </w:tc>
        <w:tc>
          <w:tcPr>
            <w:tcW w:w="1450" w:type="dxa"/>
            <w:tcBorders>
              <w:top w:val="nil"/>
              <w:left w:val="nil"/>
              <w:bottom w:val="single" w:sz="4" w:space="0" w:color="auto"/>
              <w:right w:val="single" w:sz="4" w:space="0" w:color="auto"/>
            </w:tcBorders>
            <w:shd w:val="clear" w:color="auto" w:fill="auto"/>
            <w:noWrap/>
            <w:vAlign w:val="center"/>
            <w:hideMark/>
          </w:tcPr>
          <w:p w14:paraId="68F46A36"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51.8 ± 4.2</w:t>
            </w:r>
          </w:p>
        </w:tc>
        <w:tc>
          <w:tcPr>
            <w:tcW w:w="1348" w:type="dxa"/>
            <w:vMerge/>
            <w:tcBorders>
              <w:top w:val="nil"/>
              <w:left w:val="nil"/>
              <w:bottom w:val="single" w:sz="4" w:space="0" w:color="auto"/>
              <w:right w:val="nil"/>
            </w:tcBorders>
            <w:vAlign w:val="center"/>
            <w:hideMark/>
          </w:tcPr>
          <w:p w14:paraId="039B7F73" w14:textId="77777777" w:rsidR="002E43C3" w:rsidRPr="00AF4759" w:rsidRDefault="002E43C3" w:rsidP="00696663">
            <w:pPr>
              <w:rPr>
                <w:rFonts w:eastAsia="Times New Roman"/>
                <w:color w:val="000000"/>
                <w:sz w:val="18"/>
                <w:szCs w:val="18"/>
                <w:lang w:eastAsia="en-AU"/>
              </w:rPr>
            </w:pPr>
          </w:p>
        </w:tc>
        <w:tc>
          <w:tcPr>
            <w:tcW w:w="1348" w:type="dxa"/>
            <w:vMerge/>
            <w:tcBorders>
              <w:top w:val="nil"/>
              <w:left w:val="nil"/>
              <w:bottom w:val="single" w:sz="4" w:space="0" w:color="auto"/>
              <w:right w:val="nil"/>
            </w:tcBorders>
            <w:vAlign w:val="center"/>
            <w:hideMark/>
          </w:tcPr>
          <w:p w14:paraId="7F750C7B" w14:textId="77777777" w:rsidR="002E43C3" w:rsidRPr="00AF4759" w:rsidRDefault="002E43C3" w:rsidP="00696663">
            <w:pPr>
              <w:rPr>
                <w:rFonts w:eastAsia="Times New Roman"/>
                <w:color w:val="000000"/>
                <w:sz w:val="18"/>
                <w:szCs w:val="18"/>
                <w:lang w:eastAsia="en-AU"/>
              </w:rPr>
            </w:pPr>
          </w:p>
        </w:tc>
        <w:tc>
          <w:tcPr>
            <w:tcW w:w="1348" w:type="dxa"/>
            <w:vMerge/>
            <w:tcBorders>
              <w:top w:val="nil"/>
              <w:left w:val="nil"/>
              <w:bottom w:val="single" w:sz="4" w:space="0" w:color="auto"/>
              <w:right w:val="nil"/>
            </w:tcBorders>
            <w:vAlign w:val="center"/>
            <w:hideMark/>
          </w:tcPr>
          <w:p w14:paraId="486CC33E" w14:textId="77777777" w:rsidR="002E43C3" w:rsidRPr="00AF4759" w:rsidRDefault="002E43C3" w:rsidP="00696663">
            <w:pPr>
              <w:rPr>
                <w:rFonts w:eastAsia="Times New Roman"/>
                <w:color w:val="000000"/>
                <w:sz w:val="18"/>
                <w:szCs w:val="18"/>
                <w:lang w:eastAsia="en-AU"/>
              </w:rPr>
            </w:pPr>
          </w:p>
        </w:tc>
        <w:tc>
          <w:tcPr>
            <w:tcW w:w="1680" w:type="dxa"/>
            <w:tcBorders>
              <w:top w:val="nil"/>
              <w:left w:val="nil"/>
              <w:bottom w:val="single" w:sz="4" w:space="0" w:color="auto"/>
              <w:right w:val="nil"/>
            </w:tcBorders>
            <w:shd w:val="clear" w:color="auto" w:fill="auto"/>
            <w:noWrap/>
            <w:vAlign w:val="center"/>
            <w:hideMark/>
          </w:tcPr>
          <w:p w14:paraId="0F8B0568"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52.1 ± 4.3</w:t>
            </w:r>
          </w:p>
        </w:tc>
        <w:tc>
          <w:tcPr>
            <w:tcW w:w="1426" w:type="dxa"/>
            <w:tcBorders>
              <w:top w:val="nil"/>
              <w:left w:val="nil"/>
              <w:bottom w:val="single" w:sz="4" w:space="0" w:color="auto"/>
              <w:right w:val="single" w:sz="4" w:space="0" w:color="auto"/>
            </w:tcBorders>
            <w:shd w:val="clear" w:color="auto" w:fill="auto"/>
            <w:noWrap/>
            <w:vAlign w:val="center"/>
            <w:hideMark/>
          </w:tcPr>
          <w:p w14:paraId="635B1F20" w14:textId="77777777" w:rsidR="002E43C3" w:rsidRPr="00AF4759" w:rsidRDefault="002E43C3" w:rsidP="00696663">
            <w:pPr>
              <w:jc w:val="center"/>
              <w:rPr>
                <w:rFonts w:eastAsia="Times New Roman"/>
                <w:color w:val="000000"/>
                <w:sz w:val="18"/>
                <w:szCs w:val="18"/>
                <w:lang w:eastAsia="en-AU"/>
              </w:rPr>
            </w:pPr>
            <w:r w:rsidRPr="00AF4759">
              <w:rPr>
                <w:rFonts w:eastAsia="Times New Roman"/>
                <w:color w:val="000000"/>
                <w:sz w:val="18"/>
                <w:szCs w:val="18"/>
                <w:lang w:eastAsia="en-AU"/>
              </w:rPr>
              <w:t>52.7 ± 4.2</w:t>
            </w:r>
          </w:p>
        </w:tc>
      </w:tr>
    </w:tbl>
    <w:p w14:paraId="7DAF5581" w14:textId="77777777" w:rsidR="004C1FCE" w:rsidRPr="00AF4759" w:rsidRDefault="004C1FCE" w:rsidP="004C1FCE">
      <w:pPr>
        <w:rPr>
          <w:b/>
          <w:sz w:val="22"/>
          <w:szCs w:val="22"/>
        </w:rPr>
      </w:pPr>
    </w:p>
    <w:p w14:paraId="01F55509" w14:textId="604A3469" w:rsidR="004C1FCE" w:rsidRPr="00AF4759" w:rsidRDefault="004C1FCE" w:rsidP="004C1FCE">
      <w:pPr>
        <w:rPr>
          <w:sz w:val="22"/>
          <w:szCs w:val="22"/>
        </w:rPr>
      </w:pPr>
      <w:r w:rsidRPr="00872D97">
        <w:rPr>
          <w:b/>
          <w:sz w:val="22"/>
          <w:szCs w:val="22"/>
        </w:rPr>
        <w:t xml:space="preserve">Table </w:t>
      </w:r>
      <w:r w:rsidR="001C440D">
        <w:rPr>
          <w:b/>
          <w:sz w:val="22"/>
          <w:szCs w:val="22"/>
        </w:rPr>
        <w:t>S5</w:t>
      </w:r>
      <w:r w:rsidR="00CF6538" w:rsidRPr="00872D97">
        <w:rPr>
          <w:b/>
          <w:sz w:val="22"/>
          <w:szCs w:val="22"/>
        </w:rPr>
        <w:t>-</w:t>
      </w:r>
      <w:r w:rsidRPr="00872D97">
        <w:rPr>
          <w:b/>
          <w:sz w:val="22"/>
          <w:szCs w:val="22"/>
        </w:rPr>
        <w:t xml:space="preserve">5. </w:t>
      </w:r>
      <w:r w:rsidRPr="00872D97">
        <w:rPr>
          <w:b/>
        </w:rPr>
        <w:t xml:space="preserve">Comparison of variations in beta dose rate, gamma dose rate and final OSL age due to a) approach used for beta and gamma dose rate estimation, and b) the employment of gamma sphere modelling. </w:t>
      </w:r>
      <w:r w:rsidRPr="00872D97">
        <w:t>The CAM</w:t>
      </w:r>
      <w:r w:rsidRPr="00872D97">
        <w:rPr>
          <w:b/>
        </w:rPr>
        <w:t xml:space="preserve"> </w:t>
      </w:r>
      <w:r w:rsidRPr="00872D97">
        <w:t>was employed for all age calculations, except for those demarcated (*), whereby the MAM was used.</w:t>
      </w:r>
    </w:p>
    <w:p w14:paraId="375ED8FF" w14:textId="4B355D4E" w:rsidR="004C1FCE" w:rsidRPr="00AF4759" w:rsidRDefault="004C1FCE" w:rsidP="00135774">
      <w:pPr>
        <w:spacing w:line="276" w:lineRule="auto"/>
        <w:jc w:val="both"/>
      </w:pPr>
    </w:p>
    <w:p w14:paraId="59494E01" w14:textId="6C425FF1" w:rsidR="00852F67" w:rsidRPr="00AF4759" w:rsidRDefault="00852F67" w:rsidP="00135774">
      <w:pPr>
        <w:spacing w:line="276" w:lineRule="auto"/>
        <w:jc w:val="both"/>
      </w:pPr>
    </w:p>
    <w:p w14:paraId="496789C0" w14:textId="241C657D" w:rsidR="00852F67" w:rsidRPr="00AF4759" w:rsidRDefault="00852F67" w:rsidP="00135774">
      <w:pPr>
        <w:spacing w:line="276" w:lineRule="auto"/>
        <w:jc w:val="both"/>
      </w:pPr>
    </w:p>
    <w:p w14:paraId="706E44F9" w14:textId="5158F91F" w:rsidR="00852F67" w:rsidRPr="00AF4759" w:rsidRDefault="00852F67" w:rsidP="00135774">
      <w:pPr>
        <w:spacing w:line="276" w:lineRule="auto"/>
        <w:jc w:val="both"/>
      </w:pPr>
    </w:p>
    <w:p w14:paraId="5D59ED0E" w14:textId="5DE82746" w:rsidR="00852F67" w:rsidRPr="00AF4759" w:rsidRDefault="00852F67" w:rsidP="00135774">
      <w:pPr>
        <w:spacing w:line="276" w:lineRule="auto"/>
        <w:jc w:val="both"/>
      </w:pPr>
    </w:p>
    <w:p w14:paraId="2E378591" w14:textId="230BDD0D" w:rsidR="00852F67" w:rsidRPr="00AF4759" w:rsidRDefault="00852F67" w:rsidP="00135774">
      <w:pPr>
        <w:spacing w:line="276" w:lineRule="auto"/>
        <w:jc w:val="both"/>
      </w:pPr>
    </w:p>
    <w:p w14:paraId="192BF93E" w14:textId="470577DF" w:rsidR="00852F67" w:rsidRPr="00AF4759" w:rsidRDefault="00852F67" w:rsidP="00135774">
      <w:pPr>
        <w:spacing w:line="276" w:lineRule="auto"/>
        <w:jc w:val="both"/>
      </w:pPr>
    </w:p>
    <w:p w14:paraId="37D47044" w14:textId="6BE3BAC4" w:rsidR="00852F67" w:rsidRPr="00AF4759" w:rsidRDefault="00852F67" w:rsidP="00135774">
      <w:pPr>
        <w:spacing w:line="276" w:lineRule="auto"/>
        <w:jc w:val="both"/>
      </w:pPr>
    </w:p>
    <w:p w14:paraId="1A80D7C8" w14:textId="5BE2E0C2" w:rsidR="00852F67" w:rsidRPr="00AF4759" w:rsidRDefault="00852F67" w:rsidP="00135774">
      <w:pPr>
        <w:spacing w:line="276" w:lineRule="auto"/>
        <w:jc w:val="both"/>
      </w:pPr>
    </w:p>
    <w:p w14:paraId="29D548CC" w14:textId="7656772C" w:rsidR="00852F67" w:rsidRPr="00AF4759" w:rsidRDefault="00852F67" w:rsidP="00135774">
      <w:pPr>
        <w:spacing w:line="276" w:lineRule="auto"/>
        <w:jc w:val="both"/>
      </w:pPr>
    </w:p>
    <w:p w14:paraId="6E26D49C" w14:textId="62B747CD" w:rsidR="00852F67" w:rsidRPr="00AF4759" w:rsidRDefault="00852F67" w:rsidP="00135774">
      <w:pPr>
        <w:spacing w:line="276" w:lineRule="auto"/>
        <w:jc w:val="both"/>
      </w:pPr>
    </w:p>
    <w:p w14:paraId="2C4A694D" w14:textId="3DB6830B" w:rsidR="00852F67" w:rsidRPr="00AF4759" w:rsidRDefault="00852F67" w:rsidP="00135774">
      <w:pPr>
        <w:spacing w:line="276" w:lineRule="auto"/>
        <w:jc w:val="both"/>
      </w:pPr>
    </w:p>
    <w:p w14:paraId="626D7342" w14:textId="77777777" w:rsidR="00852F67" w:rsidRPr="00AF4759" w:rsidRDefault="00852F67" w:rsidP="00135774">
      <w:pPr>
        <w:spacing w:line="276" w:lineRule="auto"/>
        <w:jc w:val="both"/>
        <w:sectPr w:rsidR="00852F67" w:rsidRPr="00AF4759" w:rsidSect="00781A6A">
          <w:pgSz w:w="16838" w:h="11906" w:orient="landscape"/>
          <w:pgMar w:top="1440" w:right="1440" w:bottom="1440" w:left="1440" w:header="708" w:footer="708" w:gutter="0"/>
          <w:cols w:space="708"/>
          <w:docGrid w:linePitch="360"/>
        </w:sectPr>
      </w:pPr>
    </w:p>
    <w:tbl>
      <w:tblPr>
        <w:tblW w:w="6800" w:type="dxa"/>
        <w:tblInd w:w="1104" w:type="dxa"/>
        <w:tblLook w:val="04A0" w:firstRow="1" w:lastRow="0" w:firstColumn="1" w:lastColumn="0" w:noHBand="0" w:noVBand="1"/>
      </w:tblPr>
      <w:tblGrid>
        <w:gridCol w:w="1720"/>
        <w:gridCol w:w="1780"/>
        <w:gridCol w:w="1716"/>
        <w:gridCol w:w="1584"/>
      </w:tblGrid>
      <w:tr w:rsidR="00852F67" w:rsidRPr="00AF4759" w14:paraId="7A9ABAB5" w14:textId="77777777" w:rsidTr="00781A6A">
        <w:trPr>
          <w:trHeight w:val="288"/>
        </w:trPr>
        <w:tc>
          <w:tcPr>
            <w:tcW w:w="172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49A8A8A8" w14:textId="77777777" w:rsidR="00852F67" w:rsidRPr="00AF4759" w:rsidRDefault="00852F67" w:rsidP="00781A6A">
            <w:pPr>
              <w:jc w:val="center"/>
              <w:rPr>
                <w:rFonts w:eastAsia="Times New Roman"/>
                <w:b/>
                <w:bCs/>
                <w:color w:val="000000"/>
                <w:sz w:val="20"/>
                <w:szCs w:val="20"/>
                <w:lang w:eastAsia="en-AU"/>
              </w:rPr>
            </w:pPr>
            <w:r w:rsidRPr="00AF4759">
              <w:rPr>
                <w:rFonts w:eastAsia="Times New Roman"/>
                <w:b/>
                <w:bCs/>
                <w:color w:val="000000"/>
                <w:sz w:val="20"/>
                <w:szCs w:val="20"/>
                <w:lang w:eastAsia="en-AU"/>
              </w:rPr>
              <w:t xml:space="preserve">Sample </w:t>
            </w:r>
          </w:p>
          <w:p w14:paraId="665B0DAB" w14:textId="3F9899FC" w:rsidR="00852F67" w:rsidRPr="00AF4759" w:rsidRDefault="00852F67" w:rsidP="00781A6A">
            <w:pPr>
              <w:jc w:val="center"/>
              <w:rPr>
                <w:rFonts w:eastAsia="Times New Roman"/>
                <w:b/>
                <w:bCs/>
                <w:color w:val="000000"/>
                <w:sz w:val="20"/>
                <w:szCs w:val="20"/>
                <w:lang w:eastAsia="en-AU"/>
              </w:rPr>
            </w:pPr>
            <w:r w:rsidRPr="00AF4759">
              <w:rPr>
                <w:rFonts w:eastAsia="Times New Roman"/>
                <w:b/>
                <w:bCs/>
                <w:color w:val="000000"/>
                <w:sz w:val="20"/>
                <w:szCs w:val="20"/>
                <w:lang w:eastAsia="en-AU"/>
              </w:rPr>
              <w:t>(</w:t>
            </w:r>
            <w:r w:rsidR="00923D79" w:rsidRPr="00AF4759">
              <w:rPr>
                <w:rFonts w:eastAsia="Times New Roman"/>
                <w:b/>
                <w:bCs/>
                <w:color w:val="000000"/>
                <w:sz w:val="20"/>
                <w:szCs w:val="20"/>
                <w:lang w:eastAsia="en-AU"/>
              </w:rPr>
              <w:t>CN</w:t>
            </w:r>
            <w:r w:rsidRPr="00AF4759">
              <w:rPr>
                <w:rFonts w:eastAsia="Times New Roman"/>
                <w:b/>
                <w:bCs/>
                <w:color w:val="000000"/>
                <w:sz w:val="20"/>
                <w:szCs w:val="20"/>
                <w:lang w:eastAsia="en-AU"/>
              </w:rPr>
              <w:t>)</w:t>
            </w:r>
          </w:p>
        </w:tc>
        <w:tc>
          <w:tcPr>
            <w:tcW w:w="1780" w:type="dxa"/>
            <w:vMerge w:val="restart"/>
            <w:tcBorders>
              <w:top w:val="single" w:sz="4" w:space="0" w:color="auto"/>
              <w:left w:val="single" w:sz="4" w:space="0" w:color="auto"/>
              <w:bottom w:val="single" w:sz="4" w:space="0" w:color="000000"/>
              <w:right w:val="nil"/>
            </w:tcBorders>
            <w:shd w:val="clear" w:color="000000" w:fill="FFFFFF"/>
            <w:noWrap/>
            <w:vAlign w:val="center"/>
            <w:hideMark/>
          </w:tcPr>
          <w:p w14:paraId="4E2854C1" w14:textId="77777777" w:rsidR="00852F67" w:rsidRPr="00AF4759" w:rsidRDefault="00852F67" w:rsidP="00781A6A">
            <w:pPr>
              <w:jc w:val="center"/>
              <w:rPr>
                <w:rFonts w:eastAsia="Times New Roman"/>
                <w:b/>
                <w:bCs/>
                <w:color w:val="000000"/>
                <w:sz w:val="20"/>
                <w:szCs w:val="20"/>
                <w:lang w:eastAsia="en-AU"/>
              </w:rPr>
            </w:pPr>
            <w:r w:rsidRPr="00AF4759">
              <w:rPr>
                <w:rFonts w:eastAsia="Times New Roman"/>
                <w:b/>
                <w:bCs/>
                <w:color w:val="000000"/>
                <w:sz w:val="20"/>
                <w:szCs w:val="20"/>
                <w:lang w:eastAsia="en-AU"/>
              </w:rPr>
              <w:t>β Dr (</w:t>
            </w:r>
            <w:proofErr w:type="spellStart"/>
            <w:r w:rsidRPr="00AF4759">
              <w:rPr>
                <w:rFonts w:eastAsia="Times New Roman"/>
                <w:b/>
                <w:bCs/>
                <w:color w:val="000000"/>
                <w:sz w:val="20"/>
                <w:szCs w:val="20"/>
                <w:lang w:eastAsia="en-AU"/>
              </w:rPr>
              <w:t>Gy</w:t>
            </w:r>
            <w:proofErr w:type="spellEnd"/>
            <w:r w:rsidRPr="00AF4759">
              <w:rPr>
                <w:rFonts w:eastAsia="Times New Roman"/>
                <w:b/>
                <w:bCs/>
                <w:color w:val="000000"/>
                <w:sz w:val="20"/>
                <w:szCs w:val="20"/>
                <w:lang w:eastAsia="en-AU"/>
              </w:rPr>
              <w:t>/ka)</w:t>
            </w:r>
          </w:p>
        </w:tc>
        <w:tc>
          <w:tcPr>
            <w:tcW w:w="3300"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7C483EB6" w14:textId="77777777" w:rsidR="00852F67" w:rsidRPr="00AF4759" w:rsidRDefault="00852F67" w:rsidP="00781A6A">
            <w:pPr>
              <w:jc w:val="center"/>
              <w:rPr>
                <w:rFonts w:eastAsia="Times New Roman"/>
                <w:b/>
                <w:bCs/>
                <w:color w:val="000000"/>
                <w:sz w:val="20"/>
                <w:szCs w:val="20"/>
                <w:lang w:eastAsia="en-AU"/>
              </w:rPr>
            </w:pPr>
            <w:r w:rsidRPr="00AF4759">
              <w:rPr>
                <w:rFonts w:eastAsia="Times New Roman"/>
                <w:b/>
                <w:bCs/>
                <w:color w:val="000000"/>
                <w:sz w:val="20"/>
                <w:szCs w:val="20"/>
                <w:lang w:eastAsia="en-AU"/>
              </w:rPr>
              <w:t>γ Dr (</w:t>
            </w:r>
            <w:proofErr w:type="spellStart"/>
            <w:r w:rsidRPr="00AF4759">
              <w:rPr>
                <w:rFonts w:eastAsia="Times New Roman"/>
                <w:b/>
                <w:bCs/>
                <w:color w:val="000000"/>
                <w:sz w:val="20"/>
                <w:szCs w:val="20"/>
                <w:lang w:eastAsia="en-AU"/>
              </w:rPr>
              <w:t>Gy</w:t>
            </w:r>
            <w:proofErr w:type="spellEnd"/>
            <w:r w:rsidRPr="00AF4759">
              <w:rPr>
                <w:rFonts w:eastAsia="Times New Roman"/>
                <w:b/>
                <w:bCs/>
                <w:color w:val="000000"/>
                <w:sz w:val="20"/>
                <w:szCs w:val="20"/>
                <w:lang w:eastAsia="en-AU"/>
              </w:rPr>
              <w:t>/ka)</w:t>
            </w:r>
          </w:p>
        </w:tc>
      </w:tr>
      <w:tr w:rsidR="00852F67" w:rsidRPr="00AF4759" w14:paraId="4BE03A1C" w14:textId="77777777" w:rsidTr="00781A6A">
        <w:trPr>
          <w:trHeight w:val="288"/>
        </w:trPr>
        <w:tc>
          <w:tcPr>
            <w:tcW w:w="1720" w:type="dxa"/>
            <w:vMerge/>
            <w:tcBorders>
              <w:top w:val="single" w:sz="4" w:space="0" w:color="auto"/>
              <w:left w:val="single" w:sz="4" w:space="0" w:color="auto"/>
              <w:bottom w:val="single" w:sz="4" w:space="0" w:color="000000"/>
              <w:right w:val="single" w:sz="4" w:space="0" w:color="auto"/>
            </w:tcBorders>
            <w:vAlign w:val="center"/>
            <w:hideMark/>
          </w:tcPr>
          <w:p w14:paraId="1CF9B5DB" w14:textId="77777777" w:rsidR="00852F67" w:rsidRPr="00AF4759" w:rsidRDefault="00852F67" w:rsidP="00781A6A">
            <w:pPr>
              <w:jc w:val="center"/>
              <w:rPr>
                <w:rFonts w:eastAsia="Times New Roman"/>
                <w:b/>
                <w:bCs/>
                <w:color w:val="000000"/>
                <w:sz w:val="20"/>
                <w:szCs w:val="20"/>
                <w:lang w:eastAsia="en-AU"/>
              </w:rPr>
            </w:pPr>
          </w:p>
        </w:tc>
        <w:tc>
          <w:tcPr>
            <w:tcW w:w="1780" w:type="dxa"/>
            <w:vMerge/>
            <w:tcBorders>
              <w:top w:val="single" w:sz="4" w:space="0" w:color="auto"/>
              <w:left w:val="single" w:sz="4" w:space="0" w:color="auto"/>
              <w:bottom w:val="single" w:sz="4" w:space="0" w:color="000000"/>
              <w:right w:val="nil"/>
            </w:tcBorders>
            <w:vAlign w:val="center"/>
            <w:hideMark/>
          </w:tcPr>
          <w:p w14:paraId="32C24F07" w14:textId="77777777" w:rsidR="00852F67" w:rsidRPr="00AF4759" w:rsidRDefault="00852F67" w:rsidP="00781A6A">
            <w:pPr>
              <w:jc w:val="center"/>
              <w:rPr>
                <w:rFonts w:eastAsia="Times New Roman"/>
                <w:b/>
                <w:bCs/>
                <w:color w:val="000000"/>
                <w:sz w:val="20"/>
                <w:szCs w:val="20"/>
                <w:lang w:eastAsia="en-AU"/>
              </w:rPr>
            </w:pPr>
          </w:p>
        </w:tc>
        <w:tc>
          <w:tcPr>
            <w:tcW w:w="1716" w:type="dxa"/>
            <w:tcBorders>
              <w:top w:val="nil"/>
              <w:left w:val="nil"/>
              <w:bottom w:val="single" w:sz="4" w:space="0" w:color="auto"/>
              <w:right w:val="nil"/>
            </w:tcBorders>
            <w:shd w:val="clear" w:color="000000" w:fill="FFFFFF"/>
            <w:noWrap/>
            <w:vAlign w:val="center"/>
            <w:hideMark/>
          </w:tcPr>
          <w:p w14:paraId="635E896C" w14:textId="77777777" w:rsidR="00852F67" w:rsidRPr="00AF4759" w:rsidRDefault="00852F67" w:rsidP="00781A6A">
            <w:pPr>
              <w:jc w:val="center"/>
              <w:rPr>
                <w:rFonts w:eastAsia="Times New Roman"/>
                <w:b/>
                <w:bCs/>
                <w:color w:val="000000"/>
                <w:sz w:val="20"/>
                <w:szCs w:val="20"/>
                <w:lang w:eastAsia="en-AU"/>
              </w:rPr>
            </w:pPr>
            <w:proofErr w:type="spellStart"/>
            <w:r w:rsidRPr="00AF4759">
              <w:rPr>
                <w:rFonts w:eastAsia="Times New Roman"/>
                <w:b/>
                <w:bCs/>
                <w:color w:val="000000"/>
                <w:sz w:val="20"/>
                <w:szCs w:val="20"/>
                <w:lang w:eastAsia="en-AU"/>
              </w:rPr>
              <w:t>Unmodelled</w:t>
            </w:r>
            <w:proofErr w:type="spellEnd"/>
          </w:p>
        </w:tc>
        <w:tc>
          <w:tcPr>
            <w:tcW w:w="1584" w:type="dxa"/>
            <w:tcBorders>
              <w:top w:val="nil"/>
              <w:left w:val="nil"/>
              <w:bottom w:val="single" w:sz="4" w:space="0" w:color="auto"/>
              <w:right w:val="single" w:sz="4" w:space="0" w:color="auto"/>
            </w:tcBorders>
            <w:shd w:val="clear" w:color="000000" w:fill="FFFFFF"/>
            <w:noWrap/>
            <w:vAlign w:val="center"/>
            <w:hideMark/>
          </w:tcPr>
          <w:p w14:paraId="3CCAD1D2" w14:textId="77777777" w:rsidR="00852F67" w:rsidRPr="00AF4759" w:rsidRDefault="00852F67" w:rsidP="00781A6A">
            <w:pPr>
              <w:jc w:val="center"/>
              <w:rPr>
                <w:rFonts w:eastAsia="Times New Roman"/>
                <w:b/>
                <w:bCs/>
                <w:color w:val="000000"/>
                <w:sz w:val="20"/>
                <w:szCs w:val="20"/>
                <w:lang w:eastAsia="en-AU"/>
              </w:rPr>
            </w:pPr>
            <w:r w:rsidRPr="00AF4759">
              <w:rPr>
                <w:rFonts w:eastAsia="Times New Roman"/>
                <w:b/>
                <w:bCs/>
                <w:color w:val="000000"/>
                <w:sz w:val="20"/>
                <w:szCs w:val="20"/>
                <w:lang w:eastAsia="en-AU"/>
              </w:rPr>
              <w:t>Modelled</w:t>
            </w:r>
          </w:p>
        </w:tc>
      </w:tr>
      <w:tr w:rsidR="00852F67" w:rsidRPr="00AF4759" w14:paraId="7D89F39A" w14:textId="77777777" w:rsidTr="00781A6A">
        <w:trPr>
          <w:trHeight w:val="288"/>
        </w:trPr>
        <w:tc>
          <w:tcPr>
            <w:tcW w:w="1720" w:type="dxa"/>
            <w:tcBorders>
              <w:top w:val="nil"/>
              <w:left w:val="single" w:sz="4" w:space="0" w:color="auto"/>
              <w:bottom w:val="nil"/>
              <w:right w:val="single" w:sz="4" w:space="0" w:color="auto"/>
            </w:tcBorders>
            <w:shd w:val="clear" w:color="000000" w:fill="FFFFFF"/>
            <w:noWrap/>
            <w:vAlign w:val="bottom"/>
            <w:hideMark/>
          </w:tcPr>
          <w:p w14:paraId="74220F52" w14:textId="77777777" w:rsidR="00852F67" w:rsidRPr="00AF4759" w:rsidRDefault="00852F67" w:rsidP="00781A6A">
            <w:pPr>
              <w:jc w:val="center"/>
              <w:rPr>
                <w:rFonts w:eastAsia="Times New Roman"/>
                <w:color w:val="000000"/>
                <w:sz w:val="20"/>
                <w:szCs w:val="20"/>
                <w:lang w:eastAsia="en-AU"/>
              </w:rPr>
            </w:pPr>
            <w:r w:rsidRPr="00AF4759">
              <w:rPr>
                <w:rFonts w:eastAsia="Times New Roman"/>
                <w:color w:val="000000"/>
                <w:sz w:val="20"/>
                <w:szCs w:val="20"/>
                <w:lang w:eastAsia="en-AU"/>
              </w:rPr>
              <w:t>311</w:t>
            </w:r>
          </w:p>
        </w:tc>
        <w:tc>
          <w:tcPr>
            <w:tcW w:w="1780" w:type="dxa"/>
            <w:tcBorders>
              <w:top w:val="nil"/>
              <w:left w:val="nil"/>
              <w:bottom w:val="nil"/>
              <w:right w:val="nil"/>
            </w:tcBorders>
            <w:shd w:val="clear" w:color="000000" w:fill="FFFFFF"/>
            <w:noWrap/>
            <w:vAlign w:val="center"/>
            <w:hideMark/>
          </w:tcPr>
          <w:p w14:paraId="59B2C41C" w14:textId="77777777" w:rsidR="00852F67" w:rsidRPr="00AF4759" w:rsidRDefault="00852F67" w:rsidP="00781A6A">
            <w:pPr>
              <w:jc w:val="center"/>
              <w:rPr>
                <w:rFonts w:eastAsia="Times New Roman"/>
                <w:color w:val="000000"/>
                <w:sz w:val="20"/>
                <w:szCs w:val="20"/>
                <w:lang w:eastAsia="en-AU"/>
              </w:rPr>
            </w:pPr>
            <w:r w:rsidRPr="00AF4759">
              <w:rPr>
                <w:rFonts w:eastAsia="Times New Roman"/>
                <w:color w:val="000000"/>
                <w:sz w:val="20"/>
                <w:szCs w:val="20"/>
                <w:lang w:eastAsia="en-AU"/>
              </w:rPr>
              <w:t>1.06 ± 0.04</w:t>
            </w:r>
          </w:p>
        </w:tc>
        <w:tc>
          <w:tcPr>
            <w:tcW w:w="1716" w:type="dxa"/>
            <w:tcBorders>
              <w:top w:val="nil"/>
              <w:left w:val="nil"/>
              <w:bottom w:val="nil"/>
              <w:right w:val="nil"/>
            </w:tcBorders>
            <w:shd w:val="clear" w:color="000000" w:fill="FFFFFF"/>
            <w:noWrap/>
            <w:vAlign w:val="center"/>
            <w:hideMark/>
          </w:tcPr>
          <w:p w14:paraId="3A1A41CF" w14:textId="77777777" w:rsidR="00852F67" w:rsidRPr="00AF4759" w:rsidRDefault="00852F67" w:rsidP="00781A6A">
            <w:pPr>
              <w:jc w:val="center"/>
              <w:rPr>
                <w:rFonts w:eastAsia="Times New Roman"/>
                <w:color w:val="000000"/>
                <w:sz w:val="20"/>
                <w:szCs w:val="20"/>
                <w:lang w:eastAsia="en-AU"/>
              </w:rPr>
            </w:pPr>
            <w:r w:rsidRPr="00AF4759">
              <w:rPr>
                <w:rFonts w:eastAsia="Times New Roman"/>
                <w:color w:val="000000"/>
                <w:sz w:val="20"/>
                <w:szCs w:val="20"/>
                <w:lang w:eastAsia="en-AU"/>
              </w:rPr>
              <w:t>1.21 ± 0.04</w:t>
            </w:r>
          </w:p>
        </w:tc>
        <w:tc>
          <w:tcPr>
            <w:tcW w:w="1584" w:type="dxa"/>
            <w:tcBorders>
              <w:top w:val="nil"/>
              <w:left w:val="nil"/>
              <w:bottom w:val="nil"/>
              <w:right w:val="single" w:sz="4" w:space="0" w:color="auto"/>
            </w:tcBorders>
            <w:shd w:val="clear" w:color="000000" w:fill="FFFFFF"/>
            <w:noWrap/>
            <w:vAlign w:val="center"/>
            <w:hideMark/>
          </w:tcPr>
          <w:p w14:paraId="1C5B81A9" w14:textId="77777777" w:rsidR="00852F67" w:rsidRPr="00AF4759" w:rsidRDefault="00852F67" w:rsidP="00781A6A">
            <w:pPr>
              <w:jc w:val="center"/>
              <w:rPr>
                <w:rFonts w:eastAsia="Times New Roman"/>
                <w:color w:val="000000"/>
                <w:sz w:val="20"/>
                <w:szCs w:val="20"/>
                <w:lang w:eastAsia="en-AU"/>
              </w:rPr>
            </w:pPr>
            <w:r w:rsidRPr="00AF4759">
              <w:rPr>
                <w:rFonts w:eastAsia="Times New Roman"/>
                <w:color w:val="000000"/>
                <w:sz w:val="20"/>
                <w:szCs w:val="20"/>
                <w:lang w:eastAsia="en-AU"/>
              </w:rPr>
              <w:t>1.07 ± 0.03</w:t>
            </w:r>
          </w:p>
        </w:tc>
      </w:tr>
      <w:tr w:rsidR="00852F67" w:rsidRPr="00AF4759" w14:paraId="3DD090E2" w14:textId="77777777" w:rsidTr="00781A6A">
        <w:trPr>
          <w:trHeight w:val="288"/>
        </w:trPr>
        <w:tc>
          <w:tcPr>
            <w:tcW w:w="1720" w:type="dxa"/>
            <w:tcBorders>
              <w:top w:val="nil"/>
              <w:left w:val="single" w:sz="4" w:space="0" w:color="auto"/>
              <w:bottom w:val="nil"/>
              <w:right w:val="single" w:sz="4" w:space="0" w:color="auto"/>
            </w:tcBorders>
            <w:shd w:val="clear" w:color="000000" w:fill="FFFFFF"/>
            <w:noWrap/>
            <w:vAlign w:val="bottom"/>
            <w:hideMark/>
          </w:tcPr>
          <w:p w14:paraId="30535887" w14:textId="77777777" w:rsidR="00852F67" w:rsidRPr="00AF4759" w:rsidRDefault="00852F67" w:rsidP="00781A6A">
            <w:pPr>
              <w:jc w:val="center"/>
              <w:rPr>
                <w:rFonts w:eastAsia="Times New Roman"/>
                <w:color w:val="000000"/>
                <w:sz w:val="20"/>
                <w:szCs w:val="20"/>
                <w:lang w:eastAsia="en-AU"/>
              </w:rPr>
            </w:pPr>
            <w:r w:rsidRPr="00AF4759">
              <w:rPr>
                <w:rFonts w:eastAsia="Times New Roman"/>
                <w:color w:val="000000"/>
                <w:sz w:val="20"/>
                <w:szCs w:val="20"/>
                <w:lang w:eastAsia="en-AU"/>
              </w:rPr>
              <w:t>310</w:t>
            </w:r>
          </w:p>
        </w:tc>
        <w:tc>
          <w:tcPr>
            <w:tcW w:w="1780" w:type="dxa"/>
            <w:tcBorders>
              <w:top w:val="nil"/>
              <w:left w:val="nil"/>
              <w:bottom w:val="nil"/>
              <w:right w:val="nil"/>
            </w:tcBorders>
            <w:shd w:val="clear" w:color="000000" w:fill="FFFFFF"/>
            <w:noWrap/>
            <w:vAlign w:val="center"/>
            <w:hideMark/>
          </w:tcPr>
          <w:p w14:paraId="0877F702" w14:textId="77777777" w:rsidR="00852F67" w:rsidRPr="00AF4759" w:rsidRDefault="00852F67" w:rsidP="00781A6A">
            <w:pPr>
              <w:jc w:val="center"/>
              <w:rPr>
                <w:rFonts w:eastAsia="Times New Roman"/>
                <w:color w:val="000000"/>
                <w:sz w:val="20"/>
                <w:szCs w:val="20"/>
                <w:lang w:eastAsia="en-AU"/>
              </w:rPr>
            </w:pPr>
            <w:r w:rsidRPr="00AF4759">
              <w:rPr>
                <w:rFonts w:eastAsia="Times New Roman"/>
                <w:color w:val="000000"/>
                <w:sz w:val="20"/>
                <w:szCs w:val="20"/>
                <w:lang w:eastAsia="en-AU"/>
              </w:rPr>
              <w:t>0.89 ± 0.04</w:t>
            </w:r>
          </w:p>
        </w:tc>
        <w:tc>
          <w:tcPr>
            <w:tcW w:w="1716" w:type="dxa"/>
            <w:tcBorders>
              <w:top w:val="nil"/>
              <w:left w:val="nil"/>
              <w:bottom w:val="nil"/>
              <w:right w:val="nil"/>
            </w:tcBorders>
            <w:shd w:val="clear" w:color="000000" w:fill="FFFFFF"/>
            <w:noWrap/>
            <w:vAlign w:val="center"/>
            <w:hideMark/>
          </w:tcPr>
          <w:p w14:paraId="7D4BB188" w14:textId="77777777" w:rsidR="00852F67" w:rsidRPr="00AF4759" w:rsidRDefault="00852F67" w:rsidP="00781A6A">
            <w:pPr>
              <w:jc w:val="center"/>
              <w:rPr>
                <w:rFonts w:eastAsia="Times New Roman"/>
                <w:color w:val="000000"/>
                <w:sz w:val="20"/>
                <w:szCs w:val="20"/>
                <w:lang w:eastAsia="en-AU"/>
              </w:rPr>
            </w:pPr>
            <w:r w:rsidRPr="00AF4759">
              <w:rPr>
                <w:rFonts w:eastAsia="Times New Roman"/>
                <w:color w:val="000000"/>
                <w:sz w:val="20"/>
                <w:szCs w:val="20"/>
                <w:lang w:eastAsia="en-AU"/>
              </w:rPr>
              <w:t>0.95 ± 0.04</w:t>
            </w:r>
          </w:p>
        </w:tc>
        <w:tc>
          <w:tcPr>
            <w:tcW w:w="1584" w:type="dxa"/>
            <w:tcBorders>
              <w:top w:val="nil"/>
              <w:left w:val="nil"/>
              <w:bottom w:val="nil"/>
              <w:right w:val="single" w:sz="4" w:space="0" w:color="auto"/>
            </w:tcBorders>
            <w:shd w:val="clear" w:color="000000" w:fill="FFFFFF"/>
            <w:noWrap/>
            <w:vAlign w:val="center"/>
            <w:hideMark/>
          </w:tcPr>
          <w:p w14:paraId="5BE6BC3E" w14:textId="77777777" w:rsidR="00852F67" w:rsidRPr="00AF4759" w:rsidRDefault="00852F67" w:rsidP="00781A6A">
            <w:pPr>
              <w:jc w:val="center"/>
              <w:rPr>
                <w:rFonts w:eastAsia="Times New Roman"/>
                <w:color w:val="000000"/>
                <w:sz w:val="20"/>
                <w:szCs w:val="20"/>
                <w:lang w:eastAsia="en-AU"/>
              </w:rPr>
            </w:pPr>
            <w:r w:rsidRPr="00AF4759">
              <w:rPr>
                <w:rFonts w:eastAsia="Times New Roman"/>
                <w:color w:val="000000"/>
                <w:sz w:val="20"/>
                <w:szCs w:val="20"/>
                <w:lang w:eastAsia="en-AU"/>
              </w:rPr>
              <w:t>0.98 ± 0.04</w:t>
            </w:r>
          </w:p>
        </w:tc>
      </w:tr>
      <w:tr w:rsidR="00852F67" w:rsidRPr="00AF4759" w14:paraId="636BB492" w14:textId="77777777" w:rsidTr="00781A6A">
        <w:trPr>
          <w:trHeight w:val="288"/>
        </w:trPr>
        <w:tc>
          <w:tcPr>
            <w:tcW w:w="1720" w:type="dxa"/>
            <w:tcBorders>
              <w:top w:val="nil"/>
              <w:left w:val="single" w:sz="4" w:space="0" w:color="auto"/>
              <w:bottom w:val="nil"/>
              <w:right w:val="single" w:sz="4" w:space="0" w:color="auto"/>
            </w:tcBorders>
            <w:shd w:val="clear" w:color="000000" w:fill="FFFFFF"/>
            <w:noWrap/>
            <w:vAlign w:val="bottom"/>
            <w:hideMark/>
          </w:tcPr>
          <w:p w14:paraId="0552F955" w14:textId="77777777" w:rsidR="00852F67" w:rsidRPr="00AF4759" w:rsidRDefault="00852F67" w:rsidP="00781A6A">
            <w:pPr>
              <w:jc w:val="center"/>
              <w:rPr>
                <w:rFonts w:eastAsia="Times New Roman"/>
                <w:color w:val="000000"/>
                <w:sz w:val="20"/>
                <w:szCs w:val="20"/>
                <w:lang w:eastAsia="en-AU"/>
              </w:rPr>
            </w:pPr>
            <w:r w:rsidRPr="00AF4759">
              <w:rPr>
                <w:rFonts w:eastAsia="Times New Roman"/>
                <w:color w:val="000000"/>
                <w:sz w:val="20"/>
                <w:szCs w:val="20"/>
                <w:lang w:eastAsia="en-AU"/>
              </w:rPr>
              <w:t>309</w:t>
            </w:r>
          </w:p>
        </w:tc>
        <w:tc>
          <w:tcPr>
            <w:tcW w:w="1780" w:type="dxa"/>
            <w:tcBorders>
              <w:top w:val="nil"/>
              <w:left w:val="nil"/>
              <w:bottom w:val="nil"/>
              <w:right w:val="nil"/>
            </w:tcBorders>
            <w:shd w:val="clear" w:color="000000" w:fill="FFFFFF"/>
            <w:noWrap/>
            <w:vAlign w:val="center"/>
            <w:hideMark/>
          </w:tcPr>
          <w:p w14:paraId="5B33F371" w14:textId="77777777" w:rsidR="00852F67" w:rsidRPr="00AF4759" w:rsidRDefault="00852F67" w:rsidP="00781A6A">
            <w:pPr>
              <w:jc w:val="center"/>
              <w:rPr>
                <w:rFonts w:eastAsia="Times New Roman"/>
                <w:color w:val="000000"/>
                <w:sz w:val="20"/>
                <w:szCs w:val="20"/>
                <w:lang w:eastAsia="en-AU"/>
              </w:rPr>
            </w:pPr>
            <w:r w:rsidRPr="00AF4759">
              <w:rPr>
                <w:rFonts w:eastAsia="Times New Roman"/>
                <w:color w:val="000000"/>
                <w:sz w:val="20"/>
                <w:szCs w:val="20"/>
                <w:lang w:eastAsia="en-AU"/>
              </w:rPr>
              <w:t>0.93 ± 0.05</w:t>
            </w:r>
          </w:p>
        </w:tc>
        <w:tc>
          <w:tcPr>
            <w:tcW w:w="1716" w:type="dxa"/>
            <w:tcBorders>
              <w:top w:val="nil"/>
              <w:left w:val="nil"/>
              <w:bottom w:val="nil"/>
              <w:right w:val="nil"/>
            </w:tcBorders>
            <w:shd w:val="clear" w:color="000000" w:fill="FFFFFF"/>
            <w:noWrap/>
            <w:vAlign w:val="center"/>
            <w:hideMark/>
          </w:tcPr>
          <w:p w14:paraId="730F0D6A" w14:textId="77777777" w:rsidR="00852F67" w:rsidRPr="00AF4759" w:rsidRDefault="00852F67" w:rsidP="00781A6A">
            <w:pPr>
              <w:jc w:val="center"/>
              <w:rPr>
                <w:rFonts w:eastAsia="Times New Roman"/>
                <w:color w:val="000000"/>
                <w:sz w:val="20"/>
                <w:szCs w:val="20"/>
                <w:lang w:eastAsia="en-AU"/>
              </w:rPr>
            </w:pPr>
            <w:r w:rsidRPr="00AF4759">
              <w:rPr>
                <w:rFonts w:eastAsia="Times New Roman"/>
                <w:color w:val="000000"/>
                <w:sz w:val="20"/>
                <w:szCs w:val="20"/>
                <w:lang w:eastAsia="en-AU"/>
              </w:rPr>
              <w:t>0.97 ± 0.05</w:t>
            </w:r>
          </w:p>
        </w:tc>
        <w:tc>
          <w:tcPr>
            <w:tcW w:w="1584" w:type="dxa"/>
            <w:tcBorders>
              <w:top w:val="nil"/>
              <w:left w:val="nil"/>
              <w:bottom w:val="nil"/>
              <w:right w:val="single" w:sz="4" w:space="0" w:color="auto"/>
            </w:tcBorders>
            <w:shd w:val="clear" w:color="000000" w:fill="FFFFFF"/>
            <w:noWrap/>
            <w:vAlign w:val="center"/>
            <w:hideMark/>
          </w:tcPr>
          <w:p w14:paraId="238293C5" w14:textId="77777777" w:rsidR="00852F67" w:rsidRPr="00AF4759" w:rsidRDefault="00852F67" w:rsidP="00781A6A">
            <w:pPr>
              <w:jc w:val="center"/>
              <w:rPr>
                <w:rFonts w:eastAsia="Times New Roman"/>
                <w:color w:val="000000"/>
                <w:sz w:val="20"/>
                <w:szCs w:val="20"/>
                <w:lang w:eastAsia="en-AU"/>
              </w:rPr>
            </w:pPr>
            <w:r w:rsidRPr="00AF4759">
              <w:rPr>
                <w:rFonts w:eastAsia="Times New Roman"/>
                <w:color w:val="000000"/>
                <w:sz w:val="20"/>
                <w:szCs w:val="20"/>
                <w:lang w:eastAsia="en-AU"/>
              </w:rPr>
              <w:t>0.99 ± 0.04</w:t>
            </w:r>
          </w:p>
        </w:tc>
      </w:tr>
      <w:tr w:rsidR="00852F67" w:rsidRPr="00AF4759" w14:paraId="0174DB05" w14:textId="77777777" w:rsidTr="00781A6A">
        <w:trPr>
          <w:trHeight w:val="288"/>
        </w:trPr>
        <w:tc>
          <w:tcPr>
            <w:tcW w:w="1720" w:type="dxa"/>
            <w:tcBorders>
              <w:top w:val="nil"/>
              <w:left w:val="single" w:sz="4" w:space="0" w:color="auto"/>
              <w:bottom w:val="nil"/>
              <w:right w:val="single" w:sz="4" w:space="0" w:color="auto"/>
            </w:tcBorders>
            <w:shd w:val="clear" w:color="000000" w:fill="FFFFFF"/>
            <w:noWrap/>
            <w:vAlign w:val="bottom"/>
            <w:hideMark/>
          </w:tcPr>
          <w:p w14:paraId="35FB343C" w14:textId="77777777" w:rsidR="00852F67" w:rsidRPr="00AF4759" w:rsidRDefault="00852F67" w:rsidP="00781A6A">
            <w:pPr>
              <w:jc w:val="center"/>
              <w:rPr>
                <w:rFonts w:eastAsia="Times New Roman"/>
                <w:color w:val="000000"/>
                <w:sz w:val="20"/>
                <w:szCs w:val="20"/>
                <w:lang w:eastAsia="en-AU"/>
              </w:rPr>
            </w:pPr>
            <w:r w:rsidRPr="00AF4759">
              <w:rPr>
                <w:rFonts w:eastAsia="Times New Roman"/>
                <w:color w:val="000000"/>
                <w:sz w:val="20"/>
                <w:szCs w:val="20"/>
                <w:lang w:eastAsia="en-AU"/>
              </w:rPr>
              <w:t>308</w:t>
            </w:r>
          </w:p>
        </w:tc>
        <w:tc>
          <w:tcPr>
            <w:tcW w:w="1780" w:type="dxa"/>
            <w:tcBorders>
              <w:top w:val="nil"/>
              <w:left w:val="nil"/>
              <w:bottom w:val="nil"/>
              <w:right w:val="nil"/>
            </w:tcBorders>
            <w:shd w:val="clear" w:color="000000" w:fill="FFFFFF"/>
            <w:noWrap/>
            <w:vAlign w:val="center"/>
            <w:hideMark/>
          </w:tcPr>
          <w:p w14:paraId="010FAA8E" w14:textId="77777777" w:rsidR="00852F67" w:rsidRPr="00AF4759" w:rsidRDefault="00852F67" w:rsidP="00781A6A">
            <w:pPr>
              <w:jc w:val="center"/>
              <w:rPr>
                <w:rFonts w:eastAsia="Times New Roman"/>
                <w:color w:val="000000"/>
                <w:sz w:val="20"/>
                <w:szCs w:val="20"/>
                <w:lang w:eastAsia="en-AU"/>
              </w:rPr>
            </w:pPr>
            <w:r w:rsidRPr="00AF4759">
              <w:rPr>
                <w:rFonts w:eastAsia="Times New Roman"/>
                <w:color w:val="000000"/>
                <w:sz w:val="20"/>
                <w:szCs w:val="20"/>
                <w:lang w:eastAsia="en-AU"/>
              </w:rPr>
              <w:t>0.95 ± 0.05</w:t>
            </w:r>
          </w:p>
        </w:tc>
        <w:tc>
          <w:tcPr>
            <w:tcW w:w="1716" w:type="dxa"/>
            <w:tcBorders>
              <w:top w:val="nil"/>
              <w:left w:val="nil"/>
              <w:bottom w:val="nil"/>
              <w:right w:val="nil"/>
            </w:tcBorders>
            <w:shd w:val="clear" w:color="000000" w:fill="FFFFFF"/>
            <w:noWrap/>
            <w:vAlign w:val="center"/>
            <w:hideMark/>
          </w:tcPr>
          <w:p w14:paraId="510ECB5F" w14:textId="77777777" w:rsidR="00852F67" w:rsidRPr="00AF4759" w:rsidRDefault="00852F67" w:rsidP="00781A6A">
            <w:pPr>
              <w:jc w:val="center"/>
              <w:rPr>
                <w:rFonts w:eastAsia="Times New Roman"/>
                <w:color w:val="000000"/>
                <w:sz w:val="20"/>
                <w:szCs w:val="20"/>
                <w:lang w:eastAsia="en-AU"/>
              </w:rPr>
            </w:pPr>
            <w:r w:rsidRPr="00AF4759">
              <w:rPr>
                <w:rFonts w:eastAsia="Times New Roman"/>
                <w:color w:val="000000"/>
                <w:sz w:val="20"/>
                <w:szCs w:val="20"/>
                <w:lang w:eastAsia="en-AU"/>
              </w:rPr>
              <w:t>1.06 ± 0.05</w:t>
            </w:r>
          </w:p>
        </w:tc>
        <w:tc>
          <w:tcPr>
            <w:tcW w:w="1584" w:type="dxa"/>
            <w:tcBorders>
              <w:top w:val="nil"/>
              <w:left w:val="nil"/>
              <w:bottom w:val="nil"/>
              <w:right w:val="single" w:sz="4" w:space="0" w:color="auto"/>
            </w:tcBorders>
            <w:shd w:val="clear" w:color="000000" w:fill="FFFFFF"/>
            <w:noWrap/>
            <w:vAlign w:val="center"/>
            <w:hideMark/>
          </w:tcPr>
          <w:p w14:paraId="3F9CE7C9" w14:textId="2CF2EAC0" w:rsidR="00852F67" w:rsidRPr="00AF4759" w:rsidRDefault="00852F67" w:rsidP="00781A6A">
            <w:pPr>
              <w:jc w:val="center"/>
              <w:rPr>
                <w:rFonts w:eastAsia="Times New Roman"/>
                <w:color w:val="000000"/>
                <w:sz w:val="20"/>
                <w:szCs w:val="20"/>
                <w:lang w:eastAsia="en-AU"/>
              </w:rPr>
            </w:pPr>
            <w:r w:rsidRPr="00AF4759">
              <w:rPr>
                <w:rFonts w:eastAsia="Times New Roman"/>
                <w:color w:val="000000"/>
                <w:sz w:val="20"/>
                <w:szCs w:val="20"/>
                <w:lang w:eastAsia="en-AU"/>
              </w:rPr>
              <w:t>1.03 ± 0.05</w:t>
            </w:r>
          </w:p>
        </w:tc>
      </w:tr>
      <w:tr w:rsidR="00852F67" w:rsidRPr="00AF4759" w14:paraId="2EEFBDC5" w14:textId="77777777" w:rsidTr="00781A6A">
        <w:trPr>
          <w:trHeight w:val="288"/>
        </w:trPr>
        <w:tc>
          <w:tcPr>
            <w:tcW w:w="1720" w:type="dxa"/>
            <w:tcBorders>
              <w:top w:val="nil"/>
              <w:left w:val="single" w:sz="4" w:space="0" w:color="auto"/>
              <w:bottom w:val="single" w:sz="4" w:space="0" w:color="auto"/>
              <w:right w:val="single" w:sz="4" w:space="0" w:color="auto"/>
            </w:tcBorders>
            <w:shd w:val="clear" w:color="000000" w:fill="FFFFFF"/>
            <w:noWrap/>
            <w:vAlign w:val="bottom"/>
            <w:hideMark/>
          </w:tcPr>
          <w:p w14:paraId="7B030FDA" w14:textId="77777777" w:rsidR="00852F67" w:rsidRPr="00AF4759" w:rsidRDefault="00852F67" w:rsidP="00781A6A">
            <w:pPr>
              <w:jc w:val="center"/>
              <w:rPr>
                <w:rFonts w:eastAsia="Times New Roman"/>
                <w:color w:val="000000"/>
                <w:sz w:val="20"/>
                <w:szCs w:val="20"/>
                <w:lang w:eastAsia="en-AU"/>
              </w:rPr>
            </w:pPr>
            <w:r w:rsidRPr="00AF4759">
              <w:rPr>
                <w:rFonts w:eastAsia="Times New Roman"/>
                <w:color w:val="000000"/>
                <w:sz w:val="20"/>
                <w:szCs w:val="20"/>
                <w:lang w:eastAsia="en-AU"/>
              </w:rPr>
              <w:t>312</w:t>
            </w:r>
          </w:p>
        </w:tc>
        <w:tc>
          <w:tcPr>
            <w:tcW w:w="1780" w:type="dxa"/>
            <w:tcBorders>
              <w:top w:val="nil"/>
              <w:left w:val="nil"/>
              <w:bottom w:val="single" w:sz="4" w:space="0" w:color="auto"/>
              <w:right w:val="nil"/>
            </w:tcBorders>
            <w:shd w:val="clear" w:color="000000" w:fill="FFFFFF"/>
            <w:noWrap/>
            <w:vAlign w:val="center"/>
            <w:hideMark/>
          </w:tcPr>
          <w:p w14:paraId="3F841183" w14:textId="77777777" w:rsidR="00852F67" w:rsidRPr="00AF4759" w:rsidRDefault="00852F67" w:rsidP="00781A6A">
            <w:pPr>
              <w:jc w:val="center"/>
              <w:rPr>
                <w:rFonts w:eastAsia="Times New Roman"/>
                <w:color w:val="000000"/>
                <w:sz w:val="20"/>
                <w:szCs w:val="20"/>
                <w:lang w:eastAsia="en-AU"/>
              </w:rPr>
            </w:pPr>
            <w:r w:rsidRPr="00AF4759">
              <w:rPr>
                <w:rFonts w:eastAsia="Times New Roman"/>
                <w:color w:val="000000"/>
                <w:sz w:val="20"/>
                <w:szCs w:val="20"/>
                <w:lang w:eastAsia="en-AU"/>
              </w:rPr>
              <w:t>1.00 ± 0.05</w:t>
            </w:r>
          </w:p>
        </w:tc>
        <w:tc>
          <w:tcPr>
            <w:tcW w:w="1716" w:type="dxa"/>
            <w:tcBorders>
              <w:top w:val="nil"/>
              <w:left w:val="nil"/>
              <w:bottom w:val="single" w:sz="4" w:space="0" w:color="auto"/>
              <w:right w:val="nil"/>
            </w:tcBorders>
            <w:shd w:val="clear" w:color="000000" w:fill="FFFFFF"/>
            <w:noWrap/>
            <w:vAlign w:val="center"/>
            <w:hideMark/>
          </w:tcPr>
          <w:p w14:paraId="48A0A296" w14:textId="77777777" w:rsidR="00852F67" w:rsidRPr="00AF4759" w:rsidRDefault="00852F67" w:rsidP="00781A6A">
            <w:pPr>
              <w:jc w:val="center"/>
              <w:rPr>
                <w:rFonts w:eastAsia="Times New Roman"/>
                <w:color w:val="000000"/>
                <w:sz w:val="20"/>
                <w:szCs w:val="20"/>
                <w:lang w:eastAsia="en-AU"/>
              </w:rPr>
            </w:pPr>
            <w:r w:rsidRPr="00AF4759">
              <w:rPr>
                <w:rFonts w:eastAsia="Times New Roman"/>
                <w:color w:val="000000"/>
                <w:sz w:val="20"/>
                <w:szCs w:val="20"/>
                <w:lang w:eastAsia="en-AU"/>
              </w:rPr>
              <w:t>1.04 ± 0.06</w:t>
            </w:r>
          </w:p>
        </w:tc>
        <w:tc>
          <w:tcPr>
            <w:tcW w:w="1584" w:type="dxa"/>
            <w:tcBorders>
              <w:top w:val="nil"/>
              <w:left w:val="nil"/>
              <w:bottom w:val="single" w:sz="4" w:space="0" w:color="auto"/>
              <w:right w:val="single" w:sz="4" w:space="0" w:color="auto"/>
            </w:tcBorders>
            <w:shd w:val="clear" w:color="000000" w:fill="FFFFFF"/>
            <w:noWrap/>
            <w:vAlign w:val="center"/>
            <w:hideMark/>
          </w:tcPr>
          <w:p w14:paraId="558A1FB8" w14:textId="7E248ACF" w:rsidR="00852F67" w:rsidRPr="00AF4759" w:rsidRDefault="00852F67" w:rsidP="00781A6A">
            <w:pPr>
              <w:jc w:val="center"/>
              <w:rPr>
                <w:rFonts w:eastAsia="Times New Roman"/>
                <w:color w:val="000000"/>
                <w:sz w:val="20"/>
                <w:szCs w:val="20"/>
                <w:lang w:eastAsia="en-AU"/>
              </w:rPr>
            </w:pPr>
            <w:r w:rsidRPr="00AF4759">
              <w:rPr>
                <w:rFonts w:eastAsia="Times New Roman"/>
                <w:color w:val="000000"/>
                <w:sz w:val="20"/>
                <w:szCs w:val="20"/>
                <w:lang w:eastAsia="en-AU"/>
              </w:rPr>
              <w:t>1.04 ± 0.05</w:t>
            </w:r>
          </w:p>
        </w:tc>
      </w:tr>
      <w:tr w:rsidR="00852F67" w:rsidRPr="00AF4759" w14:paraId="59514080" w14:textId="77777777" w:rsidTr="00781A6A">
        <w:trPr>
          <w:trHeight w:val="288"/>
        </w:trPr>
        <w:tc>
          <w:tcPr>
            <w:tcW w:w="1720" w:type="dxa"/>
            <w:tcBorders>
              <w:top w:val="nil"/>
              <w:left w:val="single" w:sz="4" w:space="0" w:color="auto"/>
              <w:bottom w:val="single" w:sz="4" w:space="0" w:color="auto"/>
              <w:right w:val="single" w:sz="4" w:space="0" w:color="auto"/>
            </w:tcBorders>
            <w:shd w:val="clear" w:color="000000" w:fill="FFFFFF"/>
            <w:noWrap/>
            <w:vAlign w:val="bottom"/>
            <w:hideMark/>
          </w:tcPr>
          <w:p w14:paraId="3E5005EF" w14:textId="1C6029CD" w:rsidR="00852F67" w:rsidRPr="00AF4759" w:rsidRDefault="00C054E5" w:rsidP="00781A6A">
            <w:pPr>
              <w:jc w:val="center"/>
              <w:rPr>
                <w:rFonts w:eastAsia="Times New Roman"/>
                <w:i/>
                <w:color w:val="000000"/>
                <w:sz w:val="20"/>
                <w:szCs w:val="20"/>
                <w:lang w:eastAsia="en-AU"/>
              </w:rPr>
            </w:pPr>
            <w:r w:rsidRPr="00AF4759">
              <w:rPr>
                <w:rFonts w:eastAsia="Times New Roman"/>
                <w:i/>
                <w:color w:val="000000"/>
                <w:sz w:val="20"/>
                <w:szCs w:val="20"/>
                <w:lang w:eastAsia="en-AU"/>
              </w:rPr>
              <w:t>A</w:t>
            </w:r>
            <w:r w:rsidR="00505A7C" w:rsidRPr="00AF4759">
              <w:rPr>
                <w:rFonts w:eastAsia="Times New Roman"/>
                <w:i/>
                <w:color w:val="000000"/>
                <w:sz w:val="20"/>
                <w:szCs w:val="20"/>
                <w:lang w:eastAsia="en-AU"/>
              </w:rPr>
              <w:t>verage</w:t>
            </w:r>
            <w:r w:rsidR="00E00C33" w:rsidRPr="00AF4759">
              <w:rPr>
                <w:rFonts w:eastAsia="Times New Roman"/>
                <w:i/>
                <w:color w:val="000000"/>
                <w:sz w:val="20"/>
                <w:szCs w:val="20"/>
                <w:lang w:eastAsia="en-AU"/>
              </w:rPr>
              <w:t xml:space="preserve"> ratio</w:t>
            </w:r>
          </w:p>
        </w:tc>
        <w:tc>
          <w:tcPr>
            <w:tcW w:w="1780" w:type="dxa"/>
            <w:tcBorders>
              <w:top w:val="nil"/>
              <w:left w:val="nil"/>
              <w:bottom w:val="single" w:sz="4" w:space="0" w:color="auto"/>
              <w:right w:val="nil"/>
            </w:tcBorders>
            <w:shd w:val="clear" w:color="000000" w:fill="FFFFFF"/>
            <w:noWrap/>
            <w:vAlign w:val="center"/>
            <w:hideMark/>
          </w:tcPr>
          <w:p w14:paraId="1F0073B9" w14:textId="5C58201A" w:rsidR="00852F67" w:rsidRPr="00AF4759" w:rsidRDefault="00837759" w:rsidP="00781A6A">
            <w:pPr>
              <w:jc w:val="center"/>
              <w:rPr>
                <w:rFonts w:eastAsia="Times New Roman"/>
                <w:i/>
                <w:color w:val="000000"/>
                <w:sz w:val="20"/>
                <w:szCs w:val="20"/>
                <w:lang w:eastAsia="en-AU"/>
              </w:rPr>
            </w:pPr>
            <w:r w:rsidRPr="00AF4759">
              <w:rPr>
                <w:rFonts w:eastAsia="Times New Roman"/>
                <w:i/>
                <w:color w:val="000000"/>
                <w:sz w:val="20"/>
                <w:szCs w:val="20"/>
                <w:lang w:eastAsia="en-AU"/>
              </w:rPr>
              <w:t>0.97 ± 0.05</w:t>
            </w:r>
          </w:p>
        </w:tc>
        <w:tc>
          <w:tcPr>
            <w:tcW w:w="1716" w:type="dxa"/>
            <w:tcBorders>
              <w:top w:val="nil"/>
              <w:left w:val="nil"/>
              <w:bottom w:val="single" w:sz="4" w:space="0" w:color="auto"/>
              <w:right w:val="nil"/>
            </w:tcBorders>
            <w:shd w:val="clear" w:color="000000" w:fill="FFFFFF"/>
            <w:noWrap/>
            <w:vAlign w:val="center"/>
            <w:hideMark/>
          </w:tcPr>
          <w:p w14:paraId="6F644823" w14:textId="3BD47131" w:rsidR="00852F67" w:rsidRPr="00AF4759" w:rsidRDefault="00837759" w:rsidP="00781A6A">
            <w:pPr>
              <w:jc w:val="center"/>
              <w:rPr>
                <w:rFonts w:eastAsia="Times New Roman"/>
                <w:i/>
                <w:color w:val="000000"/>
                <w:sz w:val="20"/>
                <w:szCs w:val="20"/>
                <w:lang w:eastAsia="en-AU"/>
              </w:rPr>
            </w:pPr>
            <w:r w:rsidRPr="00AF4759">
              <w:rPr>
                <w:rFonts w:eastAsia="Times New Roman"/>
                <w:i/>
                <w:color w:val="000000"/>
                <w:sz w:val="20"/>
                <w:szCs w:val="20"/>
                <w:lang w:eastAsia="en-AU"/>
              </w:rPr>
              <w:t>1.05 ± 0.04</w:t>
            </w:r>
          </w:p>
        </w:tc>
        <w:tc>
          <w:tcPr>
            <w:tcW w:w="1584" w:type="dxa"/>
            <w:tcBorders>
              <w:top w:val="nil"/>
              <w:left w:val="nil"/>
              <w:bottom w:val="single" w:sz="4" w:space="0" w:color="auto"/>
              <w:right w:val="single" w:sz="4" w:space="0" w:color="auto"/>
            </w:tcBorders>
            <w:shd w:val="clear" w:color="000000" w:fill="FFFFFF"/>
            <w:noWrap/>
            <w:vAlign w:val="center"/>
            <w:hideMark/>
          </w:tcPr>
          <w:p w14:paraId="75304EF0" w14:textId="60074648" w:rsidR="00852F67" w:rsidRPr="00AF4759" w:rsidRDefault="00837759" w:rsidP="00781A6A">
            <w:pPr>
              <w:jc w:val="center"/>
              <w:rPr>
                <w:rFonts w:eastAsia="Times New Roman"/>
                <w:i/>
                <w:color w:val="000000"/>
                <w:sz w:val="20"/>
                <w:szCs w:val="20"/>
                <w:lang w:eastAsia="en-AU"/>
              </w:rPr>
            </w:pPr>
            <w:r w:rsidRPr="00AF4759">
              <w:rPr>
                <w:rFonts w:eastAsia="Times New Roman"/>
                <w:i/>
                <w:color w:val="000000"/>
                <w:sz w:val="20"/>
                <w:szCs w:val="20"/>
                <w:lang w:eastAsia="en-AU"/>
              </w:rPr>
              <w:t>1.02 ± 0.04</w:t>
            </w:r>
          </w:p>
        </w:tc>
      </w:tr>
    </w:tbl>
    <w:p w14:paraId="1D245D52" w14:textId="77777777" w:rsidR="00852F67" w:rsidRPr="00AF4759" w:rsidRDefault="00852F67" w:rsidP="00852F67"/>
    <w:p w14:paraId="171CDF12" w14:textId="621D016C" w:rsidR="00852F67" w:rsidRPr="00AF4759" w:rsidRDefault="00852F67" w:rsidP="00852F67">
      <w:r w:rsidRPr="00AF4759">
        <w:rPr>
          <w:b/>
        </w:rPr>
        <w:t xml:space="preserve">Table </w:t>
      </w:r>
      <w:r w:rsidR="001C440D">
        <w:rPr>
          <w:b/>
        </w:rPr>
        <w:t>S5</w:t>
      </w:r>
      <w:r w:rsidR="00CF6538" w:rsidRPr="00AF4759">
        <w:rPr>
          <w:b/>
        </w:rPr>
        <w:t>-</w:t>
      </w:r>
      <w:r w:rsidRPr="00AF4759">
        <w:rPr>
          <w:b/>
        </w:rPr>
        <w:t xml:space="preserve">6. </w:t>
      </w:r>
      <w:r w:rsidRPr="00AF4759">
        <w:t>Ratios of beta dose rates and gamma dose rates (</w:t>
      </w:r>
      <w:proofErr w:type="spellStart"/>
      <w:r w:rsidRPr="00AF4759">
        <w:t>unmodelled</w:t>
      </w:r>
      <w:proofErr w:type="spellEnd"/>
      <w:r w:rsidRPr="00AF4759">
        <w:t xml:space="preserve"> and modelled) obtained through calculations using two different approaches: ICP-MS/OES and TSAC + GMBC. </w:t>
      </w:r>
    </w:p>
    <w:p w14:paraId="126F3DC6" w14:textId="5D785AD8" w:rsidR="00852F67" w:rsidRPr="00AF4759" w:rsidRDefault="00852F67" w:rsidP="00135774">
      <w:pPr>
        <w:spacing w:line="276" w:lineRule="auto"/>
        <w:jc w:val="both"/>
      </w:pPr>
    </w:p>
    <w:p w14:paraId="6D41F552" w14:textId="166D375D" w:rsidR="00E65AA3" w:rsidRPr="00AF4759" w:rsidRDefault="00E65AA3" w:rsidP="00135774">
      <w:pPr>
        <w:spacing w:line="276" w:lineRule="auto"/>
        <w:jc w:val="both"/>
      </w:pPr>
    </w:p>
    <w:p w14:paraId="76F1A5E7" w14:textId="2F7674D2" w:rsidR="00E65AA3" w:rsidRPr="00AF4759" w:rsidRDefault="00E65AA3" w:rsidP="00135774">
      <w:pPr>
        <w:spacing w:line="276" w:lineRule="auto"/>
        <w:jc w:val="both"/>
      </w:pPr>
    </w:p>
    <w:p w14:paraId="6E6C7753" w14:textId="522A9F97" w:rsidR="00E65AA3" w:rsidRPr="00AF4759" w:rsidRDefault="00E65AA3" w:rsidP="00135774">
      <w:pPr>
        <w:spacing w:line="276" w:lineRule="auto"/>
        <w:jc w:val="both"/>
      </w:pPr>
    </w:p>
    <w:p w14:paraId="4839482F" w14:textId="5893153B" w:rsidR="00E65AA3" w:rsidRPr="00AF4759" w:rsidRDefault="00E65AA3" w:rsidP="00135774">
      <w:pPr>
        <w:spacing w:line="276" w:lineRule="auto"/>
        <w:jc w:val="both"/>
      </w:pPr>
    </w:p>
    <w:p w14:paraId="1DA25054" w14:textId="76F05C76" w:rsidR="00E65AA3" w:rsidRPr="00AF4759" w:rsidRDefault="00E65AA3" w:rsidP="00135774">
      <w:pPr>
        <w:spacing w:line="276" w:lineRule="auto"/>
        <w:jc w:val="both"/>
      </w:pPr>
    </w:p>
    <w:p w14:paraId="7E1812AD" w14:textId="7C9161C4" w:rsidR="00E65AA3" w:rsidRPr="00AF4759" w:rsidRDefault="00E65AA3" w:rsidP="00135774">
      <w:pPr>
        <w:spacing w:line="276" w:lineRule="auto"/>
        <w:jc w:val="both"/>
      </w:pPr>
    </w:p>
    <w:p w14:paraId="7060A432" w14:textId="46880614" w:rsidR="00E65AA3" w:rsidRPr="00AF4759" w:rsidRDefault="00E65AA3" w:rsidP="00135774">
      <w:pPr>
        <w:spacing w:line="276" w:lineRule="auto"/>
        <w:jc w:val="both"/>
      </w:pPr>
    </w:p>
    <w:p w14:paraId="6B5E071A" w14:textId="1143687C" w:rsidR="00E65AA3" w:rsidRPr="00AF4759" w:rsidRDefault="00E65AA3" w:rsidP="00135774">
      <w:pPr>
        <w:spacing w:line="276" w:lineRule="auto"/>
        <w:jc w:val="both"/>
      </w:pPr>
    </w:p>
    <w:p w14:paraId="620C1039" w14:textId="03D736DF" w:rsidR="00E65AA3" w:rsidRPr="00AF4759" w:rsidRDefault="00E65AA3" w:rsidP="00135774">
      <w:pPr>
        <w:spacing w:line="276" w:lineRule="auto"/>
        <w:jc w:val="both"/>
      </w:pPr>
    </w:p>
    <w:p w14:paraId="7260CC85" w14:textId="0692FD69" w:rsidR="00E65AA3" w:rsidRPr="00AF4759" w:rsidRDefault="00E65AA3" w:rsidP="00135774">
      <w:pPr>
        <w:spacing w:line="276" w:lineRule="auto"/>
        <w:jc w:val="both"/>
      </w:pPr>
    </w:p>
    <w:p w14:paraId="5010589F" w14:textId="1E249D70" w:rsidR="00E65AA3" w:rsidRPr="00AF4759" w:rsidRDefault="00E65AA3" w:rsidP="00135774">
      <w:pPr>
        <w:spacing w:line="276" w:lineRule="auto"/>
        <w:jc w:val="both"/>
      </w:pPr>
    </w:p>
    <w:p w14:paraId="7DB884B6" w14:textId="2AC82EB5" w:rsidR="00E65AA3" w:rsidRPr="00AF4759" w:rsidRDefault="00E65AA3" w:rsidP="00135774">
      <w:pPr>
        <w:spacing w:line="276" w:lineRule="auto"/>
        <w:jc w:val="both"/>
      </w:pPr>
    </w:p>
    <w:p w14:paraId="5CB4A181" w14:textId="18A4C435" w:rsidR="00E65AA3" w:rsidRPr="00AF4759" w:rsidRDefault="00E65AA3" w:rsidP="00135774">
      <w:pPr>
        <w:spacing w:line="276" w:lineRule="auto"/>
        <w:jc w:val="both"/>
      </w:pPr>
    </w:p>
    <w:p w14:paraId="0407DFC7" w14:textId="3D208373" w:rsidR="00E65AA3" w:rsidRPr="00AF4759" w:rsidRDefault="00E65AA3" w:rsidP="00135774">
      <w:pPr>
        <w:spacing w:line="276" w:lineRule="auto"/>
        <w:jc w:val="both"/>
      </w:pPr>
    </w:p>
    <w:p w14:paraId="235FA86C" w14:textId="27CD0250" w:rsidR="00E65AA3" w:rsidRPr="00AF4759" w:rsidRDefault="00E65AA3" w:rsidP="00135774">
      <w:pPr>
        <w:spacing w:line="276" w:lineRule="auto"/>
        <w:jc w:val="both"/>
      </w:pPr>
    </w:p>
    <w:p w14:paraId="7EDE910C" w14:textId="3B6F7F55" w:rsidR="00E65AA3" w:rsidRPr="00AF4759" w:rsidRDefault="00E65AA3" w:rsidP="00135774">
      <w:pPr>
        <w:spacing w:line="276" w:lineRule="auto"/>
        <w:jc w:val="both"/>
      </w:pPr>
    </w:p>
    <w:p w14:paraId="3F74B107" w14:textId="7AB82884" w:rsidR="00E65AA3" w:rsidRPr="00AF4759" w:rsidRDefault="00E65AA3" w:rsidP="00135774">
      <w:pPr>
        <w:spacing w:line="276" w:lineRule="auto"/>
        <w:jc w:val="both"/>
      </w:pPr>
    </w:p>
    <w:p w14:paraId="05F73B08" w14:textId="78A044BF" w:rsidR="00E65AA3" w:rsidRPr="00AF4759" w:rsidRDefault="00E65AA3" w:rsidP="00135774">
      <w:pPr>
        <w:spacing w:line="276" w:lineRule="auto"/>
        <w:jc w:val="both"/>
      </w:pPr>
    </w:p>
    <w:p w14:paraId="377A3EFC" w14:textId="67CF1D17" w:rsidR="00E65AA3" w:rsidRPr="00AF4759" w:rsidRDefault="00E65AA3" w:rsidP="00135774">
      <w:pPr>
        <w:spacing w:line="276" w:lineRule="auto"/>
        <w:jc w:val="both"/>
      </w:pPr>
    </w:p>
    <w:p w14:paraId="0F9BE981" w14:textId="6B59ADC9" w:rsidR="00E65AA3" w:rsidRPr="00AF4759" w:rsidRDefault="00E65AA3" w:rsidP="00135774">
      <w:pPr>
        <w:spacing w:line="276" w:lineRule="auto"/>
        <w:jc w:val="both"/>
      </w:pPr>
    </w:p>
    <w:p w14:paraId="6A6CF380" w14:textId="70C65C86" w:rsidR="00E65AA3" w:rsidRPr="00AF4759" w:rsidRDefault="00E65AA3" w:rsidP="00135774">
      <w:pPr>
        <w:spacing w:line="276" w:lineRule="auto"/>
        <w:jc w:val="both"/>
      </w:pPr>
    </w:p>
    <w:p w14:paraId="04D87785" w14:textId="7F6DE016" w:rsidR="00E65AA3" w:rsidRPr="00AF4759" w:rsidRDefault="00E65AA3" w:rsidP="00135774">
      <w:pPr>
        <w:spacing w:line="276" w:lineRule="auto"/>
        <w:jc w:val="both"/>
      </w:pPr>
    </w:p>
    <w:p w14:paraId="353AA3BB" w14:textId="25A7FA9A" w:rsidR="00E65AA3" w:rsidRPr="00AF4759" w:rsidRDefault="00E65AA3" w:rsidP="00135774">
      <w:pPr>
        <w:spacing w:line="276" w:lineRule="auto"/>
        <w:jc w:val="both"/>
      </w:pPr>
    </w:p>
    <w:p w14:paraId="3845AC3B" w14:textId="63ED1572" w:rsidR="00E65AA3" w:rsidRPr="00AF4759" w:rsidRDefault="00E65AA3" w:rsidP="00135774">
      <w:pPr>
        <w:spacing w:line="276" w:lineRule="auto"/>
        <w:jc w:val="both"/>
      </w:pPr>
    </w:p>
    <w:p w14:paraId="195C913B" w14:textId="0F3C3D9B" w:rsidR="00E65AA3" w:rsidRPr="00AF4759" w:rsidRDefault="00E65AA3" w:rsidP="00135774">
      <w:pPr>
        <w:spacing w:line="276" w:lineRule="auto"/>
        <w:jc w:val="both"/>
      </w:pPr>
    </w:p>
    <w:p w14:paraId="15142D7E" w14:textId="4221E781" w:rsidR="00E65AA3" w:rsidRPr="00AF4759" w:rsidRDefault="00E65AA3" w:rsidP="00135774">
      <w:pPr>
        <w:spacing w:line="276" w:lineRule="auto"/>
        <w:jc w:val="both"/>
      </w:pPr>
    </w:p>
    <w:p w14:paraId="29BB2A90" w14:textId="0C5CA2F8" w:rsidR="00E65AA3" w:rsidRPr="00AF4759" w:rsidRDefault="00E65AA3" w:rsidP="00135774">
      <w:pPr>
        <w:spacing w:line="276" w:lineRule="auto"/>
        <w:jc w:val="both"/>
      </w:pPr>
    </w:p>
    <w:p w14:paraId="58E4B09A" w14:textId="5857D9BD" w:rsidR="00E65AA3" w:rsidRPr="00AF4759" w:rsidRDefault="00E65AA3" w:rsidP="00135774">
      <w:pPr>
        <w:spacing w:line="276" w:lineRule="auto"/>
        <w:jc w:val="both"/>
      </w:pPr>
    </w:p>
    <w:p w14:paraId="3D4900AD" w14:textId="34ABBE98" w:rsidR="00E65AA3" w:rsidRPr="00AF4759" w:rsidRDefault="00E65AA3" w:rsidP="00135774">
      <w:pPr>
        <w:spacing w:line="276" w:lineRule="auto"/>
        <w:jc w:val="both"/>
      </w:pPr>
    </w:p>
    <w:p w14:paraId="3BBBAD94" w14:textId="29FED0DF" w:rsidR="00E65AA3" w:rsidRPr="00AF4759" w:rsidRDefault="00E65AA3" w:rsidP="00135774">
      <w:pPr>
        <w:spacing w:line="276" w:lineRule="auto"/>
        <w:jc w:val="both"/>
      </w:pPr>
    </w:p>
    <w:p w14:paraId="2F9FC724" w14:textId="1FA77889" w:rsidR="00E65AA3" w:rsidRPr="00AF4759" w:rsidRDefault="00E65AA3" w:rsidP="00135774">
      <w:pPr>
        <w:spacing w:line="276" w:lineRule="auto"/>
        <w:jc w:val="both"/>
      </w:pPr>
    </w:p>
    <w:p w14:paraId="76C7EC0B" w14:textId="6EB75EC0" w:rsidR="00E65AA3" w:rsidRPr="00AF4759" w:rsidRDefault="00E65AA3" w:rsidP="00135774">
      <w:pPr>
        <w:spacing w:line="276" w:lineRule="auto"/>
        <w:jc w:val="both"/>
      </w:pPr>
    </w:p>
    <w:p w14:paraId="03CD87EA" w14:textId="5089083C" w:rsidR="00E65AA3" w:rsidRPr="00AF4759" w:rsidRDefault="00D92D7A" w:rsidP="00E65AA3">
      <w:pPr>
        <w:rPr>
          <w:b/>
        </w:rPr>
      </w:pPr>
      <w:r w:rsidRPr="00AF4759">
        <w:rPr>
          <w:b/>
        </w:rPr>
        <w:t>R</w:t>
      </w:r>
      <w:r w:rsidR="00E65AA3" w:rsidRPr="00AF4759">
        <w:rPr>
          <w:b/>
        </w:rPr>
        <w:t>eferences</w:t>
      </w:r>
    </w:p>
    <w:p w14:paraId="7EE3BEB2" w14:textId="77777777" w:rsidR="00E65AA3" w:rsidRPr="00AF4759" w:rsidRDefault="00E65AA3" w:rsidP="00E65AA3"/>
    <w:p w14:paraId="0217B6B1" w14:textId="77777777" w:rsidR="00E65AA3" w:rsidRPr="00AF4759" w:rsidRDefault="00E65AA3" w:rsidP="00E65AA3">
      <w:r w:rsidRPr="00AF4759">
        <w:t xml:space="preserve">Aitken, M.J. 1985. </w:t>
      </w:r>
      <w:proofErr w:type="spellStart"/>
      <w:r w:rsidRPr="00AF4759">
        <w:t>Thermoluminescence</w:t>
      </w:r>
      <w:proofErr w:type="spellEnd"/>
      <w:r w:rsidRPr="00AF4759">
        <w:t xml:space="preserve"> dating. Academic Press, London.</w:t>
      </w:r>
    </w:p>
    <w:p w14:paraId="62C859DF" w14:textId="77777777" w:rsidR="00E65AA3" w:rsidRPr="00AF4759" w:rsidRDefault="00E65AA3" w:rsidP="00E65AA3"/>
    <w:p w14:paraId="3B2CBB59" w14:textId="77777777" w:rsidR="00E65AA3" w:rsidRPr="00AF4759" w:rsidRDefault="00E65AA3" w:rsidP="00E65AA3">
      <w:r w:rsidRPr="00AF4759">
        <w:t>Aitken, M.J. 1998. An introduction to optical dating</w:t>
      </w:r>
      <w:r w:rsidRPr="00AF4759">
        <w:rPr>
          <w:i/>
        </w:rPr>
        <w:t xml:space="preserve">. </w:t>
      </w:r>
      <w:r w:rsidRPr="00AF4759">
        <w:t>Oxford University Press, Oxford.</w:t>
      </w:r>
    </w:p>
    <w:p w14:paraId="3E1C0F10" w14:textId="77777777" w:rsidR="00E65AA3" w:rsidRPr="00AF4759" w:rsidRDefault="00E65AA3" w:rsidP="00E65AA3"/>
    <w:p w14:paraId="557AA876" w14:textId="77777777" w:rsidR="00E65AA3" w:rsidRPr="00AF4759" w:rsidRDefault="00E65AA3" w:rsidP="00E65AA3">
      <w:r w:rsidRPr="00AF4759">
        <w:t xml:space="preserve">Bell, W.T., Zimmerman, D.W. 1978. Effect of HF acid etching on morphology of quartz inclusions for </w:t>
      </w:r>
      <w:proofErr w:type="spellStart"/>
      <w:r w:rsidRPr="00AF4759">
        <w:t>Thermoluminescence</w:t>
      </w:r>
      <w:proofErr w:type="spellEnd"/>
      <w:r w:rsidRPr="00AF4759">
        <w:t xml:space="preserve"> dating. </w:t>
      </w:r>
      <w:proofErr w:type="spellStart"/>
      <w:r w:rsidRPr="00AF4759">
        <w:rPr>
          <w:i/>
        </w:rPr>
        <w:t>Archaeometry</w:t>
      </w:r>
      <w:proofErr w:type="spellEnd"/>
      <w:r w:rsidRPr="00AF4759">
        <w:t xml:space="preserve"> </w:t>
      </w:r>
      <w:r w:rsidRPr="00AF4759">
        <w:rPr>
          <w:b/>
        </w:rPr>
        <w:t>20</w:t>
      </w:r>
      <w:r w:rsidRPr="00AF4759">
        <w:t>, 63 - 65.</w:t>
      </w:r>
    </w:p>
    <w:p w14:paraId="5D9D93ED" w14:textId="77777777" w:rsidR="00E65AA3" w:rsidRPr="00AF4759" w:rsidRDefault="00E65AA3" w:rsidP="00E65AA3"/>
    <w:p w14:paraId="3ACAB887" w14:textId="77777777" w:rsidR="00B17F87" w:rsidRPr="00AF4759" w:rsidRDefault="00B17F87" w:rsidP="00B17F87">
      <w:pPr>
        <w:jc w:val="both"/>
      </w:pPr>
      <w:proofErr w:type="spellStart"/>
      <w:r w:rsidRPr="00AF4759">
        <w:t>Bøtter</w:t>
      </w:r>
      <w:proofErr w:type="spellEnd"/>
      <w:r w:rsidRPr="00AF4759">
        <w:t xml:space="preserve">-Jensen, L., </w:t>
      </w:r>
      <w:proofErr w:type="spellStart"/>
      <w:r w:rsidRPr="00AF4759">
        <w:t>Mejdahl</w:t>
      </w:r>
      <w:proofErr w:type="spellEnd"/>
      <w:r w:rsidRPr="00AF4759">
        <w:t xml:space="preserve">, V. 1988. Assessment of beta dose-rate using a GM </w:t>
      </w:r>
      <w:proofErr w:type="spellStart"/>
      <w:r w:rsidRPr="00AF4759">
        <w:t>multicounter</w:t>
      </w:r>
      <w:proofErr w:type="spellEnd"/>
      <w:r w:rsidRPr="00AF4759">
        <w:t xml:space="preserve"> system. </w:t>
      </w:r>
      <w:r w:rsidRPr="00AF4759">
        <w:rPr>
          <w:i/>
        </w:rPr>
        <w:t>Nuclear Tracks and Radiation Measurements</w:t>
      </w:r>
      <w:r w:rsidRPr="00AF4759">
        <w:t xml:space="preserve"> 14, 187-191.</w:t>
      </w:r>
    </w:p>
    <w:p w14:paraId="303F9549" w14:textId="77777777" w:rsidR="00E65AA3" w:rsidRPr="00AF4759" w:rsidRDefault="00E65AA3" w:rsidP="00E65AA3"/>
    <w:p w14:paraId="124EEFDC" w14:textId="77777777" w:rsidR="00E65AA3" w:rsidRPr="00AF4759" w:rsidRDefault="00E65AA3" w:rsidP="00E65AA3">
      <w:proofErr w:type="spellStart"/>
      <w:r w:rsidRPr="00AF4759">
        <w:t>Bøtter</w:t>
      </w:r>
      <w:proofErr w:type="spellEnd"/>
      <w:r w:rsidRPr="00AF4759">
        <w:t xml:space="preserve">-Jensen, L., </w:t>
      </w:r>
      <w:proofErr w:type="spellStart"/>
      <w:r w:rsidRPr="00AF4759">
        <w:t>Bulur</w:t>
      </w:r>
      <w:proofErr w:type="spellEnd"/>
      <w:r w:rsidRPr="00AF4759">
        <w:t xml:space="preserve">, E., Duller, G.A.T., Murray, A.S. 2000. Advances in luminescence instrument systems. </w:t>
      </w:r>
      <w:r w:rsidRPr="00AF4759">
        <w:rPr>
          <w:i/>
        </w:rPr>
        <w:t>Radiation Measurements</w:t>
      </w:r>
      <w:r w:rsidRPr="00AF4759">
        <w:t xml:space="preserve"> </w:t>
      </w:r>
      <w:r w:rsidRPr="00AF4759">
        <w:rPr>
          <w:b/>
        </w:rPr>
        <w:t>32</w:t>
      </w:r>
      <w:r w:rsidRPr="00AF4759">
        <w:t>, 523-528.</w:t>
      </w:r>
    </w:p>
    <w:p w14:paraId="79547DD5" w14:textId="77777777" w:rsidR="00E65AA3" w:rsidRPr="00AF4759" w:rsidRDefault="00E65AA3" w:rsidP="00E65AA3"/>
    <w:p w14:paraId="396C51B2" w14:textId="77777777" w:rsidR="00E65AA3" w:rsidRPr="00AF4759" w:rsidRDefault="00E65AA3" w:rsidP="00E65AA3">
      <w:r w:rsidRPr="00AF4759">
        <w:t xml:space="preserve">Brennan, B. J. 2003. Beta doses to spherical grains. </w:t>
      </w:r>
      <w:r w:rsidRPr="00AF4759">
        <w:rPr>
          <w:i/>
        </w:rPr>
        <w:t>Radiation Measurements</w:t>
      </w:r>
      <w:r w:rsidRPr="00AF4759">
        <w:t xml:space="preserve"> </w:t>
      </w:r>
      <w:r w:rsidRPr="00AF4759">
        <w:rPr>
          <w:b/>
        </w:rPr>
        <w:t>37</w:t>
      </w:r>
      <w:r w:rsidRPr="00AF4759">
        <w:t>, 299–303.</w:t>
      </w:r>
    </w:p>
    <w:p w14:paraId="0B86FEE5" w14:textId="1CBF0093" w:rsidR="00E65AA3" w:rsidRPr="00AF4759" w:rsidRDefault="00E65AA3" w:rsidP="00E65AA3"/>
    <w:p w14:paraId="6685BFE5" w14:textId="2A78D52F" w:rsidR="00CF30B2" w:rsidRPr="00AF4759" w:rsidRDefault="00CF30B2" w:rsidP="00E65AA3">
      <w:r w:rsidRPr="00AF4759">
        <w:t xml:space="preserve">Chen, G., Murray, A.S., Li, S-H. 2001. Effect of heating on the quartz dose-response curve. </w:t>
      </w:r>
      <w:r w:rsidRPr="00AF4759">
        <w:rPr>
          <w:i/>
        </w:rPr>
        <w:t>Radiation Measurements</w:t>
      </w:r>
      <w:r w:rsidRPr="00AF4759">
        <w:t xml:space="preserve"> </w:t>
      </w:r>
      <w:r w:rsidRPr="00AF4759">
        <w:rPr>
          <w:b/>
        </w:rPr>
        <w:t>33</w:t>
      </w:r>
      <w:r w:rsidRPr="00AF4759">
        <w:t>, 59-63.</w:t>
      </w:r>
    </w:p>
    <w:p w14:paraId="431F2443" w14:textId="77777777" w:rsidR="00CF30B2" w:rsidRPr="00AF4759" w:rsidRDefault="00CF30B2" w:rsidP="00E65AA3"/>
    <w:p w14:paraId="54ED59E0" w14:textId="77777777" w:rsidR="00E65AA3" w:rsidRPr="00AF4759" w:rsidRDefault="00E65AA3" w:rsidP="00E65AA3">
      <w:proofErr w:type="spellStart"/>
      <w:r w:rsidRPr="00AF4759">
        <w:t>Demuro</w:t>
      </w:r>
      <w:proofErr w:type="spellEnd"/>
      <w:r w:rsidRPr="00AF4759">
        <w:t xml:space="preserve">, M., Arnold, L.J., Froese, D.G., Roberts, R.G. 2013. OSL dating of loess deposits bracketing Sheep Creek tephra beds, northwest Canada: Dim and problematic single-grain OSL characteristics and their effect on multi-grain age estimates. </w:t>
      </w:r>
      <w:r w:rsidRPr="00AF4759">
        <w:rPr>
          <w:i/>
        </w:rPr>
        <w:t>Quaternary Geochronology</w:t>
      </w:r>
      <w:r w:rsidRPr="00AF4759">
        <w:t xml:space="preserve">. </w:t>
      </w:r>
      <w:r w:rsidRPr="00AF4759">
        <w:rPr>
          <w:b/>
        </w:rPr>
        <w:t>15</w:t>
      </w:r>
      <w:r w:rsidRPr="00AF4759">
        <w:t>, 67–87.</w:t>
      </w:r>
    </w:p>
    <w:p w14:paraId="309DD98B" w14:textId="77777777" w:rsidR="00E65AA3" w:rsidRPr="00AF4759" w:rsidRDefault="00E65AA3" w:rsidP="00E65AA3"/>
    <w:p w14:paraId="32AF63F1" w14:textId="77777777" w:rsidR="00E65AA3" w:rsidRPr="00AF4759" w:rsidRDefault="00E65AA3" w:rsidP="00E65AA3">
      <w:r w:rsidRPr="00AF4759">
        <w:t xml:space="preserve">Duller, G.A.T.   2003.   Distinguishing   quartz   and feldspar      in      single      grain      luminescence measurements. </w:t>
      </w:r>
      <w:r w:rsidRPr="00AF4759">
        <w:rPr>
          <w:i/>
        </w:rPr>
        <w:t>Radiation Measurements</w:t>
      </w:r>
      <w:r w:rsidRPr="00AF4759">
        <w:t xml:space="preserve"> </w:t>
      </w:r>
      <w:r w:rsidRPr="00AF4759">
        <w:rPr>
          <w:b/>
        </w:rPr>
        <w:t>37</w:t>
      </w:r>
      <w:proofErr w:type="gramStart"/>
      <w:r w:rsidRPr="00AF4759">
        <w:t>,  161</w:t>
      </w:r>
      <w:proofErr w:type="gramEnd"/>
      <w:r w:rsidRPr="00AF4759">
        <w:t>-165.</w:t>
      </w:r>
    </w:p>
    <w:p w14:paraId="0D99E21B" w14:textId="7D9A1763" w:rsidR="00E65AA3" w:rsidRPr="00AF4759" w:rsidRDefault="00E65AA3" w:rsidP="00E65AA3"/>
    <w:p w14:paraId="1D502E60" w14:textId="77777777" w:rsidR="00665D27" w:rsidRPr="00AF4759" w:rsidRDefault="00665D27" w:rsidP="00665D27">
      <w:pPr>
        <w:jc w:val="both"/>
      </w:pPr>
      <w:r w:rsidRPr="00AF4759">
        <w:t xml:space="preserve">Duller, G.A.T. 2004. Luminescence dating of Quaternary sediments: recent advances. </w:t>
      </w:r>
      <w:r w:rsidRPr="00AF4759">
        <w:rPr>
          <w:i/>
        </w:rPr>
        <w:t>Journal of Quaternary Science</w:t>
      </w:r>
      <w:r w:rsidRPr="00AF4759">
        <w:t xml:space="preserve"> </w:t>
      </w:r>
      <w:r w:rsidRPr="00AF4759">
        <w:rPr>
          <w:b/>
        </w:rPr>
        <w:t>19</w:t>
      </w:r>
      <w:r w:rsidRPr="00AF4759">
        <w:t>, 183-192.</w:t>
      </w:r>
    </w:p>
    <w:p w14:paraId="1B801FC9" w14:textId="77777777" w:rsidR="00665D27" w:rsidRPr="00AF4759" w:rsidRDefault="00665D27" w:rsidP="00E65AA3"/>
    <w:p w14:paraId="6383D935" w14:textId="77777777" w:rsidR="00E65AA3" w:rsidRPr="00AF4759" w:rsidRDefault="00E65AA3" w:rsidP="00E65AA3">
      <w:r w:rsidRPr="00AF4759">
        <w:t xml:space="preserve">Duller, G.A.T. 2007. Assessing the error on equivalent dose estimates derived from </w:t>
      </w:r>
      <w:proofErr w:type="spellStart"/>
      <w:r w:rsidRPr="00AF4759">
        <w:t>singlealiquot</w:t>
      </w:r>
      <w:proofErr w:type="spellEnd"/>
      <w:r w:rsidRPr="00AF4759">
        <w:t xml:space="preserve"> regenerative dose measurements. </w:t>
      </w:r>
      <w:r w:rsidRPr="00AF4759">
        <w:rPr>
          <w:i/>
        </w:rPr>
        <w:t>Ancient TL</w:t>
      </w:r>
      <w:r w:rsidRPr="00AF4759">
        <w:t xml:space="preserve"> </w:t>
      </w:r>
      <w:r w:rsidRPr="00AF4759">
        <w:rPr>
          <w:b/>
        </w:rPr>
        <w:t>25</w:t>
      </w:r>
      <w:r w:rsidRPr="00AF4759">
        <w:t>, 15-24.</w:t>
      </w:r>
    </w:p>
    <w:p w14:paraId="5430B752" w14:textId="77777777" w:rsidR="00E65AA3" w:rsidRPr="00AF4759" w:rsidRDefault="00E65AA3" w:rsidP="00E65AA3"/>
    <w:p w14:paraId="6BF5A24C" w14:textId="77777777" w:rsidR="00E65AA3" w:rsidRPr="00AF4759" w:rsidRDefault="00E65AA3" w:rsidP="00E65AA3">
      <w:r w:rsidRPr="00AF4759">
        <w:t xml:space="preserve">Fisher, E.C., </w:t>
      </w:r>
      <w:proofErr w:type="spellStart"/>
      <w:r w:rsidRPr="00AF4759">
        <w:t>Akkaynak</w:t>
      </w:r>
      <w:proofErr w:type="spellEnd"/>
      <w:r w:rsidRPr="00AF4759">
        <w:t xml:space="preserve">, D., Harris, J., </w:t>
      </w:r>
      <w:proofErr w:type="spellStart"/>
      <w:r w:rsidRPr="00AF4759">
        <w:t>Herries</w:t>
      </w:r>
      <w:proofErr w:type="spellEnd"/>
      <w:r w:rsidRPr="00AF4759">
        <w:t xml:space="preserve">, A.I., Jacobs, Z., Karkanas, P., Marean, C.W., McGrath, J.R. 2015. Technical considerations and methodology for creating high-resolution, </w:t>
      </w:r>
      <w:proofErr w:type="spellStart"/>
      <w:r w:rsidRPr="00AF4759">
        <w:t>color</w:t>
      </w:r>
      <w:proofErr w:type="spellEnd"/>
      <w:r w:rsidRPr="00AF4759">
        <w:t xml:space="preserve">-corrected, and georectified photomosaics of stratigraphic sections at archaeological sites. </w:t>
      </w:r>
      <w:r w:rsidRPr="00AF4759">
        <w:rPr>
          <w:i/>
        </w:rPr>
        <w:t>Journal of Archaeological</w:t>
      </w:r>
      <w:r w:rsidRPr="00AF4759">
        <w:t xml:space="preserve"> </w:t>
      </w:r>
      <w:r w:rsidRPr="00AF4759">
        <w:rPr>
          <w:i/>
        </w:rPr>
        <w:t xml:space="preserve">Science </w:t>
      </w:r>
      <w:r w:rsidRPr="00AF4759">
        <w:rPr>
          <w:b/>
        </w:rPr>
        <w:t>57</w:t>
      </w:r>
      <w:r w:rsidRPr="00AF4759">
        <w:t>, 380-394.</w:t>
      </w:r>
    </w:p>
    <w:p w14:paraId="3F390730" w14:textId="09D58EB6" w:rsidR="008C6C0A" w:rsidRPr="00AF4759" w:rsidRDefault="008C6C0A" w:rsidP="00E65AA3"/>
    <w:p w14:paraId="60D0A086" w14:textId="2303EE04" w:rsidR="008C6C0A" w:rsidRPr="00AF4759" w:rsidRDefault="008C6C0A" w:rsidP="00E65AA3">
      <w:r w:rsidRPr="00AF4759">
        <w:t>Galbraith, R.F. 2005. Statistics for Fission Track Analysis. Chapman &amp; Hall/CRC Press, London.</w:t>
      </w:r>
    </w:p>
    <w:p w14:paraId="4238568D" w14:textId="77777777" w:rsidR="00E65AA3" w:rsidRPr="00AF4759" w:rsidRDefault="00E65AA3" w:rsidP="00E65AA3"/>
    <w:p w14:paraId="065D3A1D" w14:textId="77777777" w:rsidR="00E65AA3" w:rsidRPr="00AF4759" w:rsidRDefault="00E65AA3" w:rsidP="00E65AA3">
      <w:r w:rsidRPr="00AF4759">
        <w:t xml:space="preserve">Galbraith, R.F., Roberts, R.G., </w:t>
      </w:r>
      <w:proofErr w:type="spellStart"/>
      <w:r w:rsidRPr="00AF4759">
        <w:t>Laslett</w:t>
      </w:r>
      <w:proofErr w:type="spellEnd"/>
      <w:r w:rsidRPr="00AF4759">
        <w:t xml:space="preserve">, G.M., Yoshida, H., </w:t>
      </w:r>
      <w:proofErr w:type="spellStart"/>
      <w:r w:rsidRPr="00AF4759">
        <w:t>Olley</w:t>
      </w:r>
      <w:proofErr w:type="spellEnd"/>
      <w:r w:rsidRPr="00AF4759">
        <w:t xml:space="preserve">, J.M. 1999. Optical dating of single and multiple grains of quartz from </w:t>
      </w:r>
      <w:proofErr w:type="spellStart"/>
      <w:r w:rsidRPr="00AF4759">
        <w:t>Jinmium</w:t>
      </w:r>
      <w:proofErr w:type="spellEnd"/>
      <w:r w:rsidRPr="00AF4759">
        <w:t xml:space="preserve"> rock shelter, northern Australia: Part I, Experimental design and statistical models. </w:t>
      </w:r>
      <w:proofErr w:type="spellStart"/>
      <w:r w:rsidRPr="00AF4759">
        <w:rPr>
          <w:i/>
        </w:rPr>
        <w:t>Archaeometry</w:t>
      </w:r>
      <w:proofErr w:type="spellEnd"/>
      <w:r w:rsidRPr="00AF4759">
        <w:t xml:space="preserve"> 41, 339.</w:t>
      </w:r>
    </w:p>
    <w:p w14:paraId="40F03BC0" w14:textId="77777777" w:rsidR="00E65AA3" w:rsidRPr="00AF4759" w:rsidRDefault="00E65AA3" w:rsidP="00E65AA3"/>
    <w:p w14:paraId="5B311BED" w14:textId="77777777" w:rsidR="00E65AA3" w:rsidRPr="00AF4759" w:rsidRDefault="00E65AA3" w:rsidP="00E65AA3">
      <w:proofErr w:type="spellStart"/>
      <w:r w:rsidRPr="00AF4759">
        <w:t>Guérin</w:t>
      </w:r>
      <w:proofErr w:type="spellEnd"/>
      <w:r w:rsidRPr="00AF4759">
        <w:t xml:space="preserve">, G., Mercier, M., </w:t>
      </w:r>
      <w:proofErr w:type="spellStart"/>
      <w:r w:rsidRPr="00AF4759">
        <w:t>Adamiec</w:t>
      </w:r>
      <w:proofErr w:type="spellEnd"/>
      <w:r w:rsidRPr="00AF4759">
        <w:t xml:space="preserve">, G. 2011. Dose-rate conversion factors: update. </w:t>
      </w:r>
      <w:r w:rsidRPr="00AF4759">
        <w:rPr>
          <w:i/>
        </w:rPr>
        <w:t xml:space="preserve">Ancient </w:t>
      </w:r>
      <w:r w:rsidRPr="00AF4759">
        <w:t xml:space="preserve">TL </w:t>
      </w:r>
      <w:r w:rsidRPr="00AF4759">
        <w:rPr>
          <w:b/>
        </w:rPr>
        <w:t>29</w:t>
      </w:r>
      <w:r w:rsidRPr="00AF4759">
        <w:t>, 5-8.</w:t>
      </w:r>
    </w:p>
    <w:p w14:paraId="06093183" w14:textId="77777777" w:rsidR="00E65AA3" w:rsidRPr="00AF4759" w:rsidRDefault="00E65AA3" w:rsidP="00E65AA3"/>
    <w:p w14:paraId="29BD1CF9" w14:textId="77777777" w:rsidR="00E65AA3" w:rsidRPr="00AF4759" w:rsidRDefault="00E65AA3" w:rsidP="00E65AA3">
      <w:proofErr w:type="spellStart"/>
      <w:r w:rsidRPr="00AF4759">
        <w:t>Guralnik</w:t>
      </w:r>
      <w:proofErr w:type="spellEnd"/>
      <w:r w:rsidRPr="00AF4759">
        <w:t xml:space="preserve">, B., Li, B., Jain, M., Chen, R., Paris, R. B., </w:t>
      </w:r>
      <w:proofErr w:type="spellStart"/>
      <w:r w:rsidRPr="00AF4759">
        <w:t>Murray,A</w:t>
      </w:r>
      <w:proofErr w:type="spellEnd"/>
      <w:r w:rsidRPr="00AF4759">
        <w:t xml:space="preserve">. S., Li, S. H., Pagonis, V., Valla, P. G., and Herman, F. 2015. Radiation-induced growth and isothermal decay of infrared-stimulated luminescence from feldspar. </w:t>
      </w:r>
      <w:r w:rsidRPr="00AF4759">
        <w:rPr>
          <w:i/>
        </w:rPr>
        <w:t>Radiation Measurements</w:t>
      </w:r>
      <w:r w:rsidRPr="00AF4759">
        <w:t xml:space="preserve"> </w:t>
      </w:r>
      <w:r w:rsidRPr="00AF4759">
        <w:rPr>
          <w:b/>
        </w:rPr>
        <w:t>81</w:t>
      </w:r>
      <w:r w:rsidRPr="00AF4759">
        <w:t>, 224–231.</w:t>
      </w:r>
    </w:p>
    <w:p w14:paraId="570D40A4" w14:textId="4508B547" w:rsidR="00E65AA3" w:rsidRPr="00AF4759" w:rsidRDefault="00E65AA3" w:rsidP="00E65AA3"/>
    <w:p w14:paraId="7A1F35B6" w14:textId="4F375FFF" w:rsidR="00F61FE3" w:rsidRPr="00AF4759" w:rsidRDefault="00F61FE3" w:rsidP="00E65AA3">
      <w:r w:rsidRPr="00AF4759">
        <w:t xml:space="preserve">Henshilwood, C.S., van </w:t>
      </w:r>
      <w:proofErr w:type="spellStart"/>
      <w:r w:rsidRPr="00AF4759">
        <w:t>Niekerk</w:t>
      </w:r>
      <w:proofErr w:type="spellEnd"/>
      <w:r w:rsidRPr="00AF4759">
        <w:t xml:space="preserve">, K.L., Wurz, S., </w:t>
      </w:r>
      <w:proofErr w:type="spellStart"/>
      <w:r w:rsidRPr="00AF4759">
        <w:t>Delagnes</w:t>
      </w:r>
      <w:proofErr w:type="spellEnd"/>
      <w:r w:rsidRPr="00AF4759">
        <w:t xml:space="preserve">, A., Armitage, S.J., Rifkin, R.F., </w:t>
      </w:r>
      <w:proofErr w:type="spellStart"/>
      <w:r w:rsidRPr="00AF4759">
        <w:t>Douzem</w:t>
      </w:r>
      <w:proofErr w:type="spellEnd"/>
      <w:r w:rsidRPr="00AF4759">
        <w:t xml:space="preserve"> K., Keene, P., </w:t>
      </w:r>
      <w:proofErr w:type="spellStart"/>
      <w:r w:rsidRPr="00AF4759">
        <w:t>Haaland</w:t>
      </w:r>
      <w:proofErr w:type="spellEnd"/>
      <w:r w:rsidRPr="00AF4759">
        <w:t xml:space="preserve">, M.M., Reynard, J., </w:t>
      </w:r>
      <w:proofErr w:type="spellStart"/>
      <w:r w:rsidRPr="00AF4759">
        <w:t>Discamps</w:t>
      </w:r>
      <w:proofErr w:type="spellEnd"/>
      <w:r w:rsidRPr="00AF4759">
        <w:t xml:space="preserve">, E., </w:t>
      </w:r>
      <w:proofErr w:type="spellStart"/>
      <w:r w:rsidRPr="00AF4759">
        <w:t>Mienies</w:t>
      </w:r>
      <w:proofErr w:type="spellEnd"/>
      <w:r w:rsidRPr="00AF4759">
        <w:t xml:space="preserve">, S.S. 2014. </w:t>
      </w:r>
      <w:proofErr w:type="spellStart"/>
      <w:r w:rsidRPr="00AF4759">
        <w:t>Klipdrift</w:t>
      </w:r>
      <w:proofErr w:type="spellEnd"/>
      <w:r w:rsidRPr="00AF4759">
        <w:t xml:space="preserve"> Shelter, southern Cape, South Africa: preliminary report on the </w:t>
      </w:r>
      <w:proofErr w:type="spellStart"/>
      <w:r w:rsidRPr="00AF4759">
        <w:t>Howiesons</w:t>
      </w:r>
      <w:proofErr w:type="spellEnd"/>
      <w:r w:rsidRPr="00AF4759">
        <w:t xml:space="preserve"> </w:t>
      </w:r>
      <w:proofErr w:type="spellStart"/>
      <w:r w:rsidRPr="00AF4759">
        <w:t>Poort</w:t>
      </w:r>
      <w:proofErr w:type="spellEnd"/>
      <w:r w:rsidRPr="00AF4759">
        <w:t xml:space="preserve"> layers. </w:t>
      </w:r>
      <w:r w:rsidRPr="00AF4759">
        <w:rPr>
          <w:i/>
        </w:rPr>
        <w:t>Journal of Archaeological Science</w:t>
      </w:r>
      <w:r w:rsidRPr="00AF4759">
        <w:t xml:space="preserve"> </w:t>
      </w:r>
      <w:r w:rsidRPr="00AF4759">
        <w:rPr>
          <w:b/>
        </w:rPr>
        <w:t>45</w:t>
      </w:r>
      <w:r w:rsidRPr="00AF4759">
        <w:t>, 284-303.</w:t>
      </w:r>
    </w:p>
    <w:p w14:paraId="6BBD1B27" w14:textId="77777777" w:rsidR="00F61FE3" w:rsidRPr="00AF4759" w:rsidRDefault="00F61FE3" w:rsidP="00E65AA3"/>
    <w:p w14:paraId="4110F159" w14:textId="77777777" w:rsidR="008E0679" w:rsidRPr="00AF4759" w:rsidRDefault="008E0679" w:rsidP="008E0679">
      <w:pPr>
        <w:jc w:val="both"/>
      </w:pPr>
      <w:r w:rsidRPr="00AF4759">
        <w:t xml:space="preserve">Huntley, D.J., Godfrey-Smith, D.I., </w:t>
      </w:r>
      <w:proofErr w:type="spellStart"/>
      <w:r w:rsidRPr="00AF4759">
        <w:t>Thewalt</w:t>
      </w:r>
      <w:proofErr w:type="spellEnd"/>
      <w:r w:rsidRPr="00AF4759">
        <w:t xml:space="preserve">, M.L.W. 1985. Optical dating of sediments. </w:t>
      </w:r>
      <w:r w:rsidRPr="00AF4759">
        <w:rPr>
          <w:i/>
        </w:rPr>
        <w:t>Nature</w:t>
      </w:r>
      <w:r w:rsidRPr="00AF4759">
        <w:t xml:space="preserve"> </w:t>
      </w:r>
      <w:r w:rsidRPr="00AF4759">
        <w:rPr>
          <w:b/>
        </w:rPr>
        <w:t>313</w:t>
      </w:r>
      <w:r w:rsidRPr="00AF4759">
        <w:t>, 105-107.</w:t>
      </w:r>
    </w:p>
    <w:p w14:paraId="1BB9C6EB" w14:textId="77777777" w:rsidR="008E0679" w:rsidRPr="00AF4759" w:rsidRDefault="008E0679" w:rsidP="00E65AA3"/>
    <w:p w14:paraId="3275B8A8" w14:textId="77777777" w:rsidR="00E65AA3" w:rsidRPr="00AF4759" w:rsidRDefault="00E65AA3" w:rsidP="00E65AA3">
      <w:r w:rsidRPr="00AF4759">
        <w:t>Jacobs, Z. 2004. Development of luminescence techniques for dating Middle Stone Age sites in South Africa. PhD thesis, University of Wales (unpublished).</w:t>
      </w:r>
    </w:p>
    <w:p w14:paraId="6939E024" w14:textId="77777777" w:rsidR="00E65AA3" w:rsidRPr="00AF4759" w:rsidRDefault="00E65AA3" w:rsidP="00E65AA3"/>
    <w:p w14:paraId="6C58C07C" w14:textId="77777777" w:rsidR="00E65AA3" w:rsidRPr="00AF4759" w:rsidRDefault="00E65AA3" w:rsidP="00E65AA3">
      <w:r w:rsidRPr="00AF4759">
        <w:t xml:space="preserve">Jacobs, Z. 2010. An OSL chronology for the sedimentary deposits from Pinnacle Point Cave13B - A punctuated presence. </w:t>
      </w:r>
      <w:r w:rsidRPr="00AF4759">
        <w:rPr>
          <w:i/>
        </w:rPr>
        <w:t>Journal of Human Evolution</w:t>
      </w:r>
      <w:r w:rsidRPr="00AF4759">
        <w:t xml:space="preserve"> </w:t>
      </w:r>
      <w:r w:rsidRPr="00AF4759">
        <w:rPr>
          <w:b/>
        </w:rPr>
        <w:t>59</w:t>
      </w:r>
      <w:r w:rsidRPr="00AF4759">
        <w:t>, 289-305.</w:t>
      </w:r>
    </w:p>
    <w:p w14:paraId="23DD351B" w14:textId="77777777" w:rsidR="00E65AA3" w:rsidRPr="00AF4759" w:rsidRDefault="00E65AA3" w:rsidP="00E65AA3"/>
    <w:p w14:paraId="784B218D" w14:textId="77777777" w:rsidR="00E65AA3" w:rsidRPr="00AF4759" w:rsidRDefault="00E65AA3" w:rsidP="00E65AA3">
      <w:r w:rsidRPr="00AF4759">
        <w:t xml:space="preserve">Jacobs, Z., Duller, G. A. T., and </w:t>
      </w:r>
      <w:proofErr w:type="spellStart"/>
      <w:r w:rsidRPr="00AF4759">
        <w:t>Wintle</w:t>
      </w:r>
      <w:proofErr w:type="spellEnd"/>
      <w:r w:rsidRPr="00AF4759">
        <w:t>, A. G. 2006a. Interpretation of single grain D</w:t>
      </w:r>
      <w:r w:rsidRPr="00AF4759">
        <w:rPr>
          <w:vertAlign w:val="subscript"/>
        </w:rPr>
        <w:t>e</w:t>
      </w:r>
      <w:r w:rsidRPr="00AF4759">
        <w:t xml:space="preserve"> distributions and calculation of D</w:t>
      </w:r>
      <w:r w:rsidRPr="00AF4759">
        <w:rPr>
          <w:vertAlign w:val="subscript"/>
        </w:rPr>
        <w:t>e</w:t>
      </w:r>
      <w:r w:rsidRPr="00AF4759">
        <w:t xml:space="preserve">. </w:t>
      </w:r>
      <w:r w:rsidRPr="00AF4759">
        <w:rPr>
          <w:i/>
        </w:rPr>
        <w:t>Radiation Measurements</w:t>
      </w:r>
      <w:r w:rsidRPr="00AF4759">
        <w:t xml:space="preserve"> </w:t>
      </w:r>
      <w:r w:rsidRPr="00AF4759">
        <w:rPr>
          <w:b/>
        </w:rPr>
        <w:t>41</w:t>
      </w:r>
      <w:r w:rsidRPr="00AF4759">
        <w:t>, 264-277.</w:t>
      </w:r>
    </w:p>
    <w:p w14:paraId="755308C5" w14:textId="77777777" w:rsidR="00E65AA3" w:rsidRPr="00AF4759" w:rsidRDefault="00E65AA3" w:rsidP="00E65AA3"/>
    <w:p w14:paraId="0D8452CC" w14:textId="77777777" w:rsidR="00E65AA3" w:rsidRPr="00AF4759" w:rsidRDefault="00E65AA3" w:rsidP="00E65AA3">
      <w:r w:rsidRPr="00AF4759">
        <w:t xml:space="preserve">Jacobs, Z., Duller, G.A.T., </w:t>
      </w:r>
      <w:proofErr w:type="spellStart"/>
      <w:r w:rsidRPr="00AF4759">
        <w:t>Wintle</w:t>
      </w:r>
      <w:proofErr w:type="spellEnd"/>
      <w:r w:rsidRPr="00AF4759">
        <w:t xml:space="preserve">, A.G., Henshilwood, C.S. 2006b. Extending the chronology of deposits at Blombos Cave, South Africa, back to 140 ka using optical dating of single and multiple grains of quartz. </w:t>
      </w:r>
      <w:r w:rsidRPr="00AF4759">
        <w:rPr>
          <w:i/>
        </w:rPr>
        <w:t>Journal of Human Evolution</w:t>
      </w:r>
      <w:r w:rsidRPr="00AF4759">
        <w:t xml:space="preserve"> </w:t>
      </w:r>
      <w:r w:rsidRPr="00AF4759">
        <w:rPr>
          <w:b/>
        </w:rPr>
        <w:t>51</w:t>
      </w:r>
      <w:r w:rsidRPr="00AF4759">
        <w:t>, 255-273.</w:t>
      </w:r>
    </w:p>
    <w:p w14:paraId="28691EDF" w14:textId="77777777" w:rsidR="00E65AA3" w:rsidRPr="00AF4759" w:rsidRDefault="00E65AA3" w:rsidP="00E65AA3"/>
    <w:p w14:paraId="63D224C8" w14:textId="34A5031C" w:rsidR="00E65AA3" w:rsidRPr="00AF4759" w:rsidRDefault="00E65AA3" w:rsidP="00E65AA3">
      <w:r w:rsidRPr="00AF4759">
        <w:t xml:space="preserve">Jacobs, Z., Roberts, R.G., Galbraith, R.F., Deacon, H.J., </w:t>
      </w:r>
      <w:proofErr w:type="spellStart"/>
      <w:r w:rsidRPr="00AF4759">
        <w:t>Grün</w:t>
      </w:r>
      <w:proofErr w:type="spellEnd"/>
      <w:r w:rsidRPr="00AF4759">
        <w:t xml:space="preserve">, R., Mackay, A., Mitchell, P., Vogelsang, R., Wadley, L. 2008a. Ages for the Middle Stone Age of Southern Africa: Implications for Human </w:t>
      </w:r>
      <w:proofErr w:type="spellStart"/>
      <w:r w:rsidRPr="00AF4759">
        <w:t>Behavior</w:t>
      </w:r>
      <w:proofErr w:type="spellEnd"/>
      <w:r w:rsidRPr="00AF4759">
        <w:t xml:space="preserve"> and Dispersal. </w:t>
      </w:r>
      <w:r w:rsidRPr="00AF4759">
        <w:rPr>
          <w:i/>
        </w:rPr>
        <w:t>Science</w:t>
      </w:r>
      <w:r w:rsidRPr="00AF4759">
        <w:t xml:space="preserve"> </w:t>
      </w:r>
      <w:r w:rsidRPr="00AF4759">
        <w:rPr>
          <w:b/>
        </w:rPr>
        <w:t>322</w:t>
      </w:r>
      <w:r w:rsidRPr="00AF4759">
        <w:t>, 733-735.</w:t>
      </w:r>
    </w:p>
    <w:p w14:paraId="39752410" w14:textId="5DF539F3" w:rsidR="00923D57" w:rsidRPr="00AF4759" w:rsidRDefault="00923D57" w:rsidP="00E65AA3"/>
    <w:p w14:paraId="23BD0BB3" w14:textId="37E2AB40" w:rsidR="00923D57" w:rsidRPr="00AF4759" w:rsidRDefault="00923D57" w:rsidP="00E65AA3">
      <w:r w:rsidRPr="00AF4759">
        <w:t xml:space="preserve">Jacobs, Z., </w:t>
      </w:r>
      <w:proofErr w:type="spellStart"/>
      <w:r w:rsidRPr="00AF4759">
        <w:t>Wintle</w:t>
      </w:r>
      <w:proofErr w:type="spellEnd"/>
      <w:r w:rsidRPr="00AF4759">
        <w:t>, A.G., Duller, G.A.T., Roberts</w:t>
      </w:r>
      <w:r w:rsidR="00CE3F0A" w:rsidRPr="00AF4759">
        <w:t>, R.G., Wadley, L. 2008b. New ages for the post-</w:t>
      </w:r>
      <w:proofErr w:type="spellStart"/>
      <w:r w:rsidR="00CE3F0A" w:rsidRPr="00AF4759">
        <w:t>Howiesons</w:t>
      </w:r>
      <w:proofErr w:type="spellEnd"/>
      <w:r w:rsidR="00CE3F0A" w:rsidRPr="00AF4759">
        <w:t xml:space="preserve"> </w:t>
      </w:r>
      <w:proofErr w:type="spellStart"/>
      <w:r w:rsidR="00CE3F0A" w:rsidRPr="00AF4759">
        <w:t>Poort</w:t>
      </w:r>
      <w:proofErr w:type="spellEnd"/>
      <w:r w:rsidR="00CE3F0A" w:rsidRPr="00AF4759">
        <w:t xml:space="preserve">, late and final Middle Stone Age at </w:t>
      </w:r>
      <w:proofErr w:type="spellStart"/>
      <w:r w:rsidR="00CE3F0A" w:rsidRPr="00AF4759">
        <w:t>Sibudu</w:t>
      </w:r>
      <w:proofErr w:type="spellEnd"/>
      <w:r w:rsidR="00CE3F0A" w:rsidRPr="00AF4759">
        <w:t xml:space="preserve">, South Africa. </w:t>
      </w:r>
      <w:r w:rsidR="00CE3F0A" w:rsidRPr="00AF4759">
        <w:rPr>
          <w:i/>
        </w:rPr>
        <w:t>Journal of Archaeological</w:t>
      </w:r>
      <w:r w:rsidR="00CE3F0A" w:rsidRPr="00AF4759">
        <w:t xml:space="preserve"> </w:t>
      </w:r>
      <w:r w:rsidR="00CE3F0A" w:rsidRPr="00AF4759">
        <w:rPr>
          <w:i/>
        </w:rPr>
        <w:t xml:space="preserve">Science </w:t>
      </w:r>
      <w:r w:rsidR="00CE3F0A" w:rsidRPr="00AF4759">
        <w:rPr>
          <w:b/>
        </w:rPr>
        <w:t>35</w:t>
      </w:r>
      <w:r w:rsidR="00CE3F0A" w:rsidRPr="00AF4759">
        <w:t>, 1790-1807.</w:t>
      </w:r>
    </w:p>
    <w:p w14:paraId="0FD9E959" w14:textId="77777777" w:rsidR="00E65AA3" w:rsidRPr="00AF4759" w:rsidRDefault="00E65AA3" w:rsidP="00E65AA3"/>
    <w:p w14:paraId="35D9A2E5" w14:textId="77777777" w:rsidR="00E65AA3" w:rsidRPr="00AF4759" w:rsidRDefault="00E65AA3" w:rsidP="00E65AA3">
      <w:r w:rsidRPr="00AF4759">
        <w:t xml:space="preserve">Kreutzer, S., Schmidt, C., Fuchs, M., </w:t>
      </w:r>
      <w:proofErr w:type="spellStart"/>
      <w:r w:rsidRPr="00AF4759">
        <w:t>Dietze</w:t>
      </w:r>
      <w:proofErr w:type="spellEnd"/>
      <w:r w:rsidRPr="00AF4759">
        <w:t xml:space="preserve">, M., Fischer, </w:t>
      </w:r>
      <w:proofErr w:type="spellStart"/>
      <w:r w:rsidRPr="00AF4759">
        <w:t>M.</w:t>
      </w:r>
      <w:proofErr w:type="gramStart"/>
      <w:r w:rsidRPr="00AF4759">
        <w:t>,.</w:t>
      </w:r>
      <w:proofErr w:type="gramEnd"/>
      <w:r w:rsidRPr="00AF4759">
        <w:t>and</w:t>
      </w:r>
      <w:proofErr w:type="spellEnd"/>
      <w:r w:rsidRPr="00AF4759">
        <w:t xml:space="preserve"> Fuchs, M. 2012. Introducing an R package for luminescence dating analysis. </w:t>
      </w:r>
      <w:r w:rsidRPr="00AF4759">
        <w:rPr>
          <w:i/>
        </w:rPr>
        <w:t>Ancient TL</w:t>
      </w:r>
      <w:r w:rsidRPr="00AF4759">
        <w:t xml:space="preserve"> </w:t>
      </w:r>
      <w:r w:rsidRPr="00AF4759">
        <w:rPr>
          <w:b/>
        </w:rPr>
        <w:t>30</w:t>
      </w:r>
      <w:r w:rsidRPr="00AF4759">
        <w:t>, 1–8.</w:t>
      </w:r>
    </w:p>
    <w:p w14:paraId="794B016E" w14:textId="77777777" w:rsidR="00E65AA3" w:rsidRPr="00AF4759" w:rsidRDefault="00E65AA3" w:rsidP="00E65AA3"/>
    <w:p w14:paraId="4D82DBC9" w14:textId="77777777" w:rsidR="00E65AA3" w:rsidRPr="00AF4759" w:rsidRDefault="00E65AA3" w:rsidP="00E65AA3">
      <w:r w:rsidRPr="00AF4759">
        <w:t xml:space="preserve">Kreutzer, S., </w:t>
      </w:r>
      <w:proofErr w:type="spellStart"/>
      <w:r w:rsidRPr="00AF4759">
        <w:t>Dietze</w:t>
      </w:r>
      <w:proofErr w:type="spellEnd"/>
      <w:r w:rsidRPr="00AF4759">
        <w:t xml:space="preserve">, M., </w:t>
      </w:r>
      <w:proofErr w:type="spellStart"/>
      <w:r w:rsidRPr="00AF4759">
        <w:t>Burow</w:t>
      </w:r>
      <w:proofErr w:type="spellEnd"/>
      <w:r w:rsidRPr="00AF4759">
        <w:t xml:space="preserve">, C., Fuchs, M.C., Schmidt. C., Fischer. M., Friedrich, J. 2017. Luminescence: Comprehensive Luminescence Dating Data Analysis. R package, version 0.7.5. </w:t>
      </w:r>
      <w:hyperlink r:id="rId11" w:history="1">
        <w:r w:rsidRPr="00AF4759">
          <w:rPr>
            <w:rStyle w:val="Hyperlink"/>
          </w:rPr>
          <w:t>https://CRAN.R-project.org/package=Luminescence</w:t>
        </w:r>
      </w:hyperlink>
    </w:p>
    <w:p w14:paraId="30368D8E" w14:textId="77777777" w:rsidR="00E65AA3" w:rsidRPr="00AF4759" w:rsidRDefault="00E65AA3" w:rsidP="00E65AA3"/>
    <w:p w14:paraId="37E14AC4" w14:textId="77777777" w:rsidR="00E65AA3" w:rsidRPr="00AF4759" w:rsidRDefault="00E65AA3" w:rsidP="00E65AA3">
      <w:r w:rsidRPr="00AF4759">
        <w:t xml:space="preserve">Murray, A. S. and </w:t>
      </w:r>
      <w:proofErr w:type="spellStart"/>
      <w:r w:rsidRPr="00AF4759">
        <w:t>Wintle</w:t>
      </w:r>
      <w:proofErr w:type="spellEnd"/>
      <w:r w:rsidRPr="00AF4759">
        <w:t xml:space="preserve">, A. G. 2000. Luminescence dating of quartz using an improved single-aliquot regenerative-dose protocol. </w:t>
      </w:r>
      <w:r w:rsidRPr="00AF4759">
        <w:rPr>
          <w:i/>
        </w:rPr>
        <w:t>Radiation Measurements</w:t>
      </w:r>
      <w:r w:rsidRPr="00AF4759">
        <w:t xml:space="preserve"> </w:t>
      </w:r>
      <w:r w:rsidRPr="00AF4759">
        <w:rPr>
          <w:b/>
        </w:rPr>
        <w:t>32</w:t>
      </w:r>
      <w:r w:rsidRPr="00AF4759">
        <w:t>, 57–73.</w:t>
      </w:r>
    </w:p>
    <w:p w14:paraId="58FE144C" w14:textId="77777777" w:rsidR="00E65AA3" w:rsidRPr="00AF4759" w:rsidRDefault="00E65AA3" w:rsidP="00E65AA3"/>
    <w:p w14:paraId="265D924F" w14:textId="77777777" w:rsidR="00E65AA3" w:rsidRPr="00AF4759" w:rsidRDefault="00E65AA3" w:rsidP="00E65AA3">
      <w:proofErr w:type="spellStart"/>
      <w:r w:rsidRPr="00AF4759">
        <w:t>Mejdahl</w:t>
      </w:r>
      <w:proofErr w:type="spellEnd"/>
      <w:r w:rsidRPr="00AF4759">
        <w:t xml:space="preserve">, V. 1979. </w:t>
      </w:r>
      <w:proofErr w:type="spellStart"/>
      <w:r w:rsidRPr="00AF4759">
        <w:t>Thermoluminescence</w:t>
      </w:r>
      <w:proofErr w:type="spellEnd"/>
      <w:r w:rsidRPr="00AF4759">
        <w:t xml:space="preserve"> dating beta-dose attenuation in quartz grains. </w:t>
      </w:r>
      <w:proofErr w:type="spellStart"/>
      <w:r w:rsidRPr="00AF4759">
        <w:rPr>
          <w:i/>
        </w:rPr>
        <w:t>Archaeometry</w:t>
      </w:r>
      <w:proofErr w:type="spellEnd"/>
      <w:r w:rsidRPr="00AF4759">
        <w:t xml:space="preserve"> </w:t>
      </w:r>
      <w:r w:rsidRPr="00AF4759">
        <w:rPr>
          <w:b/>
        </w:rPr>
        <w:t>21</w:t>
      </w:r>
      <w:r w:rsidRPr="00AF4759">
        <w:t>, 61-72.</w:t>
      </w:r>
    </w:p>
    <w:p w14:paraId="6EC2AD59" w14:textId="0B853578" w:rsidR="00E65AA3" w:rsidRPr="00AF4759" w:rsidRDefault="00E65AA3" w:rsidP="00E65AA3"/>
    <w:p w14:paraId="1060E8A8" w14:textId="1758AF44" w:rsidR="00BB0006" w:rsidRPr="00AF4759" w:rsidRDefault="00BB0006" w:rsidP="00E65AA3">
      <w:r w:rsidRPr="00AF4759">
        <w:t xml:space="preserve">Nathan, R.P., </w:t>
      </w:r>
      <w:proofErr w:type="spellStart"/>
      <w:r w:rsidRPr="00AF4759">
        <w:t>Mauz</w:t>
      </w:r>
      <w:proofErr w:type="spellEnd"/>
      <w:r w:rsidRPr="00AF4759">
        <w:t xml:space="preserve">, B. </w:t>
      </w:r>
      <w:r w:rsidR="00CA7083" w:rsidRPr="00AF4759">
        <w:t xml:space="preserve">2008. On the dose-rate estimate of carbonate-rich sediments for trapped charge dating. </w:t>
      </w:r>
      <w:r w:rsidR="00CA7083" w:rsidRPr="00AF4759">
        <w:rPr>
          <w:i/>
        </w:rPr>
        <w:t>Radiation Measurements</w:t>
      </w:r>
      <w:r w:rsidR="00CA7083" w:rsidRPr="00AF4759">
        <w:rPr>
          <w:b/>
        </w:rPr>
        <w:t xml:space="preserve"> 43</w:t>
      </w:r>
      <w:r w:rsidR="00CA7083" w:rsidRPr="00AF4759">
        <w:t>, 14-25.</w:t>
      </w:r>
    </w:p>
    <w:p w14:paraId="518C3976" w14:textId="77777777" w:rsidR="00BB0006" w:rsidRPr="00AF4759" w:rsidRDefault="00BB0006" w:rsidP="00E65AA3"/>
    <w:p w14:paraId="3D812891" w14:textId="095D8778" w:rsidR="00E65AA3" w:rsidRPr="00AF4759" w:rsidRDefault="00E65AA3" w:rsidP="00E65AA3">
      <w:r w:rsidRPr="00AF4759">
        <w:t>Ping, J., Li, Bo. 2017. Single-aliquot Regenerative-Dose (SAR) and Standardised Growth Curve (SGC) Equivalent Dose Determination in a Batch Model Using the R Package ‘</w:t>
      </w:r>
      <w:proofErr w:type="spellStart"/>
      <w:r w:rsidRPr="00AF4759">
        <w:t>numOSL</w:t>
      </w:r>
      <w:proofErr w:type="spellEnd"/>
      <w:r w:rsidRPr="00AF4759">
        <w:t xml:space="preserve">’. </w:t>
      </w:r>
      <w:r w:rsidRPr="00AF4759">
        <w:rPr>
          <w:i/>
        </w:rPr>
        <w:t>Ancient TL</w:t>
      </w:r>
      <w:r w:rsidRPr="00AF4759">
        <w:t xml:space="preserve"> </w:t>
      </w:r>
      <w:r w:rsidRPr="00AF4759">
        <w:rPr>
          <w:b/>
        </w:rPr>
        <w:t>35</w:t>
      </w:r>
      <w:r w:rsidRPr="00AF4759">
        <w:t>, 32-53.</w:t>
      </w:r>
    </w:p>
    <w:p w14:paraId="6422C874" w14:textId="2570FD62" w:rsidR="00080B09" w:rsidRPr="00AF4759" w:rsidRDefault="00080B09" w:rsidP="00E65AA3"/>
    <w:p w14:paraId="7AB55A03" w14:textId="050EB1E4" w:rsidR="00080B09" w:rsidRPr="00AF4759" w:rsidRDefault="00080B09" w:rsidP="00E65AA3">
      <w:proofErr w:type="spellStart"/>
      <w:r w:rsidRPr="00AF4759">
        <w:t>Polymeris</w:t>
      </w:r>
      <w:proofErr w:type="spellEnd"/>
      <w:r w:rsidRPr="00AF4759">
        <w:t xml:space="preserve">, G.S., </w:t>
      </w:r>
      <w:proofErr w:type="spellStart"/>
      <w:r w:rsidRPr="00AF4759">
        <w:t>Oniya</w:t>
      </w:r>
      <w:proofErr w:type="spellEnd"/>
      <w:r w:rsidRPr="00AF4759">
        <w:t xml:space="preserve">, E.O., </w:t>
      </w:r>
      <w:proofErr w:type="spellStart"/>
      <w:r w:rsidRPr="00AF4759">
        <w:t>Jibiri</w:t>
      </w:r>
      <w:proofErr w:type="spellEnd"/>
      <w:r w:rsidRPr="00AF4759">
        <w:t xml:space="preserve">, N.N., </w:t>
      </w:r>
      <w:proofErr w:type="spellStart"/>
      <w:r w:rsidRPr="00AF4759">
        <w:t>Tsirliganis</w:t>
      </w:r>
      <w:proofErr w:type="spellEnd"/>
      <w:r w:rsidRPr="00AF4759">
        <w:t xml:space="preserve">, N.C., </w:t>
      </w:r>
      <w:proofErr w:type="spellStart"/>
      <w:r w:rsidRPr="00AF4759">
        <w:t>Kitis</w:t>
      </w:r>
      <w:proofErr w:type="spellEnd"/>
      <w:r w:rsidRPr="00AF4759">
        <w:t xml:space="preserve">, G. 2011. In-homogeneity in the pre-dose sensitization of the 110˚C TL peak in various quartz samples: The influence of annealing. </w:t>
      </w:r>
      <w:r w:rsidRPr="00AF4759">
        <w:rPr>
          <w:i/>
        </w:rPr>
        <w:t>Nuclear Instruments and Methods in Physics Research B</w:t>
      </w:r>
      <w:r w:rsidRPr="00AF4759">
        <w:t xml:space="preserve"> </w:t>
      </w:r>
      <w:r w:rsidR="00B77F1E" w:rsidRPr="00AF4759">
        <w:rPr>
          <w:b/>
        </w:rPr>
        <w:t>274</w:t>
      </w:r>
      <w:r w:rsidR="00B77F1E" w:rsidRPr="00AF4759">
        <w:t>, 105-110.</w:t>
      </w:r>
    </w:p>
    <w:p w14:paraId="1EFE189F" w14:textId="77777777" w:rsidR="00E65AA3" w:rsidRPr="00AF4759" w:rsidRDefault="00E65AA3" w:rsidP="00E65AA3"/>
    <w:p w14:paraId="15034C5A" w14:textId="77777777" w:rsidR="00E65AA3" w:rsidRPr="00AF4759" w:rsidRDefault="00E65AA3" w:rsidP="00E65AA3">
      <w:r w:rsidRPr="00AF4759">
        <w:t xml:space="preserve">Prescott, J.R., Hutton, J.T. 1994. Cosmic ray contributions to dose rates for luminescence and ESR dating: large depths and long–term time variations. </w:t>
      </w:r>
      <w:r w:rsidRPr="00AF4759">
        <w:rPr>
          <w:i/>
        </w:rPr>
        <w:t>Radiation Measurements</w:t>
      </w:r>
      <w:r w:rsidRPr="00AF4759">
        <w:t xml:space="preserve"> </w:t>
      </w:r>
      <w:r w:rsidRPr="00AF4759">
        <w:rPr>
          <w:b/>
        </w:rPr>
        <w:t>23</w:t>
      </w:r>
      <w:r w:rsidRPr="00AF4759">
        <w:t>, 497-500.</w:t>
      </w:r>
    </w:p>
    <w:p w14:paraId="3A94E233" w14:textId="77777777" w:rsidR="00E65AA3" w:rsidRPr="00AF4759" w:rsidRDefault="00E65AA3" w:rsidP="00E65AA3"/>
    <w:p w14:paraId="7CB69FA2" w14:textId="77777777" w:rsidR="00E65AA3" w:rsidRPr="00AF4759" w:rsidRDefault="00E65AA3" w:rsidP="00E65AA3">
      <w:r w:rsidRPr="00AF4759">
        <w:t xml:space="preserve">Roberts, R.G., Yoshida, H., Galbraith, R.F., </w:t>
      </w:r>
      <w:proofErr w:type="spellStart"/>
      <w:r w:rsidRPr="00AF4759">
        <w:t>Laslett</w:t>
      </w:r>
      <w:proofErr w:type="spellEnd"/>
      <w:r w:rsidRPr="00AF4759">
        <w:t xml:space="preserve">, G.M., Jones, R., Smith, M., 1998. Single-aliquot and single-grain optical dating confirm </w:t>
      </w:r>
      <w:proofErr w:type="spellStart"/>
      <w:r w:rsidRPr="00AF4759">
        <w:t>thermoluminescence</w:t>
      </w:r>
      <w:proofErr w:type="spellEnd"/>
      <w:r w:rsidRPr="00AF4759">
        <w:t xml:space="preserve"> age estimates at </w:t>
      </w:r>
      <w:proofErr w:type="spellStart"/>
      <w:r w:rsidRPr="00AF4759">
        <w:t>Malakunanja</w:t>
      </w:r>
      <w:proofErr w:type="spellEnd"/>
      <w:r w:rsidRPr="00AF4759">
        <w:t xml:space="preserve"> II rock shelter in northern Australia. </w:t>
      </w:r>
      <w:r w:rsidRPr="00AF4759">
        <w:rPr>
          <w:i/>
        </w:rPr>
        <w:t>Ancient TL</w:t>
      </w:r>
      <w:r w:rsidRPr="00AF4759">
        <w:t xml:space="preserve"> </w:t>
      </w:r>
      <w:r w:rsidRPr="00AF4759">
        <w:rPr>
          <w:b/>
        </w:rPr>
        <w:t>16</w:t>
      </w:r>
      <w:r w:rsidRPr="00AF4759">
        <w:t>, 19–25.</w:t>
      </w:r>
    </w:p>
    <w:p w14:paraId="0516F348" w14:textId="77777777" w:rsidR="00E65AA3" w:rsidRPr="00AF4759" w:rsidRDefault="00E65AA3" w:rsidP="00E65AA3"/>
    <w:p w14:paraId="5C7FB425" w14:textId="77777777" w:rsidR="00E65AA3" w:rsidRPr="00AF4759" w:rsidRDefault="00E65AA3" w:rsidP="00E65AA3">
      <w:r w:rsidRPr="00AF4759">
        <w:t xml:space="preserve">Roberts, R.G., Galbraith, R.F., </w:t>
      </w:r>
      <w:proofErr w:type="spellStart"/>
      <w:r w:rsidRPr="00AF4759">
        <w:t>Olley</w:t>
      </w:r>
      <w:proofErr w:type="spellEnd"/>
      <w:r w:rsidRPr="00AF4759">
        <w:t xml:space="preserve">, J.M., Yoshida, H., </w:t>
      </w:r>
      <w:proofErr w:type="spellStart"/>
      <w:r w:rsidRPr="00AF4759">
        <w:t>Laslett</w:t>
      </w:r>
      <w:proofErr w:type="spellEnd"/>
      <w:r w:rsidRPr="00AF4759">
        <w:t xml:space="preserve">, G.M. 1999. Optical dating of single and multiple grains of quartz from </w:t>
      </w:r>
      <w:proofErr w:type="spellStart"/>
      <w:r w:rsidRPr="00AF4759">
        <w:t>Jinmium</w:t>
      </w:r>
      <w:proofErr w:type="spellEnd"/>
      <w:r w:rsidRPr="00AF4759">
        <w:t xml:space="preserve"> Rock Shelter, Northern Australia: Part II, results and implications. </w:t>
      </w:r>
      <w:proofErr w:type="spellStart"/>
      <w:r w:rsidRPr="00AF4759">
        <w:rPr>
          <w:i/>
        </w:rPr>
        <w:t>Archaeometry</w:t>
      </w:r>
      <w:proofErr w:type="spellEnd"/>
      <w:r w:rsidRPr="00AF4759">
        <w:t xml:space="preserve"> </w:t>
      </w:r>
      <w:r w:rsidRPr="00AF4759">
        <w:rPr>
          <w:b/>
        </w:rPr>
        <w:t>41</w:t>
      </w:r>
      <w:r w:rsidRPr="00AF4759">
        <w:t>, 365-395.</w:t>
      </w:r>
    </w:p>
    <w:p w14:paraId="6AE7CB59" w14:textId="77777777" w:rsidR="00665D27" w:rsidRPr="00AF4759" w:rsidRDefault="00665D27" w:rsidP="00665D27"/>
    <w:p w14:paraId="19BE10E3" w14:textId="2D8538FB" w:rsidR="00665D27" w:rsidRPr="00AF4759" w:rsidRDefault="00665D27" w:rsidP="00665D27">
      <w:r w:rsidRPr="00AF4759">
        <w:t xml:space="preserve">Roberts, R.G., Jacobs, Z., Li, B., Jankowski, N.R., Cunningham, A.C., Rosenfeld, A.B. 2015. Optical dating in archaeology: thirty years in retrospect and grand challenges for the future. </w:t>
      </w:r>
      <w:r w:rsidRPr="00AF4759">
        <w:rPr>
          <w:i/>
        </w:rPr>
        <w:t>Journal of Archaeological Science</w:t>
      </w:r>
      <w:r w:rsidRPr="00AF4759">
        <w:t xml:space="preserve"> </w:t>
      </w:r>
      <w:r w:rsidRPr="00AF4759">
        <w:rPr>
          <w:b/>
        </w:rPr>
        <w:t>56</w:t>
      </w:r>
      <w:r w:rsidRPr="00AF4759">
        <w:t>, 41-60.</w:t>
      </w:r>
    </w:p>
    <w:p w14:paraId="1039F022" w14:textId="77777777" w:rsidR="00E65AA3" w:rsidRPr="00AF4759" w:rsidRDefault="00E65AA3" w:rsidP="00E65AA3"/>
    <w:p w14:paraId="6FC7EFC6" w14:textId="77777777" w:rsidR="00E65AA3" w:rsidRPr="00AF4759" w:rsidRDefault="00E65AA3" w:rsidP="00E65AA3">
      <w:r w:rsidRPr="00AF4759">
        <w:t xml:space="preserve">Smith, M.A., Prescott, J.R., Head, M.J. 1997. Comparison of </w:t>
      </w:r>
      <w:r w:rsidRPr="00AF4759">
        <w:rPr>
          <w:vertAlign w:val="superscript"/>
        </w:rPr>
        <w:t>14</w:t>
      </w:r>
      <w:r w:rsidRPr="00AF4759">
        <w:t xml:space="preserve">C and luminescence chronologies at </w:t>
      </w:r>
      <w:proofErr w:type="spellStart"/>
      <w:r w:rsidRPr="00AF4759">
        <w:t>Puritjarra</w:t>
      </w:r>
      <w:proofErr w:type="spellEnd"/>
      <w:r w:rsidRPr="00AF4759">
        <w:t xml:space="preserve"> rock shelter, central Australia. </w:t>
      </w:r>
      <w:r w:rsidRPr="00AF4759">
        <w:rPr>
          <w:i/>
        </w:rPr>
        <w:t>Quaternary Science Reviews</w:t>
      </w:r>
      <w:r w:rsidRPr="00AF4759">
        <w:t xml:space="preserve"> </w:t>
      </w:r>
      <w:r w:rsidRPr="00AF4759">
        <w:rPr>
          <w:b/>
        </w:rPr>
        <w:t>16</w:t>
      </w:r>
      <w:r w:rsidRPr="00AF4759">
        <w:t>, 299-320.</w:t>
      </w:r>
    </w:p>
    <w:p w14:paraId="64467790" w14:textId="30916EA5" w:rsidR="00E65AA3" w:rsidRPr="00AF4759" w:rsidRDefault="00E65AA3" w:rsidP="00E65AA3"/>
    <w:p w14:paraId="564E8163" w14:textId="6A33B681" w:rsidR="002235E8" w:rsidRPr="00AF4759" w:rsidRDefault="002235E8" w:rsidP="00E65AA3">
      <w:proofErr w:type="spellStart"/>
      <w:r w:rsidRPr="00AF4759">
        <w:t>Tribolo</w:t>
      </w:r>
      <w:proofErr w:type="spellEnd"/>
      <w:r w:rsidRPr="00AF4759">
        <w:t xml:space="preserve">, C., Mercier, N., </w:t>
      </w:r>
      <w:proofErr w:type="spellStart"/>
      <w:r w:rsidRPr="00AF4759">
        <w:t>Valladas</w:t>
      </w:r>
      <w:proofErr w:type="spellEnd"/>
      <w:r w:rsidRPr="00AF4759">
        <w:t xml:space="preserve">, H., </w:t>
      </w:r>
      <w:proofErr w:type="spellStart"/>
      <w:r w:rsidRPr="00AF4759">
        <w:t>Lefrais</w:t>
      </w:r>
      <w:proofErr w:type="spellEnd"/>
      <w:r w:rsidRPr="00AF4759">
        <w:t xml:space="preserve">, Y., Miller, C.E., </w:t>
      </w:r>
      <w:proofErr w:type="spellStart"/>
      <w:r w:rsidRPr="00AF4759">
        <w:t>Parkington</w:t>
      </w:r>
      <w:proofErr w:type="spellEnd"/>
      <w:r w:rsidRPr="00AF4759">
        <w:t xml:space="preserve">, J.E., </w:t>
      </w:r>
      <w:proofErr w:type="spellStart"/>
      <w:r w:rsidRPr="00AF4759">
        <w:t>Porraz</w:t>
      </w:r>
      <w:proofErr w:type="spellEnd"/>
      <w:r w:rsidRPr="00AF4759">
        <w:t xml:space="preserve">, G. 2016. Chronology of the Pleistocene deposits at Elands Bay Cave (South Africa) based on charcoals, burnt lithics, and sedimentary quartz and feldspar grains. </w:t>
      </w:r>
      <w:r w:rsidRPr="00AF4759">
        <w:rPr>
          <w:i/>
        </w:rPr>
        <w:t>Southern African Humanities</w:t>
      </w:r>
      <w:r w:rsidRPr="00AF4759">
        <w:t xml:space="preserve"> </w:t>
      </w:r>
      <w:r w:rsidRPr="00AF4759">
        <w:rPr>
          <w:b/>
        </w:rPr>
        <w:t>29</w:t>
      </w:r>
      <w:r w:rsidRPr="00AF4759">
        <w:t>, 129-152.</w:t>
      </w:r>
    </w:p>
    <w:p w14:paraId="0AA10F28" w14:textId="77777777" w:rsidR="002235E8" w:rsidRPr="00AF4759" w:rsidRDefault="002235E8" w:rsidP="00E65AA3"/>
    <w:p w14:paraId="7E65BA3B" w14:textId="77777777" w:rsidR="00E65AA3" w:rsidRPr="00AF4759" w:rsidRDefault="00E65AA3" w:rsidP="00E65AA3">
      <w:proofErr w:type="spellStart"/>
      <w:r w:rsidRPr="00AF4759">
        <w:t>Wintle</w:t>
      </w:r>
      <w:proofErr w:type="spellEnd"/>
      <w:r w:rsidRPr="00AF4759">
        <w:t xml:space="preserve">, A.G. 1997. Luminescence dating: laboratory procedures and protocols. </w:t>
      </w:r>
      <w:r w:rsidRPr="00AF4759">
        <w:rPr>
          <w:i/>
        </w:rPr>
        <w:t>Radiation Measurements</w:t>
      </w:r>
      <w:r w:rsidRPr="00AF4759">
        <w:t xml:space="preserve"> </w:t>
      </w:r>
      <w:r w:rsidRPr="00AF4759">
        <w:rPr>
          <w:b/>
        </w:rPr>
        <w:t>27</w:t>
      </w:r>
      <w:r w:rsidRPr="00AF4759">
        <w:t>, 769–817.</w:t>
      </w:r>
    </w:p>
    <w:p w14:paraId="09356174" w14:textId="77777777" w:rsidR="00406DAA" w:rsidRPr="00AF4759" w:rsidRDefault="00406DAA" w:rsidP="00406DAA"/>
    <w:p w14:paraId="1D6D86BC" w14:textId="1CC9EA7C" w:rsidR="00406DAA" w:rsidRPr="00AF4759" w:rsidRDefault="00406DAA" w:rsidP="00406DAA">
      <w:proofErr w:type="spellStart"/>
      <w:r w:rsidRPr="00AF4759">
        <w:t>Wintle</w:t>
      </w:r>
      <w:proofErr w:type="spellEnd"/>
      <w:r w:rsidRPr="00AF4759">
        <w:t xml:space="preserve">, A.G. 2014. Luminescence dating methods. In Holland, H., </w:t>
      </w:r>
      <w:proofErr w:type="spellStart"/>
      <w:r w:rsidRPr="00AF4759">
        <w:t>Turekian</w:t>
      </w:r>
      <w:proofErr w:type="spellEnd"/>
      <w:r w:rsidRPr="00AF4759">
        <w:t xml:space="preserve">, K. eds. </w:t>
      </w:r>
      <w:r w:rsidRPr="00AF4759">
        <w:rPr>
          <w:i/>
        </w:rPr>
        <w:t>Treatise on Geochemistry</w:t>
      </w:r>
      <w:r w:rsidRPr="00AF4759">
        <w:t xml:space="preserve">, second ed., vol. </w:t>
      </w:r>
      <w:proofErr w:type="gramStart"/>
      <w:r w:rsidRPr="00AF4759">
        <w:t>14.,</w:t>
      </w:r>
      <w:proofErr w:type="gramEnd"/>
      <w:r w:rsidRPr="00AF4759">
        <w:t xml:space="preserve"> pp.17-35. Elsevier, Oxford.</w:t>
      </w:r>
    </w:p>
    <w:p w14:paraId="4FAF917F" w14:textId="77777777" w:rsidR="00E65AA3" w:rsidRPr="00AF4759" w:rsidRDefault="00E65AA3" w:rsidP="00135774">
      <w:pPr>
        <w:spacing w:line="276" w:lineRule="auto"/>
        <w:jc w:val="both"/>
      </w:pPr>
    </w:p>
    <w:sectPr w:rsidR="00E65AA3" w:rsidRPr="00AF475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EFED6A" w14:textId="77777777" w:rsidR="003623CF" w:rsidRDefault="003623CF" w:rsidP="007353E6">
      <w:r>
        <w:separator/>
      </w:r>
    </w:p>
  </w:endnote>
  <w:endnote w:type="continuationSeparator" w:id="0">
    <w:p w14:paraId="3F76CF6A" w14:textId="77777777" w:rsidR="003623CF" w:rsidRDefault="003623CF" w:rsidP="00735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9866361"/>
      <w:docPartObj>
        <w:docPartGallery w:val="Page Numbers (Bottom of Page)"/>
        <w:docPartUnique/>
      </w:docPartObj>
    </w:sdtPr>
    <w:sdtEndPr>
      <w:rPr>
        <w:noProof/>
      </w:rPr>
    </w:sdtEndPr>
    <w:sdtContent>
      <w:p w14:paraId="54E4FC30" w14:textId="69374634" w:rsidR="00592642" w:rsidRDefault="00592642">
        <w:pPr>
          <w:pStyle w:val="Footer"/>
          <w:jc w:val="center"/>
        </w:pPr>
        <w:r>
          <w:fldChar w:fldCharType="begin"/>
        </w:r>
        <w:r>
          <w:instrText xml:space="preserve"> PAGE   \* MERGEFORMAT </w:instrText>
        </w:r>
        <w:r>
          <w:fldChar w:fldCharType="separate"/>
        </w:r>
        <w:r w:rsidR="001C440D">
          <w:rPr>
            <w:noProof/>
          </w:rPr>
          <w:t>11</w:t>
        </w:r>
        <w:r>
          <w:rPr>
            <w:noProof/>
          </w:rPr>
          <w:fldChar w:fldCharType="end"/>
        </w:r>
      </w:p>
    </w:sdtContent>
  </w:sdt>
  <w:p w14:paraId="2731AA59" w14:textId="77777777" w:rsidR="00592642" w:rsidRDefault="005926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C39D54" w14:textId="77777777" w:rsidR="003623CF" w:rsidRDefault="003623CF" w:rsidP="007353E6">
      <w:r>
        <w:separator/>
      </w:r>
    </w:p>
  </w:footnote>
  <w:footnote w:type="continuationSeparator" w:id="0">
    <w:p w14:paraId="32BB61A5" w14:textId="77777777" w:rsidR="003623CF" w:rsidRDefault="003623CF" w:rsidP="007353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1BE2"/>
    <w:multiLevelType w:val="hybridMultilevel"/>
    <w:tmpl w:val="A9DCDA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F42447E"/>
    <w:multiLevelType w:val="hybridMultilevel"/>
    <w:tmpl w:val="01A42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8437C40"/>
    <w:multiLevelType w:val="hybridMultilevel"/>
    <w:tmpl w:val="F6BC0E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379"/>
    <w:rsid w:val="00001046"/>
    <w:rsid w:val="0000199F"/>
    <w:rsid w:val="00002058"/>
    <w:rsid w:val="00002C4B"/>
    <w:rsid w:val="00004EEB"/>
    <w:rsid w:val="00006891"/>
    <w:rsid w:val="00011996"/>
    <w:rsid w:val="00011EEB"/>
    <w:rsid w:val="00017B18"/>
    <w:rsid w:val="00024A07"/>
    <w:rsid w:val="000255C9"/>
    <w:rsid w:val="00025B2B"/>
    <w:rsid w:val="0002677C"/>
    <w:rsid w:val="0003051E"/>
    <w:rsid w:val="000321EF"/>
    <w:rsid w:val="000332E5"/>
    <w:rsid w:val="00034957"/>
    <w:rsid w:val="00036280"/>
    <w:rsid w:val="000364EE"/>
    <w:rsid w:val="0003746D"/>
    <w:rsid w:val="00037476"/>
    <w:rsid w:val="0004121B"/>
    <w:rsid w:val="00044518"/>
    <w:rsid w:val="0004487A"/>
    <w:rsid w:val="00044B86"/>
    <w:rsid w:val="00044E26"/>
    <w:rsid w:val="00045FB4"/>
    <w:rsid w:val="000473C9"/>
    <w:rsid w:val="000508FA"/>
    <w:rsid w:val="00051B89"/>
    <w:rsid w:val="00054B0D"/>
    <w:rsid w:val="00055D5C"/>
    <w:rsid w:val="0005604D"/>
    <w:rsid w:val="000561F0"/>
    <w:rsid w:val="00057639"/>
    <w:rsid w:val="00061061"/>
    <w:rsid w:val="00061110"/>
    <w:rsid w:val="0006321E"/>
    <w:rsid w:val="00067C23"/>
    <w:rsid w:val="00072999"/>
    <w:rsid w:val="000773D6"/>
    <w:rsid w:val="00080B09"/>
    <w:rsid w:val="000823AB"/>
    <w:rsid w:val="00082745"/>
    <w:rsid w:val="00085F3F"/>
    <w:rsid w:val="000868D3"/>
    <w:rsid w:val="000910D5"/>
    <w:rsid w:val="00094415"/>
    <w:rsid w:val="000A1ADE"/>
    <w:rsid w:val="000A4544"/>
    <w:rsid w:val="000B1F2B"/>
    <w:rsid w:val="000B460F"/>
    <w:rsid w:val="000B5A63"/>
    <w:rsid w:val="000B5D19"/>
    <w:rsid w:val="000B67D4"/>
    <w:rsid w:val="000B75A4"/>
    <w:rsid w:val="000B79F5"/>
    <w:rsid w:val="000C10D8"/>
    <w:rsid w:val="000C185C"/>
    <w:rsid w:val="000C2CD2"/>
    <w:rsid w:val="000C4133"/>
    <w:rsid w:val="000C78C5"/>
    <w:rsid w:val="000D00CE"/>
    <w:rsid w:val="000D099F"/>
    <w:rsid w:val="000D145D"/>
    <w:rsid w:val="000D2771"/>
    <w:rsid w:val="000E04E2"/>
    <w:rsid w:val="000E0DB0"/>
    <w:rsid w:val="000E2F26"/>
    <w:rsid w:val="000E31A7"/>
    <w:rsid w:val="000E5EDB"/>
    <w:rsid w:val="000E64D1"/>
    <w:rsid w:val="000E729C"/>
    <w:rsid w:val="000F1D4E"/>
    <w:rsid w:val="000F2A42"/>
    <w:rsid w:val="000F30FE"/>
    <w:rsid w:val="000F3638"/>
    <w:rsid w:val="000F42AD"/>
    <w:rsid w:val="000F484D"/>
    <w:rsid w:val="000F68AC"/>
    <w:rsid w:val="000F741E"/>
    <w:rsid w:val="00101D72"/>
    <w:rsid w:val="00107D46"/>
    <w:rsid w:val="00110CB4"/>
    <w:rsid w:val="001114C4"/>
    <w:rsid w:val="0011226C"/>
    <w:rsid w:val="00114165"/>
    <w:rsid w:val="00120828"/>
    <w:rsid w:val="001212C5"/>
    <w:rsid w:val="00121AD9"/>
    <w:rsid w:val="00121B2B"/>
    <w:rsid w:val="001228D1"/>
    <w:rsid w:val="00122E6D"/>
    <w:rsid w:val="0012416A"/>
    <w:rsid w:val="001245B4"/>
    <w:rsid w:val="00124953"/>
    <w:rsid w:val="00126618"/>
    <w:rsid w:val="0013170B"/>
    <w:rsid w:val="00131BCE"/>
    <w:rsid w:val="00135774"/>
    <w:rsid w:val="00135C91"/>
    <w:rsid w:val="00136CBC"/>
    <w:rsid w:val="00137E77"/>
    <w:rsid w:val="00140226"/>
    <w:rsid w:val="00140F4C"/>
    <w:rsid w:val="001468E3"/>
    <w:rsid w:val="00146B6A"/>
    <w:rsid w:val="0016151B"/>
    <w:rsid w:val="00161E0E"/>
    <w:rsid w:val="00165CF7"/>
    <w:rsid w:val="00170CF1"/>
    <w:rsid w:val="00171A12"/>
    <w:rsid w:val="0017280C"/>
    <w:rsid w:val="001738AC"/>
    <w:rsid w:val="00174575"/>
    <w:rsid w:val="00183D82"/>
    <w:rsid w:val="0019387A"/>
    <w:rsid w:val="00193C6F"/>
    <w:rsid w:val="00193FF6"/>
    <w:rsid w:val="001A1FB6"/>
    <w:rsid w:val="001A7D35"/>
    <w:rsid w:val="001B04A3"/>
    <w:rsid w:val="001B0773"/>
    <w:rsid w:val="001B2E43"/>
    <w:rsid w:val="001B350C"/>
    <w:rsid w:val="001B3D32"/>
    <w:rsid w:val="001B3ECD"/>
    <w:rsid w:val="001B4874"/>
    <w:rsid w:val="001B4EDA"/>
    <w:rsid w:val="001B52D7"/>
    <w:rsid w:val="001C21BA"/>
    <w:rsid w:val="001C38E3"/>
    <w:rsid w:val="001C4014"/>
    <w:rsid w:val="001C440D"/>
    <w:rsid w:val="001C5A2D"/>
    <w:rsid w:val="001C5EEA"/>
    <w:rsid w:val="001C7934"/>
    <w:rsid w:val="001C7D66"/>
    <w:rsid w:val="001D1EA0"/>
    <w:rsid w:val="001D2B21"/>
    <w:rsid w:val="001D44BE"/>
    <w:rsid w:val="001D5AC6"/>
    <w:rsid w:val="001D6144"/>
    <w:rsid w:val="001D7E39"/>
    <w:rsid w:val="001E1C2A"/>
    <w:rsid w:val="001E5240"/>
    <w:rsid w:val="001F05DD"/>
    <w:rsid w:val="001F1D9D"/>
    <w:rsid w:val="001F2470"/>
    <w:rsid w:val="001F663F"/>
    <w:rsid w:val="001F74FB"/>
    <w:rsid w:val="00202540"/>
    <w:rsid w:val="00202A11"/>
    <w:rsid w:val="0020363E"/>
    <w:rsid w:val="0020525E"/>
    <w:rsid w:val="00206D2D"/>
    <w:rsid w:val="00207014"/>
    <w:rsid w:val="0020790F"/>
    <w:rsid w:val="0021353F"/>
    <w:rsid w:val="00214A37"/>
    <w:rsid w:val="00214B00"/>
    <w:rsid w:val="00214B33"/>
    <w:rsid w:val="00214B55"/>
    <w:rsid w:val="00215A7F"/>
    <w:rsid w:val="00216B9F"/>
    <w:rsid w:val="00217927"/>
    <w:rsid w:val="00217B39"/>
    <w:rsid w:val="00217D0F"/>
    <w:rsid w:val="002235E8"/>
    <w:rsid w:val="002320E8"/>
    <w:rsid w:val="00233EBA"/>
    <w:rsid w:val="00234E51"/>
    <w:rsid w:val="00234F82"/>
    <w:rsid w:val="0023628C"/>
    <w:rsid w:val="00237E8B"/>
    <w:rsid w:val="002401B2"/>
    <w:rsid w:val="002405B8"/>
    <w:rsid w:val="00241386"/>
    <w:rsid w:val="002514CD"/>
    <w:rsid w:val="002515F0"/>
    <w:rsid w:val="0025316F"/>
    <w:rsid w:val="002537D0"/>
    <w:rsid w:val="00254D1E"/>
    <w:rsid w:val="00256B53"/>
    <w:rsid w:val="00256D23"/>
    <w:rsid w:val="00257187"/>
    <w:rsid w:val="002610F3"/>
    <w:rsid w:val="002615D7"/>
    <w:rsid w:val="00263579"/>
    <w:rsid w:val="002646FA"/>
    <w:rsid w:val="00265743"/>
    <w:rsid w:val="00265DD0"/>
    <w:rsid w:val="0027229A"/>
    <w:rsid w:val="002737AA"/>
    <w:rsid w:val="0027449F"/>
    <w:rsid w:val="00275368"/>
    <w:rsid w:val="002759EF"/>
    <w:rsid w:val="002779ED"/>
    <w:rsid w:val="002800E6"/>
    <w:rsid w:val="002837C8"/>
    <w:rsid w:val="002846A8"/>
    <w:rsid w:val="00284B89"/>
    <w:rsid w:val="002853FA"/>
    <w:rsid w:val="00286771"/>
    <w:rsid w:val="00287245"/>
    <w:rsid w:val="00287E0A"/>
    <w:rsid w:val="00292FB1"/>
    <w:rsid w:val="002930E0"/>
    <w:rsid w:val="00295DD5"/>
    <w:rsid w:val="00296C07"/>
    <w:rsid w:val="00297AC5"/>
    <w:rsid w:val="002A0017"/>
    <w:rsid w:val="002A37FE"/>
    <w:rsid w:val="002A5308"/>
    <w:rsid w:val="002B0F8F"/>
    <w:rsid w:val="002B4FE6"/>
    <w:rsid w:val="002B7147"/>
    <w:rsid w:val="002B7FFB"/>
    <w:rsid w:val="002C2EC9"/>
    <w:rsid w:val="002C3462"/>
    <w:rsid w:val="002C480D"/>
    <w:rsid w:val="002C4B0E"/>
    <w:rsid w:val="002C535A"/>
    <w:rsid w:val="002E0E5E"/>
    <w:rsid w:val="002E43C3"/>
    <w:rsid w:val="002F0663"/>
    <w:rsid w:val="002F0FF3"/>
    <w:rsid w:val="002F1EE9"/>
    <w:rsid w:val="002F1FB9"/>
    <w:rsid w:val="002F6619"/>
    <w:rsid w:val="002F6ED7"/>
    <w:rsid w:val="00303020"/>
    <w:rsid w:val="00303A6C"/>
    <w:rsid w:val="00304153"/>
    <w:rsid w:val="00304855"/>
    <w:rsid w:val="00305E74"/>
    <w:rsid w:val="00306849"/>
    <w:rsid w:val="00307F5D"/>
    <w:rsid w:val="00314AF9"/>
    <w:rsid w:val="003167A7"/>
    <w:rsid w:val="003176A7"/>
    <w:rsid w:val="003209E2"/>
    <w:rsid w:val="00322A14"/>
    <w:rsid w:val="00324E2E"/>
    <w:rsid w:val="00325A76"/>
    <w:rsid w:val="00326AF5"/>
    <w:rsid w:val="00332CE5"/>
    <w:rsid w:val="003335FE"/>
    <w:rsid w:val="00333BA4"/>
    <w:rsid w:val="00337CA8"/>
    <w:rsid w:val="0034083A"/>
    <w:rsid w:val="003473F1"/>
    <w:rsid w:val="003511ED"/>
    <w:rsid w:val="00352A6F"/>
    <w:rsid w:val="00355875"/>
    <w:rsid w:val="00357E5F"/>
    <w:rsid w:val="00360FB0"/>
    <w:rsid w:val="00361746"/>
    <w:rsid w:val="003622E0"/>
    <w:rsid w:val="003623CF"/>
    <w:rsid w:val="003623E3"/>
    <w:rsid w:val="00364C3C"/>
    <w:rsid w:val="00372EFC"/>
    <w:rsid w:val="003748B5"/>
    <w:rsid w:val="00380080"/>
    <w:rsid w:val="0038414F"/>
    <w:rsid w:val="0038601C"/>
    <w:rsid w:val="0038690E"/>
    <w:rsid w:val="00387611"/>
    <w:rsid w:val="00387BE9"/>
    <w:rsid w:val="003914F8"/>
    <w:rsid w:val="00391E72"/>
    <w:rsid w:val="00393071"/>
    <w:rsid w:val="003936A3"/>
    <w:rsid w:val="00394DF9"/>
    <w:rsid w:val="00394F3C"/>
    <w:rsid w:val="0039718A"/>
    <w:rsid w:val="00397764"/>
    <w:rsid w:val="003A12F2"/>
    <w:rsid w:val="003A249B"/>
    <w:rsid w:val="003A25F9"/>
    <w:rsid w:val="003A2A6F"/>
    <w:rsid w:val="003A2CD1"/>
    <w:rsid w:val="003A659B"/>
    <w:rsid w:val="003A6EFC"/>
    <w:rsid w:val="003A7885"/>
    <w:rsid w:val="003B0A73"/>
    <w:rsid w:val="003B2ECB"/>
    <w:rsid w:val="003B3A94"/>
    <w:rsid w:val="003B4C8E"/>
    <w:rsid w:val="003B7E79"/>
    <w:rsid w:val="003C1475"/>
    <w:rsid w:val="003D0D45"/>
    <w:rsid w:val="003D48B7"/>
    <w:rsid w:val="003D4EA3"/>
    <w:rsid w:val="003D511F"/>
    <w:rsid w:val="003D53AD"/>
    <w:rsid w:val="003E067B"/>
    <w:rsid w:val="003E0C15"/>
    <w:rsid w:val="003E0E96"/>
    <w:rsid w:val="003E1089"/>
    <w:rsid w:val="003E15F4"/>
    <w:rsid w:val="003E3D19"/>
    <w:rsid w:val="003E447F"/>
    <w:rsid w:val="003E51FD"/>
    <w:rsid w:val="003E5B08"/>
    <w:rsid w:val="003E61F1"/>
    <w:rsid w:val="003E6566"/>
    <w:rsid w:val="003F1BBF"/>
    <w:rsid w:val="003F21B0"/>
    <w:rsid w:val="003F221B"/>
    <w:rsid w:val="003F2F97"/>
    <w:rsid w:val="003F35E6"/>
    <w:rsid w:val="003F6F92"/>
    <w:rsid w:val="004011B5"/>
    <w:rsid w:val="00401899"/>
    <w:rsid w:val="004022E8"/>
    <w:rsid w:val="00402351"/>
    <w:rsid w:val="00402354"/>
    <w:rsid w:val="004027E5"/>
    <w:rsid w:val="00402EEE"/>
    <w:rsid w:val="0040310B"/>
    <w:rsid w:val="00406B49"/>
    <w:rsid w:val="00406DAA"/>
    <w:rsid w:val="00407E40"/>
    <w:rsid w:val="004102DB"/>
    <w:rsid w:val="004125AE"/>
    <w:rsid w:val="00412FB8"/>
    <w:rsid w:val="00414255"/>
    <w:rsid w:val="004169B7"/>
    <w:rsid w:val="004170AA"/>
    <w:rsid w:val="00417311"/>
    <w:rsid w:val="00420BF2"/>
    <w:rsid w:val="00420E27"/>
    <w:rsid w:val="004212A2"/>
    <w:rsid w:val="00423BC3"/>
    <w:rsid w:val="004241FB"/>
    <w:rsid w:val="004242B4"/>
    <w:rsid w:val="004264D4"/>
    <w:rsid w:val="0043399F"/>
    <w:rsid w:val="0043787A"/>
    <w:rsid w:val="00442A7A"/>
    <w:rsid w:val="004436C6"/>
    <w:rsid w:val="00443FBD"/>
    <w:rsid w:val="00445CDC"/>
    <w:rsid w:val="004511E2"/>
    <w:rsid w:val="00451653"/>
    <w:rsid w:val="00453455"/>
    <w:rsid w:val="00460B8F"/>
    <w:rsid w:val="00462887"/>
    <w:rsid w:val="00463912"/>
    <w:rsid w:val="00466727"/>
    <w:rsid w:val="00473684"/>
    <w:rsid w:val="004754F4"/>
    <w:rsid w:val="00475EA5"/>
    <w:rsid w:val="00476122"/>
    <w:rsid w:val="00480DED"/>
    <w:rsid w:val="00481C7F"/>
    <w:rsid w:val="00483CDA"/>
    <w:rsid w:val="00485CB6"/>
    <w:rsid w:val="00486CCF"/>
    <w:rsid w:val="0049237D"/>
    <w:rsid w:val="00494821"/>
    <w:rsid w:val="004948F8"/>
    <w:rsid w:val="0049626B"/>
    <w:rsid w:val="004965CD"/>
    <w:rsid w:val="004978F8"/>
    <w:rsid w:val="00497A0F"/>
    <w:rsid w:val="004A58F6"/>
    <w:rsid w:val="004A59FE"/>
    <w:rsid w:val="004A698C"/>
    <w:rsid w:val="004B0982"/>
    <w:rsid w:val="004B1399"/>
    <w:rsid w:val="004B20C2"/>
    <w:rsid w:val="004B20E2"/>
    <w:rsid w:val="004B36C9"/>
    <w:rsid w:val="004B56A0"/>
    <w:rsid w:val="004B5D6C"/>
    <w:rsid w:val="004B6F3D"/>
    <w:rsid w:val="004C1635"/>
    <w:rsid w:val="004C1FCE"/>
    <w:rsid w:val="004C32CB"/>
    <w:rsid w:val="004C4E42"/>
    <w:rsid w:val="004C7646"/>
    <w:rsid w:val="004C76C5"/>
    <w:rsid w:val="004D0019"/>
    <w:rsid w:val="004D2ACC"/>
    <w:rsid w:val="004D308B"/>
    <w:rsid w:val="004D342F"/>
    <w:rsid w:val="004D7783"/>
    <w:rsid w:val="004E02BF"/>
    <w:rsid w:val="004E2105"/>
    <w:rsid w:val="004E2855"/>
    <w:rsid w:val="004E330D"/>
    <w:rsid w:val="004E3431"/>
    <w:rsid w:val="004E4B30"/>
    <w:rsid w:val="004E7A3D"/>
    <w:rsid w:val="004F1D49"/>
    <w:rsid w:val="004F22CF"/>
    <w:rsid w:val="004F3585"/>
    <w:rsid w:val="004F3C81"/>
    <w:rsid w:val="004F75FB"/>
    <w:rsid w:val="00500022"/>
    <w:rsid w:val="00505A7C"/>
    <w:rsid w:val="0051025C"/>
    <w:rsid w:val="00510E55"/>
    <w:rsid w:val="00513671"/>
    <w:rsid w:val="00517CC8"/>
    <w:rsid w:val="00520607"/>
    <w:rsid w:val="0052210D"/>
    <w:rsid w:val="00524743"/>
    <w:rsid w:val="0052615F"/>
    <w:rsid w:val="00526ACD"/>
    <w:rsid w:val="00532561"/>
    <w:rsid w:val="00533A28"/>
    <w:rsid w:val="005344C4"/>
    <w:rsid w:val="00536C0B"/>
    <w:rsid w:val="00537122"/>
    <w:rsid w:val="00537831"/>
    <w:rsid w:val="005400C0"/>
    <w:rsid w:val="005412ED"/>
    <w:rsid w:val="005423EB"/>
    <w:rsid w:val="00544B4C"/>
    <w:rsid w:val="0054509A"/>
    <w:rsid w:val="00553019"/>
    <w:rsid w:val="00553151"/>
    <w:rsid w:val="00554082"/>
    <w:rsid w:val="00554308"/>
    <w:rsid w:val="00554951"/>
    <w:rsid w:val="00561898"/>
    <w:rsid w:val="00563BCE"/>
    <w:rsid w:val="00566046"/>
    <w:rsid w:val="00566D78"/>
    <w:rsid w:val="005716FE"/>
    <w:rsid w:val="00571FAD"/>
    <w:rsid w:val="0057205E"/>
    <w:rsid w:val="00573A8C"/>
    <w:rsid w:val="00576293"/>
    <w:rsid w:val="00576401"/>
    <w:rsid w:val="00576CE8"/>
    <w:rsid w:val="005812EC"/>
    <w:rsid w:val="005828A4"/>
    <w:rsid w:val="00583D12"/>
    <w:rsid w:val="00584966"/>
    <w:rsid w:val="00585B13"/>
    <w:rsid w:val="00591CED"/>
    <w:rsid w:val="00592642"/>
    <w:rsid w:val="00593EC7"/>
    <w:rsid w:val="0059695A"/>
    <w:rsid w:val="005A1050"/>
    <w:rsid w:val="005A3A47"/>
    <w:rsid w:val="005A43E3"/>
    <w:rsid w:val="005B2174"/>
    <w:rsid w:val="005B5D3C"/>
    <w:rsid w:val="005B5F05"/>
    <w:rsid w:val="005C1315"/>
    <w:rsid w:val="005C1A17"/>
    <w:rsid w:val="005C2AFD"/>
    <w:rsid w:val="005C4097"/>
    <w:rsid w:val="005C5BCB"/>
    <w:rsid w:val="005C714E"/>
    <w:rsid w:val="005D126D"/>
    <w:rsid w:val="005D2675"/>
    <w:rsid w:val="005D2D73"/>
    <w:rsid w:val="005D372C"/>
    <w:rsid w:val="005D3B41"/>
    <w:rsid w:val="005D3EF4"/>
    <w:rsid w:val="005D51A7"/>
    <w:rsid w:val="005D5527"/>
    <w:rsid w:val="005D5D50"/>
    <w:rsid w:val="005D6F59"/>
    <w:rsid w:val="005E06DF"/>
    <w:rsid w:val="005E2354"/>
    <w:rsid w:val="005E2519"/>
    <w:rsid w:val="005F27FD"/>
    <w:rsid w:val="005F3C09"/>
    <w:rsid w:val="005F49E1"/>
    <w:rsid w:val="005F4C81"/>
    <w:rsid w:val="005F5C41"/>
    <w:rsid w:val="005F5C9C"/>
    <w:rsid w:val="00606233"/>
    <w:rsid w:val="00611515"/>
    <w:rsid w:val="00613398"/>
    <w:rsid w:val="00614CEC"/>
    <w:rsid w:val="00614E2B"/>
    <w:rsid w:val="0061519A"/>
    <w:rsid w:val="00617862"/>
    <w:rsid w:val="00620443"/>
    <w:rsid w:val="006221A0"/>
    <w:rsid w:val="006249C2"/>
    <w:rsid w:val="00625647"/>
    <w:rsid w:val="0062668C"/>
    <w:rsid w:val="006322CB"/>
    <w:rsid w:val="006348DF"/>
    <w:rsid w:val="00634F68"/>
    <w:rsid w:val="00635395"/>
    <w:rsid w:val="00636E04"/>
    <w:rsid w:val="006371F5"/>
    <w:rsid w:val="0064254E"/>
    <w:rsid w:val="0064342D"/>
    <w:rsid w:val="006437CA"/>
    <w:rsid w:val="00643945"/>
    <w:rsid w:val="00645355"/>
    <w:rsid w:val="00645C78"/>
    <w:rsid w:val="00646A95"/>
    <w:rsid w:val="00647D8C"/>
    <w:rsid w:val="00652290"/>
    <w:rsid w:val="00654973"/>
    <w:rsid w:val="00656642"/>
    <w:rsid w:val="0066133A"/>
    <w:rsid w:val="00662DE4"/>
    <w:rsid w:val="0066390A"/>
    <w:rsid w:val="00665D27"/>
    <w:rsid w:val="00670CA3"/>
    <w:rsid w:val="006712FC"/>
    <w:rsid w:val="00671627"/>
    <w:rsid w:val="00674843"/>
    <w:rsid w:val="00674B5A"/>
    <w:rsid w:val="00674C00"/>
    <w:rsid w:val="00681710"/>
    <w:rsid w:val="00682BBE"/>
    <w:rsid w:val="006857A8"/>
    <w:rsid w:val="00687395"/>
    <w:rsid w:val="0069274D"/>
    <w:rsid w:val="00693C56"/>
    <w:rsid w:val="00695091"/>
    <w:rsid w:val="00696663"/>
    <w:rsid w:val="00696F5C"/>
    <w:rsid w:val="00697540"/>
    <w:rsid w:val="0069778F"/>
    <w:rsid w:val="00697830"/>
    <w:rsid w:val="006A0351"/>
    <w:rsid w:val="006A0E42"/>
    <w:rsid w:val="006A4280"/>
    <w:rsid w:val="006A5A3E"/>
    <w:rsid w:val="006A5D79"/>
    <w:rsid w:val="006B10F7"/>
    <w:rsid w:val="006B3ACE"/>
    <w:rsid w:val="006B490F"/>
    <w:rsid w:val="006B7D84"/>
    <w:rsid w:val="006B7FB0"/>
    <w:rsid w:val="006C593E"/>
    <w:rsid w:val="006C6DE0"/>
    <w:rsid w:val="006D0B96"/>
    <w:rsid w:val="006D0FD9"/>
    <w:rsid w:val="006D1DD7"/>
    <w:rsid w:val="006D68AA"/>
    <w:rsid w:val="006E0E21"/>
    <w:rsid w:val="006F1FF0"/>
    <w:rsid w:val="006F26F0"/>
    <w:rsid w:val="006F4402"/>
    <w:rsid w:val="006F5B05"/>
    <w:rsid w:val="006F7EA7"/>
    <w:rsid w:val="0070038B"/>
    <w:rsid w:val="00700D15"/>
    <w:rsid w:val="00702322"/>
    <w:rsid w:val="0070505C"/>
    <w:rsid w:val="00705AA2"/>
    <w:rsid w:val="007060AA"/>
    <w:rsid w:val="00707208"/>
    <w:rsid w:val="00710078"/>
    <w:rsid w:val="00716278"/>
    <w:rsid w:val="007173F0"/>
    <w:rsid w:val="0072332D"/>
    <w:rsid w:val="00724111"/>
    <w:rsid w:val="007330B0"/>
    <w:rsid w:val="007345DD"/>
    <w:rsid w:val="0073503E"/>
    <w:rsid w:val="007353E6"/>
    <w:rsid w:val="00737484"/>
    <w:rsid w:val="007407D5"/>
    <w:rsid w:val="00741121"/>
    <w:rsid w:val="00744B34"/>
    <w:rsid w:val="007461CC"/>
    <w:rsid w:val="007508A1"/>
    <w:rsid w:val="00750C79"/>
    <w:rsid w:val="00754593"/>
    <w:rsid w:val="00756496"/>
    <w:rsid w:val="0075739C"/>
    <w:rsid w:val="007607C3"/>
    <w:rsid w:val="007611F6"/>
    <w:rsid w:val="0076241D"/>
    <w:rsid w:val="0076390B"/>
    <w:rsid w:val="00767938"/>
    <w:rsid w:val="00767C90"/>
    <w:rsid w:val="0077090D"/>
    <w:rsid w:val="00770C22"/>
    <w:rsid w:val="00772372"/>
    <w:rsid w:val="0077264A"/>
    <w:rsid w:val="0077293C"/>
    <w:rsid w:val="00772DFD"/>
    <w:rsid w:val="007735E8"/>
    <w:rsid w:val="00775029"/>
    <w:rsid w:val="00775C9C"/>
    <w:rsid w:val="00775FE2"/>
    <w:rsid w:val="00780CA7"/>
    <w:rsid w:val="00781A6A"/>
    <w:rsid w:val="007837FE"/>
    <w:rsid w:val="00785132"/>
    <w:rsid w:val="00786735"/>
    <w:rsid w:val="007923FD"/>
    <w:rsid w:val="007925CB"/>
    <w:rsid w:val="007945DB"/>
    <w:rsid w:val="007948C0"/>
    <w:rsid w:val="007A0009"/>
    <w:rsid w:val="007A4DCC"/>
    <w:rsid w:val="007A4F6D"/>
    <w:rsid w:val="007A7E22"/>
    <w:rsid w:val="007B12AA"/>
    <w:rsid w:val="007B1BC5"/>
    <w:rsid w:val="007B6B52"/>
    <w:rsid w:val="007C041D"/>
    <w:rsid w:val="007C088A"/>
    <w:rsid w:val="007C0D2C"/>
    <w:rsid w:val="007C1723"/>
    <w:rsid w:val="007C1CC9"/>
    <w:rsid w:val="007C1D17"/>
    <w:rsid w:val="007C231D"/>
    <w:rsid w:val="007C78DF"/>
    <w:rsid w:val="007D5700"/>
    <w:rsid w:val="007D7203"/>
    <w:rsid w:val="007D737E"/>
    <w:rsid w:val="007D7755"/>
    <w:rsid w:val="007E2428"/>
    <w:rsid w:val="007E486E"/>
    <w:rsid w:val="007E6B3B"/>
    <w:rsid w:val="007E7DBC"/>
    <w:rsid w:val="007F4984"/>
    <w:rsid w:val="007F499A"/>
    <w:rsid w:val="007F52A8"/>
    <w:rsid w:val="007F57A6"/>
    <w:rsid w:val="007F6D2E"/>
    <w:rsid w:val="007F78DA"/>
    <w:rsid w:val="007F7BEF"/>
    <w:rsid w:val="008000F1"/>
    <w:rsid w:val="008002F8"/>
    <w:rsid w:val="00802130"/>
    <w:rsid w:val="00815085"/>
    <w:rsid w:val="00816713"/>
    <w:rsid w:val="008168C2"/>
    <w:rsid w:val="00817C7F"/>
    <w:rsid w:val="00820A23"/>
    <w:rsid w:val="00820EE7"/>
    <w:rsid w:val="008233A2"/>
    <w:rsid w:val="008263C8"/>
    <w:rsid w:val="00826DD3"/>
    <w:rsid w:val="00835412"/>
    <w:rsid w:val="00837298"/>
    <w:rsid w:val="00837759"/>
    <w:rsid w:val="008409B3"/>
    <w:rsid w:val="00840BC2"/>
    <w:rsid w:val="00841DB4"/>
    <w:rsid w:val="00845029"/>
    <w:rsid w:val="008450C0"/>
    <w:rsid w:val="00846072"/>
    <w:rsid w:val="008466E9"/>
    <w:rsid w:val="00846907"/>
    <w:rsid w:val="008478D3"/>
    <w:rsid w:val="008507D8"/>
    <w:rsid w:val="00852F67"/>
    <w:rsid w:val="008530FA"/>
    <w:rsid w:val="00857AEF"/>
    <w:rsid w:val="00857D3D"/>
    <w:rsid w:val="008647D9"/>
    <w:rsid w:val="00867F84"/>
    <w:rsid w:val="008702BF"/>
    <w:rsid w:val="00872D97"/>
    <w:rsid w:val="00874F53"/>
    <w:rsid w:val="008807D7"/>
    <w:rsid w:val="00881E6C"/>
    <w:rsid w:val="0088262B"/>
    <w:rsid w:val="008833A2"/>
    <w:rsid w:val="00883BD3"/>
    <w:rsid w:val="008869DE"/>
    <w:rsid w:val="00887132"/>
    <w:rsid w:val="00887E5D"/>
    <w:rsid w:val="008903BA"/>
    <w:rsid w:val="00891F90"/>
    <w:rsid w:val="00893192"/>
    <w:rsid w:val="008944A1"/>
    <w:rsid w:val="00894A1A"/>
    <w:rsid w:val="00895D16"/>
    <w:rsid w:val="008A130E"/>
    <w:rsid w:val="008A1A5A"/>
    <w:rsid w:val="008A7639"/>
    <w:rsid w:val="008A7B90"/>
    <w:rsid w:val="008B038A"/>
    <w:rsid w:val="008B2846"/>
    <w:rsid w:val="008C1FA2"/>
    <w:rsid w:val="008C2762"/>
    <w:rsid w:val="008C2ACF"/>
    <w:rsid w:val="008C3F51"/>
    <w:rsid w:val="008C4680"/>
    <w:rsid w:val="008C4B30"/>
    <w:rsid w:val="008C5628"/>
    <w:rsid w:val="008C61B2"/>
    <w:rsid w:val="008C6C0A"/>
    <w:rsid w:val="008C7EDD"/>
    <w:rsid w:val="008D2B77"/>
    <w:rsid w:val="008D345D"/>
    <w:rsid w:val="008D35BC"/>
    <w:rsid w:val="008D4839"/>
    <w:rsid w:val="008E0679"/>
    <w:rsid w:val="008E0A95"/>
    <w:rsid w:val="008E4EA9"/>
    <w:rsid w:val="008E5380"/>
    <w:rsid w:val="008E5A91"/>
    <w:rsid w:val="008E5AFA"/>
    <w:rsid w:val="008E6B68"/>
    <w:rsid w:val="008F16E0"/>
    <w:rsid w:val="008F227F"/>
    <w:rsid w:val="008F3815"/>
    <w:rsid w:val="008F4636"/>
    <w:rsid w:val="00901B88"/>
    <w:rsid w:val="0090300A"/>
    <w:rsid w:val="009030E3"/>
    <w:rsid w:val="009074B6"/>
    <w:rsid w:val="00910543"/>
    <w:rsid w:val="00916966"/>
    <w:rsid w:val="00916E68"/>
    <w:rsid w:val="00917510"/>
    <w:rsid w:val="00920137"/>
    <w:rsid w:val="009206E9"/>
    <w:rsid w:val="00923000"/>
    <w:rsid w:val="00923C4C"/>
    <w:rsid w:val="00923D57"/>
    <w:rsid w:val="00923D79"/>
    <w:rsid w:val="00926642"/>
    <w:rsid w:val="0092735D"/>
    <w:rsid w:val="00927D81"/>
    <w:rsid w:val="0093043C"/>
    <w:rsid w:val="0093254D"/>
    <w:rsid w:val="00933232"/>
    <w:rsid w:val="00935C01"/>
    <w:rsid w:val="00940C95"/>
    <w:rsid w:val="00941556"/>
    <w:rsid w:val="009451B2"/>
    <w:rsid w:val="00950B9F"/>
    <w:rsid w:val="00950E10"/>
    <w:rsid w:val="0095245C"/>
    <w:rsid w:val="00953DCB"/>
    <w:rsid w:val="00957482"/>
    <w:rsid w:val="00963885"/>
    <w:rsid w:val="00964458"/>
    <w:rsid w:val="00965FE1"/>
    <w:rsid w:val="00970D1E"/>
    <w:rsid w:val="00972BAD"/>
    <w:rsid w:val="009743A5"/>
    <w:rsid w:val="00976BE4"/>
    <w:rsid w:val="00976C90"/>
    <w:rsid w:val="009813B9"/>
    <w:rsid w:val="0098183A"/>
    <w:rsid w:val="00982DA7"/>
    <w:rsid w:val="009865A9"/>
    <w:rsid w:val="00986B99"/>
    <w:rsid w:val="00990294"/>
    <w:rsid w:val="00990D2E"/>
    <w:rsid w:val="00993DF8"/>
    <w:rsid w:val="00997391"/>
    <w:rsid w:val="009A1FE5"/>
    <w:rsid w:val="009A3F3B"/>
    <w:rsid w:val="009A480A"/>
    <w:rsid w:val="009A77E7"/>
    <w:rsid w:val="009B1890"/>
    <w:rsid w:val="009B18D8"/>
    <w:rsid w:val="009C1D63"/>
    <w:rsid w:val="009D21B7"/>
    <w:rsid w:val="009D3A34"/>
    <w:rsid w:val="009D43D0"/>
    <w:rsid w:val="009D6AE9"/>
    <w:rsid w:val="009D702A"/>
    <w:rsid w:val="009D7769"/>
    <w:rsid w:val="009D7D8D"/>
    <w:rsid w:val="009E05B7"/>
    <w:rsid w:val="009E1008"/>
    <w:rsid w:val="009E1DB3"/>
    <w:rsid w:val="009E3117"/>
    <w:rsid w:val="009E4721"/>
    <w:rsid w:val="009E6CD8"/>
    <w:rsid w:val="009F17B8"/>
    <w:rsid w:val="009F2D73"/>
    <w:rsid w:val="009F455E"/>
    <w:rsid w:val="009F4FA4"/>
    <w:rsid w:val="009F5657"/>
    <w:rsid w:val="00A0182A"/>
    <w:rsid w:val="00A0306C"/>
    <w:rsid w:val="00A05495"/>
    <w:rsid w:val="00A05838"/>
    <w:rsid w:val="00A06CF2"/>
    <w:rsid w:val="00A07148"/>
    <w:rsid w:val="00A10A81"/>
    <w:rsid w:val="00A110DE"/>
    <w:rsid w:val="00A131E2"/>
    <w:rsid w:val="00A1678B"/>
    <w:rsid w:val="00A20BB3"/>
    <w:rsid w:val="00A214C3"/>
    <w:rsid w:val="00A216F0"/>
    <w:rsid w:val="00A2205F"/>
    <w:rsid w:val="00A2254B"/>
    <w:rsid w:val="00A22BD4"/>
    <w:rsid w:val="00A23825"/>
    <w:rsid w:val="00A25322"/>
    <w:rsid w:val="00A318A8"/>
    <w:rsid w:val="00A319E3"/>
    <w:rsid w:val="00A32D88"/>
    <w:rsid w:val="00A36748"/>
    <w:rsid w:val="00A3766E"/>
    <w:rsid w:val="00A4060A"/>
    <w:rsid w:val="00A41738"/>
    <w:rsid w:val="00A41AD3"/>
    <w:rsid w:val="00A44F27"/>
    <w:rsid w:val="00A45A4E"/>
    <w:rsid w:val="00A4695A"/>
    <w:rsid w:val="00A47D87"/>
    <w:rsid w:val="00A510EB"/>
    <w:rsid w:val="00A528A2"/>
    <w:rsid w:val="00A52BC8"/>
    <w:rsid w:val="00A5445B"/>
    <w:rsid w:val="00A54602"/>
    <w:rsid w:val="00A549FC"/>
    <w:rsid w:val="00A54DF4"/>
    <w:rsid w:val="00A551BC"/>
    <w:rsid w:val="00A56261"/>
    <w:rsid w:val="00A565FB"/>
    <w:rsid w:val="00A569F0"/>
    <w:rsid w:val="00A56B68"/>
    <w:rsid w:val="00A57DD1"/>
    <w:rsid w:val="00A6304B"/>
    <w:rsid w:val="00A630BC"/>
    <w:rsid w:val="00A63F81"/>
    <w:rsid w:val="00A65177"/>
    <w:rsid w:val="00A65786"/>
    <w:rsid w:val="00A6652A"/>
    <w:rsid w:val="00A676C7"/>
    <w:rsid w:val="00A70CA3"/>
    <w:rsid w:val="00A71DCF"/>
    <w:rsid w:val="00A73696"/>
    <w:rsid w:val="00A743B4"/>
    <w:rsid w:val="00A81695"/>
    <w:rsid w:val="00A83A20"/>
    <w:rsid w:val="00A869C2"/>
    <w:rsid w:val="00A97ADB"/>
    <w:rsid w:val="00AA06F2"/>
    <w:rsid w:val="00AA1BE2"/>
    <w:rsid w:val="00AA4969"/>
    <w:rsid w:val="00AA647A"/>
    <w:rsid w:val="00AA6D88"/>
    <w:rsid w:val="00AA73A8"/>
    <w:rsid w:val="00AB125A"/>
    <w:rsid w:val="00AB1595"/>
    <w:rsid w:val="00AB275C"/>
    <w:rsid w:val="00AB4FE5"/>
    <w:rsid w:val="00AC0429"/>
    <w:rsid w:val="00AC089E"/>
    <w:rsid w:val="00AC0B5E"/>
    <w:rsid w:val="00AC0C03"/>
    <w:rsid w:val="00AC0F4C"/>
    <w:rsid w:val="00AC1045"/>
    <w:rsid w:val="00AC113B"/>
    <w:rsid w:val="00AC2949"/>
    <w:rsid w:val="00AC5613"/>
    <w:rsid w:val="00AC7C4E"/>
    <w:rsid w:val="00AD13C8"/>
    <w:rsid w:val="00AD3157"/>
    <w:rsid w:val="00AD4188"/>
    <w:rsid w:val="00AD607D"/>
    <w:rsid w:val="00AE0158"/>
    <w:rsid w:val="00AE1516"/>
    <w:rsid w:val="00AE5DD1"/>
    <w:rsid w:val="00AE6D18"/>
    <w:rsid w:val="00AF0B10"/>
    <w:rsid w:val="00AF2D85"/>
    <w:rsid w:val="00AF3A1E"/>
    <w:rsid w:val="00AF4686"/>
    <w:rsid w:val="00AF4759"/>
    <w:rsid w:val="00AF4D0B"/>
    <w:rsid w:val="00AF4D31"/>
    <w:rsid w:val="00B024B2"/>
    <w:rsid w:val="00B03026"/>
    <w:rsid w:val="00B037EA"/>
    <w:rsid w:val="00B05C8A"/>
    <w:rsid w:val="00B07A95"/>
    <w:rsid w:val="00B12EB6"/>
    <w:rsid w:val="00B1341A"/>
    <w:rsid w:val="00B137AC"/>
    <w:rsid w:val="00B1385C"/>
    <w:rsid w:val="00B13F65"/>
    <w:rsid w:val="00B14F3E"/>
    <w:rsid w:val="00B1725B"/>
    <w:rsid w:val="00B17F87"/>
    <w:rsid w:val="00B20AAF"/>
    <w:rsid w:val="00B25FAF"/>
    <w:rsid w:val="00B262A5"/>
    <w:rsid w:val="00B274C2"/>
    <w:rsid w:val="00B27581"/>
    <w:rsid w:val="00B27F0C"/>
    <w:rsid w:val="00B300E7"/>
    <w:rsid w:val="00B30901"/>
    <w:rsid w:val="00B30947"/>
    <w:rsid w:val="00B30FD1"/>
    <w:rsid w:val="00B341F4"/>
    <w:rsid w:val="00B34430"/>
    <w:rsid w:val="00B3496E"/>
    <w:rsid w:val="00B35708"/>
    <w:rsid w:val="00B35C9D"/>
    <w:rsid w:val="00B43642"/>
    <w:rsid w:val="00B44428"/>
    <w:rsid w:val="00B44919"/>
    <w:rsid w:val="00B44C3C"/>
    <w:rsid w:val="00B45CDD"/>
    <w:rsid w:val="00B45EC9"/>
    <w:rsid w:val="00B5073A"/>
    <w:rsid w:val="00B510DE"/>
    <w:rsid w:val="00B519E3"/>
    <w:rsid w:val="00B51D2B"/>
    <w:rsid w:val="00B529D9"/>
    <w:rsid w:val="00B566F1"/>
    <w:rsid w:val="00B56783"/>
    <w:rsid w:val="00B6239A"/>
    <w:rsid w:val="00B66F35"/>
    <w:rsid w:val="00B75F1E"/>
    <w:rsid w:val="00B77F1E"/>
    <w:rsid w:val="00B77F24"/>
    <w:rsid w:val="00B8001F"/>
    <w:rsid w:val="00B80387"/>
    <w:rsid w:val="00B820BD"/>
    <w:rsid w:val="00B82416"/>
    <w:rsid w:val="00B83171"/>
    <w:rsid w:val="00B85187"/>
    <w:rsid w:val="00B85AE5"/>
    <w:rsid w:val="00B8666B"/>
    <w:rsid w:val="00B9217D"/>
    <w:rsid w:val="00B92468"/>
    <w:rsid w:val="00B93E40"/>
    <w:rsid w:val="00B95F24"/>
    <w:rsid w:val="00B95FF3"/>
    <w:rsid w:val="00BA1536"/>
    <w:rsid w:val="00BA39B2"/>
    <w:rsid w:val="00BA3D95"/>
    <w:rsid w:val="00BA6489"/>
    <w:rsid w:val="00BB0006"/>
    <w:rsid w:val="00BB1AD3"/>
    <w:rsid w:val="00BB3799"/>
    <w:rsid w:val="00BB39FB"/>
    <w:rsid w:val="00BB632A"/>
    <w:rsid w:val="00BC2D7C"/>
    <w:rsid w:val="00BC30B6"/>
    <w:rsid w:val="00BC38E8"/>
    <w:rsid w:val="00BC41B2"/>
    <w:rsid w:val="00BC613B"/>
    <w:rsid w:val="00BD0056"/>
    <w:rsid w:val="00BD60D7"/>
    <w:rsid w:val="00BD6E52"/>
    <w:rsid w:val="00BD733F"/>
    <w:rsid w:val="00BE0BF2"/>
    <w:rsid w:val="00BE0DCC"/>
    <w:rsid w:val="00BE242B"/>
    <w:rsid w:val="00BE60C3"/>
    <w:rsid w:val="00BE66C0"/>
    <w:rsid w:val="00BE671A"/>
    <w:rsid w:val="00BF1563"/>
    <w:rsid w:val="00BF259A"/>
    <w:rsid w:val="00C00D7D"/>
    <w:rsid w:val="00C02232"/>
    <w:rsid w:val="00C02662"/>
    <w:rsid w:val="00C034A5"/>
    <w:rsid w:val="00C03F08"/>
    <w:rsid w:val="00C054E5"/>
    <w:rsid w:val="00C077BF"/>
    <w:rsid w:val="00C108C7"/>
    <w:rsid w:val="00C2088C"/>
    <w:rsid w:val="00C25800"/>
    <w:rsid w:val="00C27674"/>
    <w:rsid w:val="00C27995"/>
    <w:rsid w:val="00C302AC"/>
    <w:rsid w:val="00C30E2D"/>
    <w:rsid w:val="00C314EF"/>
    <w:rsid w:val="00C323CF"/>
    <w:rsid w:val="00C339FE"/>
    <w:rsid w:val="00C343EB"/>
    <w:rsid w:val="00C3445B"/>
    <w:rsid w:val="00C41841"/>
    <w:rsid w:val="00C43593"/>
    <w:rsid w:val="00C4402A"/>
    <w:rsid w:val="00C46826"/>
    <w:rsid w:val="00C50859"/>
    <w:rsid w:val="00C545AE"/>
    <w:rsid w:val="00C61B94"/>
    <w:rsid w:val="00C62BEB"/>
    <w:rsid w:val="00C67AB4"/>
    <w:rsid w:val="00C74DDC"/>
    <w:rsid w:val="00C82CBF"/>
    <w:rsid w:val="00C830AC"/>
    <w:rsid w:val="00C83ABB"/>
    <w:rsid w:val="00C85372"/>
    <w:rsid w:val="00C864C1"/>
    <w:rsid w:val="00C90F8F"/>
    <w:rsid w:val="00C92723"/>
    <w:rsid w:val="00C93428"/>
    <w:rsid w:val="00C945C8"/>
    <w:rsid w:val="00C96271"/>
    <w:rsid w:val="00C9649B"/>
    <w:rsid w:val="00C968A2"/>
    <w:rsid w:val="00C96F4D"/>
    <w:rsid w:val="00CA0913"/>
    <w:rsid w:val="00CA3469"/>
    <w:rsid w:val="00CA7083"/>
    <w:rsid w:val="00CB00B1"/>
    <w:rsid w:val="00CB1721"/>
    <w:rsid w:val="00CB469A"/>
    <w:rsid w:val="00CB7935"/>
    <w:rsid w:val="00CC2DCD"/>
    <w:rsid w:val="00CC5248"/>
    <w:rsid w:val="00CC5317"/>
    <w:rsid w:val="00CC695F"/>
    <w:rsid w:val="00CD0782"/>
    <w:rsid w:val="00CD0D9C"/>
    <w:rsid w:val="00CD2677"/>
    <w:rsid w:val="00CD3BDF"/>
    <w:rsid w:val="00CD3EC4"/>
    <w:rsid w:val="00CD6802"/>
    <w:rsid w:val="00CD7C8D"/>
    <w:rsid w:val="00CE1619"/>
    <w:rsid w:val="00CE1CE3"/>
    <w:rsid w:val="00CE35F5"/>
    <w:rsid w:val="00CE3F0A"/>
    <w:rsid w:val="00CE5D58"/>
    <w:rsid w:val="00CE7E12"/>
    <w:rsid w:val="00CF02CC"/>
    <w:rsid w:val="00CF069E"/>
    <w:rsid w:val="00CF20D1"/>
    <w:rsid w:val="00CF30B2"/>
    <w:rsid w:val="00CF384D"/>
    <w:rsid w:val="00CF5045"/>
    <w:rsid w:val="00CF6538"/>
    <w:rsid w:val="00CF753E"/>
    <w:rsid w:val="00CF7732"/>
    <w:rsid w:val="00D00520"/>
    <w:rsid w:val="00D00D25"/>
    <w:rsid w:val="00D00FA4"/>
    <w:rsid w:val="00D02517"/>
    <w:rsid w:val="00D026FF"/>
    <w:rsid w:val="00D03CF6"/>
    <w:rsid w:val="00D05FFB"/>
    <w:rsid w:val="00D073AE"/>
    <w:rsid w:val="00D107C0"/>
    <w:rsid w:val="00D10918"/>
    <w:rsid w:val="00D12823"/>
    <w:rsid w:val="00D174F3"/>
    <w:rsid w:val="00D20E17"/>
    <w:rsid w:val="00D22B0D"/>
    <w:rsid w:val="00D22CB4"/>
    <w:rsid w:val="00D233B7"/>
    <w:rsid w:val="00D23F38"/>
    <w:rsid w:val="00D249E9"/>
    <w:rsid w:val="00D305BE"/>
    <w:rsid w:val="00D31BCA"/>
    <w:rsid w:val="00D33C19"/>
    <w:rsid w:val="00D341C3"/>
    <w:rsid w:val="00D354EE"/>
    <w:rsid w:val="00D369E4"/>
    <w:rsid w:val="00D406C6"/>
    <w:rsid w:val="00D406EC"/>
    <w:rsid w:val="00D408BD"/>
    <w:rsid w:val="00D4259A"/>
    <w:rsid w:val="00D445FC"/>
    <w:rsid w:val="00D4582F"/>
    <w:rsid w:val="00D46B42"/>
    <w:rsid w:val="00D5034D"/>
    <w:rsid w:val="00D54A4D"/>
    <w:rsid w:val="00D55F8A"/>
    <w:rsid w:val="00D5632E"/>
    <w:rsid w:val="00D56880"/>
    <w:rsid w:val="00D57E69"/>
    <w:rsid w:val="00D62689"/>
    <w:rsid w:val="00D6360D"/>
    <w:rsid w:val="00D63E41"/>
    <w:rsid w:val="00D64FB8"/>
    <w:rsid w:val="00D75043"/>
    <w:rsid w:val="00D76D08"/>
    <w:rsid w:val="00D8429D"/>
    <w:rsid w:val="00D85363"/>
    <w:rsid w:val="00D85820"/>
    <w:rsid w:val="00D8642C"/>
    <w:rsid w:val="00D90AD3"/>
    <w:rsid w:val="00D92D7A"/>
    <w:rsid w:val="00D92F02"/>
    <w:rsid w:val="00D9381C"/>
    <w:rsid w:val="00D958EB"/>
    <w:rsid w:val="00D9628C"/>
    <w:rsid w:val="00D969EA"/>
    <w:rsid w:val="00D970A3"/>
    <w:rsid w:val="00D975F6"/>
    <w:rsid w:val="00D97C73"/>
    <w:rsid w:val="00DA06D5"/>
    <w:rsid w:val="00DA2479"/>
    <w:rsid w:val="00DA473F"/>
    <w:rsid w:val="00DB377A"/>
    <w:rsid w:val="00DB3C2A"/>
    <w:rsid w:val="00DB64C0"/>
    <w:rsid w:val="00DD00BB"/>
    <w:rsid w:val="00DD3512"/>
    <w:rsid w:val="00DD5341"/>
    <w:rsid w:val="00DD5A46"/>
    <w:rsid w:val="00DD761C"/>
    <w:rsid w:val="00DE2E0C"/>
    <w:rsid w:val="00DE53D4"/>
    <w:rsid w:val="00DE5FE4"/>
    <w:rsid w:val="00DE67DA"/>
    <w:rsid w:val="00DE71DF"/>
    <w:rsid w:val="00DF1360"/>
    <w:rsid w:val="00DF15BD"/>
    <w:rsid w:val="00DF29B9"/>
    <w:rsid w:val="00DF6CD6"/>
    <w:rsid w:val="00DF725F"/>
    <w:rsid w:val="00E00C33"/>
    <w:rsid w:val="00E0231F"/>
    <w:rsid w:val="00E03469"/>
    <w:rsid w:val="00E05E63"/>
    <w:rsid w:val="00E11217"/>
    <w:rsid w:val="00E13FBA"/>
    <w:rsid w:val="00E15D72"/>
    <w:rsid w:val="00E15F7A"/>
    <w:rsid w:val="00E16CDA"/>
    <w:rsid w:val="00E1721F"/>
    <w:rsid w:val="00E176CA"/>
    <w:rsid w:val="00E23DC8"/>
    <w:rsid w:val="00E248E2"/>
    <w:rsid w:val="00E2534F"/>
    <w:rsid w:val="00E253B9"/>
    <w:rsid w:val="00E25D2E"/>
    <w:rsid w:val="00E3037F"/>
    <w:rsid w:val="00E31E36"/>
    <w:rsid w:val="00E32021"/>
    <w:rsid w:val="00E33453"/>
    <w:rsid w:val="00E33A36"/>
    <w:rsid w:val="00E37978"/>
    <w:rsid w:val="00E37C13"/>
    <w:rsid w:val="00E37EDA"/>
    <w:rsid w:val="00E430C5"/>
    <w:rsid w:val="00E450A8"/>
    <w:rsid w:val="00E45F7E"/>
    <w:rsid w:val="00E462BE"/>
    <w:rsid w:val="00E465F1"/>
    <w:rsid w:val="00E46F23"/>
    <w:rsid w:val="00E50F3C"/>
    <w:rsid w:val="00E51BE7"/>
    <w:rsid w:val="00E551C7"/>
    <w:rsid w:val="00E55DDE"/>
    <w:rsid w:val="00E57010"/>
    <w:rsid w:val="00E57592"/>
    <w:rsid w:val="00E6065D"/>
    <w:rsid w:val="00E6169B"/>
    <w:rsid w:val="00E61DFF"/>
    <w:rsid w:val="00E638E4"/>
    <w:rsid w:val="00E64379"/>
    <w:rsid w:val="00E64951"/>
    <w:rsid w:val="00E65AA3"/>
    <w:rsid w:val="00E715FC"/>
    <w:rsid w:val="00E72A29"/>
    <w:rsid w:val="00E73321"/>
    <w:rsid w:val="00E74CFA"/>
    <w:rsid w:val="00E75550"/>
    <w:rsid w:val="00E75B7B"/>
    <w:rsid w:val="00E760EC"/>
    <w:rsid w:val="00E7673F"/>
    <w:rsid w:val="00E81115"/>
    <w:rsid w:val="00E82113"/>
    <w:rsid w:val="00E8476A"/>
    <w:rsid w:val="00E851D5"/>
    <w:rsid w:val="00E90119"/>
    <w:rsid w:val="00E9142A"/>
    <w:rsid w:val="00E91A86"/>
    <w:rsid w:val="00E92E46"/>
    <w:rsid w:val="00E9400F"/>
    <w:rsid w:val="00E94CAD"/>
    <w:rsid w:val="00E973B8"/>
    <w:rsid w:val="00E9763A"/>
    <w:rsid w:val="00EA04D7"/>
    <w:rsid w:val="00EA1298"/>
    <w:rsid w:val="00EA4AEB"/>
    <w:rsid w:val="00EA7782"/>
    <w:rsid w:val="00EB02D3"/>
    <w:rsid w:val="00EB0BF1"/>
    <w:rsid w:val="00EB1459"/>
    <w:rsid w:val="00EB33F7"/>
    <w:rsid w:val="00EB4CDA"/>
    <w:rsid w:val="00EB50CD"/>
    <w:rsid w:val="00EB7892"/>
    <w:rsid w:val="00EC132A"/>
    <w:rsid w:val="00EC1E63"/>
    <w:rsid w:val="00EC5185"/>
    <w:rsid w:val="00EC61E7"/>
    <w:rsid w:val="00EC68BA"/>
    <w:rsid w:val="00ED0E73"/>
    <w:rsid w:val="00ED29A1"/>
    <w:rsid w:val="00ED4F6E"/>
    <w:rsid w:val="00ED51C6"/>
    <w:rsid w:val="00ED7BD6"/>
    <w:rsid w:val="00EE0786"/>
    <w:rsid w:val="00EE25E3"/>
    <w:rsid w:val="00EF0102"/>
    <w:rsid w:val="00EF41D0"/>
    <w:rsid w:val="00EF659B"/>
    <w:rsid w:val="00EF6614"/>
    <w:rsid w:val="00F02AA6"/>
    <w:rsid w:val="00F042E3"/>
    <w:rsid w:val="00F10931"/>
    <w:rsid w:val="00F14013"/>
    <w:rsid w:val="00F1433D"/>
    <w:rsid w:val="00F179DF"/>
    <w:rsid w:val="00F202CE"/>
    <w:rsid w:val="00F240E1"/>
    <w:rsid w:val="00F25427"/>
    <w:rsid w:val="00F27750"/>
    <w:rsid w:val="00F3180E"/>
    <w:rsid w:val="00F32FBB"/>
    <w:rsid w:val="00F3403D"/>
    <w:rsid w:val="00F3421B"/>
    <w:rsid w:val="00F34723"/>
    <w:rsid w:val="00F357E1"/>
    <w:rsid w:val="00F35E10"/>
    <w:rsid w:val="00F36201"/>
    <w:rsid w:val="00F409BD"/>
    <w:rsid w:val="00F41481"/>
    <w:rsid w:val="00F42A5E"/>
    <w:rsid w:val="00F4330D"/>
    <w:rsid w:val="00F43EBB"/>
    <w:rsid w:val="00F50283"/>
    <w:rsid w:val="00F509C6"/>
    <w:rsid w:val="00F50F65"/>
    <w:rsid w:val="00F52A7C"/>
    <w:rsid w:val="00F5398E"/>
    <w:rsid w:val="00F53F12"/>
    <w:rsid w:val="00F54FA3"/>
    <w:rsid w:val="00F5776E"/>
    <w:rsid w:val="00F60256"/>
    <w:rsid w:val="00F615FA"/>
    <w:rsid w:val="00F61E9D"/>
    <w:rsid w:val="00F61FE3"/>
    <w:rsid w:val="00F64D6F"/>
    <w:rsid w:val="00F66193"/>
    <w:rsid w:val="00F668F9"/>
    <w:rsid w:val="00F66C7F"/>
    <w:rsid w:val="00F71F39"/>
    <w:rsid w:val="00F76B21"/>
    <w:rsid w:val="00F80944"/>
    <w:rsid w:val="00F8252F"/>
    <w:rsid w:val="00F866DA"/>
    <w:rsid w:val="00F86B19"/>
    <w:rsid w:val="00F905A5"/>
    <w:rsid w:val="00F90D76"/>
    <w:rsid w:val="00F911C1"/>
    <w:rsid w:val="00F91686"/>
    <w:rsid w:val="00F93965"/>
    <w:rsid w:val="00F9518D"/>
    <w:rsid w:val="00F95402"/>
    <w:rsid w:val="00F95FA2"/>
    <w:rsid w:val="00F9640D"/>
    <w:rsid w:val="00F96641"/>
    <w:rsid w:val="00F969C2"/>
    <w:rsid w:val="00FA2300"/>
    <w:rsid w:val="00FA2629"/>
    <w:rsid w:val="00FA3394"/>
    <w:rsid w:val="00FA4A16"/>
    <w:rsid w:val="00FA6310"/>
    <w:rsid w:val="00FB071E"/>
    <w:rsid w:val="00FB1B51"/>
    <w:rsid w:val="00FB29E1"/>
    <w:rsid w:val="00FB3843"/>
    <w:rsid w:val="00FB4A26"/>
    <w:rsid w:val="00FB638E"/>
    <w:rsid w:val="00FC317A"/>
    <w:rsid w:val="00FC3683"/>
    <w:rsid w:val="00FC3D95"/>
    <w:rsid w:val="00FC4F82"/>
    <w:rsid w:val="00FC5A19"/>
    <w:rsid w:val="00FC7E37"/>
    <w:rsid w:val="00FD0CE7"/>
    <w:rsid w:val="00FD11F5"/>
    <w:rsid w:val="00FD1A78"/>
    <w:rsid w:val="00FD43BF"/>
    <w:rsid w:val="00FD55DE"/>
    <w:rsid w:val="00FD5E53"/>
    <w:rsid w:val="00FD5F08"/>
    <w:rsid w:val="00FD7392"/>
    <w:rsid w:val="00FE2EAC"/>
    <w:rsid w:val="00FE3611"/>
    <w:rsid w:val="00FE36AD"/>
    <w:rsid w:val="00FE466B"/>
    <w:rsid w:val="00FE5796"/>
    <w:rsid w:val="00FE5E81"/>
    <w:rsid w:val="00FE7ABE"/>
    <w:rsid w:val="00FF0520"/>
    <w:rsid w:val="00FF4120"/>
    <w:rsid w:val="00FF57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EDB8AD"/>
  <w14:defaultImageDpi w14:val="32767"/>
  <w15:chartTrackingRefBased/>
  <w15:docId w15:val="{186978F8-7C4D-4B6F-AD83-6E9C53FB3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5029"/>
    <w:rPr>
      <w:rFonts w:ascii="Times New Roman" w:hAnsi="Times New Roman" w:cs="Times New Roman"/>
      <w:lang w:eastAsia="en-GB"/>
    </w:rPr>
  </w:style>
  <w:style w:type="paragraph" w:styleId="Heading3">
    <w:name w:val="heading 3"/>
    <w:basedOn w:val="Normal"/>
    <w:next w:val="Normal"/>
    <w:link w:val="Heading3Char"/>
    <w:uiPriority w:val="9"/>
    <w:unhideWhenUsed/>
    <w:qFormat/>
    <w:rsid w:val="00767C90"/>
    <w:pPr>
      <w:keepNext/>
      <w:keepLines/>
      <w:spacing w:before="200"/>
      <w:outlineLvl w:val="2"/>
    </w:pPr>
    <w:rPr>
      <w:rFonts w:eastAsiaTheme="majorEastAsia" w:cstheme="majorBidi"/>
      <w:b/>
      <w:bCs/>
      <w:i/>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C03F08"/>
    <w:rPr>
      <w:rFonts w:ascii="Helvetica" w:hAnsi="Helvetica"/>
      <w:sz w:val="15"/>
      <w:szCs w:val="15"/>
    </w:rPr>
  </w:style>
  <w:style w:type="character" w:customStyle="1" w:styleId="apple-converted-space">
    <w:name w:val="apple-converted-space"/>
    <w:basedOn w:val="DefaultParagraphFont"/>
    <w:rsid w:val="00C03F08"/>
  </w:style>
  <w:style w:type="character" w:styleId="CommentReference">
    <w:name w:val="annotation reference"/>
    <w:basedOn w:val="DefaultParagraphFont"/>
    <w:uiPriority w:val="99"/>
    <w:semiHidden/>
    <w:unhideWhenUsed/>
    <w:rsid w:val="00E33453"/>
    <w:rPr>
      <w:sz w:val="16"/>
      <w:szCs w:val="16"/>
    </w:rPr>
  </w:style>
  <w:style w:type="paragraph" w:styleId="CommentText">
    <w:name w:val="annotation text"/>
    <w:basedOn w:val="Normal"/>
    <w:link w:val="CommentTextChar"/>
    <w:uiPriority w:val="99"/>
    <w:unhideWhenUsed/>
    <w:rsid w:val="00E33453"/>
    <w:pPr>
      <w:spacing w:after="160"/>
    </w:pPr>
    <w:rPr>
      <w:rFonts w:asciiTheme="minorHAnsi" w:hAnsiTheme="minorHAnsi" w:cstheme="minorBidi"/>
      <w:sz w:val="20"/>
      <w:szCs w:val="20"/>
      <w:lang w:val="en-US" w:eastAsia="en-US"/>
    </w:rPr>
  </w:style>
  <w:style w:type="character" w:customStyle="1" w:styleId="CommentTextChar">
    <w:name w:val="Comment Text Char"/>
    <w:basedOn w:val="DefaultParagraphFont"/>
    <w:link w:val="CommentText"/>
    <w:uiPriority w:val="99"/>
    <w:rsid w:val="00E33453"/>
    <w:rPr>
      <w:sz w:val="20"/>
      <w:szCs w:val="20"/>
      <w:lang w:val="en-US"/>
    </w:rPr>
  </w:style>
  <w:style w:type="paragraph" w:styleId="BalloonText">
    <w:name w:val="Balloon Text"/>
    <w:basedOn w:val="Normal"/>
    <w:link w:val="BalloonTextChar"/>
    <w:uiPriority w:val="99"/>
    <w:semiHidden/>
    <w:unhideWhenUsed/>
    <w:rsid w:val="00E33453"/>
    <w:rPr>
      <w:sz w:val="18"/>
      <w:szCs w:val="18"/>
      <w:lang w:eastAsia="en-US"/>
    </w:rPr>
  </w:style>
  <w:style w:type="character" w:customStyle="1" w:styleId="BalloonTextChar">
    <w:name w:val="Balloon Text Char"/>
    <w:basedOn w:val="DefaultParagraphFont"/>
    <w:link w:val="BalloonText"/>
    <w:uiPriority w:val="99"/>
    <w:semiHidden/>
    <w:rsid w:val="00E33453"/>
    <w:rPr>
      <w:rFonts w:ascii="Times New Roman" w:hAnsi="Times New Roman" w:cs="Times New Roman"/>
      <w:sz w:val="18"/>
      <w:szCs w:val="18"/>
    </w:rPr>
  </w:style>
  <w:style w:type="character" w:customStyle="1" w:styleId="Heading3Char">
    <w:name w:val="Heading 3 Char"/>
    <w:basedOn w:val="DefaultParagraphFont"/>
    <w:link w:val="Heading3"/>
    <w:uiPriority w:val="9"/>
    <w:rsid w:val="00767C90"/>
    <w:rPr>
      <w:rFonts w:ascii="Times New Roman" w:eastAsiaTheme="majorEastAsia" w:hAnsi="Times New Roman" w:cstheme="majorBidi"/>
      <w:b/>
      <w:bCs/>
      <w:i/>
      <w:szCs w:val="22"/>
    </w:rPr>
  </w:style>
  <w:style w:type="character" w:customStyle="1" w:styleId="s1">
    <w:name w:val="s1"/>
    <w:basedOn w:val="DefaultParagraphFont"/>
    <w:rsid w:val="001228D1"/>
    <w:rPr>
      <w:rFonts w:ascii="Helvetica" w:hAnsi="Helvetica" w:hint="default"/>
      <w:sz w:val="9"/>
      <w:szCs w:val="9"/>
    </w:rPr>
  </w:style>
  <w:style w:type="paragraph" w:styleId="CommentSubject">
    <w:name w:val="annotation subject"/>
    <w:basedOn w:val="CommentText"/>
    <w:next w:val="CommentText"/>
    <w:link w:val="CommentSubjectChar"/>
    <w:uiPriority w:val="99"/>
    <w:semiHidden/>
    <w:unhideWhenUsed/>
    <w:rsid w:val="004B0982"/>
    <w:pPr>
      <w:spacing w:after="0"/>
    </w:pPr>
    <w:rPr>
      <w:b/>
      <w:bCs/>
      <w:lang w:val="en-GB"/>
    </w:rPr>
  </w:style>
  <w:style w:type="character" w:customStyle="1" w:styleId="CommentSubjectChar">
    <w:name w:val="Comment Subject Char"/>
    <w:basedOn w:val="CommentTextChar"/>
    <w:link w:val="CommentSubject"/>
    <w:uiPriority w:val="99"/>
    <w:semiHidden/>
    <w:rsid w:val="004B0982"/>
    <w:rPr>
      <w:b/>
      <w:bCs/>
      <w:sz w:val="20"/>
      <w:szCs w:val="20"/>
      <w:lang w:val="en-US"/>
    </w:rPr>
  </w:style>
  <w:style w:type="paragraph" w:styleId="ListParagraph">
    <w:name w:val="List Paragraph"/>
    <w:basedOn w:val="Normal"/>
    <w:uiPriority w:val="34"/>
    <w:qFormat/>
    <w:rsid w:val="00D56880"/>
    <w:pPr>
      <w:spacing w:after="160" w:line="259" w:lineRule="auto"/>
      <w:ind w:left="720"/>
      <w:contextualSpacing/>
    </w:pPr>
    <w:rPr>
      <w:rFonts w:asciiTheme="minorHAnsi" w:hAnsiTheme="minorHAnsi" w:cstheme="minorBidi"/>
      <w:sz w:val="22"/>
      <w:szCs w:val="22"/>
      <w:lang w:val="en-US" w:eastAsia="en-US"/>
    </w:rPr>
  </w:style>
  <w:style w:type="character" w:customStyle="1" w:styleId="s2">
    <w:name w:val="s2"/>
    <w:basedOn w:val="DefaultParagraphFont"/>
    <w:rsid w:val="008F16E0"/>
    <w:rPr>
      <w:rFonts w:ascii="Helvetica" w:hAnsi="Helvetica" w:hint="default"/>
      <w:sz w:val="12"/>
      <w:szCs w:val="12"/>
    </w:rPr>
  </w:style>
  <w:style w:type="table" w:styleId="PlainTable4">
    <w:name w:val="Plain Table 4"/>
    <w:basedOn w:val="TableNormal"/>
    <w:uiPriority w:val="44"/>
    <w:rsid w:val="0049626B"/>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500022"/>
  </w:style>
  <w:style w:type="paragraph" w:customStyle="1" w:styleId="p2">
    <w:name w:val="p2"/>
    <w:basedOn w:val="Normal"/>
    <w:rsid w:val="001B04A3"/>
    <w:rPr>
      <w:rFonts w:ascii="Helvetica" w:hAnsi="Helvetica"/>
      <w:color w:val="942193"/>
      <w:sz w:val="15"/>
      <w:szCs w:val="15"/>
    </w:rPr>
  </w:style>
  <w:style w:type="character" w:styleId="Hyperlink">
    <w:name w:val="Hyperlink"/>
    <w:basedOn w:val="DefaultParagraphFont"/>
    <w:uiPriority w:val="99"/>
    <w:unhideWhenUsed/>
    <w:rsid w:val="00FC3683"/>
    <w:rPr>
      <w:color w:val="0563C1" w:themeColor="hyperlink"/>
      <w:u w:val="single"/>
    </w:rPr>
  </w:style>
  <w:style w:type="character" w:customStyle="1" w:styleId="UnresolvedMention1">
    <w:name w:val="Unresolved Mention1"/>
    <w:basedOn w:val="DefaultParagraphFont"/>
    <w:uiPriority w:val="99"/>
    <w:rsid w:val="003F221B"/>
    <w:rPr>
      <w:color w:val="605E5C"/>
      <w:shd w:val="clear" w:color="auto" w:fill="E1DFDD"/>
    </w:rPr>
  </w:style>
  <w:style w:type="paragraph" w:styleId="Header">
    <w:name w:val="header"/>
    <w:basedOn w:val="Normal"/>
    <w:link w:val="HeaderChar"/>
    <w:uiPriority w:val="99"/>
    <w:unhideWhenUsed/>
    <w:rsid w:val="007353E6"/>
    <w:pPr>
      <w:tabs>
        <w:tab w:val="center" w:pos="4513"/>
        <w:tab w:val="right" w:pos="9026"/>
      </w:tabs>
    </w:pPr>
  </w:style>
  <w:style w:type="character" w:customStyle="1" w:styleId="HeaderChar">
    <w:name w:val="Header Char"/>
    <w:basedOn w:val="DefaultParagraphFont"/>
    <w:link w:val="Header"/>
    <w:uiPriority w:val="99"/>
    <w:rsid w:val="007353E6"/>
    <w:rPr>
      <w:rFonts w:ascii="Times New Roman" w:hAnsi="Times New Roman" w:cs="Times New Roman"/>
      <w:lang w:eastAsia="en-GB"/>
    </w:rPr>
  </w:style>
  <w:style w:type="paragraph" w:styleId="Footer">
    <w:name w:val="footer"/>
    <w:basedOn w:val="Normal"/>
    <w:link w:val="FooterChar"/>
    <w:uiPriority w:val="99"/>
    <w:unhideWhenUsed/>
    <w:rsid w:val="007353E6"/>
    <w:pPr>
      <w:tabs>
        <w:tab w:val="center" w:pos="4513"/>
        <w:tab w:val="right" w:pos="9026"/>
      </w:tabs>
    </w:pPr>
  </w:style>
  <w:style w:type="character" w:customStyle="1" w:styleId="FooterChar">
    <w:name w:val="Footer Char"/>
    <w:basedOn w:val="DefaultParagraphFont"/>
    <w:link w:val="Footer"/>
    <w:uiPriority w:val="99"/>
    <w:rsid w:val="007353E6"/>
    <w:rPr>
      <w:rFonts w:ascii="Times New Roman" w:hAnsi="Times New Roman" w:cs="Times New Roman"/>
      <w:lang w:eastAsia="en-GB"/>
    </w:rPr>
  </w:style>
  <w:style w:type="character" w:customStyle="1" w:styleId="highlight">
    <w:name w:val="highlight"/>
    <w:basedOn w:val="DefaultParagraphFont"/>
    <w:rsid w:val="00F71F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42893">
      <w:bodyDiv w:val="1"/>
      <w:marLeft w:val="0"/>
      <w:marRight w:val="0"/>
      <w:marTop w:val="0"/>
      <w:marBottom w:val="0"/>
      <w:divBdr>
        <w:top w:val="none" w:sz="0" w:space="0" w:color="auto"/>
        <w:left w:val="none" w:sz="0" w:space="0" w:color="auto"/>
        <w:bottom w:val="none" w:sz="0" w:space="0" w:color="auto"/>
        <w:right w:val="none" w:sz="0" w:space="0" w:color="auto"/>
      </w:divBdr>
    </w:div>
    <w:div w:id="33501426">
      <w:bodyDiv w:val="1"/>
      <w:marLeft w:val="0"/>
      <w:marRight w:val="0"/>
      <w:marTop w:val="0"/>
      <w:marBottom w:val="0"/>
      <w:divBdr>
        <w:top w:val="none" w:sz="0" w:space="0" w:color="auto"/>
        <w:left w:val="none" w:sz="0" w:space="0" w:color="auto"/>
        <w:bottom w:val="none" w:sz="0" w:space="0" w:color="auto"/>
        <w:right w:val="none" w:sz="0" w:space="0" w:color="auto"/>
      </w:divBdr>
      <w:divsChild>
        <w:div w:id="13266601">
          <w:marLeft w:val="0"/>
          <w:marRight w:val="0"/>
          <w:marTop w:val="0"/>
          <w:marBottom w:val="0"/>
          <w:divBdr>
            <w:top w:val="none" w:sz="0" w:space="0" w:color="auto"/>
            <w:left w:val="none" w:sz="0" w:space="0" w:color="auto"/>
            <w:bottom w:val="none" w:sz="0" w:space="0" w:color="auto"/>
            <w:right w:val="none" w:sz="0" w:space="0" w:color="auto"/>
          </w:divBdr>
        </w:div>
        <w:div w:id="13851860">
          <w:marLeft w:val="0"/>
          <w:marRight w:val="0"/>
          <w:marTop w:val="0"/>
          <w:marBottom w:val="0"/>
          <w:divBdr>
            <w:top w:val="none" w:sz="0" w:space="0" w:color="auto"/>
            <w:left w:val="none" w:sz="0" w:space="0" w:color="auto"/>
            <w:bottom w:val="none" w:sz="0" w:space="0" w:color="auto"/>
            <w:right w:val="none" w:sz="0" w:space="0" w:color="auto"/>
          </w:divBdr>
        </w:div>
        <w:div w:id="30036940">
          <w:marLeft w:val="0"/>
          <w:marRight w:val="0"/>
          <w:marTop w:val="0"/>
          <w:marBottom w:val="0"/>
          <w:divBdr>
            <w:top w:val="none" w:sz="0" w:space="0" w:color="auto"/>
            <w:left w:val="none" w:sz="0" w:space="0" w:color="auto"/>
            <w:bottom w:val="none" w:sz="0" w:space="0" w:color="auto"/>
            <w:right w:val="none" w:sz="0" w:space="0" w:color="auto"/>
          </w:divBdr>
        </w:div>
        <w:div w:id="46229190">
          <w:marLeft w:val="0"/>
          <w:marRight w:val="0"/>
          <w:marTop w:val="0"/>
          <w:marBottom w:val="0"/>
          <w:divBdr>
            <w:top w:val="none" w:sz="0" w:space="0" w:color="auto"/>
            <w:left w:val="none" w:sz="0" w:space="0" w:color="auto"/>
            <w:bottom w:val="none" w:sz="0" w:space="0" w:color="auto"/>
            <w:right w:val="none" w:sz="0" w:space="0" w:color="auto"/>
          </w:divBdr>
        </w:div>
        <w:div w:id="137503840">
          <w:marLeft w:val="0"/>
          <w:marRight w:val="0"/>
          <w:marTop w:val="0"/>
          <w:marBottom w:val="0"/>
          <w:divBdr>
            <w:top w:val="none" w:sz="0" w:space="0" w:color="auto"/>
            <w:left w:val="none" w:sz="0" w:space="0" w:color="auto"/>
            <w:bottom w:val="none" w:sz="0" w:space="0" w:color="auto"/>
            <w:right w:val="none" w:sz="0" w:space="0" w:color="auto"/>
          </w:divBdr>
        </w:div>
        <w:div w:id="210848623">
          <w:marLeft w:val="0"/>
          <w:marRight w:val="0"/>
          <w:marTop w:val="0"/>
          <w:marBottom w:val="0"/>
          <w:divBdr>
            <w:top w:val="none" w:sz="0" w:space="0" w:color="auto"/>
            <w:left w:val="none" w:sz="0" w:space="0" w:color="auto"/>
            <w:bottom w:val="none" w:sz="0" w:space="0" w:color="auto"/>
            <w:right w:val="none" w:sz="0" w:space="0" w:color="auto"/>
          </w:divBdr>
        </w:div>
        <w:div w:id="284045090">
          <w:marLeft w:val="0"/>
          <w:marRight w:val="0"/>
          <w:marTop w:val="0"/>
          <w:marBottom w:val="0"/>
          <w:divBdr>
            <w:top w:val="none" w:sz="0" w:space="0" w:color="auto"/>
            <w:left w:val="none" w:sz="0" w:space="0" w:color="auto"/>
            <w:bottom w:val="none" w:sz="0" w:space="0" w:color="auto"/>
            <w:right w:val="none" w:sz="0" w:space="0" w:color="auto"/>
          </w:divBdr>
        </w:div>
        <w:div w:id="341473798">
          <w:marLeft w:val="0"/>
          <w:marRight w:val="0"/>
          <w:marTop w:val="0"/>
          <w:marBottom w:val="0"/>
          <w:divBdr>
            <w:top w:val="none" w:sz="0" w:space="0" w:color="auto"/>
            <w:left w:val="none" w:sz="0" w:space="0" w:color="auto"/>
            <w:bottom w:val="none" w:sz="0" w:space="0" w:color="auto"/>
            <w:right w:val="none" w:sz="0" w:space="0" w:color="auto"/>
          </w:divBdr>
        </w:div>
        <w:div w:id="378482594">
          <w:marLeft w:val="0"/>
          <w:marRight w:val="0"/>
          <w:marTop w:val="0"/>
          <w:marBottom w:val="0"/>
          <w:divBdr>
            <w:top w:val="none" w:sz="0" w:space="0" w:color="auto"/>
            <w:left w:val="none" w:sz="0" w:space="0" w:color="auto"/>
            <w:bottom w:val="none" w:sz="0" w:space="0" w:color="auto"/>
            <w:right w:val="none" w:sz="0" w:space="0" w:color="auto"/>
          </w:divBdr>
        </w:div>
        <w:div w:id="392124640">
          <w:marLeft w:val="0"/>
          <w:marRight w:val="0"/>
          <w:marTop w:val="0"/>
          <w:marBottom w:val="0"/>
          <w:divBdr>
            <w:top w:val="none" w:sz="0" w:space="0" w:color="auto"/>
            <w:left w:val="none" w:sz="0" w:space="0" w:color="auto"/>
            <w:bottom w:val="none" w:sz="0" w:space="0" w:color="auto"/>
            <w:right w:val="none" w:sz="0" w:space="0" w:color="auto"/>
          </w:divBdr>
        </w:div>
        <w:div w:id="649099743">
          <w:marLeft w:val="0"/>
          <w:marRight w:val="0"/>
          <w:marTop w:val="0"/>
          <w:marBottom w:val="0"/>
          <w:divBdr>
            <w:top w:val="none" w:sz="0" w:space="0" w:color="auto"/>
            <w:left w:val="none" w:sz="0" w:space="0" w:color="auto"/>
            <w:bottom w:val="none" w:sz="0" w:space="0" w:color="auto"/>
            <w:right w:val="none" w:sz="0" w:space="0" w:color="auto"/>
          </w:divBdr>
        </w:div>
        <w:div w:id="738551931">
          <w:marLeft w:val="0"/>
          <w:marRight w:val="0"/>
          <w:marTop w:val="0"/>
          <w:marBottom w:val="0"/>
          <w:divBdr>
            <w:top w:val="none" w:sz="0" w:space="0" w:color="auto"/>
            <w:left w:val="none" w:sz="0" w:space="0" w:color="auto"/>
            <w:bottom w:val="none" w:sz="0" w:space="0" w:color="auto"/>
            <w:right w:val="none" w:sz="0" w:space="0" w:color="auto"/>
          </w:divBdr>
        </w:div>
        <w:div w:id="771097339">
          <w:marLeft w:val="0"/>
          <w:marRight w:val="0"/>
          <w:marTop w:val="0"/>
          <w:marBottom w:val="0"/>
          <w:divBdr>
            <w:top w:val="none" w:sz="0" w:space="0" w:color="auto"/>
            <w:left w:val="none" w:sz="0" w:space="0" w:color="auto"/>
            <w:bottom w:val="none" w:sz="0" w:space="0" w:color="auto"/>
            <w:right w:val="none" w:sz="0" w:space="0" w:color="auto"/>
          </w:divBdr>
        </w:div>
        <w:div w:id="885797004">
          <w:marLeft w:val="0"/>
          <w:marRight w:val="0"/>
          <w:marTop w:val="0"/>
          <w:marBottom w:val="0"/>
          <w:divBdr>
            <w:top w:val="none" w:sz="0" w:space="0" w:color="auto"/>
            <w:left w:val="none" w:sz="0" w:space="0" w:color="auto"/>
            <w:bottom w:val="none" w:sz="0" w:space="0" w:color="auto"/>
            <w:right w:val="none" w:sz="0" w:space="0" w:color="auto"/>
          </w:divBdr>
        </w:div>
        <w:div w:id="906190895">
          <w:marLeft w:val="0"/>
          <w:marRight w:val="0"/>
          <w:marTop w:val="0"/>
          <w:marBottom w:val="0"/>
          <w:divBdr>
            <w:top w:val="none" w:sz="0" w:space="0" w:color="auto"/>
            <w:left w:val="none" w:sz="0" w:space="0" w:color="auto"/>
            <w:bottom w:val="none" w:sz="0" w:space="0" w:color="auto"/>
            <w:right w:val="none" w:sz="0" w:space="0" w:color="auto"/>
          </w:divBdr>
        </w:div>
        <w:div w:id="1002394170">
          <w:marLeft w:val="0"/>
          <w:marRight w:val="0"/>
          <w:marTop w:val="0"/>
          <w:marBottom w:val="0"/>
          <w:divBdr>
            <w:top w:val="none" w:sz="0" w:space="0" w:color="auto"/>
            <w:left w:val="none" w:sz="0" w:space="0" w:color="auto"/>
            <w:bottom w:val="none" w:sz="0" w:space="0" w:color="auto"/>
            <w:right w:val="none" w:sz="0" w:space="0" w:color="auto"/>
          </w:divBdr>
        </w:div>
        <w:div w:id="1012535948">
          <w:marLeft w:val="0"/>
          <w:marRight w:val="0"/>
          <w:marTop w:val="0"/>
          <w:marBottom w:val="0"/>
          <w:divBdr>
            <w:top w:val="none" w:sz="0" w:space="0" w:color="auto"/>
            <w:left w:val="none" w:sz="0" w:space="0" w:color="auto"/>
            <w:bottom w:val="none" w:sz="0" w:space="0" w:color="auto"/>
            <w:right w:val="none" w:sz="0" w:space="0" w:color="auto"/>
          </w:divBdr>
        </w:div>
        <w:div w:id="1021859152">
          <w:marLeft w:val="0"/>
          <w:marRight w:val="0"/>
          <w:marTop w:val="0"/>
          <w:marBottom w:val="0"/>
          <w:divBdr>
            <w:top w:val="none" w:sz="0" w:space="0" w:color="auto"/>
            <w:left w:val="none" w:sz="0" w:space="0" w:color="auto"/>
            <w:bottom w:val="none" w:sz="0" w:space="0" w:color="auto"/>
            <w:right w:val="none" w:sz="0" w:space="0" w:color="auto"/>
          </w:divBdr>
        </w:div>
        <w:div w:id="1093629836">
          <w:marLeft w:val="0"/>
          <w:marRight w:val="0"/>
          <w:marTop w:val="0"/>
          <w:marBottom w:val="0"/>
          <w:divBdr>
            <w:top w:val="none" w:sz="0" w:space="0" w:color="auto"/>
            <w:left w:val="none" w:sz="0" w:space="0" w:color="auto"/>
            <w:bottom w:val="none" w:sz="0" w:space="0" w:color="auto"/>
            <w:right w:val="none" w:sz="0" w:space="0" w:color="auto"/>
          </w:divBdr>
        </w:div>
        <w:div w:id="1281492711">
          <w:marLeft w:val="0"/>
          <w:marRight w:val="0"/>
          <w:marTop w:val="0"/>
          <w:marBottom w:val="0"/>
          <w:divBdr>
            <w:top w:val="none" w:sz="0" w:space="0" w:color="auto"/>
            <w:left w:val="none" w:sz="0" w:space="0" w:color="auto"/>
            <w:bottom w:val="none" w:sz="0" w:space="0" w:color="auto"/>
            <w:right w:val="none" w:sz="0" w:space="0" w:color="auto"/>
          </w:divBdr>
        </w:div>
        <w:div w:id="1340236832">
          <w:marLeft w:val="0"/>
          <w:marRight w:val="0"/>
          <w:marTop w:val="0"/>
          <w:marBottom w:val="0"/>
          <w:divBdr>
            <w:top w:val="none" w:sz="0" w:space="0" w:color="auto"/>
            <w:left w:val="none" w:sz="0" w:space="0" w:color="auto"/>
            <w:bottom w:val="none" w:sz="0" w:space="0" w:color="auto"/>
            <w:right w:val="none" w:sz="0" w:space="0" w:color="auto"/>
          </w:divBdr>
        </w:div>
        <w:div w:id="1349332706">
          <w:marLeft w:val="0"/>
          <w:marRight w:val="0"/>
          <w:marTop w:val="0"/>
          <w:marBottom w:val="0"/>
          <w:divBdr>
            <w:top w:val="none" w:sz="0" w:space="0" w:color="auto"/>
            <w:left w:val="none" w:sz="0" w:space="0" w:color="auto"/>
            <w:bottom w:val="none" w:sz="0" w:space="0" w:color="auto"/>
            <w:right w:val="none" w:sz="0" w:space="0" w:color="auto"/>
          </w:divBdr>
        </w:div>
        <w:div w:id="1369798444">
          <w:marLeft w:val="0"/>
          <w:marRight w:val="0"/>
          <w:marTop w:val="0"/>
          <w:marBottom w:val="0"/>
          <w:divBdr>
            <w:top w:val="none" w:sz="0" w:space="0" w:color="auto"/>
            <w:left w:val="none" w:sz="0" w:space="0" w:color="auto"/>
            <w:bottom w:val="none" w:sz="0" w:space="0" w:color="auto"/>
            <w:right w:val="none" w:sz="0" w:space="0" w:color="auto"/>
          </w:divBdr>
        </w:div>
        <w:div w:id="1405836313">
          <w:marLeft w:val="0"/>
          <w:marRight w:val="0"/>
          <w:marTop w:val="0"/>
          <w:marBottom w:val="0"/>
          <w:divBdr>
            <w:top w:val="none" w:sz="0" w:space="0" w:color="auto"/>
            <w:left w:val="none" w:sz="0" w:space="0" w:color="auto"/>
            <w:bottom w:val="none" w:sz="0" w:space="0" w:color="auto"/>
            <w:right w:val="none" w:sz="0" w:space="0" w:color="auto"/>
          </w:divBdr>
        </w:div>
        <w:div w:id="1421022369">
          <w:marLeft w:val="0"/>
          <w:marRight w:val="0"/>
          <w:marTop w:val="0"/>
          <w:marBottom w:val="0"/>
          <w:divBdr>
            <w:top w:val="none" w:sz="0" w:space="0" w:color="auto"/>
            <w:left w:val="none" w:sz="0" w:space="0" w:color="auto"/>
            <w:bottom w:val="none" w:sz="0" w:space="0" w:color="auto"/>
            <w:right w:val="none" w:sz="0" w:space="0" w:color="auto"/>
          </w:divBdr>
        </w:div>
        <w:div w:id="1456294039">
          <w:marLeft w:val="0"/>
          <w:marRight w:val="0"/>
          <w:marTop w:val="0"/>
          <w:marBottom w:val="0"/>
          <w:divBdr>
            <w:top w:val="none" w:sz="0" w:space="0" w:color="auto"/>
            <w:left w:val="none" w:sz="0" w:space="0" w:color="auto"/>
            <w:bottom w:val="none" w:sz="0" w:space="0" w:color="auto"/>
            <w:right w:val="none" w:sz="0" w:space="0" w:color="auto"/>
          </w:divBdr>
        </w:div>
        <w:div w:id="1461535586">
          <w:marLeft w:val="0"/>
          <w:marRight w:val="0"/>
          <w:marTop w:val="0"/>
          <w:marBottom w:val="0"/>
          <w:divBdr>
            <w:top w:val="none" w:sz="0" w:space="0" w:color="auto"/>
            <w:left w:val="none" w:sz="0" w:space="0" w:color="auto"/>
            <w:bottom w:val="none" w:sz="0" w:space="0" w:color="auto"/>
            <w:right w:val="none" w:sz="0" w:space="0" w:color="auto"/>
          </w:divBdr>
        </w:div>
        <w:div w:id="1490558253">
          <w:marLeft w:val="0"/>
          <w:marRight w:val="0"/>
          <w:marTop w:val="0"/>
          <w:marBottom w:val="0"/>
          <w:divBdr>
            <w:top w:val="none" w:sz="0" w:space="0" w:color="auto"/>
            <w:left w:val="none" w:sz="0" w:space="0" w:color="auto"/>
            <w:bottom w:val="none" w:sz="0" w:space="0" w:color="auto"/>
            <w:right w:val="none" w:sz="0" w:space="0" w:color="auto"/>
          </w:divBdr>
        </w:div>
        <w:div w:id="1546481011">
          <w:marLeft w:val="0"/>
          <w:marRight w:val="0"/>
          <w:marTop w:val="0"/>
          <w:marBottom w:val="0"/>
          <w:divBdr>
            <w:top w:val="none" w:sz="0" w:space="0" w:color="auto"/>
            <w:left w:val="none" w:sz="0" w:space="0" w:color="auto"/>
            <w:bottom w:val="none" w:sz="0" w:space="0" w:color="auto"/>
            <w:right w:val="none" w:sz="0" w:space="0" w:color="auto"/>
          </w:divBdr>
        </w:div>
        <w:div w:id="1615668635">
          <w:marLeft w:val="0"/>
          <w:marRight w:val="0"/>
          <w:marTop w:val="0"/>
          <w:marBottom w:val="0"/>
          <w:divBdr>
            <w:top w:val="none" w:sz="0" w:space="0" w:color="auto"/>
            <w:left w:val="none" w:sz="0" w:space="0" w:color="auto"/>
            <w:bottom w:val="none" w:sz="0" w:space="0" w:color="auto"/>
            <w:right w:val="none" w:sz="0" w:space="0" w:color="auto"/>
          </w:divBdr>
        </w:div>
        <w:div w:id="1656253381">
          <w:marLeft w:val="0"/>
          <w:marRight w:val="0"/>
          <w:marTop w:val="0"/>
          <w:marBottom w:val="0"/>
          <w:divBdr>
            <w:top w:val="none" w:sz="0" w:space="0" w:color="auto"/>
            <w:left w:val="none" w:sz="0" w:space="0" w:color="auto"/>
            <w:bottom w:val="none" w:sz="0" w:space="0" w:color="auto"/>
            <w:right w:val="none" w:sz="0" w:space="0" w:color="auto"/>
          </w:divBdr>
        </w:div>
        <w:div w:id="1663464077">
          <w:marLeft w:val="0"/>
          <w:marRight w:val="0"/>
          <w:marTop w:val="0"/>
          <w:marBottom w:val="0"/>
          <w:divBdr>
            <w:top w:val="none" w:sz="0" w:space="0" w:color="auto"/>
            <w:left w:val="none" w:sz="0" w:space="0" w:color="auto"/>
            <w:bottom w:val="none" w:sz="0" w:space="0" w:color="auto"/>
            <w:right w:val="none" w:sz="0" w:space="0" w:color="auto"/>
          </w:divBdr>
        </w:div>
        <w:div w:id="1667632366">
          <w:marLeft w:val="0"/>
          <w:marRight w:val="0"/>
          <w:marTop w:val="0"/>
          <w:marBottom w:val="0"/>
          <w:divBdr>
            <w:top w:val="none" w:sz="0" w:space="0" w:color="auto"/>
            <w:left w:val="none" w:sz="0" w:space="0" w:color="auto"/>
            <w:bottom w:val="none" w:sz="0" w:space="0" w:color="auto"/>
            <w:right w:val="none" w:sz="0" w:space="0" w:color="auto"/>
          </w:divBdr>
        </w:div>
        <w:div w:id="1684942610">
          <w:marLeft w:val="0"/>
          <w:marRight w:val="0"/>
          <w:marTop w:val="0"/>
          <w:marBottom w:val="0"/>
          <w:divBdr>
            <w:top w:val="none" w:sz="0" w:space="0" w:color="auto"/>
            <w:left w:val="none" w:sz="0" w:space="0" w:color="auto"/>
            <w:bottom w:val="none" w:sz="0" w:space="0" w:color="auto"/>
            <w:right w:val="none" w:sz="0" w:space="0" w:color="auto"/>
          </w:divBdr>
        </w:div>
        <w:div w:id="1771242474">
          <w:marLeft w:val="0"/>
          <w:marRight w:val="0"/>
          <w:marTop w:val="0"/>
          <w:marBottom w:val="0"/>
          <w:divBdr>
            <w:top w:val="none" w:sz="0" w:space="0" w:color="auto"/>
            <w:left w:val="none" w:sz="0" w:space="0" w:color="auto"/>
            <w:bottom w:val="none" w:sz="0" w:space="0" w:color="auto"/>
            <w:right w:val="none" w:sz="0" w:space="0" w:color="auto"/>
          </w:divBdr>
        </w:div>
        <w:div w:id="1777359553">
          <w:marLeft w:val="0"/>
          <w:marRight w:val="0"/>
          <w:marTop w:val="0"/>
          <w:marBottom w:val="0"/>
          <w:divBdr>
            <w:top w:val="none" w:sz="0" w:space="0" w:color="auto"/>
            <w:left w:val="none" w:sz="0" w:space="0" w:color="auto"/>
            <w:bottom w:val="none" w:sz="0" w:space="0" w:color="auto"/>
            <w:right w:val="none" w:sz="0" w:space="0" w:color="auto"/>
          </w:divBdr>
        </w:div>
        <w:div w:id="1791630472">
          <w:marLeft w:val="0"/>
          <w:marRight w:val="0"/>
          <w:marTop w:val="0"/>
          <w:marBottom w:val="0"/>
          <w:divBdr>
            <w:top w:val="none" w:sz="0" w:space="0" w:color="auto"/>
            <w:left w:val="none" w:sz="0" w:space="0" w:color="auto"/>
            <w:bottom w:val="none" w:sz="0" w:space="0" w:color="auto"/>
            <w:right w:val="none" w:sz="0" w:space="0" w:color="auto"/>
          </w:divBdr>
        </w:div>
        <w:div w:id="1859350735">
          <w:marLeft w:val="0"/>
          <w:marRight w:val="0"/>
          <w:marTop w:val="0"/>
          <w:marBottom w:val="0"/>
          <w:divBdr>
            <w:top w:val="none" w:sz="0" w:space="0" w:color="auto"/>
            <w:left w:val="none" w:sz="0" w:space="0" w:color="auto"/>
            <w:bottom w:val="none" w:sz="0" w:space="0" w:color="auto"/>
            <w:right w:val="none" w:sz="0" w:space="0" w:color="auto"/>
          </w:divBdr>
        </w:div>
        <w:div w:id="2013364078">
          <w:marLeft w:val="0"/>
          <w:marRight w:val="0"/>
          <w:marTop w:val="0"/>
          <w:marBottom w:val="0"/>
          <w:divBdr>
            <w:top w:val="none" w:sz="0" w:space="0" w:color="auto"/>
            <w:left w:val="none" w:sz="0" w:space="0" w:color="auto"/>
            <w:bottom w:val="none" w:sz="0" w:space="0" w:color="auto"/>
            <w:right w:val="none" w:sz="0" w:space="0" w:color="auto"/>
          </w:divBdr>
        </w:div>
        <w:div w:id="2083016187">
          <w:marLeft w:val="0"/>
          <w:marRight w:val="0"/>
          <w:marTop w:val="0"/>
          <w:marBottom w:val="0"/>
          <w:divBdr>
            <w:top w:val="none" w:sz="0" w:space="0" w:color="auto"/>
            <w:left w:val="none" w:sz="0" w:space="0" w:color="auto"/>
            <w:bottom w:val="none" w:sz="0" w:space="0" w:color="auto"/>
            <w:right w:val="none" w:sz="0" w:space="0" w:color="auto"/>
          </w:divBdr>
        </w:div>
      </w:divsChild>
    </w:div>
    <w:div w:id="105274555">
      <w:bodyDiv w:val="1"/>
      <w:marLeft w:val="0"/>
      <w:marRight w:val="0"/>
      <w:marTop w:val="0"/>
      <w:marBottom w:val="0"/>
      <w:divBdr>
        <w:top w:val="none" w:sz="0" w:space="0" w:color="auto"/>
        <w:left w:val="none" w:sz="0" w:space="0" w:color="auto"/>
        <w:bottom w:val="none" w:sz="0" w:space="0" w:color="auto"/>
        <w:right w:val="none" w:sz="0" w:space="0" w:color="auto"/>
      </w:divBdr>
    </w:div>
    <w:div w:id="137038282">
      <w:bodyDiv w:val="1"/>
      <w:marLeft w:val="0"/>
      <w:marRight w:val="0"/>
      <w:marTop w:val="0"/>
      <w:marBottom w:val="0"/>
      <w:divBdr>
        <w:top w:val="none" w:sz="0" w:space="0" w:color="auto"/>
        <w:left w:val="none" w:sz="0" w:space="0" w:color="auto"/>
        <w:bottom w:val="none" w:sz="0" w:space="0" w:color="auto"/>
        <w:right w:val="none" w:sz="0" w:space="0" w:color="auto"/>
      </w:divBdr>
    </w:div>
    <w:div w:id="157233493">
      <w:bodyDiv w:val="1"/>
      <w:marLeft w:val="0"/>
      <w:marRight w:val="0"/>
      <w:marTop w:val="0"/>
      <w:marBottom w:val="0"/>
      <w:divBdr>
        <w:top w:val="none" w:sz="0" w:space="0" w:color="auto"/>
        <w:left w:val="none" w:sz="0" w:space="0" w:color="auto"/>
        <w:bottom w:val="none" w:sz="0" w:space="0" w:color="auto"/>
        <w:right w:val="none" w:sz="0" w:space="0" w:color="auto"/>
      </w:divBdr>
    </w:div>
    <w:div w:id="222327047">
      <w:bodyDiv w:val="1"/>
      <w:marLeft w:val="0"/>
      <w:marRight w:val="0"/>
      <w:marTop w:val="0"/>
      <w:marBottom w:val="0"/>
      <w:divBdr>
        <w:top w:val="none" w:sz="0" w:space="0" w:color="auto"/>
        <w:left w:val="none" w:sz="0" w:space="0" w:color="auto"/>
        <w:bottom w:val="none" w:sz="0" w:space="0" w:color="auto"/>
        <w:right w:val="none" w:sz="0" w:space="0" w:color="auto"/>
      </w:divBdr>
    </w:div>
    <w:div w:id="237134606">
      <w:bodyDiv w:val="1"/>
      <w:marLeft w:val="0"/>
      <w:marRight w:val="0"/>
      <w:marTop w:val="0"/>
      <w:marBottom w:val="0"/>
      <w:divBdr>
        <w:top w:val="none" w:sz="0" w:space="0" w:color="auto"/>
        <w:left w:val="none" w:sz="0" w:space="0" w:color="auto"/>
        <w:bottom w:val="none" w:sz="0" w:space="0" w:color="auto"/>
        <w:right w:val="none" w:sz="0" w:space="0" w:color="auto"/>
      </w:divBdr>
    </w:div>
    <w:div w:id="251091183">
      <w:bodyDiv w:val="1"/>
      <w:marLeft w:val="0"/>
      <w:marRight w:val="0"/>
      <w:marTop w:val="0"/>
      <w:marBottom w:val="0"/>
      <w:divBdr>
        <w:top w:val="none" w:sz="0" w:space="0" w:color="auto"/>
        <w:left w:val="none" w:sz="0" w:space="0" w:color="auto"/>
        <w:bottom w:val="none" w:sz="0" w:space="0" w:color="auto"/>
        <w:right w:val="none" w:sz="0" w:space="0" w:color="auto"/>
      </w:divBdr>
    </w:div>
    <w:div w:id="268926072">
      <w:bodyDiv w:val="1"/>
      <w:marLeft w:val="0"/>
      <w:marRight w:val="0"/>
      <w:marTop w:val="0"/>
      <w:marBottom w:val="0"/>
      <w:divBdr>
        <w:top w:val="none" w:sz="0" w:space="0" w:color="auto"/>
        <w:left w:val="none" w:sz="0" w:space="0" w:color="auto"/>
        <w:bottom w:val="none" w:sz="0" w:space="0" w:color="auto"/>
        <w:right w:val="none" w:sz="0" w:space="0" w:color="auto"/>
      </w:divBdr>
    </w:div>
    <w:div w:id="281964861">
      <w:bodyDiv w:val="1"/>
      <w:marLeft w:val="0"/>
      <w:marRight w:val="0"/>
      <w:marTop w:val="0"/>
      <w:marBottom w:val="0"/>
      <w:divBdr>
        <w:top w:val="none" w:sz="0" w:space="0" w:color="auto"/>
        <w:left w:val="none" w:sz="0" w:space="0" w:color="auto"/>
        <w:bottom w:val="none" w:sz="0" w:space="0" w:color="auto"/>
        <w:right w:val="none" w:sz="0" w:space="0" w:color="auto"/>
      </w:divBdr>
    </w:div>
    <w:div w:id="289173158">
      <w:bodyDiv w:val="1"/>
      <w:marLeft w:val="0"/>
      <w:marRight w:val="0"/>
      <w:marTop w:val="0"/>
      <w:marBottom w:val="0"/>
      <w:divBdr>
        <w:top w:val="none" w:sz="0" w:space="0" w:color="auto"/>
        <w:left w:val="none" w:sz="0" w:space="0" w:color="auto"/>
        <w:bottom w:val="none" w:sz="0" w:space="0" w:color="auto"/>
        <w:right w:val="none" w:sz="0" w:space="0" w:color="auto"/>
      </w:divBdr>
    </w:div>
    <w:div w:id="303437363">
      <w:bodyDiv w:val="1"/>
      <w:marLeft w:val="0"/>
      <w:marRight w:val="0"/>
      <w:marTop w:val="0"/>
      <w:marBottom w:val="0"/>
      <w:divBdr>
        <w:top w:val="none" w:sz="0" w:space="0" w:color="auto"/>
        <w:left w:val="none" w:sz="0" w:space="0" w:color="auto"/>
        <w:bottom w:val="none" w:sz="0" w:space="0" w:color="auto"/>
        <w:right w:val="none" w:sz="0" w:space="0" w:color="auto"/>
      </w:divBdr>
    </w:div>
    <w:div w:id="311376918">
      <w:bodyDiv w:val="1"/>
      <w:marLeft w:val="0"/>
      <w:marRight w:val="0"/>
      <w:marTop w:val="0"/>
      <w:marBottom w:val="0"/>
      <w:divBdr>
        <w:top w:val="none" w:sz="0" w:space="0" w:color="auto"/>
        <w:left w:val="none" w:sz="0" w:space="0" w:color="auto"/>
        <w:bottom w:val="none" w:sz="0" w:space="0" w:color="auto"/>
        <w:right w:val="none" w:sz="0" w:space="0" w:color="auto"/>
      </w:divBdr>
    </w:div>
    <w:div w:id="322707584">
      <w:bodyDiv w:val="1"/>
      <w:marLeft w:val="0"/>
      <w:marRight w:val="0"/>
      <w:marTop w:val="0"/>
      <w:marBottom w:val="0"/>
      <w:divBdr>
        <w:top w:val="none" w:sz="0" w:space="0" w:color="auto"/>
        <w:left w:val="none" w:sz="0" w:space="0" w:color="auto"/>
        <w:bottom w:val="none" w:sz="0" w:space="0" w:color="auto"/>
        <w:right w:val="none" w:sz="0" w:space="0" w:color="auto"/>
      </w:divBdr>
    </w:div>
    <w:div w:id="328338046">
      <w:bodyDiv w:val="1"/>
      <w:marLeft w:val="0"/>
      <w:marRight w:val="0"/>
      <w:marTop w:val="0"/>
      <w:marBottom w:val="0"/>
      <w:divBdr>
        <w:top w:val="none" w:sz="0" w:space="0" w:color="auto"/>
        <w:left w:val="none" w:sz="0" w:space="0" w:color="auto"/>
        <w:bottom w:val="none" w:sz="0" w:space="0" w:color="auto"/>
        <w:right w:val="none" w:sz="0" w:space="0" w:color="auto"/>
      </w:divBdr>
    </w:div>
    <w:div w:id="331640881">
      <w:bodyDiv w:val="1"/>
      <w:marLeft w:val="0"/>
      <w:marRight w:val="0"/>
      <w:marTop w:val="0"/>
      <w:marBottom w:val="0"/>
      <w:divBdr>
        <w:top w:val="none" w:sz="0" w:space="0" w:color="auto"/>
        <w:left w:val="none" w:sz="0" w:space="0" w:color="auto"/>
        <w:bottom w:val="none" w:sz="0" w:space="0" w:color="auto"/>
        <w:right w:val="none" w:sz="0" w:space="0" w:color="auto"/>
      </w:divBdr>
    </w:div>
    <w:div w:id="345983678">
      <w:bodyDiv w:val="1"/>
      <w:marLeft w:val="0"/>
      <w:marRight w:val="0"/>
      <w:marTop w:val="0"/>
      <w:marBottom w:val="0"/>
      <w:divBdr>
        <w:top w:val="none" w:sz="0" w:space="0" w:color="auto"/>
        <w:left w:val="none" w:sz="0" w:space="0" w:color="auto"/>
        <w:bottom w:val="none" w:sz="0" w:space="0" w:color="auto"/>
        <w:right w:val="none" w:sz="0" w:space="0" w:color="auto"/>
      </w:divBdr>
    </w:div>
    <w:div w:id="374887060">
      <w:bodyDiv w:val="1"/>
      <w:marLeft w:val="0"/>
      <w:marRight w:val="0"/>
      <w:marTop w:val="0"/>
      <w:marBottom w:val="0"/>
      <w:divBdr>
        <w:top w:val="none" w:sz="0" w:space="0" w:color="auto"/>
        <w:left w:val="none" w:sz="0" w:space="0" w:color="auto"/>
        <w:bottom w:val="none" w:sz="0" w:space="0" w:color="auto"/>
        <w:right w:val="none" w:sz="0" w:space="0" w:color="auto"/>
      </w:divBdr>
    </w:div>
    <w:div w:id="378827673">
      <w:bodyDiv w:val="1"/>
      <w:marLeft w:val="0"/>
      <w:marRight w:val="0"/>
      <w:marTop w:val="0"/>
      <w:marBottom w:val="0"/>
      <w:divBdr>
        <w:top w:val="none" w:sz="0" w:space="0" w:color="auto"/>
        <w:left w:val="none" w:sz="0" w:space="0" w:color="auto"/>
        <w:bottom w:val="none" w:sz="0" w:space="0" w:color="auto"/>
        <w:right w:val="none" w:sz="0" w:space="0" w:color="auto"/>
      </w:divBdr>
    </w:div>
    <w:div w:id="414476410">
      <w:bodyDiv w:val="1"/>
      <w:marLeft w:val="0"/>
      <w:marRight w:val="0"/>
      <w:marTop w:val="0"/>
      <w:marBottom w:val="0"/>
      <w:divBdr>
        <w:top w:val="none" w:sz="0" w:space="0" w:color="auto"/>
        <w:left w:val="none" w:sz="0" w:space="0" w:color="auto"/>
        <w:bottom w:val="none" w:sz="0" w:space="0" w:color="auto"/>
        <w:right w:val="none" w:sz="0" w:space="0" w:color="auto"/>
      </w:divBdr>
    </w:div>
    <w:div w:id="485976854">
      <w:bodyDiv w:val="1"/>
      <w:marLeft w:val="0"/>
      <w:marRight w:val="0"/>
      <w:marTop w:val="0"/>
      <w:marBottom w:val="0"/>
      <w:divBdr>
        <w:top w:val="none" w:sz="0" w:space="0" w:color="auto"/>
        <w:left w:val="none" w:sz="0" w:space="0" w:color="auto"/>
        <w:bottom w:val="none" w:sz="0" w:space="0" w:color="auto"/>
        <w:right w:val="none" w:sz="0" w:space="0" w:color="auto"/>
      </w:divBdr>
    </w:div>
    <w:div w:id="543176289">
      <w:bodyDiv w:val="1"/>
      <w:marLeft w:val="0"/>
      <w:marRight w:val="0"/>
      <w:marTop w:val="0"/>
      <w:marBottom w:val="0"/>
      <w:divBdr>
        <w:top w:val="none" w:sz="0" w:space="0" w:color="auto"/>
        <w:left w:val="none" w:sz="0" w:space="0" w:color="auto"/>
        <w:bottom w:val="none" w:sz="0" w:space="0" w:color="auto"/>
        <w:right w:val="none" w:sz="0" w:space="0" w:color="auto"/>
      </w:divBdr>
    </w:div>
    <w:div w:id="554663499">
      <w:bodyDiv w:val="1"/>
      <w:marLeft w:val="0"/>
      <w:marRight w:val="0"/>
      <w:marTop w:val="0"/>
      <w:marBottom w:val="0"/>
      <w:divBdr>
        <w:top w:val="none" w:sz="0" w:space="0" w:color="auto"/>
        <w:left w:val="none" w:sz="0" w:space="0" w:color="auto"/>
        <w:bottom w:val="none" w:sz="0" w:space="0" w:color="auto"/>
        <w:right w:val="none" w:sz="0" w:space="0" w:color="auto"/>
      </w:divBdr>
    </w:div>
    <w:div w:id="587347406">
      <w:bodyDiv w:val="1"/>
      <w:marLeft w:val="0"/>
      <w:marRight w:val="0"/>
      <w:marTop w:val="0"/>
      <w:marBottom w:val="0"/>
      <w:divBdr>
        <w:top w:val="none" w:sz="0" w:space="0" w:color="auto"/>
        <w:left w:val="none" w:sz="0" w:space="0" w:color="auto"/>
        <w:bottom w:val="none" w:sz="0" w:space="0" w:color="auto"/>
        <w:right w:val="none" w:sz="0" w:space="0" w:color="auto"/>
      </w:divBdr>
    </w:div>
    <w:div w:id="615258147">
      <w:bodyDiv w:val="1"/>
      <w:marLeft w:val="0"/>
      <w:marRight w:val="0"/>
      <w:marTop w:val="0"/>
      <w:marBottom w:val="0"/>
      <w:divBdr>
        <w:top w:val="none" w:sz="0" w:space="0" w:color="auto"/>
        <w:left w:val="none" w:sz="0" w:space="0" w:color="auto"/>
        <w:bottom w:val="none" w:sz="0" w:space="0" w:color="auto"/>
        <w:right w:val="none" w:sz="0" w:space="0" w:color="auto"/>
      </w:divBdr>
    </w:div>
    <w:div w:id="624891607">
      <w:bodyDiv w:val="1"/>
      <w:marLeft w:val="0"/>
      <w:marRight w:val="0"/>
      <w:marTop w:val="0"/>
      <w:marBottom w:val="0"/>
      <w:divBdr>
        <w:top w:val="none" w:sz="0" w:space="0" w:color="auto"/>
        <w:left w:val="none" w:sz="0" w:space="0" w:color="auto"/>
        <w:bottom w:val="none" w:sz="0" w:space="0" w:color="auto"/>
        <w:right w:val="none" w:sz="0" w:space="0" w:color="auto"/>
      </w:divBdr>
    </w:div>
    <w:div w:id="626204987">
      <w:bodyDiv w:val="1"/>
      <w:marLeft w:val="0"/>
      <w:marRight w:val="0"/>
      <w:marTop w:val="0"/>
      <w:marBottom w:val="0"/>
      <w:divBdr>
        <w:top w:val="none" w:sz="0" w:space="0" w:color="auto"/>
        <w:left w:val="none" w:sz="0" w:space="0" w:color="auto"/>
        <w:bottom w:val="none" w:sz="0" w:space="0" w:color="auto"/>
        <w:right w:val="none" w:sz="0" w:space="0" w:color="auto"/>
      </w:divBdr>
    </w:div>
    <w:div w:id="641349905">
      <w:bodyDiv w:val="1"/>
      <w:marLeft w:val="0"/>
      <w:marRight w:val="0"/>
      <w:marTop w:val="0"/>
      <w:marBottom w:val="0"/>
      <w:divBdr>
        <w:top w:val="none" w:sz="0" w:space="0" w:color="auto"/>
        <w:left w:val="none" w:sz="0" w:space="0" w:color="auto"/>
        <w:bottom w:val="none" w:sz="0" w:space="0" w:color="auto"/>
        <w:right w:val="none" w:sz="0" w:space="0" w:color="auto"/>
      </w:divBdr>
    </w:div>
    <w:div w:id="658264467">
      <w:bodyDiv w:val="1"/>
      <w:marLeft w:val="0"/>
      <w:marRight w:val="0"/>
      <w:marTop w:val="0"/>
      <w:marBottom w:val="0"/>
      <w:divBdr>
        <w:top w:val="none" w:sz="0" w:space="0" w:color="auto"/>
        <w:left w:val="none" w:sz="0" w:space="0" w:color="auto"/>
        <w:bottom w:val="none" w:sz="0" w:space="0" w:color="auto"/>
        <w:right w:val="none" w:sz="0" w:space="0" w:color="auto"/>
      </w:divBdr>
    </w:div>
    <w:div w:id="661356379">
      <w:bodyDiv w:val="1"/>
      <w:marLeft w:val="0"/>
      <w:marRight w:val="0"/>
      <w:marTop w:val="0"/>
      <w:marBottom w:val="0"/>
      <w:divBdr>
        <w:top w:val="none" w:sz="0" w:space="0" w:color="auto"/>
        <w:left w:val="none" w:sz="0" w:space="0" w:color="auto"/>
        <w:bottom w:val="none" w:sz="0" w:space="0" w:color="auto"/>
        <w:right w:val="none" w:sz="0" w:space="0" w:color="auto"/>
      </w:divBdr>
      <w:divsChild>
        <w:div w:id="156531945">
          <w:marLeft w:val="0"/>
          <w:marRight w:val="0"/>
          <w:marTop w:val="0"/>
          <w:marBottom w:val="0"/>
          <w:divBdr>
            <w:top w:val="none" w:sz="0" w:space="0" w:color="auto"/>
            <w:left w:val="none" w:sz="0" w:space="0" w:color="auto"/>
            <w:bottom w:val="none" w:sz="0" w:space="0" w:color="auto"/>
            <w:right w:val="none" w:sz="0" w:space="0" w:color="auto"/>
          </w:divBdr>
        </w:div>
        <w:div w:id="189413575">
          <w:marLeft w:val="0"/>
          <w:marRight w:val="0"/>
          <w:marTop w:val="0"/>
          <w:marBottom w:val="0"/>
          <w:divBdr>
            <w:top w:val="none" w:sz="0" w:space="0" w:color="auto"/>
            <w:left w:val="none" w:sz="0" w:space="0" w:color="auto"/>
            <w:bottom w:val="none" w:sz="0" w:space="0" w:color="auto"/>
            <w:right w:val="none" w:sz="0" w:space="0" w:color="auto"/>
          </w:divBdr>
        </w:div>
        <w:div w:id="220605839">
          <w:marLeft w:val="0"/>
          <w:marRight w:val="0"/>
          <w:marTop w:val="0"/>
          <w:marBottom w:val="0"/>
          <w:divBdr>
            <w:top w:val="none" w:sz="0" w:space="0" w:color="auto"/>
            <w:left w:val="none" w:sz="0" w:space="0" w:color="auto"/>
            <w:bottom w:val="none" w:sz="0" w:space="0" w:color="auto"/>
            <w:right w:val="none" w:sz="0" w:space="0" w:color="auto"/>
          </w:divBdr>
        </w:div>
        <w:div w:id="256863833">
          <w:marLeft w:val="0"/>
          <w:marRight w:val="0"/>
          <w:marTop w:val="0"/>
          <w:marBottom w:val="0"/>
          <w:divBdr>
            <w:top w:val="none" w:sz="0" w:space="0" w:color="auto"/>
            <w:left w:val="none" w:sz="0" w:space="0" w:color="auto"/>
            <w:bottom w:val="none" w:sz="0" w:space="0" w:color="auto"/>
            <w:right w:val="none" w:sz="0" w:space="0" w:color="auto"/>
          </w:divBdr>
        </w:div>
        <w:div w:id="337852934">
          <w:marLeft w:val="0"/>
          <w:marRight w:val="0"/>
          <w:marTop w:val="0"/>
          <w:marBottom w:val="0"/>
          <w:divBdr>
            <w:top w:val="none" w:sz="0" w:space="0" w:color="auto"/>
            <w:left w:val="none" w:sz="0" w:space="0" w:color="auto"/>
            <w:bottom w:val="none" w:sz="0" w:space="0" w:color="auto"/>
            <w:right w:val="none" w:sz="0" w:space="0" w:color="auto"/>
          </w:divBdr>
        </w:div>
        <w:div w:id="412092771">
          <w:marLeft w:val="0"/>
          <w:marRight w:val="0"/>
          <w:marTop w:val="0"/>
          <w:marBottom w:val="0"/>
          <w:divBdr>
            <w:top w:val="none" w:sz="0" w:space="0" w:color="auto"/>
            <w:left w:val="none" w:sz="0" w:space="0" w:color="auto"/>
            <w:bottom w:val="none" w:sz="0" w:space="0" w:color="auto"/>
            <w:right w:val="none" w:sz="0" w:space="0" w:color="auto"/>
          </w:divBdr>
        </w:div>
        <w:div w:id="449058030">
          <w:marLeft w:val="0"/>
          <w:marRight w:val="0"/>
          <w:marTop w:val="0"/>
          <w:marBottom w:val="0"/>
          <w:divBdr>
            <w:top w:val="none" w:sz="0" w:space="0" w:color="auto"/>
            <w:left w:val="none" w:sz="0" w:space="0" w:color="auto"/>
            <w:bottom w:val="none" w:sz="0" w:space="0" w:color="auto"/>
            <w:right w:val="none" w:sz="0" w:space="0" w:color="auto"/>
          </w:divBdr>
        </w:div>
        <w:div w:id="774667776">
          <w:marLeft w:val="0"/>
          <w:marRight w:val="0"/>
          <w:marTop w:val="0"/>
          <w:marBottom w:val="0"/>
          <w:divBdr>
            <w:top w:val="none" w:sz="0" w:space="0" w:color="auto"/>
            <w:left w:val="none" w:sz="0" w:space="0" w:color="auto"/>
            <w:bottom w:val="none" w:sz="0" w:space="0" w:color="auto"/>
            <w:right w:val="none" w:sz="0" w:space="0" w:color="auto"/>
          </w:divBdr>
        </w:div>
        <w:div w:id="874003029">
          <w:marLeft w:val="0"/>
          <w:marRight w:val="0"/>
          <w:marTop w:val="0"/>
          <w:marBottom w:val="0"/>
          <w:divBdr>
            <w:top w:val="none" w:sz="0" w:space="0" w:color="auto"/>
            <w:left w:val="none" w:sz="0" w:space="0" w:color="auto"/>
            <w:bottom w:val="none" w:sz="0" w:space="0" w:color="auto"/>
            <w:right w:val="none" w:sz="0" w:space="0" w:color="auto"/>
          </w:divBdr>
        </w:div>
        <w:div w:id="1008363648">
          <w:marLeft w:val="0"/>
          <w:marRight w:val="0"/>
          <w:marTop w:val="0"/>
          <w:marBottom w:val="0"/>
          <w:divBdr>
            <w:top w:val="none" w:sz="0" w:space="0" w:color="auto"/>
            <w:left w:val="none" w:sz="0" w:space="0" w:color="auto"/>
            <w:bottom w:val="none" w:sz="0" w:space="0" w:color="auto"/>
            <w:right w:val="none" w:sz="0" w:space="0" w:color="auto"/>
          </w:divBdr>
        </w:div>
        <w:div w:id="1168061405">
          <w:marLeft w:val="0"/>
          <w:marRight w:val="0"/>
          <w:marTop w:val="0"/>
          <w:marBottom w:val="0"/>
          <w:divBdr>
            <w:top w:val="none" w:sz="0" w:space="0" w:color="auto"/>
            <w:left w:val="none" w:sz="0" w:space="0" w:color="auto"/>
            <w:bottom w:val="none" w:sz="0" w:space="0" w:color="auto"/>
            <w:right w:val="none" w:sz="0" w:space="0" w:color="auto"/>
          </w:divBdr>
        </w:div>
        <w:div w:id="1172329554">
          <w:marLeft w:val="0"/>
          <w:marRight w:val="0"/>
          <w:marTop w:val="0"/>
          <w:marBottom w:val="0"/>
          <w:divBdr>
            <w:top w:val="none" w:sz="0" w:space="0" w:color="auto"/>
            <w:left w:val="none" w:sz="0" w:space="0" w:color="auto"/>
            <w:bottom w:val="none" w:sz="0" w:space="0" w:color="auto"/>
            <w:right w:val="none" w:sz="0" w:space="0" w:color="auto"/>
          </w:divBdr>
        </w:div>
        <w:div w:id="1263732213">
          <w:marLeft w:val="0"/>
          <w:marRight w:val="0"/>
          <w:marTop w:val="0"/>
          <w:marBottom w:val="0"/>
          <w:divBdr>
            <w:top w:val="none" w:sz="0" w:space="0" w:color="auto"/>
            <w:left w:val="none" w:sz="0" w:space="0" w:color="auto"/>
            <w:bottom w:val="none" w:sz="0" w:space="0" w:color="auto"/>
            <w:right w:val="none" w:sz="0" w:space="0" w:color="auto"/>
          </w:divBdr>
        </w:div>
        <w:div w:id="1274090237">
          <w:marLeft w:val="0"/>
          <w:marRight w:val="0"/>
          <w:marTop w:val="0"/>
          <w:marBottom w:val="0"/>
          <w:divBdr>
            <w:top w:val="none" w:sz="0" w:space="0" w:color="auto"/>
            <w:left w:val="none" w:sz="0" w:space="0" w:color="auto"/>
            <w:bottom w:val="none" w:sz="0" w:space="0" w:color="auto"/>
            <w:right w:val="none" w:sz="0" w:space="0" w:color="auto"/>
          </w:divBdr>
        </w:div>
        <w:div w:id="1285766498">
          <w:marLeft w:val="0"/>
          <w:marRight w:val="0"/>
          <w:marTop w:val="0"/>
          <w:marBottom w:val="0"/>
          <w:divBdr>
            <w:top w:val="none" w:sz="0" w:space="0" w:color="auto"/>
            <w:left w:val="none" w:sz="0" w:space="0" w:color="auto"/>
            <w:bottom w:val="none" w:sz="0" w:space="0" w:color="auto"/>
            <w:right w:val="none" w:sz="0" w:space="0" w:color="auto"/>
          </w:divBdr>
        </w:div>
        <w:div w:id="1569195110">
          <w:marLeft w:val="0"/>
          <w:marRight w:val="0"/>
          <w:marTop w:val="0"/>
          <w:marBottom w:val="0"/>
          <w:divBdr>
            <w:top w:val="none" w:sz="0" w:space="0" w:color="auto"/>
            <w:left w:val="none" w:sz="0" w:space="0" w:color="auto"/>
            <w:bottom w:val="none" w:sz="0" w:space="0" w:color="auto"/>
            <w:right w:val="none" w:sz="0" w:space="0" w:color="auto"/>
          </w:divBdr>
        </w:div>
        <w:div w:id="1647122407">
          <w:marLeft w:val="0"/>
          <w:marRight w:val="0"/>
          <w:marTop w:val="0"/>
          <w:marBottom w:val="0"/>
          <w:divBdr>
            <w:top w:val="none" w:sz="0" w:space="0" w:color="auto"/>
            <w:left w:val="none" w:sz="0" w:space="0" w:color="auto"/>
            <w:bottom w:val="none" w:sz="0" w:space="0" w:color="auto"/>
            <w:right w:val="none" w:sz="0" w:space="0" w:color="auto"/>
          </w:divBdr>
        </w:div>
        <w:div w:id="1688143692">
          <w:marLeft w:val="0"/>
          <w:marRight w:val="0"/>
          <w:marTop w:val="0"/>
          <w:marBottom w:val="0"/>
          <w:divBdr>
            <w:top w:val="none" w:sz="0" w:space="0" w:color="auto"/>
            <w:left w:val="none" w:sz="0" w:space="0" w:color="auto"/>
            <w:bottom w:val="none" w:sz="0" w:space="0" w:color="auto"/>
            <w:right w:val="none" w:sz="0" w:space="0" w:color="auto"/>
          </w:divBdr>
        </w:div>
        <w:div w:id="1826818918">
          <w:marLeft w:val="0"/>
          <w:marRight w:val="0"/>
          <w:marTop w:val="0"/>
          <w:marBottom w:val="0"/>
          <w:divBdr>
            <w:top w:val="none" w:sz="0" w:space="0" w:color="auto"/>
            <w:left w:val="none" w:sz="0" w:space="0" w:color="auto"/>
            <w:bottom w:val="none" w:sz="0" w:space="0" w:color="auto"/>
            <w:right w:val="none" w:sz="0" w:space="0" w:color="auto"/>
          </w:divBdr>
        </w:div>
        <w:div w:id="1870949093">
          <w:marLeft w:val="0"/>
          <w:marRight w:val="0"/>
          <w:marTop w:val="0"/>
          <w:marBottom w:val="0"/>
          <w:divBdr>
            <w:top w:val="none" w:sz="0" w:space="0" w:color="auto"/>
            <w:left w:val="none" w:sz="0" w:space="0" w:color="auto"/>
            <w:bottom w:val="none" w:sz="0" w:space="0" w:color="auto"/>
            <w:right w:val="none" w:sz="0" w:space="0" w:color="auto"/>
          </w:divBdr>
        </w:div>
        <w:div w:id="1889293704">
          <w:marLeft w:val="0"/>
          <w:marRight w:val="0"/>
          <w:marTop w:val="0"/>
          <w:marBottom w:val="0"/>
          <w:divBdr>
            <w:top w:val="none" w:sz="0" w:space="0" w:color="auto"/>
            <w:left w:val="none" w:sz="0" w:space="0" w:color="auto"/>
            <w:bottom w:val="none" w:sz="0" w:space="0" w:color="auto"/>
            <w:right w:val="none" w:sz="0" w:space="0" w:color="auto"/>
          </w:divBdr>
        </w:div>
        <w:div w:id="1964848564">
          <w:marLeft w:val="0"/>
          <w:marRight w:val="0"/>
          <w:marTop w:val="0"/>
          <w:marBottom w:val="0"/>
          <w:divBdr>
            <w:top w:val="none" w:sz="0" w:space="0" w:color="auto"/>
            <w:left w:val="none" w:sz="0" w:space="0" w:color="auto"/>
            <w:bottom w:val="none" w:sz="0" w:space="0" w:color="auto"/>
            <w:right w:val="none" w:sz="0" w:space="0" w:color="auto"/>
          </w:divBdr>
        </w:div>
        <w:div w:id="1995718384">
          <w:marLeft w:val="0"/>
          <w:marRight w:val="0"/>
          <w:marTop w:val="0"/>
          <w:marBottom w:val="0"/>
          <w:divBdr>
            <w:top w:val="none" w:sz="0" w:space="0" w:color="auto"/>
            <w:left w:val="none" w:sz="0" w:space="0" w:color="auto"/>
            <w:bottom w:val="none" w:sz="0" w:space="0" w:color="auto"/>
            <w:right w:val="none" w:sz="0" w:space="0" w:color="auto"/>
          </w:divBdr>
        </w:div>
        <w:div w:id="2037922233">
          <w:marLeft w:val="0"/>
          <w:marRight w:val="0"/>
          <w:marTop w:val="0"/>
          <w:marBottom w:val="0"/>
          <w:divBdr>
            <w:top w:val="none" w:sz="0" w:space="0" w:color="auto"/>
            <w:left w:val="none" w:sz="0" w:space="0" w:color="auto"/>
            <w:bottom w:val="none" w:sz="0" w:space="0" w:color="auto"/>
            <w:right w:val="none" w:sz="0" w:space="0" w:color="auto"/>
          </w:divBdr>
        </w:div>
        <w:div w:id="2128622288">
          <w:marLeft w:val="0"/>
          <w:marRight w:val="0"/>
          <w:marTop w:val="0"/>
          <w:marBottom w:val="0"/>
          <w:divBdr>
            <w:top w:val="none" w:sz="0" w:space="0" w:color="auto"/>
            <w:left w:val="none" w:sz="0" w:space="0" w:color="auto"/>
            <w:bottom w:val="none" w:sz="0" w:space="0" w:color="auto"/>
            <w:right w:val="none" w:sz="0" w:space="0" w:color="auto"/>
          </w:divBdr>
        </w:div>
      </w:divsChild>
    </w:div>
    <w:div w:id="735275271">
      <w:bodyDiv w:val="1"/>
      <w:marLeft w:val="0"/>
      <w:marRight w:val="0"/>
      <w:marTop w:val="0"/>
      <w:marBottom w:val="0"/>
      <w:divBdr>
        <w:top w:val="none" w:sz="0" w:space="0" w:color="auto"/>
        <w:left w:val="none" w:sz="0" w:space="0" w:color="auto"/>
        <w:bottom w:val="none" w:sz="0" w:space="0" w:color="auto"/>
        <w:right w:val="none" w:sz="0" w:space="0" w:color="auto"/>
      </w:divBdr>
    </w:div>
    <w:div w:id="776606477">
      <w:bodyDiv w:val="1"/>
      <w:marLeft w:val="0"/>
      <w:marRight w:val="0"/>
      <w:marTop w:val="0"/>
      <w:marBottom w:val="0"/>
      <w:divBdr>
        <w:top w:val="none" w:sz="0" w:space="0" w:color="auto"/>
        <w:left w:val="none" w:sz="0" w:space="0" w:color="auto"/>
        <w:bottom w:val="none" w:sz="0" w:space="0" w:color="auto"/>
        <w:right w:val="none" w:sz="0" w:space="0" w:color="auto"/>
      </w:divBdr>
    </w:div>
    <w:div w:id="816146053">
      <w:bodyDiv w:val="1"/>
      <w:marLeft w:val="0"/>
      <w:marRight w:val="0"/>
      <w:marTop w:val="0"/>
      <w:marBottom w:val="0"/>
      <w:divBdr>
        <w:top w:val="none" w:sz="0" w:space="0" w:color="auto"/>
        <w:left w:val="none" w:sz="0" w:space="0" w:color="auto"/>
        <w:bottom w:val="none" w:sz="0" w:space="0" w:color="auto"/>
        <w:right w:val="none" w:sz="0" w:space="0" w:color="auto"/>
      </w:divBdr>
    </w:div>
    <w:div w:id="887649197">
      <w:bodyDiv w:val="1"/>
      <w:marLeft w:val="0"/>
      <w:marRight w:val="0"/>
      <w:marTop w:val="0"/>
      <w:marBottom w:val="0"/>
      <w:divBdr>
        <w:top w:val="none" w:sz="0" w:space="0" w:color="auto"/>
        <w:left w:val="none" w:sz="0" w:space="0" w:color="auto"/>
        <w:bottom w:val="none" w:sz="0" w:space="0" w:color="auto"/>
        <w:right w:val="none" w:sz="0" w:space="0" w:color="auto"/>
      </w:divBdr>
    </w:div>
    <w:div w:id="903031611">
      <w:bodyDiv w:val="1"/>
      <w:marLeft w:val="0"/>
      <w:marRight w:val="0"/>
      <w:marTop w:val="0"/>
      <w:marBottom w:val="0"/>
      <w:divBdr>
        <w:top w:val="none" w:sz="0" w:space="0" w:color="auto"/>
        <w:left w:val="none" w:sz="0" w:space="0" w:color="auto"/>
        <w:bottom w:val="none" w:sz="0" w:space="0" w:color="auto"/>
        <w:right w:val="none" w:sz="0" w:space="0" w:color="auto"/>
      </w:divBdr>
    </w:div>
    <w:div w:id="995496985">
      <w:bodyDiv w:val="1"/>
      <w:marLeft w:val="0"/>
      <w:marRight w:val="0"/>
      <w:marTop w:val="0"/>
      <w:marBottom w:val="0"/>
      <w:divBdr>
        <w:top w:val="none" w:sz="0" w:space="0" w:color="auto"/>
        <w:left w:val="none" w:sz="0" w:space="0" w:color="auto"/>
        <w:bottom w:val="none" w:sz="0" w:space="0" w:color="auto"/>
        <w:right w:val="none" w:sz="0" w:space="0" w:color="auto"/>
      </w:divBdr>
    </w:div>
    <w:div w:id="1067873700">
      <w:bodyDiv w:val="1"/>
      <w:marLeft w:val="0"/>
      <w:marRight w:val="0"/>
      <w:marTop w:val="0"/>
      <w:marBottom w:val="0"/>
      <w:divBdr>
        <w:top w:val="none" w:sz="0" w:space="0" w:color="auto"/>
        <w:left w:val="none" w:sz="0" w:space="0" w:color="auto"/>
        <w:bottom w:val="none" w:sz="0" w:space="0" w:color="auto"/>
        <w:right w:val="none" w:sz="0" w:space="0" w:color="auto"/>
      </w:divBdr>
    </w:div>
    <w:div w:id="1082677358">
      <w:bodyDiv w:val="1"/>
      <w:marLeft w:val="0"/>
      <w:marRight w:val="0"/>
      <w:marTop w:val="0"/>
      <w:marBottom w:val="0"/>
      <w:divBdr>
        <w:top w:val="none" w:sz="0" w:space="0" w:color="auto"/>
        <w:left w:val="none" w:sz="0" w:space="0" w:color="auto"/>
        <w:bottom w:val="none" w:sz="0" w:space="0" w:color="auto"/>
        <w:right w:val="none" w:sz="0" w:space="0" w:color="auto"/>
      </w:divBdr>
    </w:div>
    <w:div w:id="1090196542">
      <w:bodyDiv w:val="1"/>
      <w:marLeft w:val="0"/>
      <w:marRight w:val="0"/>
      <w:marTop w:val="0"/>
      <w:marBottom w:val="0"/>
      <w:divBdr>
        <w:top w:val="none" w:sz="0" w:space="0" w:color="auto"/>
        <w:left w:val="none" w:sz="0" w:space="0" w:color="auto"/>
        <w:bottom w:val="none" w:sz="0" w:space="0" w:color="auto"/>
        <w:right w:val="none" w:sz="0" w:space="0" w:color="auto"/>
      </w:divBdr>
    </w:div>
    <w:div w:id="1167983842">
      <w:bodyDiv w:val="1"/>
      <w:marLeft w:val="0"/>
      <w:marRight w:val="0"/>
      <w:marTop w:val="0"/>
      <w:marBottom w:val="0"/>
      <w:divBdr>
        <w:top w:val="none" w:sz="0" w:space="0" w:color="auto"/>
        <w:left w:val="none" w:sz="0" w:space="0" w:color="auto"/>
        <w:bottom w:val="none" w:sz="0" w:space="0" w:color="auto"/>
        <w:right w:val="none" w:sz="0" w:space="0" w:color="auto"/>
      </w:divBdr>
    </w:div>
    <w:div w:id="1181042276">
      <w:bodyDiv w:val="1"/>
      <w:marLeft w:val="0"/>
      <w:marRight w:val="0"/>
      <w:marTop w:val="0"/>
      <w:marBottom w:val="0"/>
      <w:divBdr>
        <w:top w:val="none" w:sz="0" w:space="0" w:color="auto"/>
        <w:left w:val="none" w:sz="0" w:space="0" w:color="auto"/>
        <w:bottom w:val="none" w:sz="0" w:space="0" w:color="auto"/>
        <w:right w:val="none" w:sz="0" w:space="0" w:color="auto"/>
      </w:divBdr>
    </w:div>
    <w:div w:id="1192066108">
      <w:bodyDiv w:val="1"/>
      <w:marLeft w:val="0"/>
      <w:marRight w:val="0"/>
      <w:marTop w:val="0"/>
      <w:marBottom w:val="0"/>
      <w:divBdr>
        <w:top w:val="none" w:sz="0" w:space="0" w:color="auto"/>
        <w:left w:val="none" w:sz="0" w:space="0" w:color="auto"/>
        <w:bottom w:val="none" w:sz="0" w:space="0" w:color="auto"/>
        <w:right w:val="none" w:sz="0" w:space="0" w:color="auto"/>
      </w:divBdr>
    </w:div>
    <w:div w:id="1244266510">
      <w:bodyDiv w:val="1"/>
      <w:marLeft w:val="0"/>
      <w:marRight w:val="0"/>
      <w:marTop w:val="0"/>
      <w:marBottom w:val="0"/>
      <w:divBdr>
        <w:top w:val="none" w:sz="0" w:space="0" w:color="auto"/>
        <w:left w:val="none" w:sz="0" w:space="0" w:color="auto"/>
        <w:bottom w:val="none" w:sz="0" w:space="0" w:color="auto"/>
        <w:right w:val="none" w:sz="0" w:space="0" w:color="auto"/>
      </w:divBdr>
    </w:div>
    <w:div w:id="1278946328">
      <w:bodyDiv w:val="1"/>
      <w:marLeft w:val="0"/>
      <w:marRight w:val="0"/>
      <w:marTop w:val="0"/>
      <w:marBottom w:val="0"/>
      <w:divBdr>
        <w:top w:val="none" w:sz="0" w:space="0" w:color="auto"/>
        <w:left w:val="none" w:sz="0" w:space="0" w:color="auto"/>
        <w:bottom w:val="none" w:sz="0" w:space="0" w:color="auto"/>
        <w:right w:val="none" w:sz="0" w:space="0" w:color="auto"/>
      </w:divBdr>
    </w:div>
    <w:div w:id="1347630552">
      <w:bodyDiv w:val="1"/>
      <w:marLeft w:val="0"/>
      <w:marRight w:val="0"/>
      <w:marTop w:val="0"/>
      <w:marBottom w:val="0"/>
      <w:divBdr>
        <w:top w:val="none" w:sz="0" w:space="0" w:color="auto"/>
        <w:left w:val="none" w:sz="0" w:space="0" w:color="auto"/>
        <w:bottom w:val="none" w:sz="0" w:space="0" w:color="auto"/>
        <w:right w:val="none" w:sz="0" w:space="0" w:color="auto"/>
      </w:divBdr>
    </w:div>
    <w:div w:id="1353142347">
      <w:bodyDiv w:val="1"/>
      <w:marLeft w:val="0"/>
      <w:marRight w:val="0"/>
      <w:marTop w:val="0"/>
      <w:marBottom w:val="0"/>
      <w:divBdr>
        <w:top w:val="none" w:sz="0" w:space="0" w:color="auto"/>
        <w:left w:val="none" w:sz="0" w:space="0" w:color="auto"/>
        <w:bottom w:val="none" w:sz="0" w:space="0" w:color="auto"/>
        <w:right w:val="none" w:sz="0" w:space="0" w:color="auto"/>
      </w:divBdr>
    </w:div>
    <w:div w:id="1436556290">
      <w:bodyDiv w:val="1"/>
      <w:marLeft w:val="0"/>
      <w:marRight w:val="0"/>
      <w:marTop w:val="0"/>
      <w:marBottom w:val="0"/>
      <w:divBdr>
        <w:top w:val="none" w:sz="0" w:space="0" w:color="auto"/>
        <w:left w:val="none" w:sz="0" w:space="0" w:color="auto"/>
        <w:bottom w:val="none" w:sz="0" w:space="0" w:color="auto"/>
        <w:right w:val="none" w:sz="0" w:space="0" w:color="auto"/>
      </w:divBdr>
      <w:divsChild>
        <w:div w:id="1118261717">
          <w:marLeft w:val="0"/>
          <w:marRight w:val="0"/>
          <w:marTop w:val="0"/>
          <w:marBottom w:val="0"/>
          <w:divBdr>
            <w:top w:val="none" w:sz="0" w:space="0" w:color="auto"/>
            <w:left w:val="none" w:sz="0" w:space="0" w:color="auto"/>
            <w:bottom w:val="none" w:sz="0" w:space="0" w:color="auto"/>
            <w:right w:val="none" w:sz="0" w:space="0" w:color="auto"/>
          </w:divBdr>
        </w:div>
        <w:div w:id="1951235382">
          <w:marLeft w:val="0"/>
          <w:marRight w:val="0"/>
          <w:marTop w:val="0"/>
          <w:marBottom w:val="0"/>
          <w:divBdr>
            <w:top w:val="none" w:sz="0" w:space="0" w:color="auto"/>
            <w:left w:val="none" w:sz="0" w:space="0" w:color="auto"/>
            <w:bottom w:val="none" w:sz="0" w:space="0" w:color="auto"/>
            <w:right w:val="none" w:sz="0" w:space="0" w:color="auto"/>
          </w:divBdr>
        </w:div>
        <w:div w:id="459617816">
          <w:marLeft w:val="0"/>
          <w:marRight w:val="0"/>
          <w:marTop w:val="0"/>
          <w:marBottom w:val="0"/>
          <w:divBdr>
            <w:top w:val="none" w:sz="0" w:space="0" w:color="auto"/>
            <w:left w:val="none" w:sz="0" w:space="0" w:color="auto"/>
            <w:bottom w:val="none" w:sz="0" w:space="0" w:color="auto"/>
            <w:right w:val="none" w:sz="0" w:space="0" w:color="auto"/>
          </w:divBdr>
        </w:div>
        <w:div w:id="1257520873">
          <w:marLeft w:val="0"/>
          <w:marRight w:val="0"/>
          <w:marTop w:val="0"/>
          <w:marBottom w:val="0"/>
          <w:divBdr>
            <w:top w:val="none" w:sz="0" w:space="0" w:color="auto"/>
            <w:left w:val="none" w:sz="0" w:space="0" w:color="auto"/>
            <w:bottom w:val="none" w:sz="0" w:space="0" w:color="auto"/>
            <w:right w:val="none" w:sz="0" w:space="0" w:color="auto"/>
          </w:divBdr>
        </w:div>
        <w:div w:id="2108959622">
          <w:marLeft w:val="0"/>
          <w:marRight w:val="0"/>
          <w:marTop w:val="0"/>
          <w:marBottom w:val="0"/>
          <w:divBdr>
            <w:top w:val="none" w:sz="0" w:space="0" w:color="auto"/>
            <w:left w:val="none" w:sz="0" w:space="0" w:color="auto"/>
            <w:bottom w:val="none" w:sz="0" w:space="0" w:color="auto"/>
            <w:right w:val="none" w:sz="0" w:space="0" w:color="auto"/>
          </w:divBdr>
        </w:div>
      </w:divsChild>
    </w:div>
    <w:div w:id="1507286045">
      <w:bodyDiv w:val="1"/>
      <w:marLeft w:val="0"/>
      <w:marRight w:val="0"/>
      <w:marTop w:val="0"/>
      <w:marBottom w:val="0"/>
      <w:divBdr>
        <w:top w:val="none" w:sz="0" w:space="0" w:color="auto"/>
        <w:left w:val="none" w:sz="0" w:space="0" w:color="auto"/>
        <w:bottom w:val="none" w:sz="0" w:space="0" w:color="auto"/>
        <w:right w:val="none" w:sz="0" w:space="0" w:color="auto"/>
      </w:divBdr>
    </w:div>
    <w:div w:id="1522817525">
      <w:bodyDiv w:val="1"/>
      <w:marLeft w:val="0"/>
      <w:marRight w:val="0"/>
      <w:marTop w:val="0"/>
      <w:marBottom w:val="0"/>
      <w:divBdr>
        <w:top w:val="none" w:sz="0" w:space="0" w:color="auto"/>
        <w:left w:val="none" w:sz="0" w:space="0" w:color="auto"/>
        <w:bottom w:val="none" w:sz="0" w:space="0" w:color="auto"/>
        <w:right w:val="none" w:sz="0" w:space="0" w:color="auto"/>
      </w:divBdr>
    </w:div>
    <w:div w:id="1557467892">
      <w:bodyDiv w:val="1"/>
      <w:marLeft w:val="0"/>
      <w:marRight w:val="0"/>
      <w:marTop w:val="0"/>
      <w:marBottom w:val="0"/>
      <w:divBdr>
        <w:top w:val="none" w:sz="0" w:space="0" w:color="auto"/>
        <w:left w:val="none" w:sz="0" w:space="0" w:color="auto"/>
        <w:bottom w:val="none" w:sz="0" w:space="0" w:color="auto"/>
        <w:right w:val="none" w:sz="0" w:space="0" w:color="auto"/>
      </w:divBdr>
    </w:div>
    <w:div w:id="1565262926">
      <w:bodyDiv w:val="1"/>
      <w:marLeft w:val="0"/>
      <w:marRight w:val="0"/>
      <w:marTop w:val="0"/>
      <w:marBottom w:val="0"/>
      <w:divBdr>
        <w:top w:val="none" w:sz="0" w:space="0" w:color="auto"/>
        <w:left w:val="none" w:sz="0" w:space="0" w:color="auto"/>
        <w:bottom w:val="none" w:sz="0" w:space="0" w:color="auto"/>
        <w:right w:val="none" w:sz="0" w:space="0" w:color="auto"/>
      </w:divBdr>
    </w:div>
    <w:div w:id="1566179603">
      <w:bodyDiv w:val="1"/>
      <w:marLeft w:val="0"/>
      <w:marRight w:val="0"/>
      <w:marTop w:val="0"/>
      <w:marBottom w:val="0"/>
      <w:divBdr>
        <w:top w:val="none" w:sz="0" w:space="0" w:color="auto"/>
        <w:left w:val="none" w:sz="0" w:space="0" w:color="auto"/>
        <w:bottom w:val="none" w:sz="0" w:space="0" w:color="auto"/>
        <w:right w:val="none" w:sz="0" w:space="0" w:color="auto"/>
      </w:divBdr>
    </w:div>
    <w:div w:id="1581409340">
      <w:bodyDiv w:val="1"/>
      <w:marLeft w:val="0"/>
      <w:marRight w:val="0"/>
      <w:marTop w:val="0"/>
      <w:marBottom w:val="0"/>
      <w:divBdr>
        <w:top w:val="none" w:sz="0" w:space="0" w:color="auto"/>
        <w:left w:val="none" w:sz="0" w:space="0" w:color="auto"/>
        <w:bottom w:val="none" w:sz="0" w:space="0" w:color="auto"/>
        <w:right w:val="none" w:sz="0" w:space="0" w:color="auto"/>
      </w:divBdr>
    </w:div>
    <w:div w:id="1602376859">
      <w:bodyDiv w:val="1"/>
      <w:marLeft w:val="0"/>
      <w:marRight w:val="0"/>
      <w:marTop w:val="0"/>
      <w:marBottom w:val="0"/>
      <w:divBdr>
        <w:top w:val="none" w:sz="0" w:space="0" w:color="auto"/>
        <w:left w:val="none" w:sz="0" w:space="0" w:color="auto"/>
        <w:bottom w:val="none" w:sz="0" w:space="0" w:color="auto"/>
        <w:right w:val="none" w:sz="0" w:space="0" w:color="auto"/>
      </w:divBdr>
    </w:div>
    <w:div w:id="1637295578">
      <w:bodyDiv w:val="1"/>
      <w:marLeft w:val="0"/>
      <w:marRight w:val="0"/>
      <w:marTop w:val="0"/>
      <w:marBottom w:val="0"/>
      <w:divBdr>
        <w:top w:val="none" w:sz="0" w:space="0" w:color="auto"/>
        <w:left w:val="none" w:sz="0" w:space="0" w:color="auto"/>
        <w:bottom w:val="none" w:sz="0" w:space="0" w:color="auto"/>
        <w:right w:val="none" w:sz="0" w:space="0" w:color="auto"/>
      </w:divBdr>
    </w:div>
    <w:div w:id="1657689665">
      <w:bodyDiv w:val="1"/>
      <w:marLeft w:val="0"/>
      <w:marRight w:val="0"/>
      <w:marTop w:val="0"/>
      <w:marBottom w:val="0"/>
      <w:divBdr>
        <w:top w:val="none" w:sz="0" w:space="0" w:color="auto"/>
        <w:left w:val="none" w:sz="0" w:space="0" w:color="auto"/>
        <w:bottom w:val="none" w:sz="0" w:space="0" w:color="auto"/>
        <w:right w:val="none" w:sz="0" w:space="0" w:color="auto"/>
      </w:divBdr>
    </w:div>
    <w:div w:id="1758555147">
      <w:bodyDiv w:val="1"/>
      <w:marLeft w:val="0"/>
      <w:marRight w:val="0"/>
      <w:marTop w:val="0"/>
      <w:marBottom w:val="0"/>
      <w:divBdr>
        <w:top w:val="none" w:sz="0" w:space="0" w:color="auto"/>
        <w:left w:val="none" w:sz="0" w:space="0" w:color="auto"/>
        <w:bottom w:val="none" w:sz="0" w:space="0" w:color="auto"/>
        <w:right w:val="none" w:sz="0" w:space="0" w:color="auto"/>
      </w:divBdr>
    </w:div>
    <w:div w:id="1782796900">
      <w:bodyDiv w:val="1"/>
      <w:marLeft w:val="0"/>
      <w:marRight w:val="0"/>
      <w:marTop w:val="0"/>
      <w:marBottom w:val="0"/>
      <w:divBdr>
        <w:top w:val="none" w:sz="0" w:space="0" w:color="auto"/>
        <w:left w:val="none" w:sz="0" w:space="0" w:color="auto"/>
        <w:bottom w:val="none" w:sz="0" w:space="0" w:color="auto"/>
        <w:right w:val="none" w:sz="0" w:space="0" w:color="auto"/>
      </w:divBdr>
    </w:div>
    <w:div w:id="1810979822">
      <w:bodyDiv w:val="1"/>
      <w:marLeft w:val="0"/>
      <w:marRight w:val="0"/>
      <w:marTop w:val="0"/>
      <w:marBottom w:val="0"/>
      <w:divBdr>
        <w:top w:val="none" w:sz="0" w:space="0" w:color="auto"/>
        <w:left w:val="none" w:sz="0" w:space="0" w:color="auto"/>
        <w:bottom w:val="none" w:sz="0" w:space="0" w:color="auto"/>
        <w:right w:val="none" w:sz="0" w:space="0" w:color="auto"/>
      </w:divBdr>
    </w:div>
    <w:div w:id="1860467491">
      <w:bodyDiv w:val="1"/>
      <w:marLeft w:val="0"/>
      <w:marRight w:val="0"/>
      <w:marTop w:val="0"/>
      <w:marBottom w:val="0"/>
      <w:divBdr>
        <w:top w:val="none" w:sz="0" w:space="0" w:color="auto"/>
        <w:left w:val="none" w:sz="0" w:space="0" w:color="auto"/>
        <w:bottom w:val="none" w:sz="0" w:space="0" w:color="auto"/>
        <w:right w:val="none" w:sz="0" w:space="0" w:color="auto"/>
      </w:divBdr>
    </w:div>
    <w:div w:id="1863854463">
      <w:bodyDiv w:val="1"/>
      <w:marLeft w:val="0"/>
      <w:marRight w:val="0"/>
      <w:marTop w:val="0"/>
      <w:marBottom w:val="0"/>
      <w:divBdr>
        <w:top w:val="none" w:sz="0" w:space="0" w:color="auto"/>
        <w:left w:val="none" w:sz="0" w:space="0" w:color="auto"/>
        <w:bottom w:val="none" w:sz="0" w:space="0" w:color="auto"/>
        <w:right w:val="none" w:sz="0" w:space="0" w:color="auto"/>
      </w:divBdr>
    </w:div>
    <w:div w:id="1953247688">
      <w:bodyDiv w:val="1"/>
      <w:marLeft w:val="0"/>
      <w:marRight w:val="0"/>
      <w:marTop w:val="0"/>
      <w:marBottom w:val="0"/>
      <w:divBdr>
        <w:top w:val="none" w:sz="0" w:space="0" w:color="auto"/>
        <w:left w:val="none" w:sz="0" w:space="0" w:color="auto"/>
        <w:bottom w:val="none" w:sz="0" w:space="0" w:color="auto"/>
        <w:right w:val="none" w:sz="0" w:space="0" w:color="auto"/>
      </w:divBdr>
    </w:div>
    <w:div w:id="1971860514">
      <w:bodyDiv w:val="1"/>
      <w:marLeft w:val="0"/>
      <w:marRight w:val="0"/>
      <w:marTop w:val="0"/>
      <w:marBottom w:val="0"/>
      <w:divBdr>
        <w:top w:val="none" w:sz="0" w:space="0" w:color="auto"/>
        <w:left w:val="none" w:sz="0" w:space="0" w:color="auto"/>
        <w:bottom w:val="none" w:sz="0" w:space="0" w:color="auto"/>
        <w:right w:val="none" w:sz="0" w:space="0" w:color="auto"/>
      </w:divBdr>
    </w:div>
    <w:div w:id="2103060747">
      <w:bodyDiv w:val="1"/>
      <w:marLeft w:val="0"/>
      <w:marRight w:val="0"/>
      <w:marTop w:val="0"/>
      <w:marBottom w:val="0"/>
      <w:divBdr>
        <w:top w:val="none" w:sz="0" w:space="0" w:color="auto"/>
        <w:left w:val="none" w:sz="0" w:space="0" w:color="auto"/>
        <w:bottom w:val="none" w:sz="0" w:space="0" w:color="auto"/>
        <w:right w:val="none" w:sz="0" w:space="0" w:color="auto"/>
      </w:divBdr>
    </w:div>
    <w:div w:id="21066106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RAN.R-project.org/package=Luminescence" TargetMode="Externa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4191</Words>
  <Characters>23894</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Rosaria Kelly</dc:creator>
  <cp:keywords/>
  <dc:description/>
  <cp:lastModifiedBy>Erich Fisher</cp:lastModifiedBy>
  <cp:revision>3</cp:revision>
  <dcterms:created xsi:type="dcterms:W3CDTF">2020-01-18T13:38:00Z</dcterms:created>
  <dcterms:modified xsi:type="dcterms:W3CDTF">2020-02-24T18:58:00Z</dcterms:modified>
</cp:coreProperties>
</file>