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71AB4" w14:textId="77777777" w:rsidR="0085769A" w:rsidRDefault="000859E8" w:rsidP="006C56EA">
      <w:pPr>
        <w:pStyle w:val="Heading1"/>
        <w:spacing w:line="276" w:lineRule="auto"/>
      </w:pPr>
      <w:r>
        <w:t>Supplementary information</w:t>
      </w:r>
    </w:p>
    <w:p w14:paraId="67383DBC" w14:textId="77777777" w:rsidR="00843786" w:rsidRDefault="00843786" w:rsidP="00F057AC">
      <w:pPr>
        <w:spacing w:after="0" w:line="276" w:lineRule="auto"/>
      </w:pPr>
    </w:p>
    <w:p w14:paraId="1F873E2B" w14:textId="77777777" w:rsidR="00F057AC" w:rsidRPr="00843786" w:rsidRDefault="00F057AC" w:rsidP="00F057AC">
      <w:pPr>
        <w:spacing w:after="0" w:line="276" w:lineRule="auto"/>
      </w:pPr>
    </w:p>
    <w:p w14:paraId="59177A0C" w14:textId="65CEBB95" w:rsidR="004468DD" w:rsidRPr="006F4358" w:rsidRDefault="004468DD" w:rsidP="006C56EA">
      <w:pPr>
        <w:spacing w:after="0" w:line="276" w:lineRule="auto"/>
        <w:rPr>
          <w:sz w:val="24"/>
          <w:szCs w:val="24"/>
        </w:rPr>
      </w:pPr>
      <w:r w:rsidRPr="006F4358">
        <w:rPr>
          <w:b/>
          <w:sz w:val="24"/>
          <w:szCs w:val="24"/>
        </w:rPr>
        <w:t>SAMPLE PREPARATION</w:t>
      </w:r>
      <w:r w:rsidRPr="006F4358">
        <w:rPr>
          <w:sz w:val="24"/>
          <w:szCs w:val="24"/>
        </w:rPr>
        <w:t xml:space="preserve"> </w:t>
      </w:r>
    </w:p>
    <w:p w14:paraId="6B1587FD" w14:textId="77777777" w:rsidR="004468DD" w:rsidRDefault="004468DD" w:rsidP="006C56EA">
      <w:pPr>
        <w:spacing w:after="0" w:line="276" w:lineRule="auto"/>
      </w:pPr>
    </w:p>
    <w:p w14:paraId="73A54709" w14:textId="74B1FBCB" w:rsidR="00017022" w:rsidRDefault="00017022" w:rsidP="006C56EA">
      <w:pPr>
        <w:spacing w:after="0" w:line="276" w:lineRule="auto"/>
      </w:pPr>
      <w:r>
        <w:t>The samples were shipped to the University of Leicester</w:t>
      </w:r>
      <w:r w:rsidR="00843786">
        <w:t xml:space="preserve"> (UK) luminescence laboratory, wh</w:t>
      </w:r>
      <w:r>
        <w:t>ere they were spray painted and broken up under subdued red light conditions to obtain unexposed sand-sized sediments. The samples were then prepared for the analysis</w:t>
      </w:r>
      <w:r w:rsidR="00843786">
        <w:t xml:space="preserve"> of </w:t>
      </w:r>
      <w:r>
        <w:t>coarse-grained (usually in the range 150-250 µm) quartz. Briefly, this comprised treatment with dilute HCl to remove carbonates, treatment with 30% H</w:t>
      </w:r>
      <w:r w:rsidRPr="004B435D">
        <w:rPr>
          <w:vertAlign w:val="subscript"/>
        </w:rPr>
        <w:t>2</w:t>
      </w:r>
      <w:r>
        <w:t>O</w:t>
      </w:r>
      <w:r w:rsidRPr="004B435D">
        <w:rPr>
          <w:vertAlign w:val="subscript"/>
        </w:rPr>
        <w:t>2</w:t>
      </w:r>
      <w:r>
        <w:t xml:space="preserve"> to remove organic matter, sieving and then density separation using LST Fastfloat. The latter was used to isolate a fraction &gt; 2.58 g cm</w:t>
      </w:r>
      <w:r w:rsidRPr="00F47DC9">
        <w:rPr>
          <w:vertAlign w:val="superscript"/>
        </w:rPr>
        <w:t>-3</w:t>
      </w:r>
      <w:r>
        <w:t xml:space="preserve"> and &lt; 2.72 g cm</w:t>
      </w:r>
      <w:r w:rsidRPr="00F47DC9">
        <w:rPr>
          <w:vertAlign w:val="superscript"/>
        </w:rPr>
        <w:t>-3</w:t>
      </w:r>
      <w:r>
        <w:t xml:space="preserve">. This material was etched in 48% HF for 45 minutes, treated with HCl for a further one hour, (repeatedly) rinsed in deionised water </w:t>
      </w:r>
      <w:r w:rsidRPr="004B435D">
        <w:t>and re</w:t>
      </w:r>
      <w:r w:rsidR="00800BE8" w:rsidRPr="004B435D">
        <w:t>-</w:t>
      </w:r>
      <w:r w:rsidRPr="004B435D">
        <w:t>sieved</w:t>
      </w:r>
      <w:r>
        <w:t xml:space="preserve"> to the selected grain size range.</w:t>
      </w:r>
    </w:p>
    <w:p w14:paraId="5EAFD68D" w14:textId="77777777" w:rsidR="004468DD" w:rsidRDefault="004468DD" w:rsidP="006C56EA">
      <w:pPr>
        <w:spacing w:after="0" w:line="276" w:lineRule="auto"/>
      </w:pPr>
    </w:p>
    <w:p w14:paraId="1AC6D649" w14:textId="77777777" w:rsidR="004468DD" w:rsidRDefault="004468DD" w:rsidP="006C56EA">
      <w:pPr>
        <w:spacing w:after="0" w:line="276" w:lineRule="auto"/>
      </w:pPr>
    </w:p>
    <w:p w14:paraId="12FFDFD2" w14:textId="5D5E96F3" w:rsidR="004468DD" w:rsidRPr="006F4358" w:rsidRDefault="004468DD" w:rsidP="006C56EA">
      <w:pPr>
        <w:spacing w:after="0" w:line="276" w:lineRule="auto"/>
        <w:rPr>
          <w:sz w:val="24"/>
          <w:szCs w:val="24"/>
        </w:rPr>
      </w:pPr>
      <w:r w:rsidRPr="006F4358">
        <w:rPr>
          <w:b/>
          <w:sz w:val="24"/>
          <w:szCs w:val="24"/>
        </w:rPr>
        <w:t>INSTRUMENTATION AND EQUIVALENT DOSE MEASUREMENT</w:t>
      </w:r>
      <w:bookmarkStart w:id="0" w:name="_GoBack"/>
      <w:bookmarkEnd w:id="0"/>
    </w:p>
    <w:p w14:paraId="3D34DA76" w14:textId="77777777" w:rsidR="004468DD" w:rsidRDefault="004468DD" w:rsidP="006C56EA">
      <w:pPr>
        <w:spacing w:after="0" w:line="276" w:lineRule="auto"/>
      </w:pPr>
    </w:p>
    <w:p w14:paraId="6EA2855F" w14:textId="11E48721" w:rsidR="004468DD" w:rsidRDefault="00017022" w:rsidP="006C56EA">
      <w:pPr>
        <w:spacing w:after="0" w:line="276" w:lineRule="auto"/>
      </w:pPr>
      <w:r>
        <w:t xml:space="preserve"> L</w:t>
      </w:r>
      <w:r w:rsidRPr="000859E8">
        <w:t xml:space="preserve">uminescence measurements </w:t>
      </w:r>
      <w:r>
        <w:t xml:space="preserve">were undertaken using </w:t>
      </w:r>
      <w:r w:rsidRPr="000859E8">
        <w:t>a Risoe DA20 TL/OSL reader. Simulation</w:t>
      </w:r>
      <w:r>
        <w:t xml:space="preserve"> of small (2</w:t>
      </w:r>
      <w:r w:rsidR="00021583">
        <w:t xml:space="preserve"> </w:t>
      </w:r>
      <w:r>
        <w:t>mm) aliquots of quartz was for 4</w:t>
      </w:r>
      <w:r w:rsidRPr="000859E8">
        <w:t>0 s</w:t>
      </w:r>
      <w:r w:rsidR="00800BE8">
        <w:t>econds</w:t>
      </w:r>
      <w:r w:rsidRPr="000859E8">
        <w:t xml:space="preserve"> at 125°C</w:t>
      </w:r>
      <w:r>
        <w:t xml:space="preserve"> and</w:t>
      </w:r>
      <w:r w:rsidRPr="000859E8">
        <w:t xml:space="preserve"> was provided by blue LEDS (wavelength 470 nm</w:t>
      </w:r>
      <w:r>
        <w:t>). T</w:t>
      </w:r>
      <w:r w:rsidRPr="000859E8">
        <w:t xml:space="preserve">he </w:t>
      </w:r>
      <w:r>
        <w:t xml:space="preserve">resulting </w:t>
      </w:r>
      <w:r w:rsidRPr="000859E8">
        <w:t xml:space="preserve">OSL </w:t>
      </w:r>
      <w:r>
        <w:t xml:space="preserve">was </w:t>
      </w:r>
      <w:r w:rsidRPr="000859E8">
        <w:t xml:space="preserve">detected via a Hoya U-340 detection filter. Laboratory irradiations were delivered by a </w:t>
      </w:r>
      <w:r w:rsidRPr="000859E8">
        <w:rPr>
          <w:vertAlign w:val="superscript"/>
        </w:rPr>
        <w:t>90</w:t>
      </w:r>
      <w:r w:rsidRPr="000859E8">
        <w:t>Sr beta source with a dose rat</w:t>
      </w:r>
      <w:r w:rsidR="00DC060B">
        <w:t xml:space="preserve">e at the time of measurement of </w:t>
      </w:r>
      <w:r w:rsidRPr="000859E8">
        <w:t>7.</w:t>
      </w:r>
      <w:r>
        <w:t>25</w:t>
      </w:r>
      <w:r w:rsidRPr="000859E8">
        <w:t xml:space="preserve"> Gy min</w:t>
      </w:r>
      <w:r w:rsidRPr="000859E8">
        <w:rPr>
          <w:vertAlign w:val="superscript"/>
        </w:rPr>
        <w:t>-1</w:t>
      </w:r>
      <w:r w:rsidRPr="000859E8">
        <w:t>. This beta source was calibrated using the Risoe calibration quartz. Equivalent doses</w:t>
      </w:r>
      <w:r>
        <w:t xml:space="preserve"> </w:t>
      </w:r>
      <w:r w:rsidRPr="000859E8">
        <w:t>(D</w:t>
      </w:r>
      <w:r w:rsidRPr="000859E8">
        <w:rPr>
          <w:vertAlign w:val="subscript"/>
        </w:rPr>
        <w:t>e</w:t>
      </w:r>
      <w:r w:rsidRPr="000859E8">
        <w:t xml:space="preserve">) were determined </w:t>
      </w:r>
      <w:r>
        <w:t xml:space="preserve">for 2 mm aliquots </w:t>
      </w:r>
      <w:r w:rsidRPr="000859E8">
        <w:t>using the Single Aliquot Regeneration (SAR) protocol (Murray and Wintle, 2000, 2003; Wintle and Murray, 2006). The SAR analyses comprised 6 or 7 regeneration point sequences, including a repeat (recycling) regeneration dose point, an IR depletion ratio regeneration point (Duller, 2003) and a zero-dose point.</w:t>
      </w:r>
    </w:p>
    <w:p w14:paraId="26A31A22" w14:textId="6BE388B1" w:rsidR="00017022" w:rsidRDefault="00017022" w:rsidP="006C56EA">
      <w:pPr>
        <w:spacing w:after="0" w:line="276" w:lineRule="auto"/>
      </w:pPr>
      <w:r>
        <w:t xml:space="preserve"> </w:t>
      </w:r>
    </w:p>
    <w:p w14:paraId="5A2E598D" w14:textId="26B4ABF3" w:rsidR="00017022" w:rsidRDefault="00017022" w:rsidP="006C56EA">
      <w:pPr>
        <w:spacing w:after="0" w:line="276" w:lineRule="auto"/>
      </w:pPr>
      <w:r>
        <w:t xml:space="preserve">Extensive application of this protocol along </w:t>
      </w:r>
      <w:r w:rsidR="00541F42">
        <w:t>the Cape south coast</w:t>
      </w:r>
      <w:r>
        <w:t xml:space="preserve"> has shown that quartz in this region generally responds well to this approach and can produce reliable equivalent dose estimates (e.g. </w:t>
      </w:r>
      <w:r w:rsidR="00763DDD">
        <w:t xml:space="preserve">Jacobs et al., 2003, 2006; Cawthra et al., 2018; </w:t>
      </w:r>
      <w:r>
        <w:t xml:space="preserve">Carr </w:t>
      </w:r>
      <w:r w:rsidR="00763DDD">
        <w:t>et al., 2019</w:t>
      </w:r>
      <w:r>
        <w:t xml:space="preserve">). In this instance, protocol performance (via dose recovery experiments) and sensitivity to the choice of preheating were assessed (see below). Aliquots were rejected from the analyses, prior to calculation of the sample equivalent dose, using standard rejection criteria, including recycling ratios outside of 10% of unity, recuperation (zero dose) values greater than 5% of the natural sensitivity-corrected OSL signal and a significant reduction in the sensitivity-corrected OSL signal after infra-red stimulation (Duller, 2003). </w:t>
      </w:r>
    </w:p>
    <w:p w14:paraId="790EB713" w14:textId="77777777" w:rsidR="004468DD" w:rsidRDefault="004468DD" w:rsidP="006C56EA">
      <w:pPr>
        <w:spacing w:after="0" w:line="276" w:lineRule="auto"/>
      </w:pPr>
    </w:p>
    <w:p w14:paraId="44925B26" w14:textId="77777777" w:rsidR="004468DD" w:rsidRDefault="004468DD" w:rsidP="006C56EA">
      <w:pPr>
        <w:spacing w:after="0" w:line="276" w:lineRule="auto"/>
      </w:pPr>
    </w:p>
    <w:p w14:paraId="276FF1E1" w14:textId="06DD3AB5" w:rsidR="004468DD" w:rsidRPr="006F4358" w:rsidRDefault="004468DD" w:rsidP="006C56EA">
      <w:pPr>
        <w:spacing w:after="0" w:line="276" w:lineRule="auto"/>
        <w:rPr>
          <w:sz w:val="24"/>
          <w:szCs w:val="24"/>
        </w:rPr>
      </w:pPr>
      <w:r w:rsidRPr="006F4358">
        <w:rPr>
          <w:b/>
          <w:sz w:val="24"/>
          <w:szCs w:val="24"/>
        </w:rPr>
        <w:t>DOSE RATE DETERMINATION</w:t>
      </w:r>
      <w:r w:rsidRPr="006F4358">
        <w:rPr>
          <w:sz w:val="24"/>
          <w:szCs w:val="24"/>
        </w:rPr>
        <w:t xml:space="preserve"> </w:t>
      </w:r>
    </w:p>
    <w:p w14:paraId="4C5CC85B" w14:textId="77777777" w:rsidR="004468DD" w:rsidRDefault="004468DD" w:rsidP="006C56EA">
      <w:pPr>
        <w:spacing w:after="0" w:line="276" w:lineRule="auto"/>
      </w:pPr>
    </w:p>
    <w:p w14:paraId="3F2E4FD6" w14:textId="6F15E95B" w:rsidR="00017022" w:rsidRDefault="00017022" w:rsidP="006C56EA">
      <w:pPr>
        <w:spacing w:after="0" w:line="276" w:lineRule="auto"/>
      </w:pPr>
      <w:r>
        <w:t xml:space="preserve">Dose rates were calculated based on the U, Th and K concentrations determined from several tens of grams of remaining block sample material using inductively coupled plasma mass spectrometry (ICP-MS; U and Th) and ICP-OES (K). The U, Th and K concentrations were converted to annual dose rates following Guerin et al. (2011) and corrected for grain size (Mejdhal, 1979), water content (Aitken, </w:t>
      </w:r>
      <w:r>
        <w:lastRenderedPageBreak/>
        <w:t>1985) and HF etching (Bell, 1979). The external beta dose rates were further validated using GM beta counting on a powdered subset of the material used for the ICP-MS analysis (Bøtter-Jensen and Mejdahl, 1988</w:t>
      </w:r>
      <w:r w:rsidR="00021583">
        <w:t>,</w:t>
      </w:r>
      <w:r>
        <w:t xml:space="preserve"> calculations following Jacobs and Roberts, 2015). Cosmic dose rates were calculated using the Luminescence R</w:t>
      </w:r>
      <w:r w:rsidR="00843786">
        <w:t xml:space="preserve"> package (Kreutzer et al., 2012,</w:t>
      </w:r>
      <w:r>
        <w:t xml:space="preserve"> 2022), itself based on Prescott and Hutton (1994), with the average burial depths inferred from field observations and consideration of the likely typical sample burial depth. Final age uncertainties include 3% relative uncertainties for the dose rate conversion factors, grain-size attenuation factors, water attenuation and HF etching.</w:t>
      </w:r>
    </w:p>
    <w:p w14:paraId="28001D47" w14:textId="77777777" w:rsidR="004468DD" w:rsidRDefault="004468DD" w:rsidP="006C56EA">
      <w:pPr>
        <w:spacing w:after="0" w:line="276" w:lineRule="auto"/>
      </w:pPr>
    </w:p>
    <w:p w14:paraId="6EB9A7DF" w14:textId="2E7B1BB3" w:rsidR="000859E8" w:rsidRDefault="00017022" w:rsidP="006C56EA">
      <w:pPr>
        <w:spacing w:after="0" w:line="276" w:lineRule="auto"/>
      </w:pPr>
      <w:r>
        <w:t>The measured water contents were typically very low (</w:t>
      </w:r>
      <w:r w:rsidRPr="00017022">
        <w:rPr>
          <w:b/>
        </w:rPr>
        <w:t>Table</w:t>
      </w:r>
      <w:r w:rsidR="00ED4E09">
        <w:rPr>
          <w:b/>
        </w:rPr>
        <w:t>s</w:t>
      </w:r>
      <w:r w:rsidRPr="00017022">
        <w:rPr>
          <w:b/>
        </w:rPr>
        <w:t xml:space="preserve"> 1</w:t>
      </w:r>
      <w:r w:rsidR="00ED4E09">
        <w:rPr>
          <w:b/>
        </w:rPr>
        <w:t xml:space="preserve"> and 3</w:t>
      </w:r>
      <w:r>
        <w:t xml:space="preserve">), which to some extent is likely to be the result of exposure at the surface on the sampled outcrops, and then drying during shipping and laboratory storage (the latter was extended due to the Covid-19 outbreak). On the basis of the measured water contents (mean and standard deviations) for South African aeolianites reported in Roberts et al. (2008) and Bateman et al. (2011) – aeolianite samples either taken in quickly-sealed tubes or promptly prepared block samples – a mean water content of 3 ± 3 % was applied in initial age calculations. However, </w:t>
      </w:r>
      <w:r w:rsidR="00021583">
        <w:t xml:space="preserve">in this study </w:t>
      </w:r>
      <w:r>
        <w:t xml:space="preserve">we also assessed the sensitivity of the age estimates to changes in </w:t>
      </w:r>
      <w:r w:rsidR="00800BE8">
        <w:t xml:space="preserve">the </w:t>
      </w:r>
      <w:r>
        <w:t xml:space="preserve">amount of calcium carbonate cementand the associated progressive reduction in sample water content during burial. This was achieved using the </w:t>
      </w:r>
      <w:r w:rsidRPr="00017022">
        <w:rPr>
          <w:i/>
        </w:rPr>
        <w:t>RCarb</w:t>
      </w:r>
      <w:r>
        <w:t xml:space="preserve"> R Package (Nathan and Mauz, 2008; Mauz and Hoffman, 2014; Kreutzer</w:t>
      </w:r>
      <w:r w:rsidR="005F3181">
        <w:t xml:space="preserve"> et al., 2022</w:t>
      </w:r>
      <w:r>
        <w:t>). This models the sample dose rate through time for specified changes in the starting and finishing water contents and the progressive replacement of water/pore space with calcium carbonate cement. This makes small, but in some instances potentially significant, changes to the resulting sample ages (</w:t>
      </w:r>
      <w:r w:rsidRPr="00017022">
        <w:rPr>
          <w:b/>
        </w:rPr>
        <w:t xml:space="preserve">Table </w:t>
      </w:r>
      <w:r w:rsidR="00ED4E09">
        <w:rPr>
          <w:b/>
        </w:rPr>
        <w:t>2</w:t>
      </w:r>
      <w:r>
        <w:t>).</w:t>
      </w:r>
    </w:p>
    <w:p w14:paraId="4F3483E2" w14:textId="77777777" w:rsidR="005B48A6" w:rsidRDefault="005B48A6" w:rsidP="006C56EA">
      <w:pPr>
        <w:spacing w:after="0" w:line="276" w:lineRule="auto"/>
      </w:pPr>
    </w:p>
    <w:p w14:paraId="626E8B8D" w14:textId="77777777" w:rsidR="004468DD" w:rsidRDefault="004468DD" w:rsidP="006C56EA">
      <w:pPr>
        <w:spacing w:after="0" w:line="276" w:lineRule="auto"/>
        <w:rPr>
          <w:b/>
        </w:rPr>
      </w:pPr>
    </w:p>
    <w:p w14:paraId="13DB5CD1" w14:textId="703D3E6D" w:rsidR="004468DD" w:rsidRPr="006F4358" w:rsidRDefault="004468DD" w:rsidP="006C56EA">
      <w:pPr>
        <w:spacing w:after="0" w:line="276" w:lineRule="auto"/>
        <w:rPr>
          <w:sz w:val="24"/>
          <w:szCs w:val="24"/>
        </w:rPr>
      </w:pPr>
      <w:r w:rsidRPr="006F4358">
        <w:rPr>
          <w:b/>
          <w:sz w:val="24"/>
          <w:szCs w:val="24"/>
        </w:rPr>
        <w:t>ANALYSES</w:t>
      </w:r>
    </w:p>
    <w:p w14:paraId="34B6C349" w14:textId="77777777" w:rsidR="004468DD" w:rsidRDefault="004468DD" w:rsidP="006C56EA">
      <w:pPr>
        <w:spacing w:after="0" w:line="276" w:lineRule="auto"/>
      </w:pPr>
    </w:p>
    <w:p w14:paraId="6369FBC3" w14:textId="58DC6B18" w:rsidR="00E40BA2" w:rsidRDefault="00954E0E" w:rsidP="006C56EA">
      <w:pPr>
        <w:spacing w:after="0" w:line="276" w:lineRule="auto"/>
      </w:pPr>
      <w:r>
        <w:t>Dose-</w:t>
      </w:r>
      <w:r w:rsidR="000859E8" w:rsidRPr="000859E8">
        <w:t>response curves were fitted with saturating exponential plus linear fits</w:t>
      </w:r>
      <w:r w:rsidR="000859E8">
        <w:t>, althoug</w:t>
      </w:r>
      <w:r>
        <w:t>h in all circumstances the dose-</w:t>
      </w:r>
      <w:r w:rsidR="000859E8">
        <w:t xml:space="preserve">response curves were also </w:t>
      </w:r>
      <w:r w:rsidR="00E40BA2">
        <w:t>reasonably</w:t>
      </w:r>
      <w:r>
        <w:t xml:space="preserve"> well fitted with</w:t>
      </w:r>
      <w:r w:rsidR="000859E8">
        <w:t xml:space="preserve"> single saturating exponential equation</w:t>
      </w:r>
      <w:r>
        <w:t>s</w:t>
      </w:r>
      <w:r w:rsidR="000859E8">
        <w:t xml:space="preserve">. </w:t>
      </w:r>
      <w:r w:rsidR="000859E8" w:rsidRPr="000859E8">
        <w:t>D</w:t>
      </w:r>
      <w:r w:rsidR="000859E8" w:rsidRPr="000859E8">
        <w:rPr>
          <w:vertAlign w:val="subscript"/>
        </w:rPr>
        <w:t>e</w:t>
      </w:r>
      <w:r w:rsidR="000859E8" w:rsidRPr="000859E8">
        <w:t xml:space="preserve"> uncertainties</w:t>
      </w:r>
      <w:r w:rsidR="000859E8">
        <w:t xml:space="preserve"> were </w:t>
      </w:r>
      <w:r w:rsidR="000859E8" w:rsidRPr="000859E8">
        <w:t>all calculated wi</w:t>
      </w:r>
      <w:r w:rsidR="000859E8">
        <w:t>thin the Risoe Analyst software, obtained using Monte Carlo methods (1000 iterations, following Duller 2007). The D</w:t>
      </w:r>
      <w:r w:rsidR="000859E8" w:rsidRPr="000859E8">
        <w:rPr>
          <w:vertAlign w:val="subscript"/>
        </w:rPr>
        <w:t>e</w:t>
      </w:r>
      <w:r w:rsidR="000859E8">
        <w:t xml:space="preserve"> uncertainties also include a </w:t>
      </w:r>
      <w:r w:rsidR="00017022">
        <w:t>1 %</w:t>
      </w:r>
      <w:r w:rsidR="000859E8" w:rsidRPr="000859E8">
        <w:t xml:space="preserve"> systematic </w:t>
      </w:r>
      <w:r w:rsidR="000859E8">
        <w:t>instrument uncertainty</w:t>
      </w:r>
      <w:r w:rsidR="000859E8" w:rsidRPr="000859E8">
        <w:t>.</w:t>
      </w:r>
      <w:r w:rsidR="000859E8">
        <w:t xml:space="preserve"> T</w:t>
      </w:r>
      <w:r w:rsidR="000859E8" w:rsidRPr="000859E8">
        <w:t>he integration win</w:t>
      </w:r>
      <w:r>
        <w:t>dows used to construct the dose-</w:t>
      </w:r>
      <w:r w:rsidR="000859E8" w:rsidRPr="000859E8">
        <w:t xml:space="preserve">response curves comprised the first 0.8 seconds of stimulation and a “late background” subtraction </w:t>
      </w:r>
      <w:r w:rsidR="000859E8">
        <w:t>spanning</w:t>
      </w:r>
      <w:r w:rsidR="000859E8" w:rsidRPr="000859E8">
        <w:t xml:space="preserve"> the last </w:t>
      </w:r>
      <w:r w:rsidR="000859E8">
        <w:t>3.2</w:t>
      </w:r>
      <w:r w:rsidR="000859E8" w:rsidRPr="000859E8">
        <w:t xml:space="preserve"> seconds of measurement. The samples </w:t>
      </w:r>
      <w:r>
        <w:t xml:space="preserve">were </w:t>
      </w:r>
      <w:r w:rsidR="000859E8" w:rsidRPr="000859E8">
        <w:t>also checked using an “early background subtraction” method (Cunningham and Wallinga, 2010) that utilised the first 0.3 seconds of stimulation and a background subtraction from the subsequent 0.8 seconds.</w:t>
      </w:r>
      <w:r w:rsidR="00E40BA2" w:rsidRPr="00E40BA2">
        <w:t xml:space="preserve"> </w:t>
      </w:r>
      <w:r w:rsidR="00E40BA2">
        <w:t>Equivalent doses obtained using</w:t>
      </w:r>
      <w:r w:rsidR="00017022">
        <w:t xml:space="preserve"> the</w:t>
      </w:r>
      <w:r w:rsidR="00E40BA2">
        <w:t xml:space="preserve"> early a</w:t>
      </w:r>
      <w:r w:rsidR="00017022">
        <w:t>nd late background subtraction approaches</w:t>
      </w:r>
      <w:r w:rsidR="00E40BA2">
        <w:t xml:space="preserve"> were indistinguishable.</w:t>
      </w:r>
      <w:r w:rsidR="00E628EB">
        <w:t xml:space="preserve"> A</w:t>
      </w:r>
      <w:r w:rsidR="00E40BA2">
        <w:t>s is typical of quartz from this region, the samples produced bright, rapidly decaying OSL signals (</w:t>
      </w:r>
      <w:r w:rsidR="00E40BA2" w:rsidRPr="00E40BA2">
        <w:rPr>
          <w:b/>
        </w:rPr>
        <w:t xml:space="preserve">Figure </w:t>
      </w:r>
      <w:r>
        <w:rPr>
          <w:b/>
        </w:rPr>
        <w:t>1</w:t>
      </w:r>
      <w:r w:rsidR="00E40BA2">
        <w:t xml:space="preserve">) and the dose response curves continued to grow over the measured equivalent dose ranges, as is typical of quartz. </w:t>
      </w:r>
    </w:p>
    <w:p w14:paraId="73EC5B74" w14:textId="77777777" w:rsidR="007F2BD5" w:rsidRDefault="007F2BD5" w:rsidP="006C56EA">
      <w:pPr>
        <w:spacing w:after="0" w:line="276" w:lineRule="auto"/>
      </w:pPr>
      <w:r>
        <w:rPr>
          <w:noProof/>
          <w:lang w:eastAsia="en-GB"/>
        </w:rPr>
        <w:lastRenderedPageBreak/>
        <w:drawing>
          <wp:inline distT="0" distB="0" distL="0" distR="0" wp14:anchorId="559D0E0A" wp14:editId="0530819C">
            <wp:extent cx="5731510" cy="23488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ne and DRC_Tortoise paper.png"/>
                    <pic:cNvPicPr/>
                  </pic:nvPicPr>
                  <pic:blipFill>
                    <a:blip r:embed="rId6">
                      <a:extLst>
                        <a:ext uri="{28A0092B-C50C-407E-A947-70E740481C1C}">
                          <a14:useLocalDpi xmlns:a14="http://schemas.microsoft.com/office/drawing/2010/main" val="0"/>
                        </a:ext>
                      </a:extLst>
                    </a:blip>
                    <a:stretch>
                      <a:fillRect/>
                    </a:stretch>
                  </pic:blipFill>
                  <pic:spPr>
                    <a:xfrm>
                      <a:off x="0" y="0"/>
                      <a:ext cx="5731510" cy="2348865"/>
                    </a:xfrm>
                    <a:prstGeom prst="rect">
                      <a:avLst/>
                    </a:prstGeom>
                  </pic:spPr>
                </pic:pic>
              </a:graphicData>
            </a:graphic>
          </wp:inline>
        </w:drawing>
      </w:r>
    </w:p>
    <w:p w14:paraId="4D7D5565" w14:textId="384A4147" w:rsidR="00E40BA2" w:rsidRDefault="007F2BD5" w:rsidP="006C56EA">
      <w:pPr>
        <w:spacing w:after="0" w:line="276" w:lineRule="auto"/>
      </w:pPr>
      <w:r w:rsidRPr="007F2BD5">
        <w:rPr>
          <w:b/>
        </w:rPr>
        <w:t xml:space="preserve">Figure </w:t>
      </w:r>
      <w:r w:rsidR="00E22799">
        <w:rPr>
          <w:b/>
        </w:rPr>
        <w:t>1</w:t>
      </w:r>
      <w:r w:rsidR="00C82FFC">
        <w:t>.</w:t>
      </w:r>
      <w:r>
        <w:t xml:space="preserve"> Left: OSL shine down in response to a 9.6 </w:t>
      </w:r>
      <w:r w:rsidR="005D202A">
        <w:t>Gy test dose for sample Leic21008</w:t>
      </w:r>
      <w:r>
        <w:t xml:space="preserve">. </w:t>
      </w:r>
      <w:r w:rsidR="00954E0E">
        <w:t xml:space="preserve">Right: </w:t>
      </w:r>
      <w:r>
        <w:t xml:space="preserve">A </w:t>
      </w:r>
      <w:r w:rsidR="00954E0E">
        <w:t xml:space="preserve">typical </w:t>
      </w:r>
      <w:r>
        <w:t>dose response curve for the same sample.</w:t>
      </w:r>
    </w:p>
    <w:p w14:paraId="0966D0FF" w14:textId="77777777" w:rsidR="005B48A6" w:rsidRDefault="005B48A6" w:rsidP="006C56EA">
      <w:pPr>
        <w:spacing w:after="0" w:line="276" w:lineRule="auto"/>
      </w:pPr>
    </w:p>
    <w:p w14:paraId="5C41DF07" w14:textId="1A8F4369" w:rsidR="00A213F6" w:rsidRDefault="00A213F6" w:rsidP="006C56EA">
      <w:pPr>
        <w:spacing w:line="276" w:lineRule="auto"/>
      </w:pPr>
      <w:r>
        <w:t>D</w:t>
      </w:r>
      <w:r w:rsidR="00E40BA2">
        <w:t xml:space="preserve">ose recovery </w:t>
      </w:r>
      <w:r>
        <w:t xml:space="preserve">experiments, </w:t>
      </w:r>
      <w:r w:rsidR="00954E0E">
        <w:t xml:space="preserve">with </w:t>
      </w:r>
      <w:r>
        <w:t xml:space="preserve">varied </w:t>
      </w:r>
      <w:r w:rsidR="00E40BA2">
        <w:t>preheating temperature combination</w:t>
      </w:r>
      <w:r>
        <w:t>s</w:t>
      </w:r>
      <w:r w:rsidR="005D202A">
        <w:t>,</w:t>
      </w:r>
      <w:r w:rsidR="00E40BA2">
        <w:t xml:space="preserve"> </w:t>
      </w:r>
      <w:r>
        <w:t xml:space="preserve">were undertaken for </w:t>
      </w:r>
      <w:r w:rsidR="00954E0E">
        <w:t>two</w:t>
      </w:r>
      <w:r>
        <w:t xml:space="preserve"> samples (</w:t>
      </w:r>
      <w:r w:rsidRPr="00E22799">
        <w:rPr>
          <w:b/>
        </w:rPr>
        <w:t xml:space="preserve">Figure </w:t>
      </w:r>
      <w:r w:rsidR="00954E0E" w:rsidRPr="00E22799">
        <w:rPr>
          <w:b/>
        </w:rPr>
        <w:t>2</w:t>
      </w:r>
      <w:r>
        <w:t xml:space="preserve">). </w:t>
      </w:r>
      <w:r w:rsidR="00954E0E">
        <w:t>P</w:t>
      </w:r>
      <w:r w:rsidR="00E628EB">
        <w:t>reheats</w:t>
      </w:r>
      <w:r w:rsidR="00954E0E">
        <w:t xml:space="preserve"> </w:t>
      </w:r>
      <w:r w:rsidR="00E628EB">
        <w:t>for the natural</w:t>
      </w:r>
      <w:r w:rsidR="00954E0E">
        <w:t xml:space="preserve"> or regenerated OSL signals (L</w:t>
      </w:r>
      <w:r w:rsidR="00954E0E" w:rsidRPr="00541F42">
        <w:rPr>
          <w:vertAlign w:val="subscript"/>
        </w:rPr>
        <w:t>n</w:t>
      </w:r>
      <w:r w:rsidR="00021583">
        <w:t xml:space="preserve"> and</w:t>
      </w:r>
      <w:r w:rsidR="00954E0E">
        <w:t xml:space="preserve"> L</w:t>
      </w:r>
      <w:r w:rsidR="00954E0E" w:rsidRPr="00541F42">
        <w:rPr>
          <w:vertAlign w:val="subscript"/>
        </w:rPr>
        <w:t>x</w:t>
      </w:r>
      <w:r w:rsidR="00954E0E">
        <w:t xml:space="preserve">) </w:t>
      </w:r>
      <w:r w:rsidR="00E628EB">
        <w:t xml:space="preserve">were held </w:t>
      </w:r>
      <w:r w:rsidR="00954E0E">
        <w:t>for 10 seconds. The test dose preheats (</w:t>
      </w:r>
      <w:r w:rsidR="00021583">
        <w:t>T</w:t>
      </w:r>
      <w:r w:rsidR="00021583" w:rsidRPr="00541F42">
        <w:rPr>
          <w:vertAlign w:val="subscript"/>
        </w:rPr>
        <w:t>n</w:t>
      </w:r>
      <w:r w:rsidR="00021583">
        <w:t xml:space="preserve"> and </w:t>
      </w:r>
      <w:r w:rsidR="00954E0E">
        <w:t>T</w:t>
      </w:r>
      <w:r w:rsidR="00954E0E" w:rsidRPr="00541F42">
        <w:rPr>
          <w:vertAlign w:val="subscript"/>
        </w:rPr>
        <w:t>x</w:t>
      </w:r>
      <w:r w:rsidR="00954E0E">
        <w:t xml:space="preserve">) were in all cases a “cut heat” (held for zero seconds). The results </w:t>
      </w:r>
      <w:r w:rsidR="00E628EB">
        <w:t>indicate</w:t>
      </w:r>
      <w:r w:rsidR="00954E0E">
        <w:t xml:space="preserve"> limited sensitivity to the choice of preheating temperature and acceptable performance of the SAR </w:t>
      </w:r>
      <w:r w:rsidR="00E628EB">
        <w:t>protocol, with the possible exception of the lowest (180/160</w:t>
      </w:r>
      <w:r w:rsidR="00E628EB">
        <w:rPr>
          <w:rFonts w:cstheme="minorHAnsi"/>
        </w:rPr>
        <w:t>°</w:t>
      </w:r>
      <w:r w:rsidR="00E628EB">
        <w:t xml:space="preserve">C) </w:t>
      </w:r>
      <w:r w:rsidR="00541F42">
        <w:t xml:space="preserve">preheat </w:t>
      </w:r>
      <w:r w:rsidR="00E628EB">
        <w:t>temperature combination</w:t>
      </w:r>
      <w:r w:rsidR="00954E0E">
        <w:t>.</w:t>
      </w:r>
      <w:r w:rsidR="00954E0E" w:rsidRPr="00954E0E">
        <w:t xml:space="preserve"> </w:t>
      </w:r>
      <w:r w:rsidR="00954E0E">
        <w:t xml:space="preserve">An additional dose recovery experiment undertaken on </w:t>
      </w:r>
      <w:r w:rsidR="00954E0E" w:rsidRPr="00A01EAE">
        <w:rPr>
          <w:rFonts w:ascii="Calibri" w:hAnsi="Calibri" w:cs="Calibri"/>
          <w:color w:val="000000"/>
        </w:rPr>
        <w:t>Leic20024</w:t>
      </w:r>
      <w:r w:rsidR="00954E0E">
        <w:rPr>
          <w:rFonts w:ascii="Calibri" w:hAnsi="Calibri" w:cs="Calibri"/>
          <w:color w:val="000000"/>
        </w:rPr>
        <w:t xml:space="preserve"> using the 220/160</w:t>
      </w:r>
      <w:r w:rsidR="00954E0E">
        <w:rPr>
          <w:rFonts w:cstheme="minorHAnsi"/>
        </w:rPr>
        <w:t>°</w:t>
      </w:r>
      <w:r w:rsidR="00954E0E">
        <w:t xml:space="preserve">C preheating combination </w:t>
      </w:r>
      <w:r w:rsidR="00021583">
        <w:rPr>
          <w:rFonts w:ascii="Calibri" w:hAnsi="Calibri" w:cs="Calibri"/>
          <w:color w:val="000000"/>
        </w:rPr>
        <w:t xml:space="preserve">selected for the SAR analysis </w:t>
      </w:r>
      <w:r w:rsidR="00954E0E">
        <w:t xml:space="preserve">also indicated acceptable performance of the SAR protocol (dose recovery ratio 0.96 </w:t>
      </w:r>
      <w:r w:rsidR="00954E0E">
        <w:rPr>
          <w:rFonts w:cstheme="minorHAnsi"/>
        </w:rPr>
        <w:t>±</w:t>
      </w:r>
      <w:r w:rsidR="00954E0E">
        <w:t xml:space="preserve"> 0.02; n=4). These results are consistent with findings from other luminescence studies of quartz along this coastline (e.g.</w:t>
      </w:r>
      <w:r w:rsidR="00763DDD">
        <w:t>,</w:t>
      </w:r>
      <w:r w:rsidR="00954E0E">
        <w:t xml:space="preserve"> </w:t>
      </w:r>
      <w:r w:rsidR="00763DDD">
        <w:t xml:space="preserve">Jacobs et al., 2003; </w:t>
      </w:r>
      <w:r w:rsidR="00954E0E">
        <w:t>Carr et al., 2019).</w:t>
      </w:r>
    </w:p>
    <w:p w14:paraId="6615F97D" w14:textId="77777777" w:rsidR="003C68AF" w:rsidRDefault="003C68AF" w:rsidP="006C56EA">
      <w:pPr>
        <w:spacing w:after="0" w:line="276" w:lineRule="auto"/>
      </w:pPr>
      <w:r>
        <w:rPr>
          <w:noProof/>
          <w:lang w:eastAsia="en-GB"/>
        </w:rPr>
        <w:drawing>
          <wp:inline distT="0" distB="0" distL="0" distR="0" wp14:anchorId="30E8E755" wp14:editId="71FF816A">
            <wp:extent cx="5731510" cy="22821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PH_Tortoise paper.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282190"/>
                    </a:xfrm>
                    <a:prstGeom prst="rect">
                      <a:avLst/>
                    </a:prstGeom>
                  </pic:spPr>
                </pic:pic>
              </a:graphicData>
            </a:graphic>
          </wp:inline>
        </w:drawing>
      </w:r>
    </w:p>
    <w:p w14:paraId="74112A77" w14:textId="4B8AED24" w:rsidR="00E40BA2" w:rsidRDefault="003C68AF" w:rsidP="006C56EA">
      <w:pPr>
        <w:spacing w:after="0" w:line="276" w:lineRule="auto"/>
      </w:pPr>
      <w:r w:rsidRPr="003C68AF">
        <w:rPr>
          <w:b/>
        </w:rPr>
        <w:t>Figure</w:t>
      </w:r>
      <w:r w:rsidR="00954E0E">
        <w:rPr>
          <w:b/>
        </w:rPr>
        <w:t xml:space="preserve"> 2</w:t>
      </w:r>
      <w:r w:rsidR="00C82FFC">
        <w:t>.</w:t>
      </w:r>
      <w:r>
        <w:t xml:space="preserve"> Results of dose recovery preheating ex</w:t>
      </w:r>
      <w:r w:rsidR="005D202A">
        <w:t xml:space="preserve">periments for samples </w:t>
      </w:r>
      <w:r>
        <w:t>Lei</w:t>
      </w:r>
      <w:r w:rsidR="005D202A">
        <w:t xml:space="preserve">c20027 </w:t>
      </w:r>
      <w:r w:rsidR="007B671F">
        <w:t>and</w:t>
      </w:r>
      <w:r w:rsidR="005D202A">
        <w:t xml:space="preserve"> Leic20031</w:t>
      </w:r>
      <w:r>
        <w:t xml:space="preserve"> following 55 Gy beta doses. The mean dose recovery ratios </w:t>
      </w:r>
      <w:r w:rsidR="00541F42">
        <w:t xml:space="preserve">for all measured aliquots </w:t>
      </w:r>
      <w:r>
        <w:t xml:space="preserve">are (respectively) 1.00 </w:t>
      </w:r>
      <w:r>
        <w:rPr>
          <w:rFonts w:cstheme="minorHAnsi"/>
        </w:rPr>
        <w:t>±</w:t>
      </w:r>
      <w:r>
        <w:t xml:space="preserve"> 0.07 (n=24) and 1.03 </w:t>
      </w:r>
      <w:r>
        <w:rPr>
          <w:rFonts w:cstheme="minorHAnsi"/>
        </w:rPr>
        <w:t>±</w:t>
      </w:r>
      <w:r>
        <w:t xml:space="preserve"> 0.06 (n=24). The selected preheats </w:t>
      </w:r>
      <w:r w:rsidR="002D6EDB">
        <w:t xml:space="preserve">for the SAR measurements </w:t>
      </w:r>
      <w:r>
        <w:t>were 220/160</w:t>
      </w:r>
      <w:r>
        <w:rPr>
          <w:rFonts w:cstheme="minorHAnsi"/>
        </w:rPr>
        <w:t>°</w:t>
      </w:r>
      <w:r w:rsidR="007B671F">
        <w:t>C (</w:t>
      </w:r>
      <w:r w:rsidR="005D202A">
        <w:t>Leic20027</w:t>
      </w:r>
      <w:r>
        <w:t>) and 240/160</w:t>
      </w:r>
      <w:r>
        <w:rPr>
          <w:rFonts w:cstheme="minorHAnsi"/>
        </w:rPr>
        <w:t>°</w:t>
      </w:r>
      <w:r>
        <w:t>C (</w:t>
      </w:r>
      <w:r w:rsidR="005D202A">
        <w:t>Leic20027</w:t>
      </w:r>
      <w:r>
        <w:t>).</w:t>
      </w:r>
    </w:p>
    <w:p w14:paraId="51971350" w14:textId="77777777" w:rsidR="00E22799" w:rsidRDefault="00E40BA2" w:rsidP="006C56EA">
      <w:pPr>
        <w:spacing w:after="0" w:line="276" w:lineRule="auto"/>
      </w:pPr>
      <w:r>
        <w:t xml:space="preserve"> </w:t>
      </w:r>
    </w:p>
    <w:p w14:paraId="2BCCB61C" w14:textId="2716CC42" w:rsidR="00E22799" w:rsidRDefault="00E22799" w:rsidP="006C56EA">
      <w:pPr>
        <w:spacing w:after="0" w:line="276" w:lineRule="auto"/>
      </w:pPr>
      <w:r w:rsidRPr="00E22799">
        <w:t xml:space="preserve">The equivalent dose distributions exhibited low inter-aliquot scatter, with over-dispersion (OD) values in the range of 10-15%, typical of results from small multi-grain aliquots for well-bleached </w:t>
      </w:r>
      <w:r w:rsidRPr="00E22799">
        <w:lastRenderedPageBreak/>
        <w:t xml:space="preserve">aeolian sediments along this coastline (Jacobs et al., 2003; Carr et al., 2019). For some samples occasional outlier aliquots, identified using nMAD (e.g. Clarkson et al., 2017), were removed prior to averaging (Figure </w:t>
      </w:r>
      <w:r>
        <w:t>3</w:t>
      </w:r>
      <w:r w:rsidRPr="00E22799">
        <w:t>), but given the limited inter-aliquot scatter, final equivalent doses were derived using Central Age Model (CAM; Galbraith et al.</w:t>
      </w:r>
      <w:r w:rsidR="00FD099D">
        <w:t>,</w:t>
      </w:r>
      <w:r w:rsidRPr="00E22799">
        <w:t xml:space="preserve"> 1999) weighted mean.</w:t>
      </w:r>
    </w:p>
    <w:p w14:paraId="0CEC13BE" w14:textId="77777777" w:rsidR="004468DD" w:rsidRDefault="004468DD" w:rsidP="006C56EA">
      <w:pPr>
        <w:spacing w:after="0" w:line="276" w:lineRule="auto"/>
      </w:pPr>
    </w:p>
    <w:p w14:paraId="6773260A" w14:textId="546863F4" w:rsidR="00E22799" w:rsidRDefault="00CD50A6" w:rsidP="006C56EA">
      <w:pPr>
        <w:spacing w:after="0" w:line="276" w:lineRule="auto"/>
      </w:pPr>
      <w:r>
        <w:rPr>
          <w:noProof/>
          <w:lang w:eastAsia="en-GB"/>
        </w:rPr>
        <w:lastRenderedPageBreak/>
        <w:drawing>
          <wp:inline distT="0" distB="0" distL="0" distR="0" wp14:anchorId="43CF7B08" wp14:editId="23686830">
            <wp:extent cx="5380355" cy="794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toise paper_radial plots_corrected.png"/>
                    <pic:cNvPicPr/>
                  </pic:nvPicPr>
                  <pic:blipFill rotWithShape="1">
                    <a:blip r:embed="rId8">
                      <a:extLst>
                        <a:ext uri="{28A0092B-C50C-407E-A947-70E740481C1C}">
                          <a14:useLocalDpi xmlns:a14="http://schemas.microsoft.com/office/drawing/2010/main" val="0"/>
                        </a:ext>
                      </a:extLst>
                    </a:blip>
                    <a:srcRect t="5480" b="4894"/>
                    <a:stretch/>
                  </pic:blipFill>
                  <pic:spPr bwMode="auto">
                    <a:xfrm>
                      <a:off x="0" y="0"/>
                      <a:ext cx="5380355" cy="7943850"/>
                    </a:xfrm>
                    <a:prstGeom prst="rect">
                      <a:avLst/>
                    </a:prstGeom>
                    <a:ln>
                      <a:noFill/>
                    </a:ln>
                    <a:extLst>
                      <a:ext uri="{53640926-AAD7-44D8-BBD7-CCE9431645EC}">
                        <a14:shadowObscured xmlns:a14="http://schemas.microsoft.com/office/drawing/2010/main"/>
                      </a:ext>
                    </a:extLst>
                  </pic:spPr>
                </pic:pic>
              </a:graphicData>
            </a:graphic>
          </wp:inline>
        </w:drawing>
      </w:r>
    </w:p>
    <w:p w14:paraId="47872D9E" w14:textId="1A3EF035" w:rsidR="00E22799" w:rsidRDefault="00C82FFC" w:rsidP="006C56EA">
      <w:pPr>
        <w:spacing w:after="0" w:line="276" w:lineRule="auto"/>
      </w:pPr>
      <w:r w:rsidRPr="00C82FFC">
        <w:rPr>
          <w:b/>
        </w:rPr>
        <w:t>Figure 3.</w:t>
      </w:r>
      <w:r w:rsidR="00E22799">
        <w:t xml:space="preserve"> Radial plots showing the equivalent dose distributions </w:t>
      </w:r>
      <w:r w:rsidR="00800BE8">
        <w:t xml:space="preserve">and overdispersion (OD) </w:t>
      </w:r>
      <w:r w:rsidR="00021583">
        <w:t>estimates for</w:t>
      </w:r>
      <w:r w:rsidR="00E22799">
        <w:t xml:space="preserve"> all reported samples. </w:t>
      </w:r>
      <w:r w:rsidR="00541F42">
        <w:t xml:space="preserve">The filled circles indicate aliquots identified as statistical outliers. All </w:t>
      </w:r>
      <w:r w:rsidR="00E22799">
        <w:t xml:space="preserve">data were obtained using 2 mm aliquots. The radial plots were created using the RadialPlotter software (Vermeesch, 2009). </w:t>
      </w:r>
    </w:p>
    <w:p w14:paraId="7A559C94" w14:textId="75A04FDD" w:rsidR="004468DD" w:rsidRDefault="00CD50A6" w:rsidP="006C56EA">
      <w:pPr>
        <w:spacing w:after="0" w:line="276" w:lineRule="auto"/>
      </w:pPr>
      <w:r>
        <w:lastRenderedPageBreak/>
        <w:t>T</w:t>
      </w:r>
      <w:r w:rsidR="00E22799">
        <w:t xml:space="preserve">he ages obtained using “standard” dose rate calculations (3 ± 3% water content) are shown in </w:t>
      </w:r>
      <w:r w:rsidR="005D202A">
        <w:rPr>
          <w:b/>
        </w:rPr>
        <w:t>T</w:t>
      </w:r>
      <w:r w:rsidR="00E22799" w:rsidRPr="00E22799">
        <w:rPr>
          <w:b/>
        </w:rPr>
        <w:t>able</w:t>
      </w:r>
      <w:r>
        <w:rPr>
          <w:b/>
        </w:rPr>
        <w:t xml:space="preserve"> 1</w:t>
      </w:r>
      <w:r w:rsidR="00E22799">
        <w:t xml:space="preserve"> and span MIS</w:t>
      </w:r>
      <w:r w:rsidR="005D202A">
        <w:t xml:space="preserve"> </w:t>
      </w:r>
      <w:r w:rsidR="00E22799">
        <w:t xml:space="preserve">6 to MIS 4, which </w:t>
      </w:r>
      <w:r w:rsidR="00021583">
        <w:t xml:space="preserve">places them </w:t>
      </w:r>
      <w:r w:rsidR="00E22799">
        <w:t>with</w:t>
      </w:r>
      <w:r w:rsidR="00800BE8">
        <w:t>in</w:t>
      </w:r>
      <w:r w:rsidR="00E22799">
        <w:t xml:space="preserve"> the </w:t>
      </w:r>
      <w:r w:rsidR="00021583">
        <w:t xml:space="preserve">age </w:t>
      </w:r>
      <w:r w:rsidR="00E22799">
        <w:t xml:space="preserve">range often </w:t>
      </w:r>
      <w:r w:rsidR="00021583">
        <w:t>reported for aeolianite along</w:t>
      </w:r>
      <w:r w:rsidR="00E22799">
        <w:t xml:space="preserve"> this coastline</w:t>
      </w:r>
      <w:r w:rsidR="00021583">
        <w:t xml:space="preserve"> (Bateman et al., 2011)</w:t>
      </w:r>
      <w:r w:rsidR="00E22799">
        <w:t xml:space="preserve">, and specifically the Still Bay region (Roberts et al., 2008). The sample dose rates for these quartz-carbonate dominated materials are quite low </w:t>
      </w:r>
      <w:r>
        <w:t>(</w:t>
      </w:r>
      <w:r w:rsidRPr="00CD50A6">
        <w:rPr>
          <w:b/>
        </w:rPr>
        <w:t>Table 3</w:t>
      </w:r>
      <w:r>
        <w:t xml:space="preserve">) </w:t>
      </w:r>
      <w:r w:rsidR="00E22799">
        <w:t>and the Th:U ratios are also, as is typical of the region, low (e.g.</w:t>
      </w:r>
      <w:r w:rsidR="005D202A">
        <w:t>,</w:t>
      </w:r>
      <w:r w:rsidR="00E22799">
        <w:t xml:space="preserve"> Carr et al.</w:t>
      </w:r>
      <w:r w:rsidR="00FD099D">
        <w:t>,</w:t>
      </w:r>
      <w:r w:rsidR="00E22799">
        <w:t xml:space="preserve"> 2019). To explore the effects of, and age-sensitivity to, changing water contents through time and specifically the associated replacement of pore waters with calcium carbonate cement (Nathan and Mauz 2008), several dose rate modelling experiments were run using the </w:t>
      </w:r>
      <w:r w:rsidR="00E22799" w:rsidRPr="00E22799">
        <w:rPr>
          <w:i/>
        </w:rPr>
        <w:t>R</w:t>
      </w:r>
      <w:r w:rsidR="006C56EA">
        <w:rPr>
          <w:i/>
        </w:rPr>
        <w:t>C</w:t>
      </w:r>
      <w:r w:rsidR="00E22799" w:rsidRPr="00E22799">
        <w:rPr>
          <w:i/>
        </w:rPr>
        <w:t>arb</w:t>
      </w:r>
      <w:r w:rsidR="00E22799">
        <w:t xml:space="preserve"> model (Mauz and Hoffman, 2014; Kreutzer</w:t>
      </w:r>
      <w:r w:rsidR="005F3181">
        <w:t xml:space="preserve"> et al., 2022</w:t>
      </w:r>
      <w:r w:rsidR="00E22799">
        <w:t>). Initial OSL ages (dose rates) were reassessed for several scenarios. All assumed starting water contents in the upper range measured for coastal dunes along this coastline (i.e. 4 ± 1 %</w:t>
      </w:r>
      <w:r w:rsidR="005D202A">
        <w:t>,</w:t>
      </w:r>
      <w:r w:rsidR="00E22799">
        <w:t xml:space="preserve"> e.g.</w:t>
      </w:r>
      <w:r w:rsidR="005D202A">
        <w:t>,</w:t>
      </w:r>
      <w:r w:rsidR="00E22799">
        <w:t xml:space="preserve"> Bateman et al., 2008, Table 1), with final water contents in the lower range measured for cemented aeolianite sediments (2 ± 1 %). Associated with this was the ingrowth of 20 ± 5% calcium carbonate cement (see Bateman et al., 2011 for thin section data from the study region). Scenarios were then modelled for rapid (within the initial ~33% of the burial history) cementation and for slow (over 90% of the burial history) cementation</w:t>
      </w:r>
      <w:r w:rsidR="007644C7">
        <w:t xml:space="preserve"> histories</w:t>
      </w:r>
      <w:r w:rsidR="00E22799">
        <w:t xml:space="preserve">. </w:t>
      </w:r>
      <w:r w:rsidR="00541F42">
        <w:t>The suitability of such scenarios</w:t>
      </w:r>
      <w:r w:rsidR="007644C7">
        <w:t xml:space="preserve"> </w:t>
      </w:r>
      <w:r w:rsidR="00E22799">
        <w:t xml:space="preserve">may </w:t>
      </w:r>
      <w:r w:rsidR="00541F42">
        <w:t xml:space="preserve">well </w:t>
      </w:r>
      <w:r w:rsidR="00E22799">
        <w:t>be quite context</w:t>
      </w:r>
      <w:r w:rsidR="004B435D">
        <w:t>-</w:t>
      </w:r>
      <w:r w:rsidR="00E22799">
        <w:t xml:space="preserve"> and site-specific; for instance, one of us </w:t>
      </w:r>
      <w:r w:rsidR="005D202A">
        <w:t>(ASC)</w:t>
      </w:r>
      <w:r w:rsidR="00E22799">
        <w:t xml:space="preserve"> has observed incipient cementation of early Holocene coastal dunes in the Wilderness embayment, but this is not necessarily widespread.</w:t>
      </w:r>
    </w:p>
    <w:p w14:paraId="27EDD407" w14:textId="4164E2F6" w:rsidR="00E22799" w:rsidRDefault="00E22799" w:rsidP="006C56EA">
      <w:pPr>
        <w:spacing w:after="0" w:line="276" w:lineRule="auto"/>
      </w:pPr>
      <w:r>
        <w:t xml:space="preserve"> </w:t>
      </w:r>
    </w:p>
    <w:p w14:paraId="0BD0F30F" w14:textId="31F355CE" w:rsidR="004468DD" w:rsidRDefault="00E22799" w:rsidP="006C56EA">
      <w:pPr>
        <w:spacing w:after="0" w:line="276" w:lineRule="auto"/>
      </w:pPr>
      <w:r>
        <w:t>As noted by Mauz and Hoffman (2014)</w:t>
      </w:r>
      <w:r w:rsidR="005D202A">
        <w:t>,</w:t>
      </w:r>
      <w:r>
        <w:t xml:space="preserve"> the results </w:t>
      </w:r>
      <w:r w:rsidR="00CD50A6">
        <w:t>(</w:t>
      </w:r>
      <w:r w:rsidR="00CD50A6" w:rsidRPr="00CD50A6">
        <w:rPr>
          <w:b/>
        </w:rPr>
        <w:t>Table 2</w:t>
      </w:r>
      <w:r w:rsidR="00CD50A6">
        <w:t xml:space="preserve">) </w:t>
      </w:r>
      <w:r>
        <w:t>are relatively insensitive to cementation history scenario, and consistent with Nathan and Mauz (2008), the general tendency is for this model to render the final ages somewhat younger than those derived using standard dose rate calculations. This difference reflects the different energy absorption properties of water and calcium carbonate, and the progressive replacement of the former with the latter (Nathan and Mauz, 2008). For samples Leic2000</w:t>
      </w:r>
      <w:r w:rsidR="005D202A">
        <w:t>3</w:t>
      </w:r>
      <w:r>
        <w:t xml:space="preserve"> and </w:t>
      </w:r>
      <w:r w:rsidR="005D202A">
        <w:t>Leic20024</w:t>
      </w:r>
      <w:r>
        <w:t xml:space="preserve"> the modelled ages, given the measurement uncertainties, do not differ greatly from the initial age calculations, with the samples dating to MIS 5/4 and MIS 5d/5c respectively. For samples </w:t>
      </w:r>
      <w:r w:rsidR="005D202A">
        <w:t>Leic21008</w:t>
      </w:r>
      <w:r>
        <w:t xml:space="preserve">, </w:t>
      </w:r>
      <w:r w:rsidR="005D202A">
        <w:t>Leic20031</w:t>
      </w:r>
      <w:r w:rsidR="007B671F">
        <w:t xml:space="preserve"> and</w:t>
      </w:r>
      <w:r w:rsidR="005D202A">
        <w:t xml:space="preserve"> Leic20027</w:t>
      </w:r>
      <w:r>
        <w:t xml:space="preserve"> the initial ages fall into late MIS 6, a time of relatively low sea level, but the modelled ages place all three samples more firmly into MIS 5e. Given the likely need for a proximal sediment source to form the extensive MIS 5e coastal dune systems on this coastline, the modelled MIS 5e ages are perhaps more geomorphologically plausible. It should be noted that the model addresses the specific case of calcium carbonat</w:t>
      </w:r>
      <w:r w:rsidR="00541F42">
        <w:t>e cement replacing pore water. Other c</w:t>
      </w:r>
      <w:r>
        <w:t>hanges in dose rate due, for example, to U-Series disequilibrium are not addressed in these scenarios.</w:t>
      </w:r>
    </w:p>
    <w:p w14:paraId="0196CB40" w14:textId="77777777" w:rsidR="004468DD" w:rsidRDefault="004468DD" w:rsidP="006C56EA">
      <w:pPr>
        <w:spacing w:after="0" w:line="276" w:lineRule="auto"/>
      </w:pPr>
    </w:p>
    <w:p w14:paraId="110013FE" w14:textId="77777777" w:rsidR="004468DD" w:rsidRDefault="004468DD" w:rsidP="006C56EA">
      <w:pPr>
        <w:spacing w:after="0" w:line="276" w:lineRule="auto"/>
      </w:pPr>
    </w:p>
    <w:p w14:paraId="09B233BF" w14:textId="2F42C4FD" w:rsidR="000859E8" w:rsidRPr="006F4358" w:rsidRDefault="00C82FFC" w:rsidP="00F057AC">
      <w:pPr>
        <w:spacing w:after="0" w:line="276" w:lineRule="auto"/>
        <w:rPr>
          <w:b/>
          <w:sz w:val="24"/>
          <w:szCs w:val="24"/>
        </w:rPr>
      </w:pPr>
      <w:r w:rsidRPr="006F4358">
        <w:rPr>
          <w:b/>
          <w:sz w:val="24"/>
          <w:szCs w:val="24"/>
        </w:rPr>
        <w:t>REFERENCES</w:t>
      </w:r>
    </w:p>
    <w:p w14:paraId="4A4D1149" w14:textId="77777777" w:rsidR="00F057AC" w:rsidRDefault="00F057AC" w:rsidP="00F057AC">
      <w:pPr>
        <w:spacing w:after="0" w:line="276" w:lineRule="auto"/>
      </w:pPr>
    </w:p>
    <w:p w14:paraId="1477CA5B" w14:textId="391F734C" w:rsidR="00ED4E09" w:rsidRDefault="00ED4E09" w:rsidP="006C56EA">
      <w:pPr>
        <w:spacing w:after="0" w:line="276" w:lineRule="auto"/>
      </w:pPr>
      <w:r>
        <w:t xml:space="preserve">Aitken, M.J., 1985. </w:t>
      </w:r>
      <w:r w:rsidRPr="00DC060B">
        <w:rPr>
          <w:i/>
        </w:rPr>
        <w:t>Thermoluminescence Dating</w:t>
      </w:r>
      <w:r>
        <w:t>. Academic Press, London</w:t>
      </w:r>
      <w:r w:rsidR="00DC060B">
        <w:t>,</w:t>
      </w:r>
      <w:r>
        <w:t xml:space="preserve"> 370</w:t>
      </w:r>
      <w:r w:rsidR="00DC060B">
        <w:t xml:space="preserve"> </w:t>
      </w:r>
      <w:r>
        <w:t>p</w:t>
      </w:r>
      <w:r w:rsidR="00DC060B">
        <w:t>p</w:t>
      </w:r>
      <w:r>
        <w:t>.</w:t>
      </w:r>
    </w:p>
    <w:p w14:paraId="529ABFBA" w14:textId="56D9BDDC" w:rsidR="00ED4E09" w:rsidRDefault="00ED4E09" w:rsidP="006C56EA">
      <w:pPr>
        <w:spacing w:after="0" w:line="276" w:lineRule="auto"/>
      </w:pPr>
      <w:r>
        <w:t>Bateman, M.D., Carr, A.S., Dunajko, A.C., Holmes, P.J., Roberts, D.L., McLaren, S.J., Bryant, R.G., Marker, M.E., Murray-Wallace, C.V.</w:t>
      </w:r>
      <w:r w:rsidR="00DC060B">
        <w:t>,</w:t>
      </w:r>
      <w:r>
        <w:t xml:space="preserve"> 2011. The evolution of coastal barrier systems: a case study of the Middle-Late Pleistocene Wilderness barriers, South Africa. </w:t>
      </w:r>
      <w:r w:rsidRPr="00DC060B">
        <w:rPr>
          <w:i/>
        </w:rPr>
        <w:t>Qua</w:t>
      </w:r>
      <w:r w:rsidR="00DC060B" w:rsidRPr="00DC060B">
        <w:rPr>
          <w:i/>
        </w:rPr>
        <w:t>ternary Science Reviews</w:t>
      </w:r>
      <w:r>
        <w:t xml:space="preserve"> </w:t>
      </w:r>
      <w:r w:rsidRPr="00DC060B">
        <w:rPr>
          <w:b/>
        </w:rPr>
        <w:t>30</w:t>
      </w:r>
      <w:r>
        <w:t>, 63–81.</w:t>
      </w:r>
    </w:p>
    <w:p w14:paraId="7FECFE4B" w14:textId="77777777" w:rsidR="00A45DC4" w:rsidRDefault="00A45DC4" w:rsidP="006C56EA">
      <w:pPr>
        <w:spacing w:after="0" w:line="276" w:lineRule="auto"/>
      </w:pPr>
    </w:p>
    <w:p w14:paraId="15BA2507" w14:textId="3EA381DF" w:rsidR="00ED4E09" w:rsidRDefault="00ED4E09" w:rsidP="006C56EA">
      <w:pPr>
        <w:spacing w:after="0" w:line="276" w:lineRule="auto"/>
      </w:pPr>
      <w:r>
        <w:t>Bell, W.T., 1979. Thermoluminescence dating: radiati</w:t>
      </w:r>
      <w:r w:rsidR="00DC060B">
        <w:t>on dose rate data. Archaeometry</w:t>
      </w:r>
      <w:r>
        <w:t xml:space="preserve"> </w:t>
      </w:r>
      <w:r w:rsidRPr="00DC060B">
        <w:rPr>
          <w:b/>
        </w:rPr>
        <w:t>21</w:t>
      </w:r>
      <w:r>
        <w:t xml:space="preserve">,243–246. </w:t>
      </w:r>
    </w:p>
    <w:p w14:paraId="212B4AF2" w14:textId="62B0FA58" w:rsidR="00ED4E09" w:rsidRDefault="00DC060B" w:rsidP="006C56EA">
      <w:pPr>
        <w:spacing w:after="0" w:line="276" w:lineRule="auto"/>
      </w:pPr>
      <w:r>
        <w:t xml:space="preserve">Bøtter-Jensen, L., </w:t>
      </w:r>
      <w:r w:rsidR="00ED4E09">
        <w:t xml:space="preserve">Mejdahl, V., 1988. Assessment of beta dose-rate using a GM multicounter system. </w:t>
      </w:r>
      <w:r w:rsidR="00ED4E09" w:rsidRPr="00DC060B">
        <w:rPr>
          <w:i/>
        </w:rPr>
        <w:t xml:space="preserve">Nuclear Tracks and </w:t>
      </w:r>
      <w:r w:rsidRPr="00DC060B">
        <w:rPr>
          <w:i/>
        </w:rPr>
        <w:t>Radiation Measurements</w:t>
      </w:r>
      <w:r w:rsidR="00ED4E09">
        <w:t xml:space="preserve"> </w:t>
      </w:r>
      <w:r w:rsidR="00ED4E09" w:rsidRPr="00DC060B">
        <w:rPr>
          <w:b/>
        </w:rPr>
        <w:t>14</w:t>
      </w:r>
      <w:r w:rsidR="00ED4E09">
        <w:t>, 187–191</w:t>
      </w:r>
      <w:r w:rsidR="00A45DC4">
        <w:t>.</w:t>
      </w:r>
    </w:p>
    <w:p w14:paraId="3A80F2BD" w14:textId="77777777" w:rsidR="00A45DC4" w:rsidRDefault="00A45DC4" w:rsidP="006C56EA">
      <w:pPr>
        <w:spacing w:after="0" w:line="276" w:lineRule="auto"/>
      </w:pPr>
    </w:p>
    <w:p w14:paraId="14E6F1BF" w14:textId="1A901BA3" w:rsidR="00954E0E" w:rsidRDefault="00954E0E" w:rsidP="006C56EA">
      <w:pPr>
        <w:spacing w:after="0" w:line="276" w:lineRule="auto"/>
      </w:pPr>
      <w:r>
        <w:t>Carr, A.S.</w:t>
      </w:r>
      <w:r w:rsidR="00DC060B">
        <w:t>,</w:t>
      </w:r>
      <w:r>
        <w:t xml:space="preserve"> Bateman, M.D.</w:t>
      </w:r>
      <w:r w:rsidR="00DC060B">
        <w:t>,</w:t>
      </w:r>
      <w:r>
        <w:t xml:space="preserve"> Cawthra, H., Sealy, J.</w:t>
      </w:r>
      <w:r w:rsidR="00DC060B">
        <w:t>,</w:t>
      </w:r>
      <w:r>
        <w:t xml:space="preserve"> 2019. First evidence for on-shore Marine Isotope Stage 3 aeolianite formation on the southern Cape coastline </w:t>
      </w:r>
      <w:r w:rsidR="00DC060B">
        <w:t xml:space="preserve">of South Africa. </w:t>
      </w:r>
      <w:r w:rsidR="00DC060B" w:rsidRPr="00DC060B">
        <w:rPr>
          <w:i/>
        </w:rPr>
        <w:t>Marine Geology</w:t>
      </w:r>
      <w:r>
        <w:t xml:space="preserve"> </w:t>
      </w:r>
      <w:r w:rsidRPr="00DC060B">
        <w:rPr>
          <w:b/>
        </w:rPr>
        <w:t>407</w:t>
      </w:r>
      <w:r>
        <w:t>, 1–15</w:t>
      </w:r>
      <w:r w:rsidR="00A45DC4">
        <w:t>.</w:t>
      </w:r>
    </w:p>
    <w:p w14:paraId="1B4AAB08" w14:textId="77777777" w:rsidR="00A45DC4" w:rsidRDefault="00A45DC4" w:rsidP="006C56EA">
      <w:pPr>
        <w:spacing w:after="0" w:line="276" w:lineRule="auto"/>
      </w:pPr>
    </w:p>
    <w:p w14:paraId="7AD4D8F7" w14:textId="64319C2E" w:rsidR="00ED4E09" w:rsidRDefault="00DC060B" w:rsidP="006C56EA">
      <w:pPr>
        <w:spacing w:after="0" w:line="276" w:lineRule="auto"/>
      </w:pPr>
      <w:r>
        <w:t xml:space="preserve">Cawthra, </w:t>
      </w:r>
      <w:r w:rsidR="00ED4E09">
        <w:t>H.C.; Jacobs, Z.; Compton, J.S.;</w:t>
      </w:r>
      <w:r>
        <w:t xml:space="preserve"> Fisher, E.C.; Karkanas, P., </w:t>
      </w:r>
      <w:r w:rsidR="00ED4E09">
        <w:t>Marean, C.W., 2018. Depositional and sea-level history from MIS 6 (termination II) to MIS3 on the southern continental shelf of South Afr</w:t>
      </w:r>
      <w:r>
        <w:t xml:space="preserve">ica. </w:t>
      </w:r>
      <w:r w:rsidRPr="00DC060B">
        <w:rPr>
          <w:i/>
        </w:rPr>
        <w:t>Quaternary Science Reviews</w:t>
      </w:r>
      <w:r w:rsidR="00ED4E09">
        <w:t xml:space="preserve"> </w:t>
      </w:r>
      <w:r w:rsidR="00ED4E09" w:rsidRPr="00DC060B">
        <w:rPr>
          <w:b/>
        </w:rPr>
        <w:t>181</w:t>
      </w:r>
      <w:r w:rsidR="00ED4E09">
        <w:t>, 156–172.</w:t>
      </w:r>
    </w:p>
    <w:p w14:paraId="4873BDF1" w14:textId="77777777" w:rsidR="00A45DC4" w:rsidRDefault="00A45DC4" w:rsidP="006C56EA">
      <w:pPr>
        <w:spacing w:after="0" w:line="276" w:lineRule="auto"/>
      </w:pPr>
    </w:p>
    <w:p w14:paraId="52947EDB" w14:textId="5617D3DE" w:rsidR="00991DA6" w:rsidRDefault="00991DA6" w:rsidP="006C56EA">
      <w:pPr>
        <w:spacing w:after="0" w:line="276" w:lineRule="auto"/>
      </w:pPr>
      <w:r w:rsidRPr="00991DA6">
        <w:t xml:space="preserve">Clarkson, C., Jacobs, Z., Marwick, B., Fullagar, R., Wallis, L., Smith, M., Roberts, R.G., Hayes, E., Lowe, K., Carah, X. </w:t>
      </w:r>
      <w:r>
        <w:t>Florin, S.A.</w:t>
      </w:r>
      <w:r w:rsidR="00DC060B">
        <w:t>,</w:t>
      </w:r>
      <w:r w:rsidRPr="00991DA6">
        <w:t xml:space="preserve"> 2017. Human occupation of northern Austra</w:t>
      </w:r>
      <w:r>
        <w:t xml:space="preserve">lia by 65,000 years ago. </w:t>
      </w:r>
      <w:r w:rsidRPr="00DC060B">
        <w:rPr>
          <w:i/>
        </w:rPr>
        <w:t>Nature</w:t>
      </w:r>
      <w:r w:rsidRPr="00991DA6">
        <w:t xml:space="preserve"> </w:t>
      </w:r>
      <w:r w:rsidRPr="00DC060B">
        <w:rPr>
          <w:b/>
        </w:rPr>
        <w:t>547</w:t>
      </w:r>
      <w:r>
        <w:t xml:space="preserve">, </w:t>
      </w:r>
      <w:r w:rsidR="00DC060B">
        <w:t>306–</w:t>
      </w:r>
      <w:r w:rsidRPr="00991DA6">
        <w:t>310.</w:t>
      </w:r>
    </w:p>
    <w:p w14:paraId="749D0FCA" w14:textId="77777777" w:rsidR="00A45DC4" w:rsidRDefault="00A45DC4" w:rsidP="006C56EA">
      <w:pPr>
        <w:spacing w:after="0" w:line="276" w:lineRule="auto"/>
      </w:pPr>
    </w:p>
    <w:p w14:paraId="1CC336E5" w14:textId="77777777" w:rsidR="00A45DC4" w:rsidRDefault="00954E0E" w:rsidP="006C56EA">
      <w:pPr>
        <w:spacing w:after="0" w:line="276" w:lineRule="auto"/>
      </w:pPr>
      <w:r>
        <w:t>Cunningham, A.C., Wallinga, J.</w:t>
      </w:r>
      <w:r w:rsidR="00DC060B">
        <w:t>,</w:t>
      </w:r>
      <w:r>
        <w:t xml:space="preserve"> 2010. Selection of integration time intervals for quartz OSL decay c</w:t>
      </w:r>
      <w:r w:rsidR="00DC060B">
        <w:t xml:space="preserve">urves. </w:t>
      </w:r>
      <w:r w:rsidR="00DC060B" w:rsidRPr="00DC060B">
        <w:rPr>
          <w:i/>
        </w:rPr>
        <w:t>Quaternary Geochronology</w:t>
      </w:r>
      <w:r>
        <w:t xml:space="preserve"> </w:t>
      </w:r>
      <w:r w:rsidRPr="00DC060B">
        <w:rPr>
          <w:b/>
        </w:rPr>
        <w:t>5</w:t>
      </w:r>
      <w:r>
        <w:t>, 657–666.</w:t>
      </w:r>
    </w:p>
    <w:p w14:paraId="25D36C9B" w14:textId="081DA705" w:rsidR="00954E0E" w:rsidRDefault="00954E0E" w:rsidP="006C56EA">
      <w:pPr>
        <w:spacing w:after="0" w:line="276" w:lineRule="auto"/>
      </w:pPr>
      <w:r>
        <w:t xml:space="preserve"> </w:t>
      </w:r>
    </w:p>
    <w:p w14:paraId="3AFA3001" w14:textId="6947FC7A" w:rsidR="00E628EB" w:rsidRDefault="00E628EB" w:rsidP="006C56EA">
      <w:pPr>
        <w:spacing w:after="0" w:line="276" w:lineRule="auto"/>
      </w:pPr>
      <w:r>
        <w:t>Duller, G.A.T.</w:t>
      </w:r>
      <w:r w:rsidR="00DC060B">
        <w:t>,</w:t>
      </w:r>
      <w:r w:rsidRPr="00E628EB">
        <w:t xml:space="preserve"> 2003. Distinguishing quartz and feldspar in single grain luminescence measu</w:t>
      </w:r>
      <w:r w:rsidR="00DC060B">
        <w:t xml:space="preserve">rements. </w:t>
      </w:r>
      <w:r w:rsidR="00DC060B" w:rsidRPr="00DC060B">
        <w:rPr>
          <w:i/>
        </w:rPr>
        <w:t>Radiation Measurements</w:t>
      </w:r>
      <w:r w:rsidRPr="00E628EB">
        <w:t xml:space="preserve"> </w:t>
      </w:r>
      <w:r w:rsidRPr="00DC060B">
        <w:rPr>
          <w:b/>
        </w:rPr>
        <w:t>37</w:t>
      </w:r>
      <w:r w:rsidRPr="00E628EB">
        <w:t>, 161–165.</w:t>
      </w:r>
    </w:p>
    <w:p w14:paraId="01A47257" w14:textId="77777777" w:rsidR="00A45DC4" w:rsidRDefault="00A45DC4" w:rsidP="006C56EA">
      <w:pPr>
        <w:spacing w:after="0" w:line="276" w:lineRule="auto"/>
      </w:pPr>
    </w:p>
    <w:p w14:paraId="2B106AF5" w14:textId="6A54D83D" w:rsidR="00954E0E" w:rsidRDefault="00954E0E" w:rsidP="006C56EA">
      <w:pPr>
        <w:spacing w:after="0" w:line="276" w:lineRule="auto"/>
      </w:pPr>
      <w:r>
        <w:t>Duller, G.A.T.</w:t>
      </w:r>
      <w:r w:rsidR="00DC060B">
        <w:t>,</w:t>
      </w:r>
      <w:r>
        <w:t xml:space="preserve"> 2007. Assessing the error on equivalent dose estimates derived from single aliquot regenerative dose measurements. </w:t>
      </w:r>
      <w:r w:rsidRPr="00DC060B">
        <w:rPr>
          <w:i/>
        </w:rPr>
        <w:t>Ancient TL</w:t>
      </w:r>
      <w:r w:rsidR="00DC060B">
        <w:t xml:space="preserve"> </w:t>
      </w:r>
      <w:r w:rsidRPr="00DC060B">
        <w:rPr>
          <w:b/>
        </w:rPr>
        <w:t>25</w:t>
      </w:r>
      <w:r w:rsidR="00DC060B">
        <w:t>, 15–</w:t>
      </w:r>
      <w:r>
        <w:t>24.</w:t>
      </w:r>
    </w:p>
    <w:p w14:paraId="36C6BF44" w14:textId="77777777" w:rsidR="00A45DC4" w:rsidRDefault="00A45DC4" w:rsidP="006C56EA">
      <w:pPr>
        <w:spacing w:after="0" w:line="276" w:lineRule="auto"/>
      </w:pPr>
    </w:p>
    <w:p w14:paraId="2FE4159E" w14:textId="73A8FF11" w:rsidR="00ED4E09" w:rsidRDefault="00ED4E09" w:rsidP="006C56EA">
      <w:pPr>
        <w:spacing w:after="0" w:line="276" w:lineRule="auto"/>
      </w:pPr>
      <w:r>
        <w:t>Galbraith, R.F.; Roberts, R.G.</w:t>
      </w:r>
      <w:r w:rsidR="00DC060B">
        <w:t>; Laslett, G.M.; Yoshida H.,</w:t>
      </w:r>
      <w:r>
        <w:t xml:space="preserve"> Olley, J.M., 1999. Optical dating of single and multiple grains of quartz from Jinmium rock shelter, northern Australia, part 1, Experimental design and s</w:t>
      </w:r>
      <w:r w:rsidR="00DC060B">
        <w:t xml:space="preserve">tatistical models. </w:t>
      </w:r>
      <w:r w:rsidR="00DC060B" w:rsidRPr="00DC060B">
        <w:rPr>
          <w:i/>
        </w:rPr>
        <w:t>Archaeometry</w:t>
      </w:r>
      <w:r>
        <w:t xml:space="preserve"> </w:t>
      </w:r>
      <w:r w:rsidRPr="00DC060B">
        <w:rPr>
          <w:b/>
        </w:rPr>
        <w:t>41</w:t>
      </w:r>
      <w:r>
        <w:t>, 339–364.</w:t>
      </w:r>
    </w:p>
    <w:p w14:paraId="431C7BD0" w14:textId="77777777" w:rsidR="00A45DC4" w:rsidRDefault="00A45DC4" w:rsidP="006C56EA">
      <w:pPr>
        <w:spacing w:after="0" w:line="276" w:lineRule="auto"/>
      </w:pPr>
    </w:p>
    <w:p w14:paraId="5C1E155B" w14:textId="13C8F49D" w:rsidR="00ED4E09" w:rsidRDefault="00DC060B" w:rsidP="006C56EA">
      <w:pPr>
        <w:spacing w:after="0" w:line="276" w:lineRule="auto"/>
      </w:pPr>
      <w:r>
        <w:t>Guérin, G., Mercier, N.,</w:t>
      </w:r>
      <w:r w:rsidR="00ED4E09">
        <w:t xml:space="preserve"> Adamiec, G., 2011 Dose-rate convers</w:t>
      </w:r>
      <w:r>
        <w:t xml:space="preserve">ion factors: update. </w:t>
      </w:r>
      <w:r w:rsidRPr="00DC060B">
        <w:rPr>
          <w:i/>
        </w:rPr>
        <w:t>Ancient TL</w:t>
      </w:r>
      <w:r w:rsidR="00ED4E09">
        <w:t xml:space="preserve"> </w:t>
      </w:r>
      <w:r w:rsidR="00ED4E09" w:rsidRPr="00DC060B">
        <w:rPr>
          <w:b/>
        </w:rPr>
        <w:t>29</w:t>
      </w:r>
      <w:r w:rsidR="00ED4E09">
        <w:t>, 5–8.</w:t>
      </w:r>
    </w:p>
    <w:p w14:paraId="3A9A0E1F" w14:textId="77777777" w:rsidR="00A45DC4" w:rsidRDefault="00A45DC4" w:rsidP="006C56EA">
      <w:pPr>
        <w:spacing w:after="0" w:line="276" w:lineRule="auto"/>
      </w:pPr>
    </w:p>
    <w:p w14:paraId="09261E6D" w14:textId="1F5CE8C7" w:rsidR="00460C61" w:rsidRDefault="00460C61" w:rsidP="006C56EA">
      <w:pPr>
        <w:spacing w:after="0" w:line="276" w:lineRule="auto"/>
        <w:rPr>
          <w:i/>
        </w:rPr>
      </w:pPr>
      <w:r w:rsidRPr="009052DD">
        <w:t>Helm, C.W., Carr, A.S., Cawthra, H.C., De Vynck, J.C., Dixon, M., Stear, W., Stuart, C., Stuart, M., Venter, J.A.</w:t>
      </w:r>
      <w:r w:rsidR="00DC060B">
        <w:t>,</w:t>
      </w:r>
      <w:r w:rsidRPr="009052DD">
        <w:t xml:space="preserve"> </w:t>
      </w:r>
      <w:r>
        <w:t xml:space="preserve">2022 in press. </w:t>
      </w:r>
      <w:r w:rsidRPr="009052DD">
        <w:t xml:space="preserve">Possible Pleistocene pinniped ichnofossils on South Africa’s Cape south coast. </w:t>
      </w:r>
      <w:r w:rsidRPr="009052DD">
        <w:rPr>
          <w:i/>
        </w:rPr>
        <w:t>Journal of Coastal Research.</w:t>
      </w:r>
    </w:p>
    <w:p w14:paraId="1669F153" w14:textId="77777777" w:rsidR="00460C61" w:rsidRPr="009052DD" w:rsidRDefault="00460C61" w:rsidP="006C56EA">
      <w:pPr>
        <w:spacing w:after="0" w:line="276" w:lineRule="auto"/>
        <w:rPr>
          <w:i/>
        </w:rPr>
      </w:pPr>
    </w:p>
    <w:p w14:paraId="4EEFB283" w14:textId="1007BC56" w:rsidR="00991DA6" w:rsidRDefault="00991DA6" w:rsidP="006C56EA">
      <w:pPr>
        <w:spacing w:after="0" w:line="276" w:lineRule="auto"/>
      </w:pPr>
      <w:r>
        <w:t>Jacobs, Z., Duller, G.A.T., Wintle, A.G.</w:t>
      </w:r>
      <w:r w:rsidR="00DC060B">
        <w:t>,</w:t>
      </w:r>
      <w:r>
        <w:t xml:space="preserve"> 2006. Interpretation of single grain D</w:t>
      </w:r>
      <w:r w:rsidRPr="00991DA6">
        <w:rPr>
          <w:vertAlign w:val="subscript"/>
        </w:rPr>
        <w:t>e</w:t>
      </w:r>
      <w:r>
        <w:t xml:space="preserve"> distributions and calculation of D</w:t>
      </w:r>
      <w:r w:rsidRPr="00991DA6">
        <w:rPr>
          <w:vertAlign w:val="subscript"/>
        </w:rPr>
        <w:t>e</w:t>
      </w:r>
      <w:r>
        <w:t xml:space="preserve">. </w:t>
      </w:r>
      <w:r w:rsidRPr="00DC060B">
        <w:rPr>
          <w:i/>
        </w:rPr>
        <w:t>Radiation Measurements</w:t>
      </w:r>
      <w:r>
        <w:t xml:space="preserve"> </w:t>
      </w:r>
      <w:r w:rsidRPr="00DC060B">
        <w:rPr>
          <w:b/>
        </w:rPr>
        <w:t>41</w:t>
      </w:r>
      <w:r w:rsidR="00DC060B">
        <w:t>, 264–</w:t>
      </w:r>
      <w:r>
        <w:t>277</w:t>
      </w:r>
      <w:r w:rsidR="00DC060B">
        <w:t>.</w:t>
      </w:r>
    </w:p>
    <w:p w14:paraId="3376463C" w14:textId="77777777" w:rsidR="00A45DC4" w:rsidRDefault="00A45DC4" w:rsidP="006C56EA">
      <w:pPr>
        <w:spacing w:after="0" w:line="276" w:lineRule="auto"/>
      </w:pPr>
    </w:p>
    <w:p w14:paraId="5CA02521" w14:textId="2D06B049" w:rsidR="00ED4E09" w:rsidRDefault="00DC060B" w:rsidP="006C56EA">
      <w:pPr>
        <w:spacing w:after="0" w:line="276" w:lineRule="auto"/>
      </w:pPr>
      <w:r>
        <w:t>Jacobs, Z.,</w:t>
      </w:r>
      <w:r w:rsidR="00ED4E09" w:rsidRPr="00ED4E09">
        <w:t xml:space="preserve"> Roberts, R.G., 2015. An improved single grain OSL chronology for the sedimentary deposits from Diepkloof Rockshelter, Western Cape, South Africa. </w:t>
      </w:r>
      <w:r w:rsidR="00ED4E09" w:rsidRPr="00DC060B">
        <w:rPr>
          <w:i/>
        </w:rPr>
        <w:t>Journal of Archaeological Science</w:t>
      </w:r>
      <w:r w:rsidR="00ED4E09" w:rsidRPr="00ED4E09">
        <w:t xml:space="preserve"> </w:t>
      </w:r>
      <w:r w:rsidR="00ED4E09" w:rsidRPr="00DC060B">
        <w:rPr>
          <w:b/>
        </w:rPr>
        <w:t>63</w:t>
      </w:r>
      <w:r w:rsidR="00ED4E09" w:rsidRPr="00ED4E09">
        <w:t>, 175–192.</w:t>
      </w:r>
    </w:p>
    <w:p w14:paraId="5B712CAF" w14:textId="77777777" w:rsidR="00A45DC4" w:rsidRDefault="00A45DC4" w:rsidP="006C56EA">
      <w:pPr>
        <w:spacing w:after="0" w:line="276" w:lineRule="auto"/>
      </w:pPr>
    </w:p>
    <w:p w14:paraId="53698A7A" w14:textId="69DEBF7A" w:rsidR="00DC060B" w:rsidRDefault="00DC060B" w:rsidP="006C56EA">
      <w:pPr>
        <w:spacing w:after="0" w:line="276" w:lineRule="auto"/>
      </w:pPr>
      <w:r>
        <w:t>Jacobs, Z</w:t>
      </w:r>
      <w:r w:rsidR="004B0BC1">
        <w:t>., Wintle, A.G., Duller, G.A.T.</w:t>
      </w:r>
      <w:r>
        <w:t xml:space="preserve"> 2003. Optical dating of dune sand from Blombos Cave, South Africa: I</w:t>
      </w:r>
      <w:r w:rsidR="004B0BC1">
        <w:t xml:space="preserve"> - </w:t>
      </w:r>
      <w:r>
        <w:t xml:space="preserve">multiple grain data. </w:t>
      </w:r>
      <w:r w:rsidRPr="00DC060B">
        <w:rPr>
          <w:i/>
        </w:rPr>
        <w:t>Journal of Human Evolution</w:t>
      </w:r>
      <w:r>
        <w:t xml:space="preserve"> </w:t>
      </w:r>
      <w:r w:rsidRPr="00DC060B">
        <w:rPr>
          <w:b/>
        </w:rPr>
        <w:t>44</w:t>
      </w:r>
      <w:r>
        <w:t>, 599–612.</w:t>
      </w:r>
    </w:p>
    <w:p w14:paraId="1FCC1AF4" w14:textId="77777777" w:rsidR="00A45DC4" w:rsidRDefault="00A45DC4" w:rsidP="006C56EA">
      <w:pPr>
        <w:spacing w:after="0" w:line="276" w:lineRule="auto"/>
      </w:pPr>
    </w:p>
    <w:p w14:paraId="30DB1EA7" w14:textId="7D8B7939" w:rsidR="00DC060B" w:rsidRDefault="00DC060B" w:rsidP="006C56EA">
      <w:pPr>
        <w:spacing w:after="0" w:line="276" w:lineRule="auto"/>
        <w:rPr>
          <w:rStyle w:val="Hyperlink"/>
        </w:rPr>
      </w:pPr>
      <w:r>
        <w:t xml:space="preserve">Kreutzer, S., Burow, C., Dietze, M., Fuchs, M., Schmidt, C., Fischer, M., Friedrich, J., Mercier, N., Philippe, A., Riedesel, S., Autzen, M., Mittelstrass, D., Gray, H., Galharret, J., 2022. Luminescence: </w:t>
      </w:r>
      <w:r>
        <w:lastRenderedPageBreak/>
        <w:t xml:space="preserve">Comprehensive Luminescence Dating Data Analysis. R package version 0.9.19, </w:t>
      </w:r>
      <w:hyperlink r:id="rId9" w:history="1">
        <w:r w:rsidRPr="00FC063C">
          <w:rPr>
            <w:rStyle w:val="Hyperlink"/>
          </w:rPr>
          <w:t>https://CRAN.R-project.org/package=Luminescence</w:t>
        </w:r>
      </w:hyperlink>
    </w:p>
    <w:p w14:paraId="1E20EF03" w14:textId="77777777" w:rsidR="004B53D8" w:rsidRDefault="004B53D8" w:rsidP="006C56EA">
      <w:pPr>
        <w:spacing w:after="0" w:line="276" w:lineRule="auto"/>
      </w:pPr>
    </w:p>
    <w:p w14:paraId="14F656D1" w14:textId="7C839B9C" w:rsidR="004B53D8" w:rsidRDefault="004B53D8" w:rsidP="004B53D8">
      <w:pPr>
        <w:spacing w:after="0" w:line="276" w:lineRule="auto"/>
      </w:pPr>
      <w:r w:rsidRPr="004B0BC1">
        <w:t>Kreutzer</w:t>
      </w:r>
      <w:r>
        <w:t>,</w:t>
      </w:r>
      <w:r w:rsidRPr="004B0BC1">
        <w:t xml:space="preserve"> S</w:t>
      </w:r>
      <w:r>
        <w:t>.</w:t>
      </w:r>
      <w:r w:rsidRPr="004B0BC1">
        <w:t>, Nat</w:t>
      </w:r>
      <w:r>
        <w:t xml:space="preserve">han ,R., Mauz, B. </w:t>
      </w:r>
      <w:r w:rsidRPr="004B0BC1">
        <w:t xml:space="preserve">2022. RCarb: Dose Rate Modelling of Carbonate-Rich Samples. R package version 0.1.5, </w:t>
      </w:r>
      <w:hyperlink r:id="rId10" w:history="1">
        <w:r w:rsidRPr="00594509">
          <w:rPr>
            <w:rStyle w:val="Hyperlink"/>
          </w:rPr>
          <w:t>https://CRAN.R-project.org/package=RCarb</w:t>
        </w:r>
      </w:hyperlink>
    </w:p>
    <w:p w14:paraId="5CDF9C43" w14:textId="77777777" w:rsidR="00A45DC4" w:rsidRDefault="00A45DC4" w:rsidP="006C56EA">
      <w:pPr>
        <w:spacing w:after="0" w:line="276" w:lineRule="auto"/>
      </w:pPr>
    </w:p>
    <w:p w14:paraId="252C7EAE" w14:textId="0EF952F7" w:rsidR="00ED4E09" w:rsidRDefault="00ED4E09" w:rsidP="006C56EA">
      <w:pPr>
        <w:spacing w:after="0" w:line="276" w:lineRule="auto"/>
      </w:pPr>
      <w:r>
        <w:t>Kreutzer, S., Schmidt, C., Fuchs, M.C., Dietze, M., Fischer, M., Fuchs, M. 2012. Introducing an R package for luminesc</w:t>
      </w:r>
      <w:r w:rsidR="00DC060B">
        <w:t xml:space="preserve">ence dating analysis. </w:t>
      </w:r>
      <w:r w:rsidR="00DC060B" w:rsidRPr="00DC060B">
        <w:rPr>
          <w:i/>
        </w:rPr>
        <w:t>Ancient TL</w:t>
      </w:r>
      <w:r>
        <w:t xml:space="preserve"> </w:t>
      </w:r>
      <w:r w:rsidRPr="00DC060B">
        <w:rPr>
          <w:b/>
        </w:rPr>
        <w:t>30</w:t>
      </w:r>
      <w:r>
        <w:t>, 1-8.</w:t>
      </w:r>
    </w:p>
    <w:p w14:paraId="097A97FA" w14:textId="77777777" w:rsidR="00A45DC4" w:rsidRDefault="00A45DC4" w:rsidP="006C56EA">
      <w:pPr>
        <w:spacing w:after="0" w:line="276" w:lineRule="auto"/>
      </w:pPr>
    </w:p>
    <w:p w14:paraId="311D1AEE" w14:textId="4B781BAD" w:rsidR="005C69B1" w:rsidRDefault="005C69B1" w:rsidP="006C56EA">
      <w:pPr>
        <w:spacing w:after="0" w:line="276" w:lineRule="auto"/>
      </w:pPr>
      <w:r>
        <w:t xml:space="preserve">Mauz, B., Hoffmann, D., 2014. What to do when carbonate replaced water: Carb, the model for estimating the dose rate of carbonate-rich samples. </w:t>
      </w:r>
      <w:r w:rsidRPr="005C69B1">
        <w:rPr>
          <w:i/>
        </w:rPr>
        <w:t>Ancient TL</w:t>
      </w:r>
      <w:r>
        <w:t xml:space="preserve"> </w:t>
      </w:r>
      <w:r w:rsidRPr="005C69B1">
        <w:rPr>
          <w:b/>
        </w:rPr>
        <w:t>32</w:t>
      </w:r>
      <w:r>
        <w:t>, 24–32.</w:t>
      </w:r>
    </w:p>
    <w:p w14:paraId="3F24F8EF" w14:textId="77777777" w:rsidR="00A45DC4" w:rsidRDefault="00A45DC4" w:rsidP="006C56EA">
      <w:pPr>
        <w:spacing w:after="0" w:line="276" w:lineRule="auto"/>
      </w:pPr>
    </w:p>
    <w:p w14:paraId="485EC207" w14:textId="06BBD570" w:rsidR="00ED4E09" w:rsidRDefault="00ED4E09" w:rsidP="006C56EA">
      <w:pPr>
        <w:spacing w:after="0" w:line="276" w:lineRule="auto"/>
      </w:pPr>
      <w:r>
        <w:t>Mejdahl, V., 1979</w:t>
      </w:r>
      <w:r w:rsidR="005C69B1">
        <w:t>.</w:t>
      </w:r>
      <w:r>
        <w:t xml:space="preserve"> Thermoluminescence dating - Beta-dose attenuation</w:t>
      </w:r>
      <w:r w:rsidR="005C69B1">
        <w:t xml:space="preserve"> in quartz grains. </w:t>
      </w:r>
      <w:r w:rsidR="005C69B1" w:rsidRPr="005C69B1">
        <w:rPr>
          <w:i/>
        </w:rPr>
        <w:t>Archaeometry</w:t>
      </w:r>
      <w:r>
        <w:t xml:space="preserve"> </w:t>
      </w:r>
      <w:r w:rsidRPr="00763DDD">
        <w:rPr>
          <w:b/>
        </w:rPr>
        <w:t>21</w:t>
      </w:r>
      <w:r>
        <w:t>, 61–72.</w:t>
      </w:r>
    </w:p>
    <w:p w14:paraId="086EBBA0" w14:textId="77777777" w:rsidR="00A45DC4" w:rsidRDefault="00A45DC4" w:rsidP="006C56EA">
      <w:pPr>
        <w:spacing w:after="0" w:line="276" w:lineRule="auto"/>
      </w:pPr>
    </w:p>
    <w:p w14:paraId="03B30F60" w14:textId="59CAA964" w:rsidR="00954E0E" w:rsidRDefault="00954E0E" w:rsidP="006C56EA">
      <w:pPr>
        <w:spacing w:after="0" w:line="276" w:lineRule="auto"/>
      </w:pPr>
      <w:r>
        <w:t xml:space="preserve">Murray, A.S., </w:t>
      </w:r>
      <w:r w:rsidR="002D6EDB">
        <w:t>Wintle, A.G.</w:t>
      </w:r>
      <w:r w:rsidR="005C69B1">
        <w:t>,</w:t>
      </w:r>
      <w:r>
        <w:t xml:space="preserve"> 2000. Luminescence dating of quartz using an improved single-aliquot regenerative-dose protocol. </w:t>
      </w:r>
      <w:r w:rsidRPr="005C69B1">
        <w:rPr>
          <w:i/>
        </w:rPr>
        <w:t>Radiation Measurements</w:t>
      </w:r>
      <w:r>
        <w:t xml:space="preserve"> </w:t>
      </w:r>
      <w:r w:rsidRPr="005C69B1">
        <w:rPr>
          <w:b/>
        </w:rPr>
        <w:t>32</w:t>
      </w:r>
      <w:r>
        <w:t>, 57–73.</w:t>
      </w:r>
    </w:p>
    <w:p w14:paraId="1B209197" w14:textId="77777777" w:rsidR="00A45DC4" w:rsidRDefault="00A45DC4" w:rsidP="006C56EA">
      <w:pPr>
        <w:spacing w:after="0" w:line="276" w:lineRule="auto"/>
      </w:pPr>
    </w:p>
    <w:p w14:paraId="07617DD1" w14:textId="55742954" w:rsidR="00954E0E" w:rsidRDefault="005C69B1" w:rsidP="006C56EA">
      <w:pPr>
        <w:spacing w:after="0" w:line="276" w:lineRule="auto"/>
      </w:pPr>
      <w:r>
        <w:t xml:space="preserve">Murray, A.S., </w:t>
      </w:r>
      <w:r w:rsidR="002D6EDB">
        <w:t>Wintle, A.G.</w:t>
      </w:r>
      <w:r>
        <w:t>,</w:t>
      </w:r>
      <w:r w:rsidR="00954E0E">
        <w:t xml:space="preserve"> 2003. The single-aliquot regenerative-dose protocol: potential for improvements in reliability. </w:t>
      </w:r>
      <w:r w:rsidR="00954E0E" w:rsidRPr="005C69B1">
        <w:rPr>
          <w:i/>
        </w:rPr>
        <w:t>Radiation Measurements</w:t>
      </w:r>
      <w:r w:rsidR="00954E0E">
        <w:t xml:space="preserve"> </w:t>
      </w:r>
      <w:r w:rsidR="00954E0E" w:rsidRPr="005C69B1">
        <w:rPr>
          <w:b/>
        </w:rPr>
        <w:t>37</w:t>
      </w:r>
      <w:r w:rsidR="00954E0E">
        <w:t>, 377–381.</w:t>
      </w:r>
    </w:p>
    <w:p w14:paraId="4B7E04A1" w14:textId="77777777" w:rsidR="00A45DC4" w:rsidRDefault="00A45DC4" w:rsidP="006C56EA">
      <w:pPr>
        <w:spacing w:after="0" w:line="276" w:lineRule="auto"/>
      </w:pPr>
    </w:p>
    <w:p w14:paraId="42246749" w14:textId="1B213FCB" w:rsidR="00ED4E09" w:rsidRDefault="005C69B1" w:rsidP="006C56EA">
      <w:pPr>
        <w:spacing w:after="0" w:line="276" w:lineRule="auto"/>
      </w:pPr>
      <w:r>
        <w:t xml:space="preserve">Nathan, R.P., </w:t>
      </w:r>
      <w:r w:rsidR="00ED4E09">
        <w:t xml:space="preserve">Mauz, B., 2008. On the dose-rate estimate of carbonate-rich sediments for trapped charge dating. </w:t>
      </w:r>
      <w:r w:rsidR="00ED4E09" w:rsidRPr="005C69B1">
        <w:rPr>
          <w:i/>
        </w:rPr>
        <w:t>Radiation Measurements</w:t>
      </w:r>
      <w:r w:rsidR="00ED4E09">
        <w:t xml:space="preserve"> </w:t>
      </w:r>
      <w:r w:rsidR="00ED4E09" w:rsidRPr="005C69B1">
        <w:rPr>
          <w:b/>
        </w:rPr>
        <w:t>43</w:t>
      </w:r>
      <w:r w:rsidR="00ED4E09">
        <w:t>, 14–25.</w:t>
      </w:r>
    </w:p>
    <w:p w14:paraId="3C8465DC" w14:textId="77777777" w:rsidR="00A45DC4" w:rsidRDefault="00A45DC4" w:rsidP="006C56EA">
      <w:pPr>
        <w:spacing w:after="0" w:line="276" w:lineRule="auto"/>
      </w:pPr>
    </w:p>
    <w:p w14:paraId="099B2361" w14:textId="32476B7A" w:rsidR="00ED4E09" w:rsidRDefault="005C69B1" w:rsidP="006C56EA">
      <w:pPr>
        <w:spacing w:after="0" w:line="276" w:lineRule="auto"/>
      </w:pPr>
      <w:r>
        <w:t>Prescott, J.R.,</w:t>
      </w:r>
      <w:r w:rsidR="00ED4E09">
        <w:t xml:space="preserve"> Hutton, J.T., 1994. Cosmic ray contributions to dose rates for luminescence and ESR dating: large depths and long-term var</w:t>
      </w:r>
      <w:r>
        <w:t xml:space="preserve">iations. </w:t>
      </w:r>
      <w:r w:rsidRPr="005C69B1">
        <w:rPr>
          <w:i/>
        </w:rPr>
        <w:t>Radiation Measurements</w:t>
      </w:r>
      <w:r w:rsidR="00ED4E09">
        <w:t xml:space="preserve"> </w:t>
      </w:r>
      <w:r w:rsidR="00ED4E09" w:rsidRPr="005C69B1">
        <w:rPr>
          <w:b/>
        </w:rPr>
        <w:t>23</w:t>
      </w:r>
      <w:r w:rsidR="00ED4E09">
        <w:t>, 497–500.</w:t>
      </w:r>
    </w:p>
    <w:p w14:paraId="3E448CCD" w14:textId="77777777" w:rsidR="00A45DC4" w:rsidRDefault="00A45DC4" w:rsidP="006C56EA">
      <w:pPr>
        <w:spacing w:after="0" w:line="276" w:lineRule="auto"/>
      </w:pPr>
    </w:p>
    <w:p w14:paraId="66DA732E" w14:textId="1BE13CFF" w:rsidR="00A45DC4" w:rsidRDefault="00ED4E09" w:rsidP="006C56EA">
      <w:pPr>
        <w:spacing w:after="0" w:line="276" w:lineRule="auto"/>
      </w:pPr>
      <w:r>
        <w:t>Roberts, D.L, Bateman, M.D. Murray-Wallace, C.V. Carr, A.S. Holmes, P.J.</w:t>
      </w:r>
      <w:r w:rsidR="005C69B1">
        <w:t>,</w:t>
      </w:r>
      <w:r>
        <w:t xml:space="preserve"> 2008. Last interglacial fossil elephant trackways dated by OSL/AAR in coastal aeolianites, Still Bay, South Africa. </w:t>
      </w:r>
    </w:p>
    <w:p w14:paraId="1FA8FB22" w14:textId="65819C54" w:rsidR="00ED4E09" w:rsidRDefault="00ED4E09" w:rsidP="006C56EA">
      <w:pPr>
        <w:spacing w:after="0" w:line="276" w:lineRule="auto"/>
      </w:pPr>
      <w:r w:rsidRPr="005C69B1">
        <w:rPr>
          <w:i/>
        </w:rPr>
        <w:t>Palaeogeography, P</w:t>
      </w:r>
      <w:r w:rsidR="005C69B1" w:rsidRPr="005C69B1">
        <w:rPr>
          <w:i/>
        </w:rPr>
        <w:t>alaeoclimatology, Palaeoecology</w:t>
      </w:r>
      <w:r>
        <w:t xml:space="preserve"> </w:t>
      </w:r>
      <w:r w:rsidRPr="005C69B1">
        <w:rPr>
          <w:b/>
        </w:rPr>
        <w:t>257</w:t>
      </w:r>
      <w:r>
        <w:t>, 261–279.</w:t>
      </w:r>
    </w:p>
    <w:p w14:paraId="2AEDD1FD" w14:textId="77777777" w:rsidR="00A45DC4" w:rsidRDefault="00A45DC4" w:rsidP="006C56EA">
      <w:pPr>
        <w:spacing w:after="0" w:line="276" w:lineRule="auto"/>
      </w:pPr>
    </w:p>
    <w:p w14:paraId="30B7185A" w14:textId="0E4399B3" w:rsidR="00ED4E09" w:rsidRDefault="00ED4E09" w:rsidP="006C56EA">
      <w:pPr>
        <w:spacing w:after="0" w:line="276" w:lineRule="auto"/>
      </w:pPr>
      <w:r>
        <w:t>Vermeesch, P.</w:t>
      </w:r>
      <w:r w:rsidR="005C69B1">
        <w:t>, 2009.</w:t>
      </w:r>
      <w:r>
        <w:t xml:space="preserve"> RadialPlotter: a Java application for fission track, luminescence and other radial plots. </w:t>
      </w:r>
      <w:r w:rsidRPr="005C69B1">
        <w:rPr>
          <w:i/>
        </w:rPr>
        <w:t>Radiation Measurements</w:t>
      </w:r>
      <w:r>
        <w:t xml:space="preserve"> </w:t>
      </w:r>
      <w:r w:rsidRPr="005C69B1">
        <w:rPr>
          <w:b/>
        </w:rPr>
        <w:t>44</w:t>
      </w:r>
      <w:r w:rsidR="005C69B1">
        <w:t>, 409–</w:t>
      </w:r>
      <w:r>
        <w:t>41</w:t>
      </w:r>
      <w:r w:rsidR="005C69B1">
        <w:t>.</w:t>
      </w:r>
    </w:p>
    <w:p w14:paraId="009DA39A" w14:textId="77777777" w:rsidR="00A45DC4" w:rsidRDefault="00A45DC4" w:rsidP="006C56EA">
      <w:pPr>
        <w:spacing w:after="0" w:line="276" w:lineRule="auto"/>
      </w:pPr>
    </w:p>
    <w:p w14:paraId="7B2DF5BB" w14:textId="19EDAEE4" w:rsidR="00954E0E" w:rsidRDefault="00954E0E" w:rsidP="006C56EA">
      <w:pPr>
        <w:spacing w:after="0" w:line="276" w:lineRule="auto"/>
      </w:pPr>
      <w:r>
        <w:t xml:space="preserve">Wintle, A.G., </w:t>
      </w:r>
      <w:r w:rsidR="002D6EDB">
        <w:t>Murray, A.S.</w:t>
      </w:r>
      <w:r w:rsidR="005C69B1">
        <w:t>,</w:t>
      </w:r>
      <w:r>
        <w:t xml:space="preserve"> 2006. A review of quartz optically stimulated luminescence characteristics and their relevance in single-aliquot regeneration dating pr</w:t>
      </w:r>
      <w:r w:rsidR="005C69B1">
        <w:t xml:space="preserve">otocols. </w:t>
      </w:r>
      <w:r w:rsidR="005C69B1" w:rsidRPr="005C69B1">
        <w:rPr>
          <w:i/>
        </w:rPr>
        <w:t>Radiation Measurements</w:t>
      </w:r>
      <w:r>
        <w:t xml:space="preserve"> </w:t>
      </w:r>
      <w:r w:rsidRPr="005C69B1">
        <w:rPr>
          <w:b/>
        </w:rPr>
        <w:t>41</w:t>
      </w:r>
      <w:r>
        <w:t>, 369–391.</w:t>
      </w:r>
    </w:p>
    <w:p w14:paraId="2D38FA40" w14:textId="77777777" w:rsidR="00F47DC9" w:rsidRDefault="00F47DC9" w:rsidP="006C56EA">
      <w:pPr>
        <w:spacing w:after="0" w:line="276" w:lineRule="auto"/>
      </w:pPr>
    </w:p>
    <w:p w14:paraId="7DE531B4" w14:textId="77777777" w:rsidR="00F47DC9" w:rsidRDefault="00F47DC9" w:rsidP="006C56EA">
      <w:pPr>
        <w:spacing w:line="276" w:lineRule="auto"/>
      </w:pPr>
    </w:p>
    <w:p w14:paraId="5CB0B908" w14:textId="1E8A1C8E" w:rsidR="00F47DC9" w:rsidRDefault="00F47DC9" w:rsidP="006C56EA">
      <w:pPr>
        <w:spacing w:line="276" w:lineRule="auto"/>
        <w:sectPr w:rsidR="00F47DC9" w:rsidSect="00F5689F">
          <w:footerReference w:type="default" r:id="rId11"/>
          <w:type w:val="continuous"/>
          <w:pgSz w:w="11906" w:h="16838"/>
          <w:pgMar w:top="1440" w:right="1440" w:bottom="1440" w:left="1440" w:header="708" w:footer="708" w:gutter="0"/>
          <w:lnNumType w:countBy="1" w:restart="continuous"/>
          <w:cols w:space="708"/>
          <w:docGrid w:linePitch="360"/>
        </w:sectPr>
      </w:pPr>
    </w:p>
    <w:p w14:paraId="1223B1E0" w14:textId="4597DB32" w:rsidR="008B3FA9" w:rsidRDefault="00F47DC9" w:rsidP="006C56EA">
      <w:pPr>
        <w:spacing w:after="0" w:line="276" w:lineRule="auto"/>
      </w:pPr>
      <w:r w:rsidRPr="00E44EFF">
        <w:rPr>
          <w:b/>
        </w:rPr>
        <w:lastRenderedPageBreak/>
        <w:t xml:space="preserve">Table </w:t>
      </w:r>
      <w:r>
        <w:rPr>
          <w:b/>
        </w:rPr>
        <w:t>1</w:t>
      </w:r>
      <w:r w:rsidR="004468DD">
        <w:t>.</w:t>
      </w:r>
      <w:r>
        <w:t xml:space="preserve"> Details of the equivalent dose determinations and the sample ages. The measured water contents were obtained in the laboratory after sampling, shipping and prolonged storage (due to Covid 19) and are not considered representative of the likely average water content during burial (a value of 3 </w:t>
      </w:r>
      <w:r>
        <w:rPr>
          <w:rFonts w:cstheme="minorHAnsi"/>
        </w:rPr>
        <w:t>±</w:t>
      </w:r>
      <w:r>
        <w:t xml:space="preserve"> 3 % was applied for dose rate calculation; see also Helm et al.</w:t>
      </w:r>
      <w:r w:rsidR="00FD099D">
        <w:t>,</w:t>
      </w:r>
      <w:r>
        <w:t xml:space="preserve"> 2022</w:t>
      </w:r>
      <w:r w:rsidR="00460C61">
        <w:t xml:space="preserve"> in press</w:t>
      </w:r>
      <w:r>
        <w:t xml:space="preserve">). </w:t>
      </w:r>
    </w:p>
    <w:tbl>
      <w:tblPr>
        <w:tblStyle w:val="TableGrid"/>
        <w:tblpPr w:leftFromText="180" w:rightFromText="180" w:vertAnchor="page" w:horzAnchor="margin" w:tblpY="3226"/>
        <w:tblW w:w="12365" w:type="dxa"/>
        <w:tblLayout w:type="fixed"/>
        <w:tblLook w:val="04A0" w:firstRow="1" w:lastRow="0" w:firstColumn="1" w:lastColumn="0" w:noHBand="0" w:noVBand="1"/>
      </w:tblPr>
      <w:tblGrid>
        <w:gridCol w:w="1527"/>
        <w:gridCol w:w="915"/>
        <w:gridCol w:w="1276"/>
        <w:gridCol w:w="1418"/>
        <w:gridCol w:w="1134"/>
        <w:gridCol w:w="1275"/>
        <w:gridCol w:w="1418"/>
        <w:gridCol w:w="850"/>
        <w:gridCol w:w="1276"/>
        <w:gridCol w:w="1276"/>
      </w:tblGrid>
      <w:tr w:rsidR="007B671F" w14:paraId="3C9718CC" w14:textId="77777777" w:rsidTr="00D25A10">
        <w:tc>
          <w:tcPr>
            <w:tcW w:w="1527" w:type="dxa"/>
            <w:vAlign w:val="center"/>
          </w:tcPr>
          <w:p w14:paraId="17A7FBA8" w14:textId="11E17A76" w:rsidR="007B671F" w:rsidRPr="00C80DA4" w:rsidRDefault="007B671F" w:rsidP="006C56EA">
            <w:pPr>
              <w:spacing w:line="276" w:lineRule="auto"/>
              <w:rPr>
                <w:b/>
              </w:rPr>
            </w:pPr>
            <w:r w:rsidRPr="00C80DA4">
              <w:rPr>
                <w:b/>
              </w:rPr>
              <w:t>Lab code</w:t>
            </w:r>
          </w:p>
        </w:tc>
        <w:tc>
          <w:tcPr>
            <w:tcW w:w="915" w:type="dxa"/>
            <w:vAlign w:val="center"/>
          </w:tcPr>
          <w:p w14:paraId="226E0A6A" w14:textId="77777777" w:rsidR="007B671F" w:rsidRPr="00C80DA4" w:rsidRDefault="007B671F" w:rsidP="006C56EA">
            <w:pPr>
              <w:spacing w:line="276" w:lineRule="auto"/>
              <w:rPr>
                <w:b/>
              </w:rPr>
            </w:pPr>
            <w:r>
              <w:rPr>
                <w:b/>
              </w:rPr>
              <w:t>B</w:t>
            </w:r>
            <w:r w:rsidRPr="00C80DA4">
              <w:rPr>
                <w:b/>
              </w:rPr>
              <w:t>urial depth</w:t>
            </w:r>
            <w:r>
              <w:rPr>
                <w:b/>
              </w:rPr>
              <w:t xml:space="preserve"> (m)</w:t>
            </w:r>
          </w:p>
        </w:tc>
        <w:tc>
          <w:tcPr>
            <w:tcW w:w="1276" w:type="dxa"/>
            <w:vAlign w:val="center"/>
          </w:tcPr>
          <w:p w14:paraId="729248B1" w14:textId="77777777" w:rsidR="007B671F" w:rsidRPr="00C80DA4" w:rsidRDefault="007B671F" w:rsidP="006C56EA">
            <w:pPr>
              <w:spacing w:line="276" w:lineRule="auto"/>
              <w:rPr>
                <w:b/>
              </w:rPr>
            </w:pPr>
            <w:r w:rsidRPr="00C80DA4">
              <w:rPr>
                <w:b/>
              </w:rPr>
              <w:t>Measured water content</w:t>
            </w:r>
            <w:r>
              <w:rPr>
                <w:b/>
              </w:rPr>
              <w:t xml:space="preserve"> (%)</w:t>
            </w:r>
          </w:p>
        </w:tc>
        <w:tc>
          <w:tcPr>
            <w:tcW w:w="1418" w:type="dxa"/>
            <w:vAlign w:val="center"/>
          </w:tcPr>
          <w:p w14:paraId="70FB9360" w14:textId="77777777" w:rsidR="007B671F" w:rsidRPr="00C80DA4" w:rsidRDefault="007B671F" w:rsidP="006C56EA">
            <w:pPr>
              <w:spacing w:line="276" w:lineRule="auto"/>
              <w:rPr>
                <w:b/>
              </w:rPr>
            </w:pPr>
            <w:r w:rsidRPr="00C80DA4">
              <w:rPr>
                <w:b/>
              </w:rPr>
              <w:t>Applied water content</w:t>
            </w:r>
            <w:r>
              <w:rPr>
                <w:b/>
              </w:rPr>
              <w:t xml:space="preserve"> (%)</w:t>
            </w:r>
          </w:p>
        </w:tc>
        <w:tc>
          <w:tcPr>
            <w:tcW w:w="1134" w:type="dxa"/>
            <w:vAlign w:val="center"/>
          </w:tcPr>
          <w:p w14:paraId="7E51CB6C" w14:textId="77777777" w:rsidR="007B671F" w:rsidRPr="00C80DA4" w:rsidRDefault="007B671F" w:rsidP="006C56EA">
            <w:pPr>
              <w:spacing w:line="276" w:lineRule="auto"/>
              <w:rPr>
                <w:b/>
              </w:rPr>
            </w:pPr>
            <w:r w:rsidRPr="00C80DA4">
              <w:rPr>
                <w:b/>
              </w:rPr>
              <w:t xml:space="preserve">Grain size </w:t>
            </w:r>
            <w:r>
              <w:rPr>
                <w:b/>
              </w:rPr>
              <w:t>(</w:t>
            </w:r>
            <w:r>
              <w:rPr>
                <w:rFonts w:cstheme="minorHAnsi"/>
                <w:b/>
              </w:rPr>
              <w:t>µ</w:t>
            </w:r>
            <w:r>
              <w:rPr>
                <w:b/>
              </w:rPr>
              <w:t>m)</w:t>
            </w:r>
          </w:p>
        </w:tc>
        <w:tc>
          <w:tcPr>
            <w:tcW w:w="1275" w:type="dxa"/>
            <w:vAlign w:val="center"/>
          </w:tcPr>
          <w:p w14:paraId="22F5F0B0" w14:textId="77777777" w:rsidR="007B671F" w:rsidRPr="00C80DA4" w:rsidRDefault="007B671F" w:rsidP="006C56EA">
            <w:pPr>
              <w:spacing w:line="276" w:lineRule="auto"/>
              <w:rPr>
                <w:b/>
              </w:rPr>
            </w:pPr>
            <w:r w:rsidRPr="00C80DA4">
              <w:rPr>
                <w:b/>
              </w:rPr>
              <w:t xml:space="preserve">Aliquots </w:t>
            </w:r>
            <w:r>
              <w:rPr>
                <w:b/>
              </w:rPr>
              <w:t>accepted</w:t>
            </w:r>
            <w:r w:rsidRPr="00C80DA4">
              <w:rPr>
                <w:b/>
              </w:rPr>
              <w:t xml:space="preserve"> / </w:t>
            </w:r>
            <w:r>
              <w:rPr>
                <w:b/>
              </w:rPr>
              <w:t>measured</w:t>
            </w:r>
          </w:p>
        </w:tc>
        <w:tc>
          <w:tcPr>
            <w:tcW w:w="1418" w:type="dxa"/>
            <w:vAlign w:val="center"/>
          </w:tcPr>
          <w:p w14:paraId="501F4C8E" w14:textId="77777777" w:rsidR="007B671F" w:rsidRPr="00C80DA4" w:rsidRDefault="007B671F" w:rsidP="006C56EA">
            <w:pPr>
              <w:spacing w:line="276" w:lineRule="auto"/>
              <w:rPr>
                <w:b/>
              </w:rPr>
            </w:pPr>
            <w:r w:rsidRPr="00C80DA4">
              <w:rPr>
                <w:b/>
              </w:rPr>
              <w:t>CAM D</w:t>
            </w:r>
            <w:r w:rsidRPr="00C80DA4">
              <w:rPr>
                <w:b/>
                <w:vertAlign w:val="subscript"/>
              </w:rPr>
              <w:t>e</w:t>
            </w:r>
            <w:r w:rsidRPr="00C80DA4">
              <w:rPr>
                <w:b/>
              </w:rPr>
              <w:t xml:space="preserve"> (Gy)</w:t>
            </w:r>
          </w:p>
        </w:tc>
        <w:tc>
          <w:tcPr>
            <w:tcW w:w="850" w:type="dxa"/>
            <w:vAlign w:val="center"/>
          </w:tcPr>
          <w:p w14:paraId="5BC8BB67" w14:textId="77777777" w:rsidR="007B671F" w:rsidRPr="00C80DA4" w:rsidRDefault="007B671F" w:rsidP="006C56EA">
            <w:pPr>
              <w:spacing w:line="276" w:lineRule="auto"/>
              <w:rPr>
                <w:b/>
              </w:rPr>
            </w:pPr>
            <w:r>
              <w:rPr>
                <w:b/>
              </w:rPr>
              <w:t>OD</w:t>
            </w:r>
            <w:r w:rsidRPr="00C80DA4">
              <w:rPr>
                <w:b/>
              </w:rPr>
              <w:t xml:space="preserve"> (%)</w:t>
            </w:r>
          </w:p>
        </w:tc>
        <w:tc>
          <w:tcPr>
            <w:tcW w:w="1276" w:type="dxa"/>
            <w:vAlign w:val="center"/>
          </w:tcPr>
          <w:p w14:paraId="3ECA33C3" w14:textId="77777777" w:rsidR="007B671F" w:rsidRDefault="007B671F" w:rsidP="006C56EA">
            <w:pPr>
              <w:spacing w:line="276" w:lineRule="auto"/>
              <w:rPr>
                <w:b/>
              </w:rPr>
            </w:pPr>
            <w:r>
              <w:rPr>
                <w:b/>
              </w:rPr>
              <w:t>Total dose rate</w:t>
            </w:r>
          </w:p>
          <w:p w14:paraId="6E309568" w14:textId="77777777" w:rsidR="007B671F" w:rsidRDefault="007B671F" w:rsidP="006C56EA">
            <w:pPr>
              <w:spacing w:line="276" w:lineRule="auto"/>
              <w:rPr>
                <w:b/>
              </w:rPr>
            </w:pPr>
            <w:r>
              <w:rPr>
                <w:b/>
              </w:rPr>
              <w:t>(Gy ka</w:t>
            </w:r>
            <w:r w:rsidRPr="009979B8">
              <w:rPr>
                <w:b/>
                <w:vertAlign w:val="superscript"/>
              </w:rPr>
              <w:t>-1</w:t>
            </w:r>
            <w:r>
              <w:rPr>
                <w:b/>
              </w:rPr>
              <w:t>)</w:t>
            </w:r>
          </w:p>
        </w:tc>
        <w:tc>
          <w:tcPr>
            <w:tcW w:w="1276" w:type="dxa"/>
            <w:vAlign w:val="center"/>
          </w:tcPr>
          <w:p w14:paraId="58E0A141" w14:textId="77777777" w:rsidR="007B671F" w:rsidRPr="00C80DA4" w:rsidRDefault="007B671F" w:rsidP="006C56EA">
            <w:pPr>
              <w:spacing w:line="276" w:lineRule="auto"/>
              <w:rPr>
                <w:b/>
              </w:rPr>
            </w:pPr>
            <w:r>
              <w:rPr>
                <w:b/>
              </w:rPr>
              <w:t>Age (ka)</w:t>
            </w:r>
          </w:p>
        </w:tc>
      </w:tr>
      <w:tr w:rsidR="007B671F" w14:paraId="6765536A" w14:textId="77777777" w:rsidTr="00D25A10">
        <w:tc>
          <w:tcPr>
            <w:tcW w:w="1527" w:type="dxa"/>
            <w:vAlign w:val="center"/>
          </w:tcPr>
          <w:p w14:paraId="750D3D9C" w14:textId="77777777" w:rsidR="007B671F" w:rsidRPr="00C80DA4" w:rsidRDefault="007B671F" w:rsidP="006C56EA">
            <w:pPr>
              <w:spacing w:line="276" w:lineRule="auto"/>
              <w:rPr>
                <w:rFonts w:ascii="Calibri" w:hAnsi="Calibri" w:cs="Calibri"/>
                <w:color w:val="000000"/>
              </w:rPr>
            </w:pPr>
            <w:r w:rsidRPr="00A01EAE">
              <w:rPr>
                <w:rFonts w:ascii="Calibri" w:hAnsi="Calibri" w:cs="Calibri"/>
                <w:color w:val="000000"/>
              </w:rPr>
              <w:t>Leic21008</w:t>
            </w:r>
          </w:p>
        </w:tc>
        <w:tc>
          <w:tcPr>
            <w:tcW w:w="915" w:type="dxa"/>
            <w:vAlign w:val="center"/>
          </w:tcPr>
          <w:p w14:paraId="18016DA1" w14:textId="77777777" w:rsidR="007B671F" w:rsidRDefault="007B671F" w:rsidP="006C56EA">
            <w:pPr>
              <w:spacing w:line="276" w:lineRule="auto"/>
            </w:pPr>
            <w:r>
              <w:t>70</w:t>
            </w:r>
          </w:p>
        </w:tc>
        <w:tc>
          <w:tcPr>
            <w:tcW w:w="1276" w:type="dxa"/>
            <w:vAlign w:val="center"/>
          </w:tcPr>
          <w:p w14:paraId="09D778F5" w14:textId="77777777" w:rsidR="007B671F" w:rsidRDefault="007B671F" w:rsidP="006C56EA">
            <w:pPr>
              <w:spacing w:line="276" w:lineRule="auto"/>
            </w:pPr>
            <w:r>
              <w:t>0.4</w:t>
            </w:r>
          </w:p>
        </w:tc>
        <w:tc>
          <w:tcPr>
            <w:tcW w:w="1418" w:type="dxa"/>
            <w:vAlign w:val="center"/>
          </w:tcPr>
          <w:p w14:paraId="2A47FCB6" w14:textId="77777777" w:rsidR="007B671F" w:rsidRDefault="007B671F" w:rsidP="006C56EA">
            <w:pPr>
              <w:spacing w:line="276" w:lineRule="auto"/>
            </w:pPr>
            <w:r>
              <w:t xml:space="preserve">3 </w:t>
            </w:r>
            <w:r>
              <w:rPr>
                <w:rFonts w:cstheme="minorHAnsi"/>
              </w:rPr>
              <w:t>±</w:t>
            </w:r>
            <w:r>
              <w:t xml:space="preserve"> 3</w:t>
            </w:r>
          </w:p>
        </w:tc>
        <w:tc>
          <w:tcPr>
            <w:tcW w:w="1134" w:type="dxa"/>
            <w:vAlign w:val="center"/>
          </w:tcPr>
          <w:p w14:paraId="26B6A451" w14:textId="77777777" w:rsidR="007B671F" w:rsidRDefault="007B671F" w:rsidP="006C56EA">
            <w:pPr>
              <w:spacing w:line="276" w:lineRule="auto"/>
            </w:pPr>
            <w:r>
              <w:t>180-212</w:t>
            </w:r>
          </w:p>
        </w:tc>
        <w:tc>
          <w:tcPr>
            <w:tcW w:w="1275" w:type="dxa"/>
            <w:vAlign w:val="center"/>
          </w:tcPr>
          <w:p w14:paraId="47CA74DE" w14:textId="77777777" w:rsidR="007B671F" w:rsidRDefault="007B671F" w:rsidP="006C56EA">
            <w:pPr>
              <w:spacing w:line="276" w:lineRule="auto"/>
            </w:pPr>
            <w:r>
              <w:t>24/24</w:t>
            </w:r>
          </w:p>
        </w:tc>
        <w:tc>
          <w:tcPr>
            <w:tcW w:w="1418" w:type="dxa"/>
            <w:vAlign w:val="center"/>
          </w:tcPr>
          <w:p w14:paraId="3CF24064" w14:textId="77777777" w:rsidR="007B671F" w:rsidRDefault="007B671F" w:rsidP="006C56EA">
            <w:pPr>
              <w:spacing w:line="276" w:lineRule="auto"/>
            </w:pPr>
            <w:r>
              <w:t xml:space="preserve">71.7 </w:t>
            </w:r>
            <w:r>
              <w:rPr>
                <w:rFonts w:cstheme="minorHAnsi"/>
              </w:rPr>
              <w:t>±</w:t>
            </w:r>
            <w:r>
              <w:t xml:space="preserve"> 3.0</w:t>
            </w:r>
          </w:p>
        </w:tc>
        <w:tc>
          <w:tcPr>
            <w:tcW w:w="850" w:type="dxa"/>
            <w:vAlign w:val="center"/>
          </w:tcPr>
          <w:p w14:paraId="349D0AB4" w14:textId="77777777" w:rsidR="007B671F" w:rsidRDefault="007B671F" w:rsidP="006C56EA">
            <w:pPr>
              <w:spacing w:line="276" w:lineRule="auto"/>
            </w:pPr>
            <w:r>
              <w:t xml:space="preserve">10 </w:t>
            </w:r>
            <w:r>
              <w:rPr>
                <w:rFonts w:cstheme="minorHAnsi"/>
              </w:rPr>
              <w:t>±</w:t>
            </w:r>
            <w:r>
              <w:t xml:space="preserve"> 3</w:t>
            </w:r>
          </w:p>
        </w:tc>
        <w:tc>
          <w:tcPr>
            <w:tcW w:w="1276" w:type="dxa"/>
            <w:vAlign w:val="center"/>
          </w:tcPr>
          <w:p w14:paraId="07B07515" w14:textId="77777777" w:rsidR="007B671F" w:rsidRDefault="007B671F" w:rsidP="006C56EA">
            <w:pPr>
              <w:spacing w:line="276" w:lineRule="auto"/>
            </w:pPr>
            <w:r>
              <w:rPr>
                <w:b/>
              </w:rPr>
              <w:t xml:space="preserve">0.54 </w:t>
            </w:r>
            <w:r w:rsidRPr="00AF622A">
              <w:rPr>
                <w:rFonts w:cstheme="minorHAnsi"/>
                <w:b/>
              </w:rPr>
              <w:t>±</w:t>
            </w:r>
            <w:r>
              <w:rPr>
                <w:rFonts w:cstheme="minorHAnsi"/>
              </w:rPr>
              <w:t xml:space="preserve"> </w:t>
            </w:r>
            <w:r>
              <w:rPr>
                <w:b/>
              </w:rPr>
              <w:t>0.03</w:t>
            </w:r>
          </w:p>
        </w:tc>
        <w:tc>
          <w:tcPr>
            <w:tcW w:w="1276" w:type="dxa"/>
            <w:vAlign w:val="center"/>
          </w:tcPr>
          <w:p w14:paraId="17886A5E" w14:textId="77777777" w:rsidR="007B671F" w:rsidRPr="00CC28D4" w:rsidRDefault="007B671F" w:rsidP="006C56EA">
            <w:pPr>
              <w:spacing w:line="276" w:lineRule="auto"/>
              <w:rPr>
                <w:b/>
              </w:rPr>
            </w:pPr>
            <w:r>
              <w:rPr>
                <w:b/>
              </w:rPr>
              <w:t xml:space="preserve">134 </w:t>
            </w:r>
            <w:r w:rsidRPr="00AF622A">
              <w:rPr>
                <w:rFonts w:cstheme="minorHAnsi"/>
                <w:b/>
              </w:rPr>
              <w:t>±</w:t>
            </w:r>
            <w:r>
              <w:rPr>
                <w:rFonts w:cstheme="minorHAnsi"/>
                <w:b/>
              </w:rPr>
              <w:t xml:space="preserve"> 9</w:t>
            </w:r>
          </w:p>
        </w:tc>
      </w:tr>
      <w:tr w:rsidR="007B671F" w14:paraId="31DC66F6" w14:textId="77777777" w:rsidTr="00D25A10">
        <w:tc>
          <w:tcPr>
            <w:tcW w:w="1527" w:type="dxa"/>
            <w:vAlign w:val="center"/>
          </w:tcPr>
          <w:p w14:paraId="262D1221" w14:textId="77777777" w:rsidR="007B671F" w:rsidRPr="00C80DA4" w:rsidRDefault="007B671F" w:rsidP="006C56EA">
            <w:pPr>
              <w:spacing w:line="276" w:lineRule="auto"/>
              <w:rPr>
                <w:rFonts w:ascii="Calibri" w:hAnsi="Calibri" w:cs="Calibri"/>
                <w:color w:val="000000"/>
              </w:rPr>
            </w:pPr>
            <w:r w:rsidRPr="00A01EAE">
              <w:rPr>
                <w:rFonts w:ascii="Calibri" w:hAnsi="Calibri" w:cs="Calibri"/>
                <w:color w:val="000000"/>
              </w:rPr>
              <w:t>Leic20031</w:t>
            </w:r>
          </w:p>
        </w:tc>
        <w:tc>
          <w:tcPr>
            <w:tcW w:w="915" w:type="dxa"/>
            <w:vAlign w:val="center"/>
          </w:tcPr>
          <w:p w14:paraId="2A1D4AD1" w14:textId="77777777" w:rsidR="007B671F" w:rsidRDefault="007B671F" w:rsidP="006C56EA">
            <w:pPr>
              <w:spacing w:line="276" w:lineRule="auto"/>
            </w:pPr>
            <w:r>
              <w:t>70</w:t>
            </w:r>
          </w:p>
        </w:tc>
        <w:tc>
          <w:tcPr>
            <w:tcW w:w="1276" w:type="dxa"/>
            <w:vAlign w:val="center"/>
          </w:tcPr>
          <w:p w14:paraId="40CBEAB3" w14:textId="77777777" w:rsidR="007B671F" w:rsidRDefault="007B671F" w:rsidP="006C56EA">
            <w:pPr>
              <w:spacing w:line="276" w:lineRule="auto"/>
            </w:pPr>
            <w:r>
              <w:t>nd</w:t>
            </w:r>
          </w:p>
        </w:tc>
        <w:tc>
          <w:tcPr>
            <w:tcW w:w="1418" w:type="dxa"/>
          </w:tcPr>
          <w:p w14:paraId="69F7A666" w14:textId="77777777" w:rsidR="007B671F" w:rsidRDefault="007B671F" w:rsidP="006C56EA">
            <w:pPr>
              <w:spacing w:line="276" w:lineRule="auto"/>
            </w:pPr>
            <w:r w:rsidRPr="001257B8">
              <w:t>3 ± 3</w:t>
            </w:r>
          </w:p>
        </w:tc>
        <w:tc>
          <w:tcPr>
            <w:tcW w:w="1134" w:type="dxa"/>
            <w:vAlign w:val="center"/>
          </w:tcPr>
          <w:p w14:paraId="5CB77AEF" w14:textId="77777777" w:rsidR="007B671F" w:rsidRDefault="007B671F" w:rsidP="006C56EA">
            <w:pPr>
              <w:spacing w:line="276" w:lineRule="auto"/>
            </w:pPr>
            <w:r>
              <w:t>180-250</w:t>
            </w:r>
          </w:p>
        </w:tc>
        <w:tc>
          <w:tcPr>
            <w:tcW w:w="1275" w:type="dxa"/>
            <w:vAlign w:val="center"/>
          </w:tcPr>
          <w:p w14:paraId="05F4018A" w14:textId="77777777" w:rsidR="007B671F" w:rsidRDefault="007B671F" w:rsidP="006C56EA">
            <w:pPr>
              <w:spacing w:line="276" w:lineRule="auto"/>
            </w:pPr>
            <w:r>
              <w:t>23/24</w:t>
            </w:r>
          </w:p>
        </w:tc>
        <w:tc>
          <w:tcPr>
            <w:tcW w:w="1418" w:type="dxa"/>
            <w:vAlign w:val="center"/>
          </w:tcPr>
          <w:p w14:paraId="7CEBAF05" w14:textId="77777777" w:rsidR="007B671F" w:rsidRDefault="007B671F" w:rsidP="006C56EA">
            <w:pPr>
              <w:spacing w:line="276" w:lineRule="auto"/>
            </w:pPr>
            <w:r>
              <w:t xml:space="preserve">46.0 </w:t>
            </w:r>
            <w:r>
              <w:rPr>
                <w:rFonts w:cstheme="minorHAnsi"/>
              </w:rPr>
              <w:t>±</w:t>
            </w:r>
            <w:r>
              <w:t xml:space="preserve"> 1.8*</w:t>
            </w:r>
          </w:p>
        </w:tc>
        <w:tc>
          <w:tcPr>
            <w:tcW w:w="850" w:type="dxa"/>
            <w:vAlign w:val="center"/>
          </w:tcPr>
          <w:p w14:paraId="78A6533E" w14:textId="77777777" w:rsidR="007B671F" w:rsidRDefault="007B671F" w:rsidP="006C56EA">
            <w:pPr>
              <w:spacing w:line="276" w:lineRule="auto"/>
            </w:pPr>
            <w:r>
              <w:t xml:space="preserve">9 </w:t>
            </w:r>
            <w:r>
              <w:rPr>
                <w:rFonts w:cstheme="minorHAnsi"/>
              </w:rPr>
              <w:t>±</w:t>
            </w:r>
            <w:r>
              <w:t xml:space="preserve"> 2</w:t>
            </w:r>
          </w:p>
        </w:tc>
        <w:tc>
          <w:tcPr>
            <w:tcW w:w="1276" w:type="dxa"/>
            <w:vAlign w:val="center"/>
          </w:tcPr>
          <w:p w14:paraId="1FD45841" w14:textId="77777777" w:rsidR="007B671F" w:rsidRDefault="007B671F" w:rsidP="006C56EA">
            <w:pPr>
              <w:spacing w:line="276" w:lineRule="auto"/>
            </w:pPr>
            <w:r>
              <w:rPr>
                <w:b/>
              </w:rPr>
              <w:t xml:space="preserve">0.33 </w:t>
            </w:r>
            <w:r w:rsidRPr="00AF622A">
              <w:rPr>
                <w:rFonts w:cstheme="minorHAnsi"/>
                <w:b/>
              </w:rPr>
              <w:t>±</w:t>
            </w:r>
            <w:r>
              <w:rPr>
                <w:rFonts w:cstheme="minorHAnsi"/>
              </w:rPr>
              <w:t xml:space="preserve"> </w:t>
            </w:r>
            <w:r>
              <w:rPr>
                <w:b/>
              </w:rPr>
              <w:t>0.02</w:t>
            </w:r>
          </w:p>
        </w:tc>
        <w:tc>
          <w:tcPr>
            <w:tcW w:w="1276" w:type="dxa"/>
            <w:vAlign w:val="center"/>
          </w:tcPr>
          <w:p w14:paraId="304A6A4A" w14:textId="77777777" w:rsidR="007B671F" w:rsidRPr="00CC28D4" w:rsidRDefault="007B671F" w:rsidP="006C56EA">
            <w:pPr>
              <w:spacing w:line="276" w:lineRule="auto"/>
              <w:rPr>
                <w:b/>
              </w:rPr>
            </w:pPr>
            <w:r>
              <w:rPr>
                <w:b/>
              </w:rPr>
              <w:t xml:space="preserve">139 </w:t>
            </w:r>
            <w:r w:rsidRPr="00AF622A">
              <w:rPr>
                <w:rFonts w:cstheme="minorHAnsi"/>
                <w:b/>
              </w:rPr>
              <w:t>±</w:t>
            </w:r>
            <w:r>
              <w:rPr>
                <w:rFonts w:cstheme="minorHAnsi"/>
                <w:b/>
              </w:rPr>
              <w:t xml:space="preserve"> 10</w:t>
            </w:r>
          </w:p>
        </w:tc>
      </w:tr>
      <w:tr w:rsidR="007B671F" w14:paraId="006DC5F2" w14:textId="77777777" w:rsidTr="00D25A10">
        <w:tc>
          <w:tcPr>
            <w:tcW w:w="1527" w:type="dxa"/>
            <w:vAlign w:val="center"/>
          </w:tcPr>
          <w:p w14:paraId="5075444B" w14:textId="77777777" w:rsidR="007B671F" w:rsidRPr="00C80DA4" w:rsidRDefault="007B671F" w:rsidP="006C56EA">
            <w:pPr>
              <w:spacing w:line="276" w:lineRule="auto"/>
              <w:rPr>
                <w:rFonts w:ascii="Calibri" w:hAnsi="Calibri" w:cs="Calibri"/>
                <w:color w:val="000000"/>
              </w:rPr>
            </w:pPr>
            <w:r w:rsidRPr="00A01EAE">
              <w:rPr>
                <w:rFonts w:ascii="Calibri" w:hAnsi="Calibri" w:cs="Calibri"/>
                <w:color w:val="000000"/>
              </w:rPr>
              <w:t>Leic20024</w:t>
            </w:r>
          </w:p>
        </w:tc>
        <w:tc>
          <w:tcPr>
            <w:tcW w:w="915" w:type="dxa"/>
            <w:vAlign w:val="center"/>
          </w:tcPr>
          <w:p w14:paraId="3DC9D161" w14:textId="77777777" w:rsidR="007B671F" w:rsidRDefault="007B671F" w:rsidP="006C56EA">
            <w:pPr>
              <w:spacing w:line="276" w:lineRule="auto"/>
            </w:pPr>
            <w:r>
              <w:t>70</w:t>
            </w:r>
          </w:p>
        </w:tc>
        <w:tc>
          <w:tcPr>
            <w:tcW w:w="1276" w:type="dxa"/>
            <w:vAlign w:val="center"/>
          </w:tcPr>
          <w:p w14:paraId="027251CE" w14:textId="77777777" w:rsidR="007B671F" w:rsidRDefault="007B671F" w:rsidP="006C56EA">
            <w:pPr>
              <w:spacing w:line="276" w:lineRule="auto"/>
            </w:pPr>
            <w:r>
              <w:t>nd</w:t>
            </w:r>
          </w:p>
        </w:tc>
        <w:tc>
          <w:tcPr>
            <w:tcW w:w="1418" w:type="dxa"/>
          </w:tcPr>
          <w:p w14:paraId="76B8FDF6" w14:textId="77777777" w:rsidR="007B671F" w:rsidRDefault="007B671F" w:rsidP="006C56EA">
            <w:pPr>
              <w:spacing w:line="276" w:lineRule="auto"/>
            </w:pPr>
            <w:r w:rsidRPr="001257B8">
              <w:t>3 ± 3</w:t>
            </w:r>
          </w:p>
        </w:tc>
        <w:tc>
          <w:tcPr>
            <w:tcW w:w="1134" w:type="dxa"/>
            <w:vAlign w:val="center"/>
          </w:tcPr>
          <w:p w14:paraId="31F3B411" w14:textId="77777777" w:rsidR="007B671F" w:rsidRDefault="007B671F" w:rsidP="006C56EA">
            <w:pPr>
              <w:spacing w:line="276" w:lineRule="auto"/>
            </w:pPr>
            <w:r>
              <w:t>180-250</w:t>
            </w:r>
          </w:p>
        </w:tc>
        <w:tc>
          <w:tcPr>
            <w:tcW w:w="1275" w:type="dxa"/>
            <w:vAlign w:val="center"/>
          </w:tcPr>
          <w:p w14:paraId="6D4FB7BB" w14:textId="77777777" w:rsidR="007B671F" w:rsidRDefault="007B671F" w:rsidP="006C56EA">
            <w:pPr>
              <w:spacing w:line="276" w:lineRule="auto"/>
            </w:pPr>
            <w:r>
              <w:t>18/20</w:t>
            </w:r>
          </w:p>
        </w:tc>
        <w:tc>
          <w:tcPr>
            <w:tcW w:w="1418" w:type="dxa"/>
            <w:vAlign w:val="center"/>
          </w:tcPr>
          <w:p w14:paraId="26486CAF" w14:textId="77777777" w:rsidR="007B671F" w:rsidRDefault="007B671F" w:rsidP="006C56EA">
            <w:pPr>
              <w:spacing w:line="276" w:lineRule="auto"/>
            </w:pPr>
            <w:r>
              <w:t xml:space="preserve">31.4 </w:t>
            </w:r>
            <w:r>
              <w:rPr>
                <w:rFonts w:cstheme="minorHAnsi"/>
              </w:rPr>
              <w:t>±</w:t>
            </w:r>
            <w:r>
              <w:t xml:space="preserve"> 1.3*</w:t>
            </w:r>
          </w:p>
        </w:tc>
        <w:tc>
          <w:tcPr>
            <w:tcW w:w="850" w:type="dxa"/>
            <w:vAlign w:val="center"/>
          </w:tcPr>
          <w:p w14:paraId="437E30D8" w14:textId="77777777" w:rsidR="007B671F" w:rsidRDefault="007B671F" w:rsidP="006C56EA">
            <w:pPr>
              <w:spacing w:line="276" w:lineRule="auto"/>
            </w:pPr>
            <w:r>
              <w:t xml:space="preserve">11 </w:t>
            </w:r>
            <w:r>
              <w:rPr>
                <w:rFonts w:cstheme="minorHAnsi"/>
              </w:rPr>
              <w:t>±</w:t>
            </w:r>
            <w:r>
              <w:t xml:space="preserve"> 2</w:t>
            </w:r>
          </w:p>
        </w:tc>
        <w:tc>
          <w:tcPr>
            <w:tcW w:w="1276" w:type="dxa"/>
            <w:vAlign w:val="center"/>
          </w:tcPr>
          <w:p w14:paraId="5B249BF1" w14:textId="77777777" w:rsidR="007B671F" w:rsidRDefault="007B671F" w:rsidP="006C56EA">
            <w:pPr>
              <w:spacing w:line="276" w:lineRule="auto"/>
            </w:pPr>
            <w:r>
              <w:rPr>
                <w:b/>
              </w:rPr>
              <w:t xml:space="preserve">0.29 </w:t>
            </w:r>
            <w:r w:rsidRPr="00AF622A">
              <w:rPr>
                <w:rFonts w:cstheme="minorHAnsi"/>
                <w:b/>
              </w:rPr>
              <w:t>±</w:t>
            </w:r>
            <w:r>
              <w:rPr>
                <w:rFonts w:cstheme="minorHAnsi"/>
              </w:rPr>
              <w:t xml:space="preserve"> </w:t>
            </w:r>
            <w:r>
              <w:rPr>
                <w:b/>
              </w:rPr>
              <w:t>0.02</w:t>
            </w:r>
          </w:p>
        </w:tc>
        <w:tc>
          <w:tcPr>
            <w:tcW w:w="1276" w:type="dxa"/>
            <w:vAlign w:val="center"/>
          </w:tcPr>
          <w:p w14:paraId="267F65B6" w14:textId="77777777" w:rsidR="007B671F" w:rsidRPr="00CC28D4" w:rsidRDefault="007B671F" w:rsidP="006C56EA">
            <w:pPr>
              <w:spacing w:line="276" w:lineRule="auto"/>
              <w:rPr>
                <w:b/>
              </w:rPr>
            </w:pPr>
            <w:r>
              <w:rPr>
                <w:b/>
              </w:rPr>
              <w:t xml:space="preserve">109 </w:t>
            </w:r>
            <w:r w:rsidRPr="00AF622A">
              <w:rPr>
                <w:rFonts w:cstheme="minorHAnsi"/>
                <w:b/>
              </w:rPr>
              <w:t>±</w:t>
            </w:r>
            <w:r>
              <w:rPr>
                <w:rFonts w:cstheme="minorHAnsi"/>
                <w:b/>
              </w:rPr>
              <w:t xml:space="preserve"> 9</w:t>
            </w:r>
          </w:p>
        </w:tc>
      </w:tr>
      <w:tr w:rsidR="007B671F" w14:paraId="4417615B" w14:textId="77777777" w:rsidTr="00D25A10">
        <w:tc>
          <w:tcPr>
            <w:tcW w:w="1527" w:type="dxa"/>
            <w:vAlign w:val="center"/>
          </w:tcPr>
          <w:p w14:paraId="1CAEB050" w14:textId="77777777" w:rsidR="007B671F" w:rsidRPr="00C80DA4" w:rsidRDefault="007B671F" w:rsidP="006C56EA">
            <w:pPr>
              <w:spacing w:line="276" w:lineRule="auto"/>
              <w:rPr>
                <w:rFonts w:ascii="Calibri" w:hAnsi="Calibri" w:cs="Calibri"/>
                <w:color w:val="000000"/>
              </w:rPr>
            </w:pPr>
            <w:r w:rsidRPr="00A01EAE">
              <w:rPr>
                <w:rFonts w:ascii="Calibri" w:hAnsi="Calibri" w:cs="Calibri"/>
                <w:color w:val="000000"/>
              </w:rPr>
              <w:t>Leic20027</w:t>
            </w:r>
          </w:p>
        </w:tc>
        <w:tc>
          <w:tcPr>
            <w:tcW w:w="915" w:type="dxa"/>
            <w:vAlign w:val="center"/>
          </w:tcPr>
          <w:p w14:paraId="74AEB614" w14:textId="77777777" w:rsidR="007B671F" w:rsidRDefault="007B671F" w:rsidP="006C56EA">
            <w:pPr>
              <w:spacing w:line="276" w:lineRule="auto"/>
            </w:pPr>
            <w:r>
              <w:t>80</w:t>
            </w:r>
          </w:p>
        </w:tc>
        <w:tc>
          <w:tcPr>
            <w:tcW w:w="1276" w:type="dxa"/>
            <w:vAlign w:val="center"/>
          </w:tcPr>
          <w:p w14:paraId="6D8C0A9F" w14:textId="77777777" w:rsidR="007B671F" w:rsidRDefault="007B671F" w:rsidP="006C56EA">
            <w:pPr>
              <w:spacing w:line="276" w:lineRule="auto"/>
            </w:pPr>
            <w:r>
              <w:t>2.5</w:t>
            </w:r>
          </w:p>
        </w:tc>
        <w:tc>
          <w:tcPr>
            <w:tcW w:w="1418" w:type="dxa"/>
          </w:tcPr>
          <w:p w14:paraId="308066D4" w14:textId="77777777" w:rsidR="007B671F" w:rsidRDefault="007B671F" w:rsidP="006C56EA">
            <w:pPr>
              <w:spacing w:line="276" w:lineRule="auto"/>
            </w:pPr>
            <w:r w:rsidRPr="001257B8">
              <w:t>3 ± 3</w:t>
            </w:r>
          </w:p>
        </w:tc>
        <w:tc>
          <w:tcPr>
            <w:tcW w:w="1134" w:type="dxa"/>
            <w:vAlign w:val="center"/>
          </w:tcPr>
          <w:p w14:paraId="48F5B09A" w14:textId="77777777" w:rsidR="007B671F" w:rsidRDefault="007B671F" w:rsidP="006C56EA">
            <w:pPr>
              <w:spacing w:line="276" w:lineRule="auto"/>
            </w:pPr>
            <w:r>
              <w:t>180-212</w:t>
            </w:r>
          </w:p>
        </w:tc>
        <w:tc>
          <w:tcPr>
            <w:tcW w:w="1275" w:type="dxa"/>
            <w:vAlign w:val="center"/>
          </w:tcPr>
          <w:p w14:paraId="1484D8C4" w14:textId="77777777" w:rsidR="007B671F" w:rsidRDefault="007B671F" w:rsidP="006C56EA">
            <w:pPr>
              <w:spacing w:line="276" w:lineRule="auto"/>
            </w:pPr>
            <w:r>
              <w:t>22/24</w:t>
            </w:r>
          </w:p>
        </w:tc>
        <w:tc>
          <w:tcPr>
            <w:tcW w:w="1418" w:type="dxa"/>
            <w:vAlign w:val="center"/>
          </w:tcPr>
          <w:p w14:paraId="477CA25B" w14:textId="77777777" w:rsidR="007B671F" w:rsidRDefault="007B671F" w:rsidP="006C56EA">
            <w:pPr>
              <w:spacing w:line="276" w:lineRule="auto"/>
            </w:pPr>
            <w:r>
              <w:t xml:space="preserve">63.8 </w:t>
            </w:r>
            <w:r>
              <w:rPr>
                <w:rFonts w:cstheme="minorHAnsi"/>
              </w:rPr>
              <w:t>±</w:t>
            </w:r>
            <w:r>
              <w:t xml:space="preserve"> 2.8*</w:t>
            </w:r>
          </w:p>
        </w:tc>
        <w:tc>
          <w:tcPr>
            <w:tcW w:w="850" w:type="dxa"/>
            <w:vAlign w:val="center"/>
          </w:tcPr>
          <w:p w14:paraId="136D5E05" w14:textId="77777777" w:rsidR="007B671F" w:rsidRDefault="007B671F" w:rsidP="006C56EA">
            <w:pPr>
              <w:spacing w:line="276" w:lineRule="auto"/>
            </w:pPr>
            <w:r>
              <w:t xml:space="preserve">12 </w:t>
            </w:r>
            <w:r>
              <w:rPr>
                <w:rFonts w:cstheme="minorHAnsi"/>
              </w:rPr>
              <w:t>±</w:t>
            </w:r>
            <w:r>
              <w:t xml:space="preserve"> 3</w:t>
            </w:r>
          </w:p>
        </w:tc>
        <w:tc>
          <w:tcPr>
            <w:tcW w:w="1276" w:type="dxa"/>
            <w:vAlign w:val="center"/>
          </w:tcPr>
          <w:p w14:paraId="65BC9AF0" w14:textId="77777777" w:rsidR="007B671F" w:rsidRDefault="007B671F" w:rsidP="006C56EA">
            <w:pPr>
              <w:spacing w:line="276" w:lineRule="auto"/>
            </w:pPr>
            <w:r>
              <w:rPr>
                <w:b/>
              </w:rPr>
              <w:t xml:space="preserve">0.47 </w:t>
            </w:r>
            <w:r w:rsidRPr="00AF622A">
              <w:rPr>
                <w:rFonts w:cstheme="minorHAnsi"/>
                <w:b/>
              </w:rPr>
              <w:t>±</w:t>
            </w:r>
            <w:r>
              <w:rPr>
                <w:rFonts w:cstheme="minorHAnsi"/>
              </w:rPr>
              <w:t xml:space="preserve"> </w:t>
            </w:r>
            <w:r>
              <w:rPr>
                <w:b/>
              </w:rPr>
              <w:t>0.02</w:t>
            </w:r>
          </w:p>
        </w:tc>
        <w:tc>
          <w:tcPr>
            <w:tcW w:w="1276" w:type="dxa"/>
            <w:vAlign w:val="center"/>
          </w:tcPr>
          <w:p w14:paraId="0F90E113" w14:textId="77777777" w:rsidR="007B671F" w:rsidRPr="00CC28D4" w:rsidRDefault="007B671F" w:rsidP="006C56EA">
            <w:pPr>
              <w:spacing w:line="276" w:lineRule="auto"/>
              <w:rPr>
                <w:b/>
              </w:rPr>
            </w:pPr>
            <w:r>
              <w:rPr>
                <w:b/>
              </w:rPr>
              <w:t xml:space="preserve">136 </w:t>
            </w:r>
            <w:r w:rsidRPr="00AF622A">
              <w:rPr>
                <w:rFonts w:cstheme="minorHAnsi"/>
                <w:b/>
              </w:rPr>
              <w:t>±</w:t>
            </w:r>
            <w:r>
              <w:rPr>
                <w:rFonts w:cstheme="minorHAnsi"/>
                <w:b/>
              </w:rPr>
              <w:t xml:space="preserve"> 8</w:t>
            </w:r>
          </w:p>
        </w:tc>
      </w:tr>
      <w:tr w:rsidR="007B671F" w14:paraId="061F07AF" w14:textId="77777777" w:rsidTr="00D25A10">
        <w:tc>
          <w:tcPr>
            <w:tcW w:w="1527" w:type="dxa"/>
            <w:vAlign w:val="center"/>
          </w:tcPr>
          <w:p w14:paraId="79AD240B" w14:textId="77777777" w:rsidR="007B671F" w:rsidRPr="00C80DA4" w:rsidRDefault="007B671F" w:rsidP="006C56EA">
            <w:pPr>
              <w:spacing w:line="276" w:lineRule="auto"/>
              <w:rPr>
                <w:rFonts w:ascii="Calibri" w:hAnsi="Calibri" w:cs="Calibri"/>
                <w:color w:val="000000"/>
              </w:rPr>
            </w:pPr>
            <w:r w:rsidRPr="00A01EAE">
              <w:rPr>
                <w:rFonts w:ascii="Calibri" w:hAnsi="Calibri" w:cs="Calibri"/>
                <w:color w:val="000000"/>
              </w:rPr>
              <w:t>Leic20003</w:t>
            </w:r>
          </w:p>
        </w:tc>
        <w:tc>
          <w:tcPr>
            <w:tcW w:w="915" w:type="dxa"/>
            <w:vAlign w:val="center"/>
          </w:tcPr>
          <w:p w14:paraId="024CB362" w14:textId="77777777" w:rsidR="007B671F" w:rsidRDefault="007B671F" w:rsidP="006C56EA">
            <w:pPr>
              <w:spacing w:line="276" w:lineRule="auto"/>
            </w:pPr>
            <w:r>
              <w:t>10</w:t>
            </w:r>
          </w:p>
        </w:tc>
        <w:tc>
          <w:tcPr>
            <w:tcW w:w="1276" w:type="dxa"/>
            <w:vAlign w:val="center"/>
          </w:tcPr>
          <w:p w14:paraId="538A73F8" w14:textId="77777777" w:rsidR="007B671F" w:rsidRDefault="007B671F" w:rsidP="006C56EA">
            <w:pPr>
              <w:spacing w:line="276" w:lineRule="auto"/>
            </w:pPr>
            <w:r>
              <w:t>nd</w:t>
            </w:r>
          </w:p>
        </w:tc>
        <w:tc>
          <w:tcPr>
            <w:tcW w:w="1418" w:type="dxa"/>
          </w:tcPr>
          <w:p w14:paraId="018FC1DF" w14:textId="77777777" w:rsidR="007B671F" w:rsidRDefault="007B671F" w:rsidP="006C56EA">
            <w:pPr>
              <w:spacing w:line="276" w:lineRule="auto"/>
            </w:pPr>
            <w:r w:rsidRPr="001257B8">
              <w:t>3 ± 3</w:t>
            </w:r>
          </w:p>
        </w:tc>
        <w:tc>
          <w:tcPr>
            <w:tcW w:w="1134" w:type="dxa"/>
            <w:vAlign w:val="center"/>
          </w:tcPr>
          <w:p w14:paraId="030D4B27" w14:textId="77777777" w:rsidR="007B671F" w:rsidRDefault="007B671F" w:rsidP="006C56EA">
            <w:pPr>
              <w:spacing w:line="276" w:lineRule="auto"/>
            </w:pPr>
            <w:r>
              <w:t>180-250</w:t>
            </w:r>
          </w:p>
        </w:tc>
        <w:tc>
          <w:tcPr>
            <w:tcW w:w="1275" w:type="dxa"/>
            <w:vAlign w:val="center"/>
          </w:tcPr>
          <w:p w14:paraId="3008C10E" w14:textId="77777777" w:rsidR="007B671F" w:rsidRDefault="007B671F" w:rsidP="006C56EA">
            <w:pPr>
              <w:spacing w:line="276" w:lineRule="auto"/>
            </w:pPr>
            <w:r>
              <w:t>23/24</w:t>
            </w:r>
          </w:p>
        </w:tc>
        <w:tc>
          <w:tcPr>
            <w:tcW w:w="1418" w:type="dxa"/>
            <w:vAlign w:val="center"/>
          </w:tcPr>
          <w:p w14:paraId="5AE309AA" w14:textId="77777777" w:rsidR="007B671F" w:rsidRDefault="007B671F" w:rsidP="006C56EA">
            <w:pPr>
              <w:spacing w:line="276" w:lineRule="auto"/>
            </w:pPr>
            <w:r>
              <w:t xml:space="preserve">50.6 </w:t>
            </w:r>
            <w:r>
              <w:rPr>
                <w:rFonts w:cstheme="minorHAnsi"/>
              </w:rPr>
              <w:t>± 2.2*</w:t>
            </w:r>
            <w:r>
              <w:t xml:space="preserve"> </w:t>
            </w:r>
          </w:p>
        </w:tc>
        <w:tc>
          <w:tcPr>
            <w:tcW w:w="850" w:type="dxa"/>
            <w:vAlign w:val="center"/>
          </w:tcPr>
          <w:p w14:paraId="52F6AC90" w14:textId="77777777" w:rsidR="007B671F" w:rsidRDefault="007B671F" w:rsidP="006C56EA">
            <w:pPr>
              <w:spacing w:line="276" w:lineRule="auto"/>
            </w:pPr>
            <w:r>
              <w:rPr>
                <w:rFonts w:cstheme="minorHAnsi"/>
              </w:rPr>
              <w:t>12 ± 3</w:t>
            </w:r>
          </w:p>
        </w:tc>
        <w:tc>
          <w:tcPr>
            <w:tcW w:w="1276" w:type="dxa"/>
            <w:vAlign w:val="center"/>
          </w:tcPr>
          <w:p w14:paraId="5C4704C0" w14:textId="77777777" w:rsidR="007B671F" w:rsidRDefault="007B671F" w:rsidP="006C56EA">
            <w:pPr>
              <w:spacing w:line="276" w:lineRule="auto"/>
            </w:pPr>
            <w:r>
              <w:rPr>
                <w:b/>
              </w:rPr>
              <w:t xml:space="preserve">0.73 </w:t>
            </w:r>
            <w:r w:rsidRPr="00AF622A">
              <w:rPr>
                <w:rFonts w:cstheme="minorHAnsi"/>
                <w:b/>
              </w:rPr>
              <w:t>±</w:t>
            </w:r>
            <w:r>
              <w:rPr>
                <w:rFonts w:cstheme="minorHAnsi"/>
              </w:rPr>
              <w:t xml:space="preserve"> </w:t>
            </w:r>
            <w:r>
              <w:rPr>
                <w:b/>
              </w:rPr>
              <w:t>0.03</w:t>
            </w:r>
          </w:p>
        </w:tc>
        <w:tc>
          <w:tcPr>
            <w:tcW w:w="1276" w:type="dxa"/>
            <w:vAlign w:val="center"/>
          </w:tcPr>
          <w:p w14:paraId="2B8E1DEE" w14:textId="77777777" w:rsidR="007B671F" w:rsidRPr="00CC28D4" w:rsidRDefault="007B671F" w:rsidP="006C56EA">
            <w:pPr>
              <w:spacing w:line="276" w:lineRule="auto"/>
              <w:rPr>
                <w:b/>
              </w:rPr>
            </w:pPr>
            <w:r>
              <w:rPr>
                <w:b/>
              </w:rPr>
              <w:t xml:space="preserve">70 </w:t>
            </w:r>
            <w:r w:rsidRPr="00AF622A">
              <w:rPr>
                <w:rFonts w:cstheme="minorHAnsi"/>
                <w:b/>
              </w:rPr>
              <w:t>±</w:t>
            </w:r>
            <w:r>
              <w:rPr>
                <w:rFonts w:cstheme="minorHAnsi"/>
                <w:b/>
              </w:rPr>
              <w:t xml:space="preserve"> 4</w:t>
            </w:r>
          </w:p>
        </w:tc>
      </w:tr>
    </w:tbl>
    <w:p w14:paraId="26BEC579" w14:textId="1E3DF677" w:rsidR="00D25A10" w:rsidRPr="006C56EA" w:rsidRDefault="00F47DC9" w:rsidP="006C56EA">
      <w:pPr>
        <w:spacing w:after="0" w:line="276" w:lineRule="auto"/>
        <w:rPr>
          <w:rFonts w:ascii="Calibri" w:hAnsi="Calibri" w:cs="Calibri"/>
          <w:color w:val="000000"/>
        </w:rPr>
      </w:pPr>
      <w:r>
        <w:t>*The stated CAM D</w:t>
      </w:r>
      <w:r w:rsidRPr="001D1E7B">
        <w:rPr>
          <w:vertAlign w:val="subscript"/>
        </w:rPr>
        <w:t>e</w:t>
      </w:r>
      <w:r>
        <w:t xml:space="preserve"> and OD </w:t>
      </w:r>
      <w:r>
        <w:rPr>
          <w:rFonts w:ascii="Calibri" w:hAnsi="Calibri" w:cs="Calibri"/>
          <w:color w:val="000000"/>
        </w:rPr>
        <w:t>is that following the removal of individual outlier aliquots. The radial plots and D</w:t>
      </w:r>
      <w:r w:rsidRPr="00113323">
        <w:rPr>
          <w:rFonts w:ascii="Calibri" w:hAnsi="Calibri" w:cs="Calibri"/>
          <w:color w:val="000000"/>
          <w:vertAlign w:val="subscript"/>
        </w:rPr>
        <w:t>e</w:t>
      </w:r>
      <w:r>
        <w:rPr>
          <w:rFonts w:ascii="Calibri" w:hAnsi="Calibri" w:cs="Calibri"/>
          <w:color w:val="000000"/>
        </w:rPr>
        <w:t xml:space="preserve">/OD values for all otherwise acceptable aliquots shown in </w:t>
      </w:r>
      <w:r w:rsidRPr="00F47DC9">
        <w:rPr>
          <w:rFonts w:ascii="Calibri" w:hAnsi="Calibri" w:cs="Calibri"/>
          <w:b/>
          <w:color w:val="000000"/>
        </w:rPr>
        <w:t>figure 3</w:t>
      </w:r>
      <w:r>
        <w:rPr>
          <w:rFonts w:ascii="Calibri" w:hAnsi="Calibri" w:cs="Calibri"/>
          <w:color w:val="000000"/>
        </w:rPr>
        <w:t xml:space="preserve">. </w:t>
      </w:r>
    </w:p>
    <w:p w14:paraId="25F84CCF" w14:textId="77777777" w:rsidR="00D25A10" w:rsidRDefault="00D25A10" w:rsidP="006C56EA">
      <w:pPr>
        <w:spacing w:after="0" w:line="276" w:lineRule="auto"/>
        <w:rPr>
          <w:rFonts w:ascii="Calibri" w:hAnsi="Calibri" w:cs="Calibri"/>
          <w:b/>
          <w:color w:val="000000"/>
        </w:rPr>
      </w:pPr>
    </w:p>
    <w:p w14:paraId="36A4365D" w14:textId="77777777" w:rsidR="00D25A10" w:rsidRDefault="00D25A10" w:rsidP="006C56EA">
      <w:pPr>
        <w:spacing w:after="0" w:line="276" w:lineRule="auto"/>
        <w:rPr>
          <w:rFonts w:ascii="Calibri" w:hAnsi="Calibri" w:cs="Calibri"/>
          <w:b/>
          <w:color w:val="000000"/>
        </w:rPr>
      </w:pPr>
    </w:p>
    <w:p w14:paraId="2E999E3E" w14:textId="77777777" w:rsidR="00D25A10" w:rsidRDefault="00D25A10" w:rsidP="006C56EA">
      <w:pPr>
        <w:spacing w:line="276" w:lineRule="auto"/>
        <w:rPr>
          <w:rFonts w:ascii="Calibri" w:hAnsi="Calibri" w:cs="Calibri"/>
          <w:b/>
          <w:color w:val="000000"/>
        </w:rPr>
      </w:pPr>
    </w:p>
    <w:p w14:paraId="4CD13DE3" w14:textId="77777777" w:rsidR="00D25A10" w:rsidRDefault="00D25A10" w:rsidP="006C56EA">
      <w:pPr>
        <w:spacing w:line="276" w:lineRule="auto"/>
        <w:rPr>
          <w:rFonts w:ascii="Calibri" w:hAnsi="Calibri" w:cs="Calibri"/>
          <w:b/>
          <w:color w:val="000000"/>
        </w:rPr>
      </w:pPr>
    </w:p>
    <w:p w14:paraId="7373973B" w14:textId="77777777" w:rsidR="006C56EA" w:rsidRDefault="006C56EA" w:rsidP="006C56EA">
      <w:pPr>
        <w:spacing w:after="0" w:line="276" w:lineRule="auto"/>
        <w:rPr>
          <w:rFonts w:ascii="Calibri" w:hAnsi="Calibri" w:cs="Calibri"/>
          <w:b/>
          <w:color w:val="000000"/>
        </w:rPr>
      </w:pPr>
    </w:p>
    <w:p w14:paraId="232E6AAD" w14:textId="77777777" w:rsidR="006C56EA" w:rsidRDefault="006C56EA" w:rsidP="006C56EA">
      <w:pPr>
        <w:spacing w:after="0" w:line="276" w:lineRule="auto"/>
        <w:rPr>
          <w:rFonts w:ascii="Calibri" w:hAnsi="Calibri" w:cs="Calibri"/>
          <w:b/>
          <w:color w:val="000000"/>
        </w:rPr>
      </w:pPr>
    </w:p>
    <w:p w14:paraId="4769A363" w14:textId="77777777" w:rsidR="006C56EA" w:rsidRDefault="006C56EA" w:rsidP="006C56EA">
      <w:pPr>
        <w:spacing w:after="0" w:line="276" w:lineRule="auto"/>
        <w:rPr>
          <w:rFonts w:ascii="Calibri" w:hAnsi="Calibri" w:cs="Calibri"/>
          <w:b/>
          <w:color w:val="000000"/>
        </w:rPr>
      </w:pPr>
    </w:p>
    <w:p w14:paraId="0C892E24" w14:textId="77777777" w:rsidR="006C56EA" w:rsidRDefault="006C56EA" w:rsidP="006C56EA">
      <w:pPr>
        <w:spacing w:after="0" w:line="276" w:lineRule="auto"/>
        <w:rPr>
          <w:rFonts w:ascii="Calibri" w:hAnsi="Calibri" w:cs="Calibri"/>
          <w:b/>
          <w:color w:val="000000"/>
        </w:rPr>
      </w:pPr>
    </w:p>
    <w:p w14:paraId="7024B1EC" w14:textId="77777777" w:rsidR="006C56EA" w:rsidRDefault="006C56EA" w:rsidP="006C56EA">
      <w:pPr>
        <w:spacing w:after="0" w:line="276" w:lineRule="auto"/>
        <w:rPr>
          <w:rFonts w:ascii="Calibri" w:hAnsi="Calibri" w:cs="Calibri"/>
          <w:b/>
          <w:color w:val="000000"/>
        </w:rPr>
      </w:pPr>
    </w:p>
    <w:p w14:paraId="38525462" w14:textId="305857D1" w:rsidR="006C56EA" w:rsidRDefault="006C56EA" w:rsidP="006C56EA">
      <w:pPr>
        <w:spacing w:after="0" w:line="276" w:lineRule="auto"/>
        <w:rPr>
          <w:rFonts w:ascii="Calibri" w:hAnsi="Calibri" w:cs="Calibri"/>
          <w:b/>
          <w:color w:val="000000"/>
        </w:rPr>
      </w:pPr>
    </w:p>
    <w:p w14:paraId="482DBE99" w14:textId="131B116E" w:rsidR="004B0BC1" w:rsidRDefault="004B0BC1" w:rsidP="006C56EA">
      <w:pPr>
        <w:spacing w:after="0" w:line="276" w:lineRule="auto"/>
        <w:rPr>
          <w:rFonts w:ascii="Calibri" w:hAnsi="Calibri" w:cs="Calibri"/>
          <w:b/>
          <w:color w:val="000000"/>
        </w:rPr>
      </w:pPr>
    </w:p>
    <w:p w14:paraId="1078746B" w14:textId="1B37EB9D" w:rsidR="004B0BC1" w:rsidRDefault="004B0BC1" w:rsidP="006C56EA">
      <w:pPr>
        <w:spacing w:after="0" w:line="276" w:lineRule="auto"/>
        <w:rPr>
          <w:rFonts w:ascii="Calibri" w:hAnsi="Calibri" w:cs="Calibri"/>
          <w:b/>
          <w:color w:val="000000"/>
        </w:rPr>
      </w:pPr>
    </w:p>
    <w:p w14:paraId="4B569BAF" w14:textId="55F59A49" w:rsidR="004B0BC1" w:rsidRDefault="004B0BC1" w:rsidP="006C56EA">
      <w:pPr>
        <w:spacing w:after="0" w:line="276" w:lineRule="auto"/>
        <w:rPr>
          <w:rFonts w:ascii="Calibri" w:hAnsi="Calibri" w:cs="Calibri"/>
          <w:b/>
          <w:color w:val="000000"/>
        </w:rPr>
      </w:pPr>
    </w:p>
    <w:p w14:paraId="4A2CCFEA" w14:textId="11E5FC00" w:rsidR="004B0BC1" w:rsidRDefault="004B0BC1" w:rsidP="006C56EA">
      <w:pPr>
        <w:spacing w:after="0" w:line="276" w:lineRule="auto"/>
        <w:rPr>
          <w:rFonts w:ascii="Calibri" w:hAnsi="Calibri" w:cs="Calibri"/>
          <w:b/>
          <w:color w:val="000000"/>
        </w:rPr>
      </w:pPr>
    </w:p>
    <w:p w14:paraId="3F013BA8" w14:textId="0F10E2AB" w:rsidR="004B0BC1" w:rsidRDefault="004B0BC1" w:rsidP="006C56EA">
      <w:pPr>
        <w:spacing w:after="0" w:line="276" w:lineRule="auto"/>
        <w:rPr>
          <w:rFonts w:ascii="Calibri" w:hAnsi="Calibri" w:cs="Calibri"/>
          <w:b/>
          <w:color w:val="000000"/>
        </w:rPr>
      </w:pPr>
    </w:p>
    <w:p w14:paraId="15D47145" w14:textId="3656FDA6" w:rsidR="004B0BC1" w:rsidRDefault="004B0BC1" w:rsidP="006C56EA">
      <w:pPr>
        <w:spacing w:after="0" w:line="276" w:lineRule="auto"/>
        <w:rPr>
          <w:rFonts w:ascii="Calibri" w:hAnsi="Calibri" w:cs="Calibri"/>
          <w:b/>
          <w:color w:val="000000"/>
        </w:rPr>
      </w:pPr>
    </w:p>
    <w:p w14:paraId="424DAAA3" w14:textId="628E2820" w:rsidR="004B0BC1" w:rsidRDefault="004B0BC1" w:rsidP="006C56EA">
      <w:pPr>
        <w:spacing w:after="0" w:line="276" w:lineRule="auto"/>
        <w:rPr>
          <w:rFonts w:ascii="Calibri" w:hAnsi="Calibri" w:cs="Calibri"/>
          <w:b/>
          <w:color w:val="000000"/>
        </w:rPr>
      </w:pPr>
    </w:p>
    <w:p w14:paraId="02A64DC3" w14:textId="3C8F83F9" w:rsidR="004B0BC1" w:rsidRDefault="004B0BC1" w:rsidP="006C56EA">
      <w:pPr>
        <w:spacing w:after="0" w:line="276" w:lineRule="auto"/>
        <w:rPr>
          <w:rFonts w:ascii="Calibri" w:hAnsi="Calibri" w:cs="Calibri"/>
          <w:b/>
          <w:color w:val="000000"/>
        </w:rPr>
      </w:pPr>
    </w:p>
    <w:p w14:paraId="68C6AE0A" w14:textId="0229BE49" w:rsidR="004B0BC1" w:rsidRDefault="004B0BC1" w:rsidP="006C56EA">
      <w:pPr>
        <w:spacing w:after="0" w:line="276" w:lineRule="auto"/>
        <w:rPr>
          <w:rFonts w:ascii="Calibri" w:hAnsi="Calibri" w:cs="Calibri"/>
          <w:b/>
          <w:color w:val="000000"/>
        </w:rPr>
      </w:pPr>
    </w:p>
    <w:p w14:paraId="1675970B" w14:textId="746D5843" w:rsidR="004B0BC1" w:rsidRDefault="004B0BC1" w:rsidP="006C56EA">
      <w:pPr>
        <w:spacing w:after="0" w:line="276" w:lineRule="auto"/>
        <w:rPr>
          <w:rFonts w:ascii="Calibri" w:hAnsi="Calibri" w:cs="Calibri"/>
          <w:b/>
          <w:color w:val="000000"/>
        </w:rPr>
      </w:pPr>
    </w:p>
    <w:p w14:paraId="21DFE6BF" w14:textId="258EAA6E" w:rsidR="004B0BC1" w:rsidRDefault="004B0BC1" w:rsidP="006C56EA">
      <w:pPr>
        <w:spacing w:after="0" w:line="276" w:lineRule="auto"/>
        <w:rPr>
          <w:rFonts w:ascii="Calibri" w:hAnsi="Calibri" w:cs="Calibri"/>
          <w:b/>
          <w:color w:val="000000"/>
        </w:rPr>
      </w:pPr>
    </w:p>
    <w:p w14:paraId="6D2CFDCC" w14:textId="77777777" w:rsidR="004B0BC1" w:rsidRDefault="004B0BC1" w:rsidP="006C56EA">
      <w:pPr>
        <w:spacing w:after="0" w:line="276" w:lineRule="auto"/>
        <w:rPr>
          <w:rFonts w:ascii="Calibri" w:hAnsi="Calibri" w:cs="Calibri"/>
          <w:b/>
          <w:color w:val="000000"/>
        </w:rPr>
      </w:pPr>
    </w:p>
    <w:p w14:paraId="5248270C" w14:textId="243AD3D9" w:rsidR="00F47DC9" w:rsidRDefault="004468DD" w:rsidP="006C56EA">
      <w:pPr>
        <w:spacing w:after="0" w:line="276" w:lineRule="auto"/>
        <w:rPr>
          <w:rFonts w:ascii="Calibri" w:hAnsi="Calibri" w:cs="Calibri"/>
          <w:color w:val="000000"/>
        </w:rPr>
      </w:pPr>
      <w:r>
        <w:rPr>
          <w:rFonts w:ascii="Calibri" w:hAnsi="Calibri" w:cs="Calibri"/>
          <w:b/>
          <w:color w:val="000000"/>
        </w:rPr>
        <w:lastRenderedPageBreak/>
        <w:t>Table 2.</w:t>
      </w:r>
      <w:r w:rsidR="00F47DC9">
        <w:rPr>
          <w:rFonts w:ascii="Calibri" w:hAnsi="Calibri" w:cs="Calibri"/>
          <w:color w:val="000000"/>
        </w:rPr>
        <w:t xml:space="preserve"> Dose rate modelling and age estimations using the </w:t>
      </w:r>
      <w:r w:rsidR="00F47DC9" w:rsidRPr="00782BB6">
        <w:rPr>
          <w:rFonts w:ascii="Calibri" w:hAnsi="Calibri" w:cs="Calibri"/>
          <w:i/>
          <w:color w:val="000000"/>
        </w:rPr>
        <w:t>RCarb</w:t>
      </w:r>
      <w:r w:rsidR="00F47DC9">
        <w:rPr>
          <w:rFonts w:ascii="Calibri" w:hAnsi="Calibri" w:cs="Calibri"/>
          <w:color w:val="000000"/>
        </w:rPr>
        <w:t xml:space="preserve"> package (</w:t>
      </w:r>
      <w:r w:rsidR="00F47DC9" w:rsidRPr="00D94525">
        <w:rPr>
          <w:rFonts w:ascii="Calibri" w:hAnsi="Calibri" w:cs="Calibri"/>
          <w:color w:val="000000"/>
        </w:rPr>
        <w:t>Nathan and Mauz, 2008; Mauz and Hoffman, 2014; Kreutzer</w:t>
      </w:r>
      <w:r w:rsidR="005F3181">
        <w:rPr>
          <w:rFonts w:ascii="Calibri" w:hAnsi="Calibri" w:cs="Calibri"/>
          <w:color w:val="000000"/>
        </w:rPr>
        <w:t xml:space="preserve"> et al.</w:t>
      </w:r>
      <w:r w:rsidR="00F47DC9" w:rsidRPr="00D94525">
        <w:rPr>
          <w:rFonts w:ascii="Calibri" w:hAnsi="Calibri" w:cs="Calibri"/>
          <w:color w:val="000000"/>
        </w:rPr>
        <w:t xml:space="preserve">, </w:t>
      </w:r>
      <w:r w:rsidR="005F3181">
        <w:rPr>
          <w:rFonts w:ascii="Calibri" w:hAnsi="Calibri" w:cs="Calibri"/>
          <w:color w:val="000000"/>
        </w:rPr>
        <w:t>2022</w:t>
      </w:r>
      <w:r w:rsidR="00F47DC9" w:rsidRPr="00D94525">
        <w:rPr>
          <w:rFonts w:ascii="Calibri" w:hAnsi="Calibri" w:cs="Calibri"/>
          <w:color w:val="000000"/>
        </w:rPr>
        <w:t>)</w:t>
      </w:r>
      <w:r w:rsidR="00F47DC9">
        <w:t>, showing dose rate and age adjustment scenarios for a moderate reductions in water content (4 to 2%) and the progressive formation of ~20% cement. The water contents are in the measured range of aeolianites from the southern Cape coastline, while the cementation estimate is based on observations presented in Bateman et al. (2011). Scenarios are presented for cement formation relatively early (with the ~first</w:t>
      </w:r>
      <w:r w:rsidR="00FE516A">
        <w:t xml:space="preserve"> one</w:t>
      </w:r>
      <w:r w:rsidR="00F47DC9">
        <w:t xml:space="preserve"> third of the burial period) and gradual cement formation (over the majority of the burial period). </w:t>
      </w:r>
    </w:p>
    <w:tbl>
      <w:tblPr>
        <w:tblStyle w:val="TableGrid"/>
        <w:tblW w:w="0" w:type="auto"/>
        <w:tblLook w:val="04A0" w:firstRow="1" w:lastRow="0" w:firstColumn="1" w:lastColumn="0" w:noHBand="0" w:noVBand="1"/>
      </w:tblPr>
      <w:tblGrid>
        <w:gridCol w:w="1777"/>
        <w:gridCol w:w="1777"/>
        <w:gridCol w:w="1777"/>
        <w:gridCol w:w="1778"/>
        <w:gridCol w:w="1777"/>
        <w:gridCol w:w="1777"/>
        <w:gridCol w:w="1778"/>
      </w:tblGrid>
      <w:tr w:rsidR="00F47DC9" w14:paraId="7AC10D39" w14:textId="77777777" w:rsidTr="00D25A10">
        <w:tc>
          <w:tcPr>
            <w:tcW w:w="1777" w:type="dxa"/>
            <w:vAlign w:val="center"/>
          </w:tcPr>
          <w:p w14:paraId="350ECCA1" w14:textId="77777777" w:rsidR="00F47DC9" w:rsidRPr="00C80DA4" w:rsidRDefault="00F47DC9" w:rsidP="006C56EA">
            <w:pPr>
              <w:spacing w:line="276" w:lineRule="auto"/>
              <w:rPr>
                <w:b/>
              </w:rPr>
            </w:pPr>
          </w:p>
        </w:tc>
        <w:tc>
          <w:tcPr>
            <w:tcW w:w="5332" w:type="dxa"/>
            <w:gridSpan w:val="3"/>
            <w:vAlign w:val="center"/>
          </w:tcPr>
          <w:p w14:paraId="13CD0B17" w14:textId="77777777" w:rsidR="00F47DC9" w:rsidRPr="001D6FDB" w:rsidRDefault="00F47DC9" w:rsidP="006C56EA">
            <w:pPr>
              <w:spacing w:line="276" w:lineRule="auto"/>
              <w:rPr>
                <w:b/>
              </w:rPr>
            </w:pPr>
            <w:r>
              <w:rPr>
                <w:b/>
              </w:rPr>
              <w:t>Early cementation (first third of burial period)</w:t>
            </w:r>
          </w:p>
        </w:tc>
        <w:tc>
          <w:tcPr>
            <w:tcW w:w="5332" w:type="dxa"/>
            <w:gridSpan w:val="3"/>
            <w:vAlign w:val="center"/>
          </w:tcPr>
          <w:p w14:paraId="3C2F3996" w14:textId="77777777" w:rsidR="00F47DC9" w:rsidRPr="001D6FDB" w:rsidRDefault="00F47DC9" w:rsidP="006C56EA">
            <w:pPr>
              <w:spacing w:line="276" w:lineRule="auto"/>
              <w:rPr>
                <w:b/>
              </w:rPr>
            </w:pPr>
            <w:r>
              <w:rPr>
                <w:b/>
              </w:rPr>
              <w:t>Gradual cementation (over 90% of burial period)</w:t>
            </w:r>
          </w:p>
        </w:tc>
      </w:tr>
      <w:tr w:rsidR="007B671F" w14:paraId="27C97A6E" w14:textId="77777777" w:rsidTr="00D25A10">
        <w:tc>
          <w:tcPr>
            <w:tcW w:w="1777" w:type="dxa"/>
            <w:vAlign w:val="center"/>
          </w:tcPr>
          <w:p w14:paraId="5B254CD3" w14:textId="3E816254" w:rsidR="007B671F" w:rsidRPr="005D202A" w:rsidRDefault="007B671F" w:rsidP="006C56EA">
            <w:pPr>
              <w:spacing w:line="276" w:lineRule="auto"/>
              <w:rPr>
                <w:b/>
                <w:strike/>
              </w:rPr>
            </w:pPr>
            <w:r w:rsidRPr="00C80DA4">
              <w:rPr>
                <w:b/>
              </w:rPr>
              <w:t>Lab code</w:t>
            </w:r>
          </w:p>
        </w:tc>
        <w:tc>
          <w:tcPr>
            <w:tcW w:w="1777" w:type="dxa"/>
            <w:vAlign w:val="center"/>
          </w:tcPr>
          <w:p w14:paraId="41012414" w14:textId="77777777" w:rsidR="007B671F" w:rsidRPr="001D6FDB" w:rsidRDefault="007B671F" w:rsidP="006C56EA">
            <w:pPr>
              <w:spacing w:line="276" w:lineRule="auto"/>
              <w:rPr>
                <w:b/>
              </w:rPr>
            </w:pPr>
            <w:r w:rsidRPr="001D6FDB">
              <w:rPr>
                <w:b/>
              </w:rPr>
              <w:t>Stating dose rate</w:t>
            </w:r>
          </w:p>
          <w:p w14:paraId="63D1DC8B" w14:textId="77777777" w:rsidR="007B671F" w:rsidRPr="001D6FDB" w:rsidRDefault="007B671F" w:rsidP="006C56EA">
            <w:pPr>
              <w:spacing w:line="276" w:lineRule="auto"/>
              <w:rPr>
                <w:b/>
              </w:rPr>
            </w:pPr>
            <w:r w:rsidRPr="001D6FDB">
              <w:rPr>
                <w:b/>
              </w:rPr>
              <w:t>(Gy ka</w:t>
            </w:r>
            <w:r w:rsidRPr="001D6FDB">
              <w:rPr>
                <w:b/>
                <w:vertAlign w:val="superscript"/>
              </w:rPr>
              <w:t>-1</w:t>
            </w:r>
            <w:r w:rsidRPr="001D6FDB">
              <w:rPr>
                <w:b/>
              </w:rPr>
              <w:t>)</w:t>
            </w:r>
          </w:p>
        </w:tc>
        <w:tc>
          <w:tcPr>
            <w:tcW w:w="1777" w:type="dxa"/>
            <w:vAlign w:val="center"/>
          </w:tcPr>
          <w:p w14:paraId="0506B311" w14:textId="77777777" w:rsidR="007B671F" w:rsidRPr="001D6FDB" w:rsidRDefault="007B671F" w:rsidP="006C56EA">
            <w:pPr>
              <w:spacing w:line="276" w:lineRule="auto"/>
              <w:rPr>
                <w:b/>
              </w:rPr>
            </w:pPr>
            <w:r w:rsidRPr="001D6FDB">
              <w:rPr>
                <w:b/>
              </w:rPr>
              <w:t>Final dose rate</w:t>
            </w:r>
          </w:p>
          <w:p w14:paraId="6D103C3C" w14:textId="77777777" w:rsidR="007B671F" w:rsidRPr="001D6FDB" w:rsidRDefault="007B671F" w:rsidP="006C56EA">
            <w:pPr>
              <w:spacing w:line="276" w:lineRule="auto"/>
              <w:rPr>
                <w:b/>
              </w:rPr>
            </w:pPr>
            <w:r w:rsidRPr="001D6FDB">
              <w:rPr>
                <w:b/>
              </w:rPr>
              <w:t>(Gy ka</w:t>
            </w:r>
            <w:r w:rsidRPr="001D6FDB">
              <w:rPr>
                <w:b/>
                <w:vertAlign w:val="superscript"/>
              </w:rPr>
              <w:t>-1</w:t>
            </w:r>
            <w:r w:rsidRPr="001D6FDB">
              <w:rPr>
                <w:b/>
              </w:rPr>
              <w:t>)</w:t>
            </w:r>
          </w:p>
        </w:tc>
        <w:tc>
          <w:tcPr>
            <w:tcW w:w="1778" w:type="dxa"/>
            <w:vAlign w:val="center"/>
          </w:tcPr>
          <w:p w14:paraId="22E3B851" w14:textId="282D9952" w:rsidR="007B671F" w:rsidRPr="001D6FDB" w:rsidRDefault="00D25A10" w:rsidP="006C56EA">
            <w:pPr>
              <w:spacing w:line="276" w:lineRule="auto"/>
              <w:rPr>
                <w:b/>
              </w:rPr>
            </w:pPr>
            <w:r>
              <w:rPr>
                <w:b/>
              </w:rPr>
              <w:t>Modelled</w:t>
            </w:r>
            <w:r w:rsidR="007B671F" w:rsidRPr="001D6FDB">
              <w:rPr>
                <w:b/>
              </w:rPr>
              <w:t xml:space="preserve"> age</w:t>
            </w:r>
          </w:p>
          <w:p w14:paraId="1522D245" w14:textId="77777777" w:rsidR="007B671F" w:rsidRPr="001D6FDB" w:rsidRDefault="007B671F" w:rsidP="006C56EA">
            <w:pPr>
              <w:spacing w:line="276" w:lineRule="auto"/>
              <w:rPr>
                <w:b/>
              </w:rPr>
            </w:pPr>
            <w:r>
              <w:rPr>
                <w:b/>
              </w:rPr>
              <w:t>(</w:t>
            </w:r>
            <w:r w:rsidRPr="001D6FDB">
              <w:rPr>
                <w:b/>
              </w:rPr>
              <w:t>ka)</w:t>
            </w:r>
          </w:p>
        </w:tc>
        <w:tc>
          <w:tcPr>
            <w:tcW w:w="1777" w:type="dxa"/>
            <w:vAlign w:val="center"/>
          </w:tcPr>
          <w:p w14:paraId="73E9688C" w14:textId="77777777" w:rsidR="007B671F" w:rsidRPr="001D6FDB" w:rsidRDefault="007B671F" w:rsidP="006C56EA">
            <w:pPr>
              <w:spacing w:line="276" w:lineRule="auto"/>
              <w:rPr>
                <w:b/>
              </w:rPr>
            </w:pPr>
            <w:r w:rsidRPr="001D6FDB">
              <w:rPr>
                <w:b/>
              </w:rPr>
              <w:t>Stating dose rate</w:t>
            </w:r>
          </w:p>
          <w:p w14:paraId="5C5CA7A3" w14:textId="77777777" w:rsidR="007B671F" w:rsidRPr="001D6FDB" w:rsidRDefault="007B671F" w:rsidP="006C56EA">
            <w:pPr>
              <w:spacing w:line="276" w:lineRule="auto"/>
              <w:rPr>
                <w:b/>
              </w:rPr>
            </w:pPr>
            <w:r w:rsidRPr="001D6FDB">
              <w:rPr>
                <w:b/>
              </w:rPr>
              <w:t>(Gy ka</w:t>
            </w:r>
            <w:r w:rsidRPr="001D6FDB">
              <w:rPr>
                <w:b/>
                <w:vertAlign w:val="superscript"/>
              </w:rPr>
              <w:t>-1</w:t>
            </w:r>
            <w:r w:rsidRPr="001D6FDB">
              <w:rPr>
                <w:b/>
              </w:rPr>
              <w:t>)</w:t>
            </w:r>
          </w:p>
        </w:tc>
        <w:tc>
          <w:tcPr>
            <w:tcW w:w="1777" w:type="dxa"/>
            <w:vAlign w:val="center"/>
          </w:tcPr>
          <w:p w14:paraId="6997FDE4" w14:textId="77777777" w:rsidR="007B671F" w:rsidRPr="001D6FDB" w:rsidRDefault="007B671F" w:rsidP="006C56EA">
            <w:pPr>
              <w:spacing w:line="276" w:lineRule="auto"/>
              <w:rPr>
                <w:b/>
              </w:rPr>
            </w:pPr>
            <w:r w:rsidRPr="001D6FDB">
              <w:rPr>
                <w:b/>
              </w:rPr>
              <w:t>Final dose rate</w:t>
            </w:r>
          </w:p>
          <w:p w14:paraId="06F40054" w14:textId="77777777" w:rsidR="007B671F" w:rsidRPr="001D6FDB" w:rsidRDefault="007B671F" w:rsidP="006C56EA">
            <w:pPr>
              <w:spacing w:line="276" w:lineRule="auto"/>
              <w:rPr>
                <w:b/>
              </w:rPr>
            </w:pPr>
            <w:r w:rsidRPr="001D6FDB">
              <w:rPr>
                <w:b/>
              </w:rPr>
              <w:t>(Gy ka</w:t>
            </w:r>
            <w:r w:rsidRPr="001D6FDB">
              <w:rPr>
                <w:b/>
                <w:vertAlign w:val="superscript"/>
              </w:rPr>
              <w:t>-1</w:t>
            </w:r>
            <w:r w:rsidRPr="001D6FDB">
              <w:rPr>
                <w:b/>
              </w:rPr>
              <w:t>)</w:t>
            </w:r>
          </w:p>
        </w:tc>
        <w:tc>
          <w:tcPr>
            <w:tcW w:w="1778" w:type="dxa"/>
            <w:vAlign w:val="center"/>
          </w:tcPr>
          <w:p w14:paraId="59BD4A97" w14:textId="0F7B0AA2" w:rsidR="007B671F" w:rsidRPr="001D6FDB" w:rsidRDefault="00D25A10" w:rsidP="006C56EA">
            <w:pPr>
              <w:spacing w:line="276" w:lineRule="auto"/>
              <w:rPr>
                <w:b/>
              </w:rPr>
            </w:pPr>
            <w:r>
              <w:rPr>
                <w:b/>
              </w:rPr>
              <w:t>Modelled</w:t>
            </w:r>
            <w:r w:rsidR="007B671F" w:rsidRPr="001D6FDB">
              <w:rPr>
                <w:b/>
              </w:rPr>
              <w:t xml:space="preserve"> age</w:t>
            </w:r>
          </w:p>
          <w:p w14:paraId="4DE365E9" w14:textId="77777777" w:rsidR="007B671F" w:rsidRPr="001D6FDB" w:rsidRDefault="007B671F" w:rsidP="006C56EA">
            <w:pPr>
              <w:spacing w:line="276" w:lineRule="auto"/>
              <w:rPr>
                <w:b/>
              </w:rPr>
            </w:pPr>
            <w:r>
              <w:rPr>
                <w:b/>
              </w:rPr>
              <w:t>(</w:t>
            </w:r>
            <w:r w:rsidRPr="001D6FDB">
              <w:rPr>
                <w:b/>
              </w:rPr>
              <w:t>ka)</w:t>
            </w:r>
          </w:p>
        </w:tc>
      </w:tr>
      <w:tr w:rsidR="007B671F" w14:paraId="5032D344" w14:textId="77777777" w:rsidTr="00D25A10">
        <w:tc>
          <w:tcPr>
            <w:tcW w:w="1777" w:type="dxa"/>
            <w:vAlign w:val="center"/>
          </w:tcPr>
          <w:p w14:paraId="776A9F2E" w14:textId="04A5FCCC" w:rsidR="007B671F" w:rsidRPr="005D202A" w:rsidRDefault="007B671F" w:rsidP="006C56EA">
            <w:pPr>
              <w:spacing w:line="276" w:lineRule="auto"/>
              <w:rPr>
                <w:b/>
                <w:strike/>
              </w:rPr>
            </w:pPr>
            <w:r w:rsidRPr="00A01EAE">
              <w:rPr>
                <w:rFonts w:ascii="Calibri" w:hAnsi="Calibri" w:cs="Calibri"/>
                <w:color w:val="000000"/>
              </w:rPr>
              <w:t>Leic21008</w:t>
            </w:r>
          </w:p>
        </w:tc>
        <w:tc>
          <w:tcPr>
            <w:tcW w:w="1777" w:type="dxa"/>
            <w:vAlign w:val="center"/>
          </w:tcPr>
          <w:p w14:paraId="5069A404" w14:textId="77777777" w:rsidR="007B671F" w:rsidRDefault="007B671F" w:rsidP="006C56EA">
            <w:pPr>
              <w:spacing w:line="276" w:lineRule="auto"/>
            </w:pPr>
            <w:r>
              <w:rPr>
                <w:rFonts w:cstheme="minorHAnsi"/>
              </w:rPr>
              <w:t xml:space="preserve">0.62 </w:t>
            </w:r>
            <w:r w:rsidRPr="00D156EA">
              <w:rPr>
                <w:rFonts w:cstheme="minorHAnsi"/>
              </w:rPr>
              <w:t>±</w:t>
            </w:r>
            <w:r>
              <w:rPr>
                <w:rFonts w:cstheme="minorHAnsi"/>
              </w:rPr>
              <w:t xml:space="preserve"> 0.03</w:t>
            </w:r>
          </w:p>
        </w:tc>
        <w:tc>
          <w:tcPr>
            <w:tcW w:w="1777" w:type="dxa"/>
            <w:vAlign w:val="center"/>
          </w:tcPr>
          <w:p w14:paraId="7FC6147A" w14:textId="77777777" w:rsidR="007B671F" w:rsidRDefault="007B671F" w:rsidP="006C56EA">
            <w:pPr>
              <w:spacing w:line="276" w:lineRule="auto"/>
            </w:pPr>
            <w:r>
              <w:rPr>
                <w:rFonts w:cstheme="minorHAnsi"/>
              </w:rPr>
              <w:t xml:space="preserve">0.53 </w:t>
            </w:r>
            <w:r w:rsidRPr="00D156EA">
              <w:rPr>
                <w:rFonts w:cstheme="minorHAnsi"/>
              </w:rPr>
              <w:t>±</w:t>
            </w:r>
            <w:r>
              <w:rPr>
                <w:rFonts w:cstheme="minorHAnsi"/>
              </w:rPr>
              <w:t xml:space="preserve"> 0.03</w:t>
            </w:r>
          </w:p>
        </w:tc>
        <w:tc>
          <w:tcPr>
            <w:tcW w:w="1778" w:type="dxa"/>
            <w:vAlign w:val="center"/>
          </w:tcPr>
          <w:p w14:paraId="6D0C8327" w14:textId="77777777" w:rsidR="007B671F" w:rsidRPr="001D6FDB" w:rsidRDefault="007B671F" w:rsidP="006C56EA">
            <w:pPr>
              <w:spacing w:line="276" w:lineRule="auto"/>
              <w:rPr>
                <w:b/>
              </w:rPr>
            </w:pPr>
            <w:r>
              <w:rPr>
                <w:rFonts w:cstheme="minorHAnsi"/>
                <w:b/>
              </w:rPr>
              <w:t xml:space="preserve">130 </w:t>
            </w:r>
            <w:r w:rsidRPr="001D6FDB">
              <w:rPr>
                <w:rFonts w:cstheme="minorHAnsi"/>
                <w:b/>
              </w:rPr>
              <w:t>±</w:t>
            </w:r>
            <w:r>
              <w:rPr>
                <w:rFonts w:cstheme="minorHAnsi"/>
                <w:b/>
              </w:rPr>
              <w:t xml:space="preserve"> 10</w:t>
            </w:r>
          </w:p>
        </w:tc>
        <w:tc>
          <w:tcPr>
            <w:tcW w:w="1777" w:type="dxa"/>
            <w:vAlign w:val="center"/>
          </w:tcPr>
          <w:p w14:paraId="141072AC" w14:textId="77777777" w:rsidR="007B671F" w:rsidRDefault="007B671F" w:rsidP="006C56EA">
            <w:pPr>
              <w:spacing w:line="276" w:lineRule="auto"/>
            </w:pPr>
            <w:r>
              <w:rPr>
                <w:rFonts w:cstheme="minorHAnsi"/>
              </w:rPr>
              <w:t xml:space="preserve">0.62 </w:t>
            </w:r>
            <w:r w:rsidRPr="00D156EA">
              <w:rPr>
                <w:rFonts w:cstheme="minorHAnsi"/>
              </w:rPr>
              <w:t>±</w:t>
            </w:r>
            <w:r>
              <w:rPr>
                <w:rFonts w:cstheme="minorHAnsi"/>
              </w:rPr>
              <w:t xml:space="preserve"> 0.04</w:t>
            </w:r>
          </w:p>
        </w:tc>
        <w:tc>
          <w:tcPr>
            <w:tcW w:w="1777" w:type="dxa"/>
            <w:vAlign w:val="center"/>
          </w:tcPr>
          <w:p w14:paraId="560BDB91" w14:textId="77777777" w:rsidR="007B671F" w:rsidRDefault="007B671F" w:rsidP="006C56EA">
            <w:pPr>
              <w:spacing w:line="276" w:lineRule="auto"/>
            </w:pPr>
            <w:r>
              <w:rPr>
                <w:rFonts w:cstheme="minorHAnsi"/>
              </w:rPr>
              <w:t xml:space="preserve">0.53 </w:t>
            </w:r>
            <w:r w:rsidRPr="00D156EA">
              <w:rPr>
                <w:rFonts w:cstheme="minorHAnsi"/>
              </w:rPr>
              <w:t>±</w:t>
            </w:r>
            <w:r>
              <w:rPr>
                <w:rFonts w:cstheme="minorHAnsi"/>
              </w:rPr>
              <w:t xml:space="preserve"> 0.03</w:t>
            </w:r>
          </w:p>
        </w:tc>
        <w:tc>
          <w:tcPr>
            <w:tcW w:w="1778" w:type="dxa"/>
            <w:vAlign w:val="center"/>
          </w:tcPr>
          <w:p w14:paraId="1FF33487" w14:textId="77777777" w:rsidR="007B671F" w:rsidRPr="001D6FDB" w:rsidRDefault="007B671F" w:rsidP="006C56EA">
            <w:pPr>
              <w:spacing w:line="276" w:lineRule="auto"/>
              <w:rPr>
                <w:b/>
              </w:rPr>
            </w:pPr>
            <w:r>
              <w:rPr>
                <w:rFonts w:cstheme="minorHAnsi"/>
                <w:b/>
              </w:rPr>
              <w:t xml:space="preserve">126 </w:t>
            </w:r>
            <w:r w:rsidRPr="001D6FDB">
              <w:rPr>
                <w:rFonts w:cstheme="minorHAnsi"/>
                <w:b/>
              </w:rPr>
              <w:t>±</w:t>
            </w:r>
            <w:r>
              <w:rPr>
                <w:rFonts w:cstheme="minorHAnsi"/>
                <w:b/>
              </w:rPr>
              <w:t xml:space="preserve"> 9</w:t>
            </w:r>
          </w:p>
        </w:tc>
      </w:tr>
      <w:tr w:rsidR="007B671F" w14:paraId="01CBAC54" w14:textId="77777777" w:rsidTr="00D25A10">
        <w:tc>
          <w:tcPr>
            <w:tcW w:w="1777" w:type="dxa"/>
            <w:vAlign w:val="center"/>
          </w:tcPr>
          <w:p w14:paraId="48DFC8B2" w14:textId="6EDFCE23" w:rsidR="007B671F" w:rsidRPr="005D202A" w:rsidRDefault="007B671F" w:rsidP="006C56EA">
            <w:pPr>
              <w:spacing w:line="276" w:lineRule="auto"/>
              <w:rPr>
                <w:b/>
                <w:strike/>
              </w:rPr>
            </w:pPr>
            <w:r w:rsidRPr="00A01EAE">
              <w:rPr>
                <w:rFonts w:ascii="Calibri" w:hAnsi="Calibri" w:cs="Calibri"/>
                <w:color w:val="000000"/>
              </w:rPr>
              <w:t>Leic20031</w:t>
            </w:r>
          </w:p>
        </w:tc>
        <w:tc>
          <w:tcPr>
            <w:tcW w:w="1777" w:type="dxa"/>
            <w:vAlign w:val="center"/>
          </w:tcPr>
          <w:p w14:paraId="4C232B35" w14:textId="77777777" w:rsidR="007B671F" w:rsidRDefault="007B671F" w:rsidP="006C56EA">
            <w:pPr>
              <w:spacing w:line="276" w:lineRule="auto"/>
            </w:pPr>
            <w:r>
              <w:rPr>
                <w:rFonts w:cstheme="minorHAnsi"/>
              </w:rPr>
              <w:t xml:space="preserve">0.38 </w:t>
            </w:r>
            <w:r w:rsidRPr="00D156EA">
              <w:rPr>
                <w:rFonts w:cstheme="minorHAnsi"/>
              </w:rPr>
              <w:t>±</w:t>
            </w:r>
            <w:r>
              <w:rPr>
                <w:rFonts w:cstheme="minorHAnsi"/>
              </w:rPr>
              <w:t xml:space="preserve"> 0.03</w:t>
            </w:r>
          </w:p>
        </w:tc>
        <w:tc>
          <w:tcPr>
            <w:tcW w:w="1777" w:type="dxa"/>
            <w:vAlign w:val="center"/>
          </w:tcPr>
          <w:p w14:paraId="7C3D6239" w14:textId="77777777" w:rsidR="007B671F" w:rsidRDefault="007B671F" w:rsidP="006C56EA">
            <w:pPr>
              <w:spacing w:line="276" w:lineRule="auto"/>
            </w:pPr>
            <w:r>
              <w:rPr>
                <w:rFonts w:cstheme="minorHAnsi"/>
              </w:rPr>
              <w:t xml:space="preserve">0.33 </w:t>
            </w:r>
            <w:r w:rsidRPr="00D156EA">
              <w:rPr>
                <w:rFonts w:cstheme="minorHAnsi"/>
              </w:rPr>
              <w:t>±</w:t>
            </w:r>
            <w:r>
              <w:rPr>
                <w:rFonts w:cstheme="minorHAnsi"/>
              </w:rPr>
              <w:t xml:space="preserve"> 0.02</w:t>
            </w:r>
          </w:p>
        </w:tc>
        <w:tc>
          <w:tcPr>
            <w:tcW w:w="1778" w:type="dxa"/>
            <w:vAlign w:val="center"/>
          </w:tcPr>
          <w:p w14:paraId="59EE19F8" w14:textId="77777777" w:rsidR="007B671F" w:rsidRPr="001D6FDB" w:rsidRDefault="007B671F" w:rsidP="006C56EA">
            <w:pPr>
              <w:spacing w:line="276" w:lineRule="auto"/>
              <w:rPr>
                <w:b/>
              </w:rPr>
            </w:pPr>
            <w:r w:rsidRPr="001D6FDB">
              <w:rPr>
                <w:rFonts w:cstheme="minorHAnsi"/>
                <w:b/>
              </w:rPr>
              <w:t>137 ± 9</w:t>
            </w:r>
          </w:p>
        </w:tc>
        <w:tc>
          <w:tcPr>
            <w:tcW w:w="1777" w:type="dxa"/>
            <w:vAlign w:val="center"/>
          </w:tcPr>
          <w:p w14:paraId="1E672346" w14:textId="77777777" w:rsidR="007B671F" w:rsidRDefault="007B671F" w:rsidP="006C56EA">
            <w:pPr>
              <w:spacing w:line="276" w:lineRule="auto"/>
            </w:pPr>
            <w:r>
              <w:rPr>
                <w:rFonts w:cstheme="minorHAnsi"/>
              </w:rPr>
              <w:t xml:space="preserve">0.37 </w:t>
            </w:r>
            <w:r w:rsidRPr="00D156EA">
              <w:rPr>
                <w:rFonts w:cstheme="minorHAnsi"/>
              </w:rPr>
              <w:t>±</w:t>
            </w:r>
            <w:r>
              <w:rPr>
                <w:rFonts w:cstheme="minorHAnsi"/>
              </w:rPr>
              <w:t xml:space="preserve"> 0.03</w:t>
            </w:r>
          </w:p>
        </w:tc>
        <w:tc>
          <w:tcPr>
            <w:tcW w:w="1777" w:type="dxa"/>
            <w:vAlign w:val="center"/>
          </w:tcPr>
          <w:p w14:paraId="75C108A5" w14:textId="77777777" w:rsidR="007B671F" w:rsidRDefault="007B671F" w:rsidP="006C56EA">
            <w:pPr>
              <w:spacing w:line="276" w:lineRule="auto"/>
            </w:pPr>
            <w:r>
              <w:rPr>
                <w:rFonts w:cstheme="minorHAnsi"/>
              </w:rPr>
              <w:t xml:space="preserve">0.33 </w:t>
            </w:r>
            <w:r w:rsidRPr="00D156EA">
              <w:rPr>
                <w:rFonts w:cstheme="minorHAnsi"/>
              </w:rPr>
              <w:t>±</w:t>
            </w:r>
            <w:r>
              <w:rPr>
                <w:rFonts w:cstheme="minorHAnsi"/>
              </w:rPr>
              <w:t xml:space="preserve"> 0.02</w:t>
            </w:r>
          </w:p>
        </w:tc>
        <w:tc>
          <w:tcPr>
            <w:tcW w:w="1778" w:type="dxa"/>
            <w:vAlign w:val="center"/>
          </w:tcPr>
          <w:p w14:paraId="0975A871" w14:textId="77777777" w:rsidR="007B671F" w:rsidRPr="001D6FDB" w:rsidRDefault="007B671F" w:rsidP="006C56EA">
            <w:pPr>
              <w:spacing w:line="276" w:lineRule="auto"/>
              <w:rPr>
                <w:b/>
              </w:rPr>
            </w:pPr>
            <w:r w:rsidRPr="001D6FDB">
              <w:rPr>
                <w:rFonts w:cstheme="minorHAnsi"/>
                <w:b/>
              </w:rPr>
              <w:t>131 ± 10</w:t>
            </w:r>
          </w:p>
        </w:tc>
      </w:tr>
      <w:tr w:rsidR="007B671F" w14:paraId="2449B2D4" w14:textId="77777777" w:rsidTr="00D25A10">
        <w:tc>
          <w:tcPr>
            <w:tcW w:w="1777" w:type="dxa"/>
            <w:vAlign w:val="center"/>
          </w:tcPr>
          <w:p w14:paraId="7D9ECB9C" w14:textId="1AF3FF1E" w:rsidR="007B671F" w:rsidRPr="005D202A" w:rsidRDefault="007B671F" w:rsidP="006C56EA">
            <w:pPr>
              <w:spacing w:line="276" w:lineRule="auto"/>
              <w:rPr>
                <w:b/>
                <w:strike/>
              </w:rPr>
            </w:pPr>
            <w:r w:rsidRPr="00A01EAE">
              <w:rPr>
                <w:rFonts w:ascii="Calibri" w:hAnsi="Calibri" w:cs="Calibri"/>
                <w:color w:val="000000"/>
              </w:rPr>
              <w:t>Leic20024</w:t>
            </w:r>
          </w:p>
        </w:tc>
        <w:tc>
          <w:tcPr>
            <w:tcW w:w="1777" w:type="dxa"/>
            <w:vAlign w:val="center"/>
          </w:tcPr>
          <w:p w14:paraId="4FF6093F" w14:textId="77777777" w:rsidR="007B671F" w:rsidRDefault="007B671F" w:rsidP="006C56EA">
            <w:pPr>
              <w:spacing w:line="276" w:lineRule="auto"/>
            </w:pPr>
            <w:r>
              <w:rPr>
                <w:rFonts w:cstheme="minorHAnsi"/>
              </w:rPr>
              <w:t xml:space="preserve">0.32 </w:t>
            </w:r>
            <w:r w:rsidRPr="00D156EA">
              <w:rPr>
                <w:rFonts w:cstheme="minorHAnsi"/>
              </w:rPr>
              <w:t>±</w:t>
            </w:r>
            <w:r>
              <w:rPr>
                <w:rFonts w:cstheme="minorHAnsi"/>
              </w:rPr>
              <w:t xml:space="preserve"> 0.02</w:t>
            </w:r>
          </w:p>
        </w:tc>
        <w:tc>
          <w:tcPr>
            <w:tcW w:w="1777" w:type="dxa"/>
            <w:vAlign w:val="center"/>
          </w:tcPr>
          <w:p w14:paraId="2CCDA41C" w14:textId="77777777" w:rsidR="007B671F" w:rsidRDefault="007B671F" w:rsidP="006C56EA">
            <w:pPr>
              <w:spacing w:line="276" w:lineRule="auto"/>
            </w:pPr>
            <w:r>
              <w:rPr>
                <w:rFonts w:cstheme="minorHAnsi"/>
              </w:rPr>
              <w:t xml:space="preserve">0.28 </w:t>
            </w:r>
            <w:r w:rsidRPr="00D156EA">
              <w:rPr>
                <w:rFonts w:cstheme="minorHAnsi"/>
              </w:rPr>
              <w:t>±</w:t>
            </w:r>
            <w:r>
              <w:rPr>
                <w:rFonts w:cstheme="minorHAnsi"/>
              </w:rPr>
              <w:t xml:space="preserve"> 0.02</w:t>
            </w:r>
          </w:p>
        </w:tc>
        <w:tc>
          <w:tcPr>
            <w:tcW w:w="1778" w:type="dxa"/>
            <w:vAlign w:val="center"/>
          </w:tcPr>
          <w:p w14:paraId="681D8110" w14:textId="77777777" w:rsidR="007B671F" w:rsidRPr="001D6FDB" w:rsidRDefault="007B671F" w:rsidP="006C56EA">
            <w:pPr>
              <w:spacing w:line="276" w:lineRule="auto"/>
              <w:rPr>
                <w:b/>
              </w:rPr>
            </w:pPr>
            <w:r w:rsidRPr="001D6FDB">
              <w:rPr>
                <w:rFonts w:cstheme="minorHAnsi"/>
                <w:b/>
              </w:rPr>
              <w:t>109 ± 7</w:t>
            </w:r>
          </w:p>
        </w:tc>
        <w:tc>
          <w:tcPr>
            <w:tcW w:w="1777" w:type="dxa"/>
            <w:vAlign w:val="center"/>
          </w:tcPr>
          <w:p w14:paraId="4EED3A2C" w14:textId="77777777" w:rsidR="007B671F" w:rsidRDefault="007B671F" w:rsidP="006C56EA">
            <w:pPr>
              <w:spacing w:line="276" w:lineRule="auto"/>
            </w:pPr>
            <w:r>
              <w:rPr>
                <w:rFonts w:cstheme="minorHAnsi"/>
              </w:rPr>
              <w:t xml:space="preserve">0.32 </w:t>
            </w:r>
            <w:r w:rsidRPr="00D156EA">
              <w:rPr>
                <w:rFonts w:cstheme="minorHAnsi"/>
              </w:rPr>
              <w:t>±</w:t>
            </w:r>
            <w:r>
              <w:rPr>
                <w:rFonts w:cstheme="minorHAnsi"/>
              </w:rPr>
              <w:t xml:space="preserve"> 0.03</w:t>
            </w:r>
          </w:p>
        </w:tc>
        <w:tc>
          <w:tcPr>
            <w:tcW w:w="1777" w:type="dxa"/>
            <w:vAlign w:val="center"/>
          </w:tcPr>
          <w:p w14:paraId="7DDD9162" w14:textId="77777777" w:rsidR="007B671F" w:rsidRDefault="007B671F" w:rsidP="006C56EA">
            <w:pPr>
              <w:spacing w:line="276" w:lineRule="auto"/>
            </w:pPr>
            <w:r>
              <w:rPr>
                <w:rFonts w:cstheme="minorHAnsi"/>
              </w:rPr>
              <w:t xml:space="preserve">0.28 </w:t>
            </w:r>
            <w:r w:rsidRPr="00D156EA">
              <w:rPr>
                <w:rFonts w:cstheme="minorHAnsi"/>
              </w:rPr>
              <w:t>±</w:t>
            </w:r>
            <w:r>
              <w:rPr>
                <w:rFonts w:cstheme="minorHAnsi"/>
              </w:rPr>
              <w:t xml:space="preserve"> 0.08</w:t>
            </w:r>
          </w:p>
        </w:tc>
        <w:tc>
          <w:tcPr>
            <w:tcW w:w="1778" w:type="dxa"/>
            <w:vAlign w:val="center"/>
          </w:tcPr>
          <w:p w14:paraId="381F4FEB" w14:textId="77777777" w:rsidR="007B671F" w:rsidRPr="001D6FDB" w:rsidRDefault="007B671F" w:rsidP="006C56EA">
            <w:pPr>
              <w:spacing w:line="276" w:lineRule="auto"/>
              <w:rPr>
                <w:b/>
              </w:rPr>
            </w:pPr>
            <w:r w:rsidRPr="001D6FDB">
              <w:rPr>
                <w:rFonts w:cstheme="minorHAnsi"/>
                <w:b/>
              </w:rPr>
              <w:t>104 ± 8</w:t>
            </w:r>
          </w:p>
        </w:tc>
      </w:tr>
      <w:tr w:rsidR="007B671F" w14:paraId="2DDEC97E" w14:textId="77777777" w:rsidTr="00D25A10">
        <w:tc>
          <w:tcPr>
            <w:tcW w:w="1777" w:type="dxa"/>
            <w:vAlign w:val="center"/>
          </w:tcPr>
          <w:p w14:paraId="3A5E3B4B" w14:textId="1D8ED2AE" w:rsidR="007B671F" w:rsidRPr="005D202A" w:rsidRDefault="007B671F" w:rsidP="006C56EA">
            <w:pPr>
              <w:spacing w:line="276" w:lineRule="auto"/>
              <w:rPr>
                <w:b/>
                <w:strike/>
              </w:rPr>
            </w:pPr>
            <w:r w:rsidRPr="00A01EAE">
              <w:rPr>
                <w:rFonts w:ascii="Calibri" w:hAnsi="Calibri" w:cs="Calibri"/>
                <w:color w:val="000000"/>
              </w:rPr>
              <w:t>Leic20027</w:t>
            </w:r>
          </w:p>
        </w:tc>
        <w:tc>
          <w:tcPr>
            <w:tcW w:w="1777" w:type="dxa"/>
            <w:vAlign w:val="center"/>
          </w:tcPr>
          <w:p w14:paraId="4C1582A3" w14:textId="77777777" w:rsidR="007B671F" w:rsidRDefault="007B671F" w:rsidP="006C56EA">
            <w:pPr>
              <w:spacing w:line="276" w:lineRule="auto"/>
            </w:pPr>
            <w:r>
              <w:rPr>
                <w:rFonts w:cstheme="minorHAnsi"/>
              </w:rPr>
              <w:t xml:space="preserve">0.55 </w:t>
            </w:r>
            <w:r w:rsidRPr="00D156EA">
              <w:rPr>
                <w:rFonts w:cstheme="minorHAnsi"/>
              </w:rPr>
              <w:t>±</w:t>
            </w:r>
            <w:r>
              <w:rPr>
                <w:rFonts w:cstheme="minorHAnsi"/>
              </w:rPr>
              <w:t xml:space="preserve"> 0.04</w:t>
            </w:r>
          </w:p>
        </w:tc>
        <w:tc>
          <w:tcPr>
            <w:tcW w:w="1777" w:type="dxa"/>
            <w:vAlign w:val="center"/>
          </w:tcPr>
          <w:p w14:paraId="7041919C" w14:textId="77777777" w:rsidR="007B671F" w:rsidRDefault="007B671F" w:rsidP="006C56EA">
            <w:pPr>
              <w:spacing w:line="276" w:lineRule="auto"/>
            </w:pPr>
            <w:r>
              <w:rPr>
                <w:rFonts w:cstheme="minorHAnsi"/>
              </w:rPr>
              <w:t xml:space="preserve">0.47 </w:t>
            </w:r>
            <w:r w:rsidRPr="00D156EA">
              <w:rPr>
                <w:rFonts w:cstheme="minorHAnsi"/>
              </w:rPr>
              <w:t>±</w:t>
            </w:r>
            <w:r>
              <w:rPr>
                <w:rFonts w:cstheme="minorHAnsi"/>
              </w:rPr>
              <w:t xml:space="preserve"> 0.02</w:t>
            </w:r>
          </w:p>
        </w:tc>
        <w:tc>
          <w:tcPr>
            <w:tcW w:w="1778" w:type="dxa"/>
            <w:vAlign w:val="center"/>
          </w:tcPr>
          <w:p w14:paraId="1E7C0B2E" w14:textId="77777777" w:rsidR="007B671F" w:rsidRPr="001D6FDB" w:rsidRDefault="007B671F" w:rsidP="006C56EA">
            <w:pPr>
              <w:spacing w:line="276" w:lineRule="auto"/>
              <w:rPr>
                <w:b/>
              </w:rPr>
            </w:pPr>
            <w:r>
              <w:rPr>
                <w:rFonts w:cstheme="minorHAnsi"/>
                <w:b/>
              </w:rPr>
              <w:t xml:space="preserve">130 </w:t>
            </w:r>
            <w:r w:rsidRPr="001D6FDB">
              <w:rPr>
                <w:rFonts w:cstheme="minorHAnsi"/>
                <w:b/>
              </w:rPr>
              <w:t>±</w:t>
            </w:r>
            <w:r>
              <w:rPr>
                <w:rFonts w:cstheme="minorHAnsi"/>
                <w:b/>
              </w:rPr>
              <w:t xml:space="preserve"> 7</w:t>
            </w:r>
          </w:p>
        </w:tc>
        <w:tc>
          <w:tcPr>
            <w:tcW w:w="1777" w:type="dxa"/>
            <w:vAlign w:val="center"/>
          </w:tcPr>
          <w:p w14:paraId="17C5A0C8" w14:textId="77777777" w:rsidR="007B671F" w:rsidRDefault="007B671F" w:rsidP="006C56EA">
            <w:pPr>
              <w:spacing w:line="276" w:lineRule="auto"/>
            </w:pPr>
            <w:r>
              <w:rPr>
                <w:rFonts w:cstheme="minorHAnsi"/>
              </w:rPr>
              <w:t xml:space="preserve">0.55 </w:t>
            </w:r>
            <w:r w:rsidRPr="00D156EA">
              <w:rPr>
                <w:rFonts w:cstheme="minorHAnsi"/>
              </w:rPr>
              <w:t>±</w:t>
            </w:r>
            <w:r>
              <w:rPr>
                <w:rFonts w:cstheme="minorHAnsi"/>
              </w:rPr>
              <w:t xml:space="preserve"> 0.03</w:t>
            </w:r>
          </w:p>
        </w:tc>
        <w:tc>
          <w:tcPr>
            <w:tcW w:w="1777" w:type="dxa"/>
            <w:vAlign w:val="center"/>
          </w:tcPr>
          <w:p w14:paraId="13B5CD8F" w14:textId="77777777" w:rsidR="007B671F" w:rsidRDefault="007B671F" w:rsidP="006C56EA">
            <w:pPr>
              <w:spacing w:line="276" w:lineRule="auto"/>
            </w:pPr>
            <w:r>
              <w:rPr>
                <w:rFonts w:cstheme="minorHAnsi"/>
              </w:rPr>
              <w:t xml:space="preserve">0.47 </w:t>
            </w:r>
            <w:r w:rsidRPr="00D156EA">
              <w:rPr>
                <w:rFonts w:cstheme="minorHAnsi"/>
              </w:rPr>
              <w:t>±</w:t>
            </w:r>
            <w:r>
              <w:rPr>
                <w:rFonts w:cstheme="minorHAnsi"/>
              </w:rPr>
              <w:t xml:space="preserve"> 0.02</w:t>
            </w:r>
          </w:p>
        </w:tc>
        <w:tc>
          <w:tcPr>
            <w:tcW w:w="1778" w:type="dxa"/>
            <w:vAlign w:val="center"/>
          </w:tcPr>
          <w:p w14:paraId="409BA391" w14:textId="77777777" w:rsidR="007B671F" w:rsidRPr="001D6FDB" w:rsidRDefault="007B671F" w:rsidP="006C56EA">
            <w:pPr>
              <w:spacing w:line="276" w:lineRule="auto"/>
              <w:rPr>
                <w:b/>
              </w:rPr>
            </w:pPr>
            <w:r>
              <w:rPr>
                <w:rFonts w:cstheme="minorHAnsi"/>
                <w:b/>
              </w:rPr>
              <w:t xml:space="preserve">125 </w:t>
            </w:r>
            <w:r w:rsidRPr="001D6FDB">
              <w:rPr>
                <w:rFonts w:cstheme="minorHAnsi"/>
                <w:b/>
              </w:rPr>
              <w:t>±</w:t>
            </w:r>
            <w:r>
              <w:rPr>
                <w:rFonts w:cstheme="minorHAnsi"/>
                <w:b/>
              </w:rPr>
              <w:t xml:space="preserve"> 7</w:t>
            </w:r>
          </w:p>
        </w:tc>
      </w:tr>
      <w:tr w:rsidR="007B671F" w14:paraId="6DF7E5E5" w14:textId="77777777" w:rsidTr="00D25A10">
        <w:tc>
          <w:tcPr>
            <w:tcW w:w="1777" w:type="dxa"/>
            <w:vAlign w:val="center"/>
          </w:tcPr>
          <w:p w14:paraId="56E4BC1E" w14:textId="0B351A35" w:rsidR="007B671F" w:rsidRPr="005D202A" w:rsidRDefault="007B671F" w:rsidP="006C56EA">
            <w:pPr>
              <w:spacing w:line="276" w:lineRule="auto"/>
              <w:rPr>
                <w:b/>
                <w:strike/>
              </w:rPr>
            </w:pPr>
            <w:r w:rsidRPr="00A01EAE">
              <w:rPr>
                <w:rFonts w:ascii="Calibri" w:hAnsi="Calibri" w:cs="Calibri"/>
                <w:color w:val="000000"/>
              </w:rPr>
              <w:t>Leic20003</w:t>
            </w:r>
          </w:p>
        </w:tc>
        <w:tc>
          <w:tcPr>
            <w:tcW w:w="1777" w:type="dxa"/>
            <w:vAlign w:val="center"/>
          </w:tcPr>
          <w:p w14:paraId="2011A078" w14:textId="77777777" w:rsidR="007B671F" w:rsidRDefault="007B671F" w:rsidP="006C56EA">
            <w:pPr>
              <w:spacing w:line="276" w:lineRule="auto"/>
            </w:pPr>
            <w:r>
              <w:rPr>
                <w:rFonts w:cstheme="minorHAnsi"/>
              </w:rPr>
              <w:t xml:space="preserve">0.84 </w:t>
            </w:r>
            <w:r w:rsidRPr="00D156EA">
              <w:rPr>
                <w:rFonts w:cstheme="minorHAnsi"/>
              </w:rPr>
              <w:t>±</w:t>
            </w:r>
            <w:r>
              <w:rPr>
                <w:rFonts w:cstheme="minorHAnsi"/>
              </w:rPr>
              <w:t xml:space="preserve"> 0.05</w:t>
            </w:r>
          </w:p>
        </w:tc>
        <w:tc>
          <w:tcPr>
            <w:tcW w:w="1777" w:type="dxa"/>
            <w:vAlign w:val="center"/>
          </w:tcPr>
          <w:p w14:paraId="5F45DFB4" w14:textId="77777777" w:rsidR="007B671F" w:rsidRDefault="007B671F" w:rsidP="006C56EA">
            <w:pPr>
              <w:spacing w:line="276" w:lineRule="auto"/>
            </w:pPr>
            <w:r>
              <w:rPr>
                <w:rFonts w:cstheme="minorHAnsi"/>
              </w:rPr>
              <w:t xml:space="preserve">0.73 </w:t>
            </w:r>
            <w:r w:rsidRPr="00D156EA">
              <w:rPr>
                <w:rFonts w:cstheme="minorHAnsi"/>
              </w:rPr>
              <w:t>±</w:t>
            </w:r>
            <w:r>
              <w:rPr>
                <w:rFonts w:cstheme="minorHAnsi"/>
              </w:rPr>
              <w:t xml:space="preserve"> 0.04</w:t>
            </w:r>
          </w:p>
        </w:tc>
        <w:tc>
          <w:tcPr>
            <w:tcW w:w="1778" w:type="dxa"/>
            <w:vAlign w:val="center"/>
          </w:tcPr>
          <w:p w14:paraId="16A3DA81" w14:textId="77777777" w:rsidR="007B671F" w:rsidRPr="001D6FDB" w:rsidRDefault="007B671F" w:rsidP="006C56EA">
            <w:pPr>
              <w:spacing w:line="276" w:lineRule="auto"/>
              <w:rPr>
                <w:b/>
              </w:rPr>
            </w:pPr>
            <w:r>
              <w:rPr>
                <w:rFonts w:cstheme="minorHAnsi"/>
                <w:b/>
              </w:rPr>
              <w:t xml:space="preserve">68 </w:t>
            </w:r>
            <w:r w:rsidRPr="001D6FDB">
              <w:rPr>
                <w:rFonts w:cstheme="minorHAnsi"/>
                <w:b/>
              </w:rPr>
              <w:t>±</w:t>
            </w:r>
            <w:r>
              <w:rPr>
                <w:rFonts w:cstheme="minorHAnsi"/>
                <w:b/>
              </w:rPr>
              <w:t xml:space="preserve"> 4</w:t>
            </w:r>
          </w:p>
        </w:tc>
        <w:tc>
          <w:tcPr>
            <w:tcW w:w="1777" w:type="dxa"/>
            <w:vAlign w:val="center"/>
          </w:tcPr>
          <w:p w14:paraId="27023FBC" w14:textId="77777777" w:rsidR="007B671F" w:rsidRDefault="007B671F" w:rsidP="006C56EA">
            <w:pPr>
              <w:spacing w:line="276" w:lineRule="auto"/>
            </w:pPr>
            <w:r>
              <w:rPr>
                <w:rFonts w:cstheme="minorHAnsi"/>
              </w:rPr>
              <w:t xml:space="preserve">0.83 </w:t>
            </w:r>
            <w:r w:rsidRPr="00D156EA">
              <w:rPr>
                <w:rFonts w:cstheme="minorHAnsi"/>
              </w:rPr>
              <w:t>±</w:t>
            </w:r>
            <w:r>
              <w:rPr>
                <w:rFonts w:cstheme="minorHAnsi"/>
              </w:rPr>
              <w:t xml:space="preserve"> 0.05</w:t>
            </w:r>
          </w:p>
        </w:tc>
        <w:tc>
          <w:tcPr>
            <w:tcW w:w="1777" w:type="dxa"/>
            <w:vAlign w:val="center"/>
          </w:tcPr>
          <w:p w14:paraId="1C53E3F8" w14:textId="77777777" w:rsidR="007B671F" w:rsidRDefault="007B671F" w:rsidP="006C56EA">
            <w:pPr>
              <w:spacing w:line="276" w:lineRule="auto"/>
            </w:pPr>
            <w:r>
              <w:rPr>
                <w:rFonts w:cstheme="minorHAnsi"/>
              </w:rPr>
              <w:t xml:space="preserve">0.73 </w:t>
            </w:r>
            <w:r w:rsidRPr="00D156EA">
              <w:rPr>
                <w:rFonts w:cstheme="minorHAnsi"/>
              </w:rPr>
              <w:t>±</w:t>
            </w:r>
            <w:r>
              <w:rPr>
                <w:rFonts w:cstheme="minorHAnsi"/>
              </w:rPr>
              <w:t xml:space="preserve"> 0.04</w:t>
            </w:r>
          </w:p>
        </w:tc>
        <w:tc>
          <w:tcPr>
            <w:tcW w:w="1778" w:type="dxa"/>
            <w:vAlign w:val="center"/>
          </w:tcPr>
          <w:p w14:paraId="595D5E4F" w14:textId="77777777" w:rsidR="007B671F" w:rsidRPr="001D6FDB" w:rsidRDefault="007B671F" w:rsidP="006C56EA">
            <w:pPr>
              <w:spacing w:line="276" w:lineRule="auto"/>
              <w:rPr>
                <w:b/>
              </w:rPr>
            </w:pPr>
            <w:r>
              <w:rPr>
                <w:rFonts w:cstheme="minorHAnsi"/>
                <w:b/>
              </w:rPr>
              <w:t xml:space="preserve">66 </w:t>
            </w:r>
            <w:r w:rsidRPr="001D6FDB">
              <w:rPr>
                <w:rFonts w:cstheme="minorHAnsi"/>
                <w:b/>
              </w:rPr>
              <w:t>±</w:t>
            </w:r>
            <w:r>
              <w:rPr>
                <w:rFonts w:cstheme="minorHAnsi"/>
                <w:b/>
              </w:rPr>
              <w:t xml:space="preserve"> 5</w:t>
            </w:r>
          </w:p>
        </w:tc>
      </w:tr>
    </w:tbl>
    <w:p w14:paraId="3828ACE3" w14:textId="77777777" w:rsidR="00F47DC9" w:rsidRDefault="00F47DC9" w:rsidP="006C56EA">
      <w:pPr>
        <w:spacing w:line="276" w:lineRule="auto"/>
      </w:pPr>
      <w:r>
        <w:br w:type="page"/>
      </w:r>
    </w:p>
    <w:p w14:paraId="27C42BDD" w14:textId="2F40583B" w:rsidR="00B06366" w:rsidRDefault="00F47DC9" w:rsidP="006C56EA">
      <w:pPr>
        <w:spacing w:after="0" w:line="276" w:lineRule="auto"/>
      </w:pPr>
      <w:r w:rsidRPr="00203C98">
        <w:rPr>
          <w:b/>
        </w:rPr>
        <w:lastRenderedPageBreak/>
        <w:t xml:space="preserve">Table </w:t>
      </w:r>
      <w:r>
        <w:rPr>
          <w:b/>
        </w:rPr>
        <w:t>3</w:t>
      </w:r>
      <w:r w:rsidR="004468DD">
        <w:rPr>
          <w:b/>
        </w:rPr>
        <w:t>.</w:t>
      </w:r>
      <w:r>
        <w:t xml:space="preserve"> Details of the “standard” dose rate calculations for the samples in this paper (cf. </w:t>
      </w:r>
      <w:r w:rsidRPr="00F47DC9">
        <w:rPr>
          <w:b/>
        </w:rPr>
        <w:t>Table 2</w:t>
      </w:r>
      <w:r>
        <w:t xml:space="preserve">). Elemental concentrations were determined via ICP-MS and ICP-OES. An internal alpha dose rate was included following Jacobs et al. (2003) and Smith et al. (2018), consistent with other publications in the study region (e.g. Cawthra et al., 2018; Carr et al., 2019). Relative uncertainties of 10% (U and Th) and 5% (K) were propagated from the elemental concentrations. Dose rates were adjusted for grain size, HF etching and sample water contents (values here for 3 </w:t>
      </w:r>
      <w:r>
        <w:rPr>
          <w:rFonts w:cstheme="minorHAnsi"/>
        </w:rPr>
        <w:t>±</w:t>
      </w:r>
      <w:r>
        <w:t xml:space="preserve"> 3% for the duration of burial). Cosmic</w:t>
      </w:r>
      <w:r w:rsidR="004B435D">
        <w:t xml:space="preserve"> </w:t>
      </w:r>
      <w:r w:rsidR="004B435D" w:rsidRPr="004B435D">
        <w:t>dose rates were based on the estimated burial overburdens (as derived with field observation).</w:t>
      </w:r>
    </w:p>
    <w:p w14:paraId="2BD3855E" w14:textId="34857E98" w:rsidR="004B435D" w:rsidRDefault="004B435D" w:rsidP="006C56EA">
      <w:pPr>
        <w:spacing w:after="0" w:line="276" w:lineRule="auto"/>
      </w:pPr>
    </w:p>
    <w:tbl>
      <w:tblPr>
        <w:tblStyle w:val="TableGrid"/>
        <w:tblpPr w:leftFromText="180" w:rightFromText="180" w:vertAnchor="page" w:horzAnchor="margin" w:tblpY="3571"/>
        <w:tblW w:w="12666" w:type="dxa"/>
        <w:tblLayout w:type="fixed"/>
        <w:tblLook w:val="04A0" w:firstRow="1" w:lastRow="0" w:firstColumn="1" w:lastColumn="0" w:noHBand="0" w:noVBand="1"/>
      </w:tblPr>
      <w:tblGrid>
        <w:gridCol w:w="1134"/>
        <w:gridCol w:w="1039"/>
        <w:gridCol w:w="1087"/>
        <w:gridCol w:w="992"/>
        <w:gridCol w:w="1701"/>
        <w:gridCol w:w="1985"/>
        <w:gridCol w:w="1691"/>
        <w:gridCol w:w="1634"/>
        <w:gridCol w:w="1403"/>
      </w:tblGrid>
      <w:tr w:rsidR="00D25A10" w:rsidRPr="00C80DA4" w14:paraId="5B12118C" w14:textId="77777777" w:rsidTr="00D25A10">
        <w:tc>
          <w:tcPr>
            <w:tcW w:w="1134" w:type="dxa"/>
            <w:vAlign w:val="center"/>
          </w:tcPr>
          <w:p w14:paraId="22DFFBC6" w14:textId="77777777" w:rsidR="00D25A10" w:rsidRDefault="00D25A10" w:rsidP="006C56EA">
            <w:pPr>
              <w:spacing w:line="276" w:lineRule="auto"/>
              <w:rPr>
                <w:b/>
              </w:rPr>
            </w:pPr>
            <w:r w:rsidRPr="00C80DA4">
              <w:rPr>
                <w:b/>
              </w:rPr>
              <w:t>Lab code</w:t>
            </w:r>
          </w:p>
        </w:tc>
        <w:tc>
          <w:tcPr>
            <w:tcW w:w="1039" w:type="dxa"/>
            <w:vAlign w:val="center"/>
          </w:tcPr>
          <w:p w14:paraId="05CAAFAD" w14:textId="77777777" w:rsidR="00D25A10" w:rsidRDefault="00D25A10" w:rsidP="006C56EA">
            <w:pPr>
              <w:spacing w:line="276" w:lineRule="auto"/>
              <w:rPr>
                <w:b/>
              </w:rPr>
            </w:pPr>
            <w:r>
              <w:rPr>
                <w:b/>
              </w:rPr>
              <w:t>U (ppm)</w:t>
            </w:r>
          </w:p>
        </w:tc>
        <w:tc>
          <w:tcPr>
            <w:tcW w:w="1087" w:type="dxa"/>
            <w:vAlign w:val="center"/>
          </w:tcPr>
          <w:p w14:paraId="4BC24408" w14:textId="77777777" w:rsidR="00D25A10" w:rsidRDefault="00D25A10" w:rsidP="006C56EA">
            <w:pPr>
              <w:spacing w:line="276" w:lineRule="auto"/>
              <w:rPr>
                <w:b/>
              </w:rPr>
            </w:pPr>
            <w:r>
              <w:rPr>
                <w:b/>
              </w:rPr>
              <w:t>Th (ppm)</w:t>
            </w:r>
          </w:p>
        </w:tc>
        <w:tc>
          <w:tcPr>
            <w:tcW w:w="992" w:type="dxa"/>
            <w:vAlign w:val="center"/>
          </w:tcPr>
          <w:p w14:paraId="76B8CBFB" w14:textId="77777777" w:rsidR="00D25A10" w:rsidRDefault="00D25A10" w:rsidP="006C56EA">
            <w:pPr>
              <w:spacing w:line="276" w:lineRule="auto"/>
              <w:rPr>
                <w:b/>
              </w:rPr>
            </w:pPr>
            <w:r>
              <w:rPr>
                <w:b/>
              </w:rPr>
              <w:t>K (%)</w:t>
            </w:r>
          </w:p>
        </w:tc>
        <w:tc>
          <w:tcPr>
            <w:tcW w:w="1701" w:type="dxa"/>
            <w:vAlign w:val="center"/>
          </w:tcPr>
          <w:p w14:paraId="2A765DA9" w14:textId="77777777" w:rsidR="00D25A10" w:rsidRDefault="00D25A10" w:rsidP="006C56EA">
            <w:pPr>
              <w:spacing w:line="276" w:lineRule="auto"/>
              <w:rPr>
                <w:b/>
              </w:rPr>
            </w:pPr>
            <w:r>
              <w:rPr>
                <w:b/>
              </w:rPr>
              <w:t>Internal alpha dose rate</w:t>
            </w:r>
          </w:p>
          <w:p w14:paraId="19F3F171" w14:textId="77777777" w:rsidR="00D25A10" w:rsidRPr="00113323" w:rsidRDefault="00D25A10" w:rsidP="006C56EA">
            <w:pPr>
              <w:spacing w:line="276" w:lineRule="auto"/>
              <w:rPr>
                <w:b/>
                <w:vertAlign w:val="superscript"/>
              </w:rPr>
            </w:pPr>
            <w:r>
              <w:rPr>
                <w:b/>
              </w:rPr>
              <w:t>(Gy ka</w:t>
            </w:r>
            <w:r w:rsidRPr="009979B8">
              <w:rPr>
                <w:b/>
                <w:vertAlign w:val="superscript"/>
              </w:rPr>
              <w:t>-1</w:t>
            </w:r>
            <w:r>
              <w:rPr>
                <w:b/>
              </w:rPr>
              <w:t>)</w:t>
            </w:r>
            <w:r w:rsidRPr="00113323">
              <w:rPr>
                <w:b/>
                <w:vertAlign w:val="superscript"/>
              </w:rPr>
              <w:t>a</w:t>
            </w:r>
          </w:p>
        </w:tc>
        <w:tc>
          <w:tcPr>
            <w:tcW w:w="1985" w:type="dxa"/>
            <w:vAlign w:val="center"/>
          </w:tcPr>
          <w:p w14:paraId="3E8235BF" w14:textId="77777777" w:rsidR="00D25A10" w:rsidRDefault="00D25A10" w:rsidP="006C56EA">
            <w:pPr>
              <w:spacing w:line="276" w:lineRule="auto"/>
              <w:rPr>
                <w:b/>
              </w:rPr>
            </w:pPr>
            <w:r>
              <w:rPr>
                <w:b/>
              </w:rPr>
              <w:t>External beta dose rate (ICP-MS)</w:t>
            </w:r>
          </w:p>
          <w:p w14:paraId="2454B4FC" w14:textId="77777777" w:rsidR="00D25A10" w:rsidRPr="00C80DA4" w:rsidRDefault="00D25A10" w:rsidP="006C56EA">
            <w:pPr>
              <w:spacing w:line="276" w:lineRule="auto"/>
              <w:rPr>
                <w:b/>
              </w:rPr>
            </w:pPr>
            <w:r>
              <w:rPr>
                <w:b/>
              </w:rPr>
              <w:t>(Gy ka</w:t>
            </w:r>
            <w:r w:rsidRPr="009979B8">
              <w:rPr>
                <w:b/>
                <w:vertAlign w:val="superscript"/>
              </w:rPr>
              <w:t>-1</w:t>
            </w:r>
            <w:r>
              <w:rPr>
                <w:b/>
              </w:rPr>
              <w:t>)</w:t>
            </w:r>
          </w:p>
        </w:tc>
        <w:tc>
          <w:tcPr>
            <w:tcW w:w="1691" w:type="dxa"/>
            <w:vAlign w:val="center"/>
          </w:tcPr>
          <w:p w14:paraId="60AFDDCB" w14:textId="77777777" w:rsidR="00D25A10" w:rsidRDefault="00D25A10" w:rsidP="006C56EA">
            <w:pPr>
              <w:spacing w:line="276" w:lineRule="auto"/>
              <w:rPr>
                <w:b/>
              </w:rPr>
            </w:pPr>
            <w:r>
              <w:rPr>
                <w:b/>
              </w:rPr>
              <w:t>External gamma dose rate</w:t>
            </w:r>
          </w:p>
          <w:p w14:paraId="55DCA211" w14:textId="77777777" w:rsidR="00D25A10" w:rsidRPr="00C80DA4" w:rsidRDefault="00D25A10" w:rsidP="006C56EA">
            <w:pPr>
              <w:spacing w:line="276" w:lineRule="auto"/>
              <w:rPr>
                <w:b/>
              </w:rPr>
            </w:pPr>
            <w:r>
              <w:rPr>
                <w:b/>
              </w:rPr>
              <w:t>(Gy ka</w:t>
            </w:r>
            <w:r w:rsidRPr="009979B8">
              <w:rPr>
                <w:b/>
                <w:vertAlign w:val="superscript"/>
              </w:rPr>
              <w:t>-1</w:t>
            </w:r>
            <w:r>
              <w:rPr>
                <w:b/>
              </w:rPr>
              <w:t>)</w:t>
            </w:r>
          </w:p>
        </w:tc>
        <w:tc>
          <w:tcPr>
            <w:tcW w:w="1634" w:type="dxa"/>
            <w:vAlign w:val="center"/>
          </w:tcPr>
          <w:p w14:paraId="0C42408B" w14:textId="77777777" w:rsidR="00D25A10" w:rsidRDefault="00D25A10" w:rsidP="006C56EA">
            <w:pPr>
              <w:spacing w:line="276" w:lineRule="auto"/>
              <w:rPr>
                <w:b/>
              </w:rPr>
            </w:pPr>
            <w:r>
              <w:rPr>
                <w:b/>
              </w:rPr>
              <w:t>Cosmic dose rate</w:t>
            </w:r>
          </w:p>
          <w:p w14:paraId="64B2CA38" w14:textId="77777777" w:rsidR="00D25A10" w:rsidRPr="00C80DA4" w:rsidRDefault="00D25A10" w:rsidP="006C56EA">
            <w:pPr>
              <w:spacing w:line="276" w:lineRule="auto"/>
              <w:rPr>
                <w:b/>
              </w:rPr>
            </w:pPr>
            <w:r>
              <w:rPr>
                <w:b/>
              </w:rPr>
              <w:t>(Gy ka</w:t>
            </w:r>
            <w:r w:rsidRPr="009979B8">
              <w:rPr>
                <w:b/>
                <w:vertAlign w:val="superscript"/>
              </w:rPr>
              <w:t>-1</w:t>
            </w:r>
            <w:r>
              <w:rPr>
                <w:b/>
              </w:rPr>
              <w:t>)</w:t>
            </w:r>
          </w:p>
        </w:tc>
        <w:tc>
          <w:tcPr>
            <w:tcW w:w="1403" w:type="dxa"/>
            <w:vAlign w:val="center"/>
          </w:tcPr>
          <w:p w14:paraId="3A04A940" w14:textId="77777777" w:rsidR="00D25A10" w:rsidRDefault="00D25A10" w:rsidP="006C56EA">
            <w:pPr>
              <w:spacing w:line="276" w:lineRule="auto"/>
              <w:rPr>
                <w:b/>
              </w:rPr>
            </w:pPr>
            <w:r>
              <w:rPr>
                <w:b/>
              </w:rPr>
              <w:t>Total Dose rate</w:t>
            </w:r>
          </w:p>
          <w:p w14:paraId="5FDDCD19" w14:textId="77777777" w:rsidR="00D25A10" w:rsidRPr="00C80DA4" w:rsidRDefault="00D25A10" w:rsidP="006C56EA">
            <w:pPr>
              <w:spacing w:line="276" w:lineRule="auto"/>
              <w:rPr>
                <w:b/>
              </w:rPr>
            </w:pPr>
            <w:r>
              <w:rPr>
                <w:b/>
              </w:rPr>
              <w:t>(Gy ka</w:t>
            </w:r>
            <w:r w:rsidRPr="009979B8">
              <w:rPr>
                <w:b/>
                <w:vertAlign w:val="superscript"/>
              </w:rPr>
              <w:t>-1</w:t>
            </w:r>
            <w:r>
              <w:rPr>
                <w:b/>
              </w:rPr>
              <w:t>)</w:t>
            </w:r>
          </w:p>
        </w:tc>
      </w:tr>
      <w:tr w:rsidR="00D25A10" w14:paraId="04F794F6" w14:textId="77777777" w:rsidTr="00D25A10">
        <w:tc>
          <w:tcPr>
            <w:tcW w:w="1134" w:type="dxa"/>
            <w:vAlign w:val="center"/>
          </w:tcPr>
          <w:p w14:paraId="01F3C9B9"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Leic21008</w:t>
            </w:r>
          </w:p>
        </w:tc>
        <w:tc>
          <w:tcPr>
            <w:tcW w:w="1039" w:type="dxa"/>
            <w:vAlign w:val="center"/>
          </w:tcPr>
          <w:p w14:paraId="008E6433" w14:textId="77777777" w:rsidR="00D25A10" w:rsidRPr="00C80DA4" w:rsidRDefault="00D25A10" w:rsidP="006C56EA">
            <w:pPr>
              <w:spacing w:line="276" w:lineRule="auto"/>
              <w:rPr>
                <w:rFonts w:ascii="Calibri" w:hAnsi="Calibri" w:cs="Calibri"/>
                <w:color w:val="000000"/>
              </w:rPr>
            </w:pPr>
            <w:r>
              <w:rPr>
                <w:rFonts w:ascii="Calibri" w:hAnsi="Calibri" w:cs="Calibri"/>
                <w:color w:val="000000"/>
              </w:rPr>
              <w:t>1.43</w:t>
            </w:r>
          </w:p>
        </w:tc>
        <w:tc>
          <w:tcPr>
            <w:tcW w:w="1087" w:type="dxa"/>
            <w:vAlign w:val="center"/>
          </w:tcPr>
          <w:p w14:paraId="71A6AF86" w14:textId="77777777" w:rsidR="00D25A10" w:rsidRPr="00C80DA4" w:rsidRDefault="00D25A10" w:rsidP="006C56EA">
            <w:pPr>
              <w:spacing w:line="276" w:lineRule="auto"/>
              <w:rPr>
                <w:rFonts w:ascii="Calibri" w:hAnsi="Calibri" w:cs="Calibri"/>
                <w:color w:val="000000"/>
              </w:rPr>
            </w:pPr>
            <w:r>
              <w:rPr>
                <w:rFonts w:ascii="Calibri" w:hAnsi="Calibri" w:cs="Calibri"/>
                <w:color w:val="000000"/>
              </w:rPr>
              <w:t>1.32</w:t>
            </w:r>
          </w:p>
        </w:tc>
        <w:tc>
          <w:tcPr>
            <w:tcW w:w="992" w:type="dxa"/>
            <w:vAlign w:val="center"/>
          </w:tcPr>
          <w:p w14:paraId="22A8A4F5" w14:textId="77777777" w:rsidR="00D25A10" w:rsidRPr="00C80DA4" w:rsidRDefault="00D25A10" w:rsidP="006C56EA">
            <w:pPr>
              <w:spacing w:line="276" w:lineRule="auto"/>
              <w:rPr>
                <w:rFonts w:ascii="Calibri" w:hAnsi="Calibri" w:cs="Calibri"/>
                <w:color w:val="000000"/>
              </w:rPr>
            </w:pPr>
            <w:r>
              <w:rPr>
                <w:rFonts w:ascii="Calibri" w:hAnsi="Calibri" w:cs="Calibri"/>
                <w:color w:val="000000"/>
              </w:rPr>
              <w:t>0.11</w:t>
            </w:r>
          </w:p>
        </w:tc>
        <w:tc>
          <w:tcPr>
            <w:tcW w:w="1701" w:type="dxa"/>
            <w:vAlign w:val="center"/>
          </w:tcPr>
          <w:p w14:paraId="3ACD066C" w14:textId="77777777" w:rsidR="00D25A10" w:rsidRPr="009979B8" w:rsidRDefault="00D25A10" w:rsidP="006C56EA">
            <w:pPr>
              <w:spacing w:line="276" w:lineRule="auto"/>
            </w:pPr>
            <w:r>
              <w:t xml:space="preserve">0.036 </w:t>
            </w:r>
            <w:r>
              <w:rPr>
                <w:rFonts w:cstheme="minorHAnsi"/>
              </w:rPr>
              <w:t>± 0.01</w:t>
            </w:r>
          </w:p>
        </w:tc>
        <w:tc>
          <w:tcPr>
            <w:tcW w:w="1985" w:type="dxa"/>
            <w:vAlign w:val="center"/>
          </w:tcPr>
          <w:p w14:paraId="667C38A5" w14:textId="77777777" w:rsidR="00D25A10" w:rsidRPr="009979B8" w:rsidRDefault="00D25A10" w:rsidP="006C56EA">
            <w:pPr>
              <w:spacing w:line="276" w:lineRule="auto"/>
            </w:pPr>
            <w:r>
              <w:t xml:space="preserve">0.254 </w:t>
            </w:r>
            <w:r>
              <w:rPr>
                <w:rFonts w:cstheme="minorHAnsi"/>
              </w:rPr>
              <w:t xml:space="preserve">± </w:t>
            </w:r>
            <w:r>
              <w:t>0.021</w:t>
            </w:r>
          </w:p>
        </w:tc>
        <w:tc>
          <w:tcPr>
            <w:tcW w:w="1691" w:type="dxa"/>
            <w:vAlign w:val="center"/>
          </w:tcPr>
          <w:p w14:paraId="469602DC" w14:textId="77777777" w:rsidR="00D25A10" w:rsidRPr="009979B8" w:rsidRDefault="00D25A10" w:rsidP="006C56EA">
            <w:pPr>
              <w:spacing w:line="276" w:lineRule="auto"/>
            </w:pPr>
            <w:r>
              <w:t xml:space="preserve">0.241 </w:t>
            </w:r>
            <w:r>
              <w:rPr>
                <w:rFonts w:cstheme="minorHAnsi"/>
              </w:rPr>
              <w:t xml:space="preserve">± </w:t>
            </w:r>
            <w:r>
              <w:t>0.019</w:t>
            </w:r>
          </w:p>
        </w:tc>
        <w:tc>
          <w:tcPr>
            <w:tcW w:w="1634" w:type="dxa"/>
            <w:vAlign w:val="center"/>
          </w:tcPr>
          <w:p w14:paraId="03F88180" w14:textId="77777777" w:rsidR="00D25A10" w:rsidRPr="009979B8" w:rsidRDefault="00D25A10" w:rsidP="006C56EA">
            <w:pPr>
              <w:spacing w:line="276" w:lineRule="auto"/>
            </w:pPr>
            <w:r>
              <w:t xml:space="preserve">0.005 </w:t>
            </w:r>
            <w:r>
              <w:rPr>
                <w:rFonts w:cstheme="minorHAnsi"/>
              </w:rPr>
              <w:t>± 0.0005</w:t>
            </w:r>
          </w:p>
        </w:tc>
        <w:tc>
          <w:tcPr>
            <w:tcW w:w="1403" w:type="dxa"/>
            <w:vAlign w:val="center"/>
          </w:tcPr>
          <w:p w14:paraId="6F8CBB3A" w14:textId="77777777" w:rsidR="00D25A10" w:rsidRPr="009979B8" w:rsidRDefault="00D25A10" w:rsidP="006C56EA">
            <w:pPr>
              <w:spacing w:line="276" w:lineRule="auto"/>
              <w:rPr>
                <w:b/>
              </w:rPr>
            </w:pPr>
            <w:r>
              <w:rPr>
                <w:b/>
              </w:rPr>
              <w:t xml:space="preserve">0.54 </w:t>
            </w:r>
            <w:r w:rsidRPr="00AF622A">
              <w:rPr>
                <w:rFonts w:cstheme="minorHAnsi"/>
                <w:b/>
              </w:rPr>
              <w:t>±</w:t>
            </w:r>
            <w:r>
              <w:rPr>
                <w:rFonts w:cstheme="minorHAnsi"/>
              </w:rPr>
              <w:t xml:space="preserve"> </w:t>
            </w:r>
            <w:r>
              <w:rPr>
                <w:b/>
              </w:rPr>
              <w:t>0.03</w:t>
            </w:r>
          </w:p>
        </w:tc>
      </w:tr>
      <w:tr w:rsidR="00D25A10" w14:paraId="7730C58E" w14:textId="77777777" w:rsidTr="00D25A10">
        <w:tc>
          <w:tcPr>
            <w:tcW w:w="1134" w:type="dxa"/>
            <w:vAlign w:val="center"/>
          </w:tcPr>
          <w:p w14:paraId="74469C57"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Leic20031</w:t>
            </w:r>
          </w:p>
        </w:tc>
        <w:tc>
          <w:tcPr>
            <w:tcW w:w="1039" w:type="dxa"/>
            <w:vAlign w:val="center"/>
          </w:tcPr>
          <w:p w14:paraId="53E8BE59" w14:textId="77777777" w:rsidR="00D25A10" w:rsidRDefault="00D25A10" w:rsidP="006C56EA">
            <w:pPr>
              <w:spacing w:line="276" w:lineRule="auto"/>
            </w:pPr>
            <w:r>
              <w:t>0.65</w:t>
            </w:r>
          </w:p>
        </w:tc>
        <w:tc>
          <w:tcPr>
            <w:tcW w:w="1087" w:type="dxa"/>
            <w:vAlign w:val="center"/>
          </w:tcPr>
          <w:p w14:paraId="22DB4934" w14:textId="77777777" w:rsidR="00D25A10" w:rsidRDefault="00D25A10" w:rsidP="006C56EA">
            <w:pPr>
              <w:spacing w:line="276" w:lineRule="auto"/>
            </w:pPr>
            <w:r>
              <w:t>1.24</w:t>
            </w:r>
          </w:p>
        </w:tc>
        <w:tc>
          <w:tcPr>
            <w:tcW w:w="992" w:type="dxa"/>
            <w:vAlign w:val="center"/>
          </w:tcPr>
          <w:p w14:paraId="519426CF" w14:textId="77777777" w:rsidR="00D25A10" w:rsidRDefault="00D25A10" w:rsidP="006C56EA">
            <w:pPr>
              <w:spacing w:line="276" w:lineRule="auto"/>
            </w:pPr>
            <w:r>
              <w:t>0.08</w:t>
            </w:r>
          </w:p>
        </w:tc>
        <w:tc>
          <w:tcPr>
            <w:tcW w:w="1701" w:type="dxa"/>
          </w:tcPr>
          <w:p w14:paraId="3BA1A1A6" w14:textId="77777777" w:rsidR="00D25A10" w:rsidRDefault="00D25A10" w:rsidP="006C56EA">
            <w:pPr>
              <w:spacing w:line="276" w:lineRule="auto"/>
            </w:pPr>
            <w:r w:rsidRPr="00795B01">
              <w:t xml:space="preserve">0.036 </w:t>
            </w:r>
            <w:r w:rsidRPr="00795B01">
              <w:rPr>
                <w:rFonts w:cstheme="minorHAnsi"/>
              </w:rPr>
              <w:t>± 0.01</w:t>
            </w:r>
          </w:p>
        </w:tc>
        <w:tc>
          <w:tcPr>
            <w:tcW w:w="1985" w:type="dxa"/>
            <w:vAlign w:val="center"/>
          </w:tcPr>
          <w:p w14:paraId="42C33DF6" w14:textId="77777777" w:rsidR="00D25A10" w:rsidRPr="009979B8" w:rsidRDefault="00D25A10" w:rsidP="006C56EA">
            <w:pPr>
              <w:spacing w:line="276" w:lineRule="auto"/>
            </w:pPr>
            <w:r>
              <w:t xml:space="preserve">0.144 </w:t>
            </w:r>
            <w:r>
              <w:rPr>
                <w:rFonts w:cstheme="minorHAnsi"/>
              </w:rPr>
              <w:t xml:space="preserve">± </w:t>
            </w:r>
            <w:r>
              <w:t>0.010</w:t>
            </w:r>
          </w:p>
        </w:tc>
        <w:tc>
          <w:tcPr>
            <w:tcW w:w="1691" w:type="dxa"/>
            <w:vAlign w:val="center"/>
          </w:tcPr>
          <w:p w14:paraId="572CEC58" w14:textId="77777777" w:rsidR="00D25A10" w:rsidRPr="009979B8" w:rsidRDefault="00D25A10" w:rsidP="006C56EA">
            <w:pPr>
              <w:spacing w:line="276" w:lineRule="auto"/>
            </w:pPr>
            <w:r>
              <w:t xml:space="preserve">0.146 </w:t>
            </w:r>
            <w:r>
              <w:rPr>
                <w:rFonts w:cstheme="minorHAnsi"/>
              </w:rPr>
              <w:t xml:space="preserve">± </w:t>
            </w:r>
            <w:r>
              <w:t>0.010</w:t>
            </w:r>
          </w:p>
        </w:tc>
        <w:tc>
          <w:tcPr>
            <w:tcW w:w="1634" w:type="dxa"/>
            <w:vAlign w:val="center"/>
          </w:tcPr>
          <w:p w14:paraId="7173CDF9" w14:textId="77777777" w:rsidR="00D25A10" w:rsidRPr="009979B8" w:rsidRDefault="00D25A10" w:rsidP="006C56EA">
            <w:pPr>
              <w:spacing w:line="276" w:lineRule="auto"/>
            </w:pPr>
            <w:r>
              <w:t xml:space="preserve">0.005 </w:t>
            </w:r>
            <w:r>
              <w:rPr>
                <w:rFonts w:cstheme="minorHAnsi"/>
              </w:rPr>
              <w:t>± 0.0005</w:t>
            </w:r>
          </w:p>
        </w:tc>
        <w:tc>
          <w:tcPr>
            <w:tcW w:w="1403" w:type="dxa"/>
            <w:vAlign w:val="center"/>
          </w:tcPr>
          <w:p w14:paraId="02B1B9C7" w14:textId="77777777" w:rsidR="00D25A10" w:rsidRPr="009979B8" w:rsidRDefault="00D25A10" w:rsidP="006C56EA">
            <w:pPr>
              <w:spacing w:line="276" w:lineRule="auto"/>
              <w:rPr>
                <w:b/>
              </w:rPr>
            </w:pPr>
            <w:r>
              <w:rPr>
                <w:b/>
              </w:rPr>
              <w:t xml:space="preserve">0.33 </w:t>
            </w:r>
            <w:r w:rsidRPr="00AF622A">
              <w:rPr>
                <w:rFonts w:cstheme="minorHAnsi"/>
                <w:b/>
              </w:rPr>
              <w:t>±</w:t>
            </w:r>
            <w:r>
              <w:rPr>
                <w:rFonts w:cstheme="minorHAnsi"/>
              </w:rPr>
              <w:t xml:space="preserve"> </w:t>
            </w:r>
            <w:r>
              <w:rPr>
                <w:b/>
              </w:rPr>
              <w:t>0.02</w:t>
            </w:r>
          </w:p>
        </w:tc>
      </w:tr>
      <w:tr w:rsidR="00D25A10" w14:paraId="760A4AD3" w14:textId="77777777" w:rsidTr="00D25A10">
        <w:tc>
          <w:tcPr>
            <w:tcW w:w="1134" w:type="dxa"/>
            <w:vAlign w:val="center"/>
          </w:tcPr>
          <w:p w14:paraId="1E9149E3"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Leic20024</w:t>
            </w:r>
          </w:p>
        </w:tc>
        <w:tc>
          <w:tcPr>
            <w:tcW w:w="1039" w:type="dxa"/>
            <w:vAlign w:val="center"/>
          </w:tcPr>
          <w:p w14:paraId="46CC3ED0" w14:textId="77777777" w:rsidR="00D25A10" w:rsidRDefault="00D25A10" w:rsidP="006C56EA">
            <w:pPr>
              <w:spacing w:line="276" w:lineRule="auto"/>
            </w:pPr>
            <w:r>
              <w:t>0.56</w:t>
            </w:r>
          </w:p>
        </w:tc>
        <w:tc>
          <w:tcPr>
            <w:tcW w:w="1087" w:type="dxa"/>
            <w:vAlign w:val="center"/>
          </w:tcPr>
          <w:p w14:paraId="249297FE" w14:textId="77777777" w:rsidR="00D25A10" w:rsidRDefault="00D25A10" w:rsidP="006C56EA">
            <w:pPr>
              <w:spacing w:line="276" w:lineRule="auto"/>
            </w:pPr>
            <w:r>
              <w:t>0.96</w:t>
            </w:r>
          </w:p>
        </w:tc>
        <w:tc>
          <w:tcPr>
            <w:tcW w:w="992" w:type="dxa"/>
            <w:vAlign w:val="center"/>
          </w:tcPr>
          <w:p w14:paraId="26DDAA5D" w14:textId="77777777" w:rsidR="00D25A10" w:rsidRDefault="00D25A10" w:rsidP="006C56EA">
            <w:pPr>
              <w:spacing w:line="276" w:lineRule="auto"/>
            </w:pPr>
            <w:r>
              <w:t>0.07</w:t>
            </w:r>
          </w:p>
        </w:tc>
        <w:tc>
          <w:tcPr>
            <w:tcW w:w="1701" w:type="dxa"/>
          </w:tcPr>
          <w:p w14:paraId="20DD8961" w14:textId="77777777" w:rsidR="00D25A10" w:rsidRDefault="00D25A10" w:rsidP="006C56EA">
            <w:pPr>
              <w:spacing w:line="276" w:lineRule="auto"/>
            </w:pPr>
            <w:r w:rsidRPr="00795B01">
              <w:t xml:space="preserve">0.036 </w:t>
            </w:r>
            <w:r w:rsidRPr="00795B01">
              <w:rPr>
                <w:rFonts w:cstheme="minorHAnsi"/>
              </w:rPr>
              <w:t>± 0.01</w:t>
            </w:r>
          </w:p>
        </w:tc>
        <w:tc>
          <w:tcPr>
            <w:tcW w:w="1985" w:type="dxa"/>
            <w:vAlign w:val="center"/>
          </w:tcPr>
          <w:p w14:paraId="6DEC0EAD" w14:textId="77777777" w:rsidR="00D25A10" w:rsidRPr="009979B8" w:rsidRDefault="00D25A10" w:rsidP="006C56EA">
            <w:pPr>
              <w:spacing w:line="276" w:lineRule="auto"/>
            </w:pPr>
            <w:r>
              <w:t xml:space="preserve">0.124 </w:t>
            </w:r>
            <w:r>
              <w:rPr>
                <w:rFonts w:cstheme="minorHAnsi"/>
              </w:rPr>
              <w:t xml:space="preserve">± </w:t>
            </w:r>
            <w:r>
              <w:t>0.009</w:t>
            </w:r>
          </w:p>
        </w:tc>
        <w:tc>
          <w:tcPr>
            <w:tcW w:w="1691" w:type="dxa"/>
            <w:vAlign w:val="center"/>
          </w:tcPr>
          <w:p w14:paraId="13FBE4C8" w14:textId="77777777" w:rsidR="00D25A10" w:rsidRPr="009979B8" w:rsidRDefault="00D25A10" w:rsidP="006C56EA">
            <w:pPr>
              <w:spacing w:line="276" w:lineRule="auto"/>
            </w:pPr>
            <w:r>
              <w:t xml:space="preserve">0.122 </w:t>
            </w:r>
            <w:r>
              <w:rPr>
                <w:rFonts w:cstheme="minorHAnsi"/>
              </w:rPr>
              <w:t xml:space="preserve">± </w:t>
            </w:r>
            <w:r>
              <w:t>0.009</w:t>
            </w:r>
          </w:p>
        </w:tc>
        <w:tc>
          <w:tcPr>
            <w:tcW w:w="1634" w:type="dxa"/>
            <w:vAlign w:val="center"/>
          </w:tcPr>
          <w:p w14:paraId="41848FB8" w14:textId="77777777" w:rsidR="00D25A10" w:rsidRPr="009979B8" w:rsidRDefault="00D25A10" w:rsidP="006C56EA">
            <w:pPr>
              <w:spacing w:line="276" w:lineRule="auto"/>
            </w:pPr>
            <w:r>
              <w:t xml:space="preserve">0.005 </w:t>
            </w:r>
            <w:r>
              <w:rPr>
                <w:rFonts w:cstheme="minorHAnsi"/>
              </w:rPr>
              <w:t>± 0.0005</w:t>
            </w:r>
          </w:p>
        </w:tc>
        <w:tc>
          <w:tcPr>
            <w:tcW w:w="1403" w:type="dxa"/>
            <w:vAlign w:val="center"/>
          </w:tcPr>
          <w:p w14:paraId="158A4F20" w14:textId="77777777" w:rsidR="00D25A10" w:rsidRPr="009979B8" w:rsidRDefault="00D25A10" w:rsidP="006C56EA">
            <w:pPr>
              <w:spacing w:line="276" w:lineRule="auto"/>
              <w:rPr>
                <w:b/>
              </w:rPr>
            </w:pPr>
            <w:r>
              <w:rPr>
                <w:b/>
              </w:rPr>
              <w:t xml:space="preserve">0.29 </w:t>
            </w:r>
            <w:r w:rsidRPr="00AF622A">
              <w:rPr>
                <w:rFonts w:cstheme="minorHAnsi"/>
                <w:b/>
              </w:rPr>
              <w:t>±</w:t>
            </w:r>
            <w:r>
              <w:rPr>
                <w:rFonts w:cstheme="minorHAnsi"/>
              </w:rPr>
              <w:t xml:space="preserve"> </w:t>
            </w:r>
            <w:r>
              <w:rPr>
                <w:b/>
              </w:rPr>
              <w:t>0.02</w:t>
            </w:r>
          </w:p>
        </w:tc>
      </w:tr>
      <w:tr w:rsidR="00D25A10" w14:paraId="153BB1CF" w14:textId="77777777" w:rsidTr="00D25A10">
        <w:tc>
          <w:tcPr>
            <w:tcW w:w="1134" w:type="dxa"/>
            <w:vAlign w:val="center"/>
          </w:tcPr>
          <w:p w14:paraId="14FD9536"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Leic20027</w:t>
            </w:r>
          </w:p>
        </w:tc>
        <w:tc>
          <w:tcPr>
            <w:tcW w:w="1039" w:type="dxa"/>
            <w:vAlign w:val="center"/>
          </w:tcPr>
          <w:p w14:paraId="5F51E905" w14:textId="77777777" w:rsidR="00D25A10" w:rsidRDefault="00D25A10" w:rsidP="006C56EA">
            <w:pPr>
              <w:spacing w:line="276" w:lineRule="auto"/>
            </w:pPr>
            <w:r>
              <w:t>0.63</w:t>
            </w:r>
          </w:p>
        </w:tc>
        <w:tc>
          <w:tcPr>
            <w:tcW w:w="1087" w:type="dxa"/>
            <w:vAlign w:val="center"/>
          </w:tcPr>
          <w:p w14:paraId="64654BB1" w14:textId="77777777" w:rsidR="00D25A10" w:rsidRDefault="00D25A10" w:rsidP="006C56EA">
            <w:pPr>
              <w:spacing w:line="276" w:lineRule="auto"/>
            </w:pPr>
            <w:r>
              <w:t>1.22</w:t>
            </w:r>
          </w:p>
        </w:tc>
        <w:tc>
          <w:tcPr>
            <w:tcW w:w="992" w:type="dxa"/>
            <w:vAlign w:val="center"/>
          </w:tcPr>
          <w:p w14:paraId="1D15AE34" w14:textId="77777777" w:rsidR="00D25A10" w:rsidRDefault="00D25A10" w:rsidP="006C56EA">
            <w:pPr>
              <w:spacing w:line="276" w:lineRule="auto"/>
            </w:pPr>
            <w:r>
              <w:t>0.24</w:t>
            </w:r>
          </w:p>
        </w:tc>
        <w:tc>
          <w:tcPr>
            <w:tcW w:w="1701" w:type="dxa"/>
          </w:tcPr>
          <w:p w14:paraId="63C8BFC1" w14:textId="77777777" w:rsidR="00D25A10" w:rsidRDefault="00D25A10" w:rsidP="006C56EA">
            <w:pPr>
              <w:spacing w:line="276" w:lineRule="auto"/>
            </w:pPr>
            <w:r w:rsidRPr="00795B01">
              <w:t xml:space="preserve">0.036 </w:t>
            </w:r>
            <w:r w:rsidRPr="00795B01">
              <w:rPr>
                <w:rFonts w:cstheme="minorHAnsi"/>
              </w:rPr>
              <w:t>± 0.01</w:t>
            </w:r>
          </w:p>
        </w:tc>
        <w:tc>
          <w:tcPr>
            <w:tcW w:w="1985" w:type="dxa"/>
            <w:vAlign w:val="center"/>
          </w:tcPr>
          <w:p w14:paraId="2771382A" w14:textId="77777777" w:rsidR="00D25A10" w:rsidRPr="009979B8" w:rsidRDefault="00D25A10" w:rsidP="006C56EA">
            <w:pPr>
              <w:spacing w:line="276" w:lineRule="auto"/>
            </w:pPr>
            <w:r>
              <w:t xml:space="preserve">0.248 </w:t>
            </w:r>
            <w:r>
              <w:rPr>
                <w:rFonts w:cstheme="minorHAnsi"/>
              </w:rPr>
              <w:t xml:space="preserve">± </w:t>
            </w:r>
            <w:r>
              <w:t>0.016</w:t>
            </w:r>
          </w:p>
        </w:tc>
        <w:tc>
          <w:tcPr>
            <w:tcW w:w="1691" w:type="dxa"/>
            <w:vAlign w:val="center"/>
          </w:tcPr>
          <w:p w14:paraId="3D84700F" w14:textId="77777777" w:rsidR="00D25A10" w:rsidRPr="009979B8" w:rsidRDefault="00D25A10" w:rsidP="006C56EA">
            <w:pPr>
              <w:spacing w:line="276" w:lineRule="auto"/>
            </w:pPr>
            <w:r>
              <w:t xml:space="preserve">0.182 </w:t>
            </w:r>
            <w:r>
              <w:rPr>
                <w:rFonts w:cstheme="minorHAnsi"/>
              </w:rPr>
              <w:t xml:space="preserve">± </w:t>
            </w:r>
            <w:r>
              <w:t>0.011</w:t>
            </w:r>
          </w:p>
        </w:tc>
        <w:tc>
          <w:tcPr>
            <w:tcW w:w="1634" w:type="dxa"/>
            <w:vAlign w:val="center"/>
          </w:tcPr>
          <w:p w14:paraId="1CCBD042" w14:textId="77777777" w:rsidR="00D25A10" w:rsidRPr="009979B8" w:rsidRDefault="00D25A10" w:rsidP="006C56EA">
            <w:pPr>
              <w:spacing w:line="276" w:lineRule="auto"/>
            </w:pPr>
            <w:r>
              <w:t xml:space="preserve">0.004 </w:t>
            </w:r>
            <w:r>
              <w:rPr>
                <w:rFonts w:cstheme="minorHAnsi"/>
              </w:rPr>
              <w:t>± 0.0004</w:t>
            </w:r>
          </w:p>
        </w:tc>
        <w:tc>
          <w:tcPr>
            <w:tcW w:w="1403" w:type="dxa"/>
            <w:vAlign w:val="center"/>
          </w:tcPr>
          <w:p w14:paraId="52014187" w14:textId="77777777" w:rsidR="00D25A10" w:rsidRPr="009979B8" w:rsidRDefault="00D25A10" w:rsidP="006C56EA">
            <w:pPr>
              <w:spacing w:line="276" w:lineRule="auto"/>
              <w:rPr>
                <w:b/>
              </w:rPr>
            </w:pPr>
            <w:r>
              <w:rPr>
                <w:b/>
              </w:rPr>
              <w:t xml:space="preserve">0.47 </w:t>
            </w:r>
            <w:r w:rsidRPr="00AF622A">
              <w:rPr>
                <w:rFonts w:cstheme="minorHAnsi"/>
                <w:b/>
              </w:rPr>
              <w:t>±</w:t>
            </w:r>
            <w:r>
              <w:rPr>
                <w:rFonts w:cstheme="minorHAnsi"/>
              </w:rPr>
              <w:t xml:space="preserve"> </w:t>
            </w:r>
            <w:r>
              <w:rPr>
                <w:b/>
              </w:rPr>
              <w:t>0.02</w:t>
            </w:r>
          </w:p>
        </w:tc>
      </w:tr>
      <w:tr w:rsidR="00D25A10" w14:paraId="22779DB3" w14:textId="77777777" w:rsidTr="00D25A10">
        <w:tc>
          <w:tcPr>
            <w:tcW w:w="1134" w:type="dxa"/>
            <w:vAlign w:val="center"/>
          </w:tcPr>
          <w:p w14:paraId="475EA76E"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Leic20003</w:t>
            </w:r>
          </w:p>
        </w:tc>
        <w:tc>
          <w:tcPr>
            <w:tcW w:w="1039" w:type="dxa"/>
            <w:vAlign w:val="center"/>
          </w:tcPr>
          <w:p w14:paraId="1549F4D0" w14:textId="77777777" w:rsidR="00D25A10" w:rsidRDefault="00D25A10" w:rsidP="006C56EA">
            <w:pPr>
              <w:spacing w:line="276" w:lineRule="auto"/>
            </w:pPr>
            <w:r>
              <w:t>1.22</w:t>
            </w:r>
          </w:p>
        </w:tc>
        <w:tc>
          <w:tcPr>
            <w:tcW w:w="1087" w:type="dxa"/>
            <w:vAlign w:val="center"/>
          </w:tcPr>
          <w:p w14:paraId="51419ED6" w14:textId="77777777" w:rsidR="00D25A10" w:rsidRDefault="00D25A10" w:rsidP="006C56EA">
            <w:pPr>
              <w:spacing w:line="276" w:lineRule="auto"/>
            </w:pPr>
            <w:r>
              <w:t>1.54</w:t>
            </w:r>
          </w:p>
        </w:tc>
        <w:tc>
          <w:tcPr>
            <w:tcW w:w="992" w:type="dxa"/>
            <w:vAlign w:val="center"/>
          </w:tcPr>
          <w:p w14:paraId="5D775853" w14:textId="77777777" w:rsidR="00D25A10" w:rsidRDefault="00D25A10" w:rsidP="006C56EA">
            <w:pPr>
              <w:spacing w:line="276" w:lineRule="auto"/>
            </w:pPr>
            <w:r>
              <w:t>0.29</w:t>
            </w:r>
          </w:p>
        </w:tc>
        <w:tc>
          <w:tcPr>
            <w:tcW w:w="1701" w:type="dxa"/>
          </w:tcPr>
          <w:p w14:paraId="46844729" w14:textId="77777777" w:rsidR="00D25A10" w:rsidRDefault="00D25A10" w:rsidP="006C56EA">
            <w:pPr>
              <w:spacing w:line="276" w:lineRule="auto"/>
            </w:pPr>
            <w:r w:rsidRPr="00795B01">
              <w:t xml:space="preserve">0.036 </w:t>
            </w:r>
            <w:r w:rsidRPr="00795B01">
              <w:rPr>
                <w:rFonts w:cstheme="minorHAnsi"/>
              </w:rPr>
              <w:t>± 0.01</w:t>
            </w:r>
          </w:p>
        </w:tc>
        <w:tc>
          <w:tcPr>
            <w:tcW w:w="1985" w:type="dxa"/>
            <w:vAlign w:val="center"/>
          </w:tcPr>
          <w:p w14:paraId="5BAAD605" w14:textId="77777777" w:rsidR="00D25A10" w:rsidRPr="009979B8" w:rsidRDefault="00D25A10" w:rsidP="006C56EA">
            <w:pPr>
              <w:spacing w:line="276" w:lineRule="auto"/>
            </w:pPr>
            <w:r>
              <w:t xml:space="preserve">0.346 </w:t>
            </w:r>
            <w:r>
              <w:rPr>
                <w:rFonts w:cstheme="minorHAnsi"/>
              </w:rPr>
              <w:t xml:space="preserve">± </w:t>
            </w:r>
            <w:r>
              <w:t>0.023</w:t>
            </w:r>
          </w:p>
        </w:tc>
        <w:tc>
          <w:tcPr>
            <w:tcW w:w="1691" w:type="dxa"/>
            <w:vAlign w:val="center"/>
          </w:tcPr>
          <w:p w14:paraId="43E16DC2" w14:textId="77777777" w:rsidR="00D25A10" w:rsidRPr="009979B8" w:rsidRDefault="00D25A10" w:rsidP="006C56EA">
            <w:pPr>
              <w:spacing w:line="276" w:lineRule="auto"/>
            </w:pPr>
            <w:r>
              <w:t xml:space="preserve">0.273 </w:t>
            </w:r>
            <w:r>
              <w:rPr>
                <w:rFonts w:cstheme="minorHAnsi"/>
              </w:rPr>
              <w:t xml:space="preserve">± </w:t>
            </w:r>
            <w:r>
              <w:t>0.018</w:t>
            </w:r>
          </w:p>
        </w:tc>
        <w:tc>
          <w:tcPr>
            <w:tcW w:w="1634" w:type="dxa"/>
            <w:vAlign w:val="center"/>
          </w:tcPr>
          <w:p w14:paraId="3A3C938D" w14:textId="77777777" w:rsidR="00D25A10" w:rsidRPr="009979B8" w:rsidRDefault="00D25A10" w:rsidP="006C56EA">
            <w:pPr>
              <w:spacing w:line="276" w:lineRule="auto"/>
            </w:pPr>
            <w:r>
              <w:t xml:space="preserve">0.07 </w:t>
            </w:r>
            <w:r>
              <w:rPr>
                <w:rFonts w:cstheme="minorHAnsi"/>
              </w:rPr>
              <w:t>± 0.007</w:t>
            </w:r>
          </w:p>
        </w:tc>
        <w:tc>
          <w:tcPr>
            <w:tcW w:w="1403" w:type="dxa"/>
            <w:vAlign w:val="center"/>
          </w:tcPr>
          <w:p w14:paraId="40F56D87" w14:textId="77777777" w:rsidR="00D25A10" w:rsidRPr="009979B8" w:rsidRDefault="00D25A10" w:rsidP="006C56EA">
            <w:pPr>
              <w:spacing w:line="276" w:lineRule="auto"/>
              <w:rPr>
                <w:b/>
              </w:rPr>
            </w:pPr>
            <w:r>
              <w:rPr>
                <w:b/>
              </w:rPr>
              <w:t xml:space="preserve">0.73 </w:t>
            </w:r>
            <w:r w:rsidRPr="00AF622A">
              <w:rPr>
                <w:rFonts w:cstheme="minorHAnsi"/>
                <w:b/>
              </w:rPr>
              <w:t>±</w:t>
            </w:r>
            <w:r>
              <w:rPr>
                <w:rFonts w:cstheme="minorHAnsi"/>
              </w:rPr>
              <w:t xml:space="preserve"> </w:t>
            </w:r>
            <w:r>
              <w:rPr>
                <w:b/>
              </w:rPr>
              <w:t>0.03</w:t>
            </w:r>
          </w:p>
        </w:tc>
      </w:tr>
      <w:tr w:rsidR="00D25A10" w14:paraId="65B5F1A4" w14:textId="77777777" w:rsidTr="00830708">
        <w:tc>
          <w:tcPr>
            <w:tcW w:w="5953" w:type="dxa"/>
            <w:gridSpan w:val="5"/>
            <w:vAlign w:val="center"/>
          </w:tcPr>
          <w:p w14:paraId="1DE2D842" w14:textId="77777777" w:rsidR="00D25A10" w:rsidRPr="00795B01" w:rsidRDefault="00D25A10" w:rsidP="006C56EA">
            <w:pPr>
              <w:spacing w:line="276" w:lineRule="auto"/>
            </w:pPr>
          </w:p>
        </w:tc>
        <w:tc>
          <w:tcPr>
            <w:tcW w:w="1985" w:type="dxa"/>
            <w:vAlign w:val="center"/>
          </w:tcPr>
          <w:p w14:paraId="25E26E1B" w14:textId="77777777" w:rsidR="00D25A10" w:rsidRPr="00D25A10" w:rsidRDefault="00D25A10" w:rsidP="006C56EA">
            <w:pPr>
              <w:spacing w:line="276" w:lineRule="auto"/>
              <w:rPr>
                <w:b/>
              </w:rPr>
            </w:pPr>
            <w:r w:rsidRPr="00D25A10">
              <w:rPr>
                <w:b/>
              </w:rPr>
              <w:t>External beta dose rate</w:t>
            </w:r>
          </w:p>
          <w:p w14:paraId="228F0C75" w14:textId="7AA6BA27" w:rsidR="00D25A10" w:rsidRDefault="00D25A10" w:rsidP="006C56EA">
            <w:pPr>
              <w:spacing w:line="276" w:lineRule="auto"/>
            </w:pPr>
            <w:r w:rsidRPr="00D25A10">
              <w:rPr>
                <w:b/>
              </w:rPr>
              <w:t>via GM beta counting (Gy ka</w:t>
            </w:r>
            <w:r w:rsidRPr="00D25A10">
              <w:rPr>
                <w:b/>
                <w:vertAlign w:val="superscript"/>
              </w:rPr>
              <w:t>-1</w:t>
            </w:r>
            <w:r w:rsidRPr="00D25A10">
              <w:rPr>
                <w:b/>
              </w:rPr>
              <w:t>)</w:t>
            </w:r>
          </w:p>
        </w:tc>
        <w:tc>
          <w:tcPr>
            <w:tcW w:w="4728" w:type="dxa"/>
            <w:gridSpan w:val="3"/>
            <w:vAlign w:val="center"/>
          </w:tcPr>
          <w:p w14:paraId="6FBAA0C1" w14:textId="77777777" w:rsidR="00D25A10" w:rsidRDefault="00D25A10" w:rsidP="006C56EA">
            <w:pPr>
              <w:spacing w:line="276" w:lineRule="auto"/>
              <w:rPr>
                <w:b/>
              </w:rPr>
            </w:pPr>
          </w:p>
        </w:tc>
      </w:tr>
      <w:tr w:rsidR="00D25A10" w14:paraId="6AD36069" w14:textId="77777777" w:rsidTr="00D25A10">
        <w:tc>
          <w:tcPr>
            <w:tcW w:w="1134" w:type="dxa"/>
            <w:vAlign w:val="center"/>
          </w:tcPr>
          <w:p w14:paraId="6A30478D"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Leic21008</w:t>
            </w:r>
          </w:p>
        </w:tc>
        <w:tc>
          <w:tcPr>
            <w:tcW w:w="1039" w:type="dxa"/>
            <w:vAlign w:val="center"/>
          </w:tcPr>
          <w:p w14:paraId="5935EB3A" w14:textId="77777777" w:rsidR="00D25A10" w:rsidRDefault="00D25A10" w:rsidP="006C56EA">
            <w:pPr>
              <w:spacing w:line="276" w:lineRule="auto"/>
            </w:pPr>
          </w:p>
        </w:tc>
        <w:tc>
          <w:tcPr>
            <w:tcW w:w="1087" w:type="dxa"/>
            <w:vAlign w:val="center"/>
          </w:tcPr>
          <w:p w14:paraId="048DE558" w14:textId="77777777" w:rsidR="00D25A10" w:rsidRDefault="00D25A10" w:rsidP="006C56EA">
            <w:pPr>
              <w:spacing w:line="276" w:lineRule="auto"/>
            </w:pPr>
          </w:p>
        </w:tc>
        <w:tc>
          <w:tcPr>
            <w:tcW w:w="992" w:type="dxa"/>
            <w:vAlign w:val="center"/>
          </w:tcPr>
          <w:p w14:paraId="52A40934" w14:textId="77777777" w:rsidR="00D25A10" w:rsidRDefault="00D25A10" w:rsidP="006C56EA">
            <w:pPr>
              <w:spacing w:line="276" w:lineRule="auto"/>
            </w:pPr>
          </w:p>
        </w:tc>
        <w:tc>
          <w:tcPr>
            <w:tcW w:w="1701" w:type="dxa"/>
            <w:vAlign w:val="center"/>
          </w:tcPr>
          <w:p w14:paraId="7A01FE7B" w14:textId="77777777" w:rsidR="00D25A10" w:rsidRDefault="00D25A10" w:rsidP="006C56EA">
            <w:pPr>
              <w:spacing w:line="276" w:lineRule="auto"/>
              <w:rPr>
                <w:rFonts w:cstheme="minorHAnsi"/>
              </w:rPr>
            </w:pPr>
          </w:p>
        </w:tc>
        <w:tc>
          <w:tcPr>
            <w:tcW w:w="1985" w:type="dxa"/>
            <w:vAlign w:val="center"/>
          </w:tcPr>
          <w:p w14:paraId="398CB8C8" w14:textId="4D1E245E" w:rsidR="00D25A10" w:rsidRDefault="00D25A10" w:rsidP="006C56EA">
            <w:pPr>
              <w:spacing w:line="276" w:lineRule="auto"/>
              <w:rPr>
                <w:rFonts w:cstheme="minorHAnsi"/>
              </w:rPr>
            </w:pPr>
            <w:r>
              <w:rPr>
                <w:rFonts w:cstheme="minorHAnsi"/>
              </w:rPr>
              <w:t>nd.</w:t>
            </w:r>
          </w:p>
        </w:tc>
        <w:tc>
          <w:tcPr>
            <w:tcW w:w="1691" w:type="dxa"/>
            <w:vAlign w:val="center"/>
          </w:tcPr>
          <w:p w14:paraId="6699B37C" w14:textId="77777777" w:rsidR="00D25A10" w:rsidRDefault="00D25A10" w:rsidP="006C56EA">
            <w:pPr>
              <w:spacing w:line="276" w:lineRule="auto"/>
              <w:rPr>
                <w:rFonts w:cstheme="minorHAnsi"/>
              </w:rPr>
            </w:pPr>
          </w:p>
        </w:tc>
        <w:tc>
          <w:tcPr>
            <w:tcW w:w="1634" w:type="dxa"/>
            <w:vAlign w:val="center"/>
          </w:tcPr>
          <w:p w14:paraId="31878C4A" w14:textId="77777777" w:rsidR="00D25A10" w:rsidRDefault="00D25A10" w:rsidP="006C56EA">
            <w:pPr>
              <w:spacing w:line="276" w:lineRule="auto"/>
              <w:rPr>
                <w:rFonts w:cstheme="minorHAnsi"/>
              </w:rPr>
            </w:pPr>
          </w:p>
        </w:tc>
        <w:tc>
          <w:tcPr>
            <w:tcW w:w="1403" w:type="dxa"/>
            <w:vAlign w:val="center"/>
          </w:tcPr>
          <w:p w14:paraId="381DD078" w14:textId="77777777" w:rsidR="00D25A10" w:rsidRDefault="00D25A10" w:rsidP="006C56EA">
            <w:pPr>
              <w:spacing w:line="276" w:lineRule="auto"/>
              <w:rPr>
                <w:rFonts w:cstheme="minorHAnsi"/>
                <w:b/>
              </w:rPr>
            </w:pPr>
          </w:p>
        </w:tc>
      </w:tr>
      <w:tr w:rsidR="00D25A10" w14:paraId="6F8BF780" w14:textId="77777777" w:rsidTr="00D25A10">
        <w:tc>
          <w:tcPr>
            <w:tcW w:w="1134" w:type="dxa"/>
            <w:vAlign w:val="center"/>
          </w:tcPr>
          <w:p w14:paraId="44156D6D"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Leic20031</w:t>
            </w:r>
          </w:p>
        </w:tc>
        <w:tc>
          <w:tcPr>
            <w:tcW w:w="1039" w:type="dxa"/>
            <w:vAlign w:val="center"/>
          </w:tcPr>
          <w:p w14:paraId="0513D10F" w14:textId="77777777" w:rsidR="00D25A10" w:rsidRDefault="00D25A10" w:rsidP="006C56EA">
            <w:pPr>
              <w:spacing w:line="276" w:lineRule="auto"/>
            </w:pPr>
          </w:p>
        </w:tc>
        <w:tc>
          <w:tcPr>
            <w:tcW w:w="1087" w:type="dxa"/>
            <w:vAlign w:val="center"/>
          </w:tcPr>
          <w:p w14:paraId="6447D37C" w14:textId="77777777" w:rsidR="00D25A10" w:rsidRDefault="00D25A10" w:rsidP="006C56EA">
            <w:pPr>
              <w:spacing w:line="276" w:lineRule="auto"/>
            </w:pPr>
          </w:p>
        </w:tc>
        <w:tc>
          <w:tcPr>
            <w:tcW w:w="992" w:type="dxa"/>
            <w:vAlign w:val="center"/>
          </w:tcPr>
          <w:p w14:paraId="32892E3D" w14:textId="77777777" w:rsidR="00D25A10" w:rsidRDefault="00D25A10" w:rsidP="006C56EA">
            <w:pPr>
              <w:spacing w:line="276" w:lineRule="auto"/>
            </w:pPr>
          </w:p>
        </w:tc>
        <w:tc>
          <w:tcPr>
            <w:tcW w:w="1701" w:type="dxa"/>
            <w:vAlign w:val="center"/>
          </w:tcPr>
          <w:p w14:paraId="53BFAD1B" w14:textId="77777777" w:rsidR="00D25A10" w:rsidRDefault="00D25A10" w:rsidP="006C56EA">
            <w:pPr>
              <w:spacing w:line="276" w:lineRule="auto"/>
              <w:rPr>
                <w:rFonts w:cstheme="minorHAnsi"/>
              </w:rPr>
            </w:pPr>
          </w:p>
        </w:tc>
        <w:tc>
          <w:tcPr>
            <w:tcW w:w="1985" w:type="dxa"/>
            <w:vAlign w:val="center"/>
          </w:tcPr>
          <w:p w14:paraId="7B60C191" w14:textId="77777777" w:rsidR="00D25A10" w:rsidRDefault="00D25A10" w:rsidP="006C56EA">
            <w:pPr>
              <w:spacing w:line="276" w:lineRule="auto"/>
              <w:rPr>
                <w:rFonts w:cstheme="minorHAnsi"/>
              </w:rPr>
            </w:pPr>
            <w:r>
              <w:t xml:space="preserve">0.16 </w:t>
            </w:r>
            <w:r>
              <w:rPr>
                <w:rFonts w:cstheme="minorHAnsi"/>
              </w:rPr>
              <w:t xml:space="preserve">± </w:t>
            </w:r>
            <w:r>
              <w:t>0.02</w:t>
            </w:r>
          </w:p>
        </w:tc>
        <w:tc>
          <w:tcPr>
            <w:tcW w:w="1691" w:type="dxa"/>
            <w:vAlign w:val="center"/>
          </w:tcPr>
          <w:p w14:paraId="49EED2EF" w14:textId="77777777" w:rsidR="00D25A10" w:rsidRDefault="00D25A10" w:rsidP="006C56EA">
            <w:pPr>
              <w:spacing w:line="276" w:lineRule="auto"/>
              <w:rPr>
                <w:rFonts w:cstheme="minorHAnsi"/>
              </w:rPr>
            </w:pPr>
          </w:p>
        </w:tc>
        <w:tc>
          <w:tcPr>
            <w:tcW w:w="1634" w:type="dxa"/>
            <w:vAlign w:val="center"/>
          </w:tcPr>
          <w:p w14:paraId="6A1EED05" w14:textId="77777777" w:rsidR="00D25A10" w:rsidRDefault="00D25A10" w:rsidP="006C56EA">
            <w:pPr>
              <w:spacing w:line="276" w:lineRule="auto"/>
              <w:rPr>
                <w:rFonts w:cstheme="minorHAnsi"/>
              </w:rPr>
            </w:pPr>
          </w:p>
        </w:tc>
        <w:tc>
          <w:tcPr>
            <w:tcW w:w="1403" w:type="dxa"/>
            <w:vAlign w:val="center"/>
          </w:tcPr>
          <w:p w14:paraId="3F77BC9F" w14:textId="77777777" w:rsidR="00D25A10" w:rsidRDefault="00D25A10" w:rsidP="006C56EA">
            <w:pPr>
              <w:spacing w:line="276" w:lineRule="auto"/>
              <w:rPr>
                <w:rFonts w:cstheme="minorHAnsi"/>
                <w:b/>
              </w:rPr>
            </w:pPr>
          </w:p>
        </w:tc>
      </w:tr>
      <w:tr w:rsidR="00D25A10" w14:paraId="5C69628C" w14:textId="77777777" w:rsidTr="00D25A10">
        <w:tc>
          <w:tcPr>
            <w:tcW w:w="1134" w:type="dxa"/>
            <w:vAlign w:val="center"/>
          </w:tcPr>
          <w:p w14:paraId="6E34A3FF"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Leic20024</w:t>
            </w:r>
          </w:p>
        </w:tc>
        <w:tc>
          <w:tcPr>
            <w:tcW w:w="1039" w:type="dxa"/>
            <w:vAlign w:val="center"/>
          </w:tcPr>
          <w:p w14:paraId="748465AB" w14:textId="77777777" w:rsidR="00D25A10" w:rsidRDefault="00D25A10" w:rsidP="006C56EA">
            <w:pPr>
              <w:spacing w:line="276" w:lineRule="auto"/>
            </w:pPr>
          </w:p>
        </w:tc>
        <w:tc>
          <w:tcPr>
            <w:tcW w:w="1087" w:type="dxa"/>
            <w:vAlign w:val="center"/>
          </w:tcPr>
          <w:p w14:paraId="163D5107" w14:textId="77777777" w:rsidR="00D25A10" w:rsidRDefault="00D25A10" w:rsidP="006C56EA">
            <w:pPr>
              <w:spacing w:line="276" w:lineRule="auto"/>
            </w:pPr>
          </w:p>
        </w:tc>
        <w:tc>
          <w:tcPr>
            <w:tcW w:w="992" w:type="dxa"/>
            <w:vAlign w:val="center"/>
          </w:tcPr>
          <w:p w14:paraId="495A2F6B" w14:textId="77777777" w:rsidR="00D25A10" w:rsidRDefault="00D25A10" w:rsidP="006C56EA">
            <w:pPr>
              <w:spacing w:line="276" w:lineRule="auto"/>
            </w:pPr>
          </w:p>
        </w:tc>
        <w:tc>
          <w:tcPr>
            <w:tcW w:w="1701" w:type="dxa"/>
            <w:vAlign w:val="center"/>
          </w:tcPr>
          <w:p w14:paraId="23D9E65A" w14:textId="77777777" w:rsidR="00D25A10" w:rsidRDefault="00D25A10" w:rsidP="006C56EA">
            <w:pPr>
              <w:spacing w:line="276" w:lineRule="auto"/>
              <w:rPr>
                <w:rFonts w:cstheme="minorHAnsi"/>
              </w:rPr>
            </w:pPr>
          </w:p>
        </w:tc>
        <w:tc>
          <w:tcPr>
            <w:tcW w:w="1985" w:type="dxa"/>
            <w:vAlign w:val="center"/>
          </w:tcPr>
          <w:p w14:paraId="7966D34C" w14:textId="77777777" w:rsidR="00D25A10" w:rsidRDefault="00D25A10" w:rsidP="006C56EA">
            <w:pPr>
              <w:spacing w:line="276" w:lineRule="auto"/>
              <w:rPr>
                <w:rFonts w:cstheme="minorHAnsi"/>
              </w:rPr>
            </w:pPr>
            <w:r w:rsidRPr="0030077D">
              <w:rPr>
                <w:rFonts w:cstheme="minorHAnsi"/>
              </w:rPr>
              <w:t>0.12</w:t>
            </w:r>
            <w:r>
              <w:rPr>
                <w:rFonts w:cstheme="minorHAnsi"/>
              </w:rPr>
              <w:t xml:space="preserve"> ± </w:t>
            </w:r>
            <w:r w:rsidRPr="0030077D">
              <w:rPr>
                <w:rFonts w:cstheme="minorHAnsi"/>
              </w:rPr>
              <w:t>0.02</w:t>
            </w:r>
          </w:p>
        </w:tc>
        <w:tc>
          <w:tcPr>
            <w:tcW w:w="1691" w:type="dxa"/>
            <w:vAlign w:val="center"/>
          </w:tcPr>
          <w:p w14:paraId="78C50B2F" w14:textId="77777777" w:rsidR="00D25A10" w:rsidRDefault="00D25A10" w:rsidP="006C56EA">
            <w:pPr>
              <w:spacing w:line="276" w:lineRule="auto"/>
              <w:rPr>
                <w:rFonts w:cstheme="minorHAnsi"/>
              </w:rPr>
            </w:pPr>
          </w:p>
        </w:tc>
        <w:tc>
          <w:tcPr>
            <w:tcW w:w="1634" w:type="dxa"/>
            <w:vAlign w:val="center"/>
          </w:tcPr>
          <w:p w14:paraId="3A4AFE97" w14:textId="77777777" w:rsidR="00D25A10" w:rsidRDefault="00D25A10" w:rsidP="006C56EA">
            <w:pPr>
              <w:spacing w:line="276" w:lineRule="auto"/>
              <w:rPr>
                <w:rFonts w:cstheme="minorHAnsi"/>
              </w:rPr>
            </w:pPr>
          </w:p>
        </w:tc>
        <w:tc>
          <w:tcPr>
            <w:tcW w:w="1403" w:type="dxa"/>
            <w:vAlign w:val="center"/>
          </w:tcPr>
          <w:p w14:paraId="6A15ABB6" w14:textId="77777777" w:rsidR="00D25A10" w:rsidRDefault="00D25A10" w:rsidP="006C56EA">
            <w:pPr>
              <w:spacing w:line="276" w:lineRule="auto"/>
              <w:rPr>
                <w:rFonts w:cstheme="minorHAnsi"/>
                <w:b/>
              </w:rPr>
            </w:pPr>
          </w:p>
        </w:tc>
      </w:tr>
      <w:tr w:rsidR="00D25A10" w14:paraId="14F41A64" w14:textId="77777777" w:rsidTr="00D25A10">
        <w:tc>
          <w:tcPr>
            <w:tcW w:w="1134" w:type="dxa"/>
            <w:vAlign w:val="center"/>
          </w:tcPr>
          <w:p w14:paraId="7663564D"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Leic20027</w:t>
            </w:r>
          </w:p>
        </w:tc>
        <w:tc>
          <w:tcPr>
            <w:tcW w:w="1039" w:type="dxa"/>
            <w:vAlign w:val="center"/>
          </w:tcPr>
          <w:p w14:paraId="5BF2AEB3" w14:textId="77777777" w:rsidR="00D25A10" w:rsidRDefault="00D25A10" w:rsidP="006C56EA">
            <w:pPr>
              <w:spacing w:line="276" w:lineRule="auto"/>
            </w:pPr>
          </w:p>
        </w:tc>
        <w:tc>
          <w:tcPr>
            <w:tcW w:w="1087" w:type="dxa"/>
            <w:vAlign w:val="center"/>
          </w:tcPr>
          <w:p w14:paraId="0824E412" w14:textId="77777777" w:rsidR="00D25A10" w:rsidRDefault="00D25A10" w:rsidP="006C56EA">
            <w:pPr>
              <w:spacing w:line="276" w:lineRule="auto"/>
            </w:pPr>
          </w:p>
        </w:tc>
        <w:tc>
          <w:tcPr>
            <w:tcW w:w="992" w:type="dxa"/>
            <w:vAlign w:val="center"/>
          </w:tcPr>
          <w:p w14:paraId="0A4E2E41" w14:textId="77777777" w:rsidR="00D25A10" w:rsidRDefault="00D25A10" w:rsidP="006C56EA">
            <w:pPr>
              <w:spacing w:line="276" w:lineRule="auto"/>
            </w:pPr>
          </w:p>
        </w:tc>
        <w:tc>
          <w:tcPr>
            <w:tcW w:w="1701" w:type="dxa"/>
            <w:vAlign w:val="center"/>
          </w:tcPr>
          <w:p w14:paraId="7451316D" w14:textId="77777777" w:rsidR="00D25A10" w:rsidRDefault="00D25A10" w:rsidP="006C56EA">
            <w:pPr>
              <w:spacing w:line="276" w:lineRule="auto"/>
              <w:rPr>
                <w:rFonts w:cstheme="minorHAnsi"/>
              </w:rPr>
            </w:pPr>
          </w:p>
        </w:tc>
        <w:tc>
          <w:tcPr>
            <w:tcW w:w="1985" w:type="dxa"/>
            <w:vAlign w:val="center"/>
          </w:tcPr>
          <w:p w14:paraId="69E21D2E" w14:textId="77777777" w:rsidR="00D25A10" w:rsidRDefault="00D25A10" w:rsidP="006C56EA">
            <w:pPr>
              <w:spacing w:line="276" w:lineRule="auto"/>
              <w:rPr>
                <w:rFonts w:cstheme="minorHAnsi"/>
              </w:rPr>
            </w:pPr>
            <w:r w:rsidRPr="0030077D">
              <w:rPr>
                <w:rFonts w:cstheme="minorHAnsi"/>
              </w:rPr>
              <w:t>0.22</w:t>
            </w:r>
            <w:r>
              <w:rPr>
                <w:rFonts w:cstheme="minorHAnsi"/>
              </w:rPr>
              <w:t xml:space="preserve"> ± </w:t>
            </w:r>
            <w:r w:rsidRPr="0030077D">
              <w:rPr>
                <w:rFonts w:cstheme="minorHAnsi"/>
              </w:rPr>
              <w:t>0.02</w:t>
            </w:r>
          </w:p>
        </w:tc>
        <w:tc>
          <w:tcPr>
            <w:tcW w:w="1691" w:type="dxa"/>
            <w:vAlign w:val="center"/>
          </w:tcPr>
          <w:p w14:paraId="22864DD9" w14:textId="77777777" w:rsidR="00D25A10" w:rsidRDefault="00D25A10" w:rsidP="006C56EA">
            <w:pPr>
              <w:spacing w:line="276" w:lineRule="auto"/>
              <w:rPr>
                <w:rFonts w:cstheme="minorHAnsi"/>
              </w:rPr>
            </w:pPr>
          </w:p>
        </w:tc>
        <w:tc>
          <w:tcPr>
            <w:tcW w:w="1634" w:type="dxa"/>
            <w:vAlign w:val="center"/>
          </w:tcPr>
          <w:p w14:paraId="15653309" w14:textId="77777777" w:rsidR="00D25A10" w:rsidRDefault="00D25A10" w:rsidP="006C56EA">
            <w:pPr>
              <w:spacing w:line="276" w:lineRule="auto"/>
              <w:rPr>
                <w:rFonts w:cstheme="minorHAnsi"/>
              </w:rPr>
            </w:pPr>
          </w:p>
        </w:tc>
        <w:tc>
          <w:tcPr>
            <w:tcW w:w="1403" w:type="dxa"/>
            <w:vAlign w:val="center"/>
          </w:tcPr>
          <w:p w14:paraId="66639265" w14:textId="77777777" w:rsidR="00D25A10" w:rsidRDefault="00D25A10" w:rsidP="006C56EA">
            <w:pPr>
              <w:spacing w:line="276" w:lineRule="auto"/>
              <w:rPr>
                <w:rFonts w:cstheme="minorHAnsi"/>
                <w:b/>
              </w:rPr>
            </w:pPr>
          </w:p>
        </w:tc>
      </w:tr>
      <w:tr w:rsidR="00D25A10" w14:paraId="6F7895AD" w14:textId="77777777" w:rsidTr="00D25A10">
        <w:tc>
          <w:tcPr>
            <w:tcW w:w="1134" w:type="dxa"/>
            <w:vAlign w:val="center"/>
          </w:tcPr>
          <w:p w14:paraId="209BB2AF" w14:textId="77777777" w:rsidR="00D25A10" w:rsidRPr="00C80DA4" w:rsidRDefault="00D25A10" w:rsidP="006C56EA">
            <w:pPr>
              <w:spacing w:line="276" w:lineRule="auto"/>
              <w:rPr>
                <w:rFonts w:ascii="Calibri" w:hAnsi="Calibri" w:cs="Calibri"/>
                <w:color w:val="000000"/>
              </w:rPr>
            </w:pPr>
            <w:r w:rsidRPr="00A01EAE">
              <w:rPr>
                <w:rFonts w:ascii="Calibri" w:hAnsi="Calibri" w:cs="Calibri"/>
                <w:color w:val="000000"/>
              </w:rPr>
              <w:t>Leic20003</w:t>
            </w:r>
          </w:p>
        </w:tc>
        <w:tc>
          <w:tcPr>
            <w:tcW w:w="1039" w:type="dxa"/>
            <w:vAlign w:val="center"/>
          </w:tcPr>
          <w:p w14:paraId="1022A225" w14:textId="77777777" w:rsidR="00D25A10" w:rsidRDefault="00D25A10" w:rsidP="006C56EA">
            <w:pPr>
              <w:spacing w:line="276" w:lineRule="auto"/>
            </w:pPr>
          </w:p>
        </w:tc>
        <w:tc>
          <w:tcPr>
            <w:tcW w:w="1087" w:type="dxa"/>
            <w:vAlign w:val="center"/>
          </w:tcPr>
          <w:p w14:paraId="1BB30C42" w14:textId="77777777" w:rsidR="00D25A10" w:rsidRDefault="00D25A10" w:rsidP="006C56EA">
            <w:pPr>
              <w:spacing w:line="276" w:lineRule="auto"/>
            </w:pPr>
          </w:p>
        </w:tc>
        <w:tc>
          <w:tcPr>
            <w:tcW w:w="992" w:type="dxa"/>
            <w:vAlign w:val="center"/>
          </w:tcPr>
          <w:p w14:paraId="3EE9F6E6" w14:textId="77777777" w:rsidR="00D25A10" w:rsidRDefault="00D25A10" w:rsidP="006C56EA">
            <w:pPr>
              <w:spacing w:line="276" w:lineRule="auto"/>
            </w:pPr>
          </w:p>
        </w:tc>
        <w:tc>
          <w:tcPr>
            <w:tcW w:w="1701" w:type="dxa"/>
            <w:vAlign w:val="center"/>
          </w:tcPr>
          <w:p w14:paraId="30B1B4DD" w14:textId="77777777" w:rsidR="00D25A10" w:rsidRDefault="00D25A10" w:rsidP="006C56EA">
            <w:pPr>
              <w:spacing w:line="276" w:lineRule="auto"/>
              <w:rPr>
                <w:rFonts w:cstheme="minorHAnsi"/>
              </w:rPr>
            </w:pPr>
          </w:p>
        </w:tc>
        <w:tc>
          <w:tcPr>
            <w:tcW w:w="1985" w:type="dxa"/>
            <w:vAlign w:val="center"/>
          </w:tcPr>
          <w:p w14:paraId="2C745DED" w14:textId="77777777" w:rsidR="00D25A10" w:rsidRDefault="00D25A10" w:rsidP="006C56EA">
            <w:pPr>
              <w:spacing w:line="276" w:lineRule="auto"/>
              <w:rPr>
                <w:rFonts w:cstheme="minorHAnsi"/>
              </w:rPr>
            </w:pPr>
            <w:r w:rsidRPr="0030077D">
              <w:rPr>
                <w:rFonts w:cstheme="minorHAnsi"/>
              </w:rPr>
              <w:t>0.32</w:t>
            </w:r>
            <w:r>
              <w:rPr>
                <w:rFonts w:cstheme="minorHAnsi"/>
              </w:rPr>
              <w:t xml:space="preserve"> ± </w:t>
            </w:r>
            <w:r w:rsidRPr="0030077D">
              <w:rPr>
                <w:rFonts w:cstheme="minorHAnsi"/>
              </w:rPr>
              <w:t>0.03</w:t>
            </w:r>
          </w:p>
        </w:tc>
        <w:tc>
          <w:tcPr>
            <w:tcW w:w="1691" w:type="dxa"/>
            <w:vAlign w:val="center"/>
          </w:tcPr>
          <w:p w14:paraId="07440632" w14:textId="77777777" w:rsidR="00D25A10" w:rsidRDefault="00D25A10" w:rsidP="006C56EA">
            <w:pPr>
              <w:spacing w:line="276" w:lineRule="auto"/>
              <w:rPr>
                <w:rFonts w:cstheme="minorHAnsi"/>
              </w:rPr>
            </w:pPr>
          </w:p>
        </w:tc>
        <w:tc>
          <w:tcPr>
            <w:tcW w:w="1634" w:type="dxa"/>
            <w:vAlign w:val="center"/>
          </w:tcPr>
          <w:p w14:paraId="57AE6F60" w14:textId="77777777" w:rsidR="00D25A10" w:rsidRDefault="00D25A10" w:rsidP="006C56EA">
            <w:pPr>
              <w:spacing w:line="276" w:lineRule="auto"/>
              <w:rPr>
                <w:rFonts w:cstheme="minorHAnsi"/>
              </w:rPr>
            </w:pPr>
          </w:p>
        </w:tc>
        <w:tc>
          <w:tcPr>
            <w:tcW w:w="1403" w:type="dxa"/>
            <w:vAlign w:val="center"/>
          </w:tcPr>
          <w:p w14:paraId="59F38D17" w14:textId="77777777" w:rsidR="00D25A10" w:rsidRDefault="00D25A10" w:rsidP="006C56EA">
            <w:pPr>
              <w:spacing w:line="276" w:lineRule="auto"/>
              <w:rPr>
                <w:rFonts w:cstheme="minorHAnsi"/>
                <w:b/>
              </w:rPr>
            </w:pPr>
          </w:p>
        </w:tc>
      </w:tr>
    </w:tbl>
    <w:p w14:paraId="29665379" w14:textId="77777777" w:rsidR="00F47DC9" w:rsidRDefault="00F47DC9" w:rsidP="006C56EA">
      <w:pPr>
        <w:spacing w:line="276" w:lineRule="auto"/>
      </w:pPr>
    </w:p>
    <w:sectPr w:rsidR="00F47DC9" w:rsidSect="00F5689F">
      <w:type w:val="continuous"/>
      <w:pgSz w:w="16838" w:h="11906"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648AF" w14:textId="77777777" w:rsidR="0004720B" w:rsidRDefault="0004720B" w:rsidP="00E628EB">
      <w:pPr>
        <w:spacing w:after="0" w:line="240" w:lineRule="auto"/>
      </w:pPr>
      <w:r>
        <w:separator/>
      </w:r>
    </w:p>
  </w:endnote>
  <w:endnote w:type="continuationSeparator" w:id="0">
    <w:p w14:paraId="1519E3D8" w14:textId="77777777" w:rsidR="0004720B" w:rsidRDefault="0004720B" w:rsidP="00E62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006848"/>
      <w:docPartObj>
        <w:docPartGallery w:val="Page Numbers (Bottom of Page)"/>
        <w:docPartUnique/>
      </w:docPartObj>
    </w:sdtPr>
    <w:sdtEndPr>
      <w:rPr>
        <w:noProof/>
      </w:rPr>
    </w:sdtEndPr>
    <w:sdtContent>
      <w:p w14:paraId="566E2073" w14:textId="0B37E661" w:rsidR="00E628EB" w:rsidRDefault="00E628EB">
        <w:pPr>
          <w:pStyle w:val="Footer"/>
          <w:jc w:val="center"/>
        </w:pPr>
        <w:r>
          <w:fldChar w:fldCharType="begin"/>
        </w:r>
        <w:r>
          <w:instrText xml:space="preserve"> PAGE   \* MERGEFORMAT </w:instrText>
        </w:r>
        <w:r>
          <w:fldChar w:fldCharType="separate"/>
        </w:r>
        <w:r w:rsidR="00CD50A6">
          <w:rPr>
            <w:noProof/>
          </w:rPr>
          <w:t>2</w:t>
        </w:r>
        <w:r>
          <w:rPr>
            <w:noProof/>
          </w:rPr>
          <w:fldChar w:fldCharType="end"/>
        </w:r>
      </w:p>
    </w:sdtContent>
  </w:sdt>
  <w:p w14:paraId="59DFB850" w14:textId="77777777" w:rsidR="00E628EB" w:rsidRDefault="00E62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E0AC8" w14:textId="77777777" w:rsidR="0004720B" w:rsidRDefault="0004720B" w:rsidP="00E628EB">
      <w:pPr>
        <w:spacing w:after="0" w:line="240" w:lineRule="auto"/>
      </w:pPr>
      <w:r>
        <w:separator/>
      </w:r>
    </w:p>
  </w:footnote>
  <w:footnote w:type="continuationSeparator" w:id="0">
    <w:p w14:paraId="6600F47F" w14:textId="77777777" w:rsidR="0004720B" w:rsidRDefault="0004720B" w:rsidP="00E628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E8"/>
    <w:rsid w:val="00017022"/>
    <w:rsid w:val="00021583"/>
    <w:rsid w:val="0004720B"/>
    <w:rsid w:val="000859E8"/>
    <w:rsid w:val="00085CCF"/>
    <w:rsid w:val="001353DA"/>
    <w:rsid w:val="002D6EDB"/>
    <w:rsid w:val="003C68AF"/>
    <w:rsid w:val="004468DD"/>
    <w:rsid w:val="00460C61"/>
    <w:rsid w:val="004B0BC1"/>
    <w:rsid w:val="004B435D"/>
    <w:rsid w:val="004B53D8"/>
    <w:rsid w:val="00541F42"/>
    <w:rsid w:val="005967B8"/>
    <w:rsid w:val="005B48A6"/>
    <w:rsid w:val="005C69B1"/>
    <w:rsid w:val="005D202A"/>
    <w:rsid w:val="005F3181"/>
    <w:rsid w:val="006C56EA"/>
    <w:rsid w:val="006F4358"/>
    <w:rsid w:val="0071051F"/>
    <w:rsid w:val="00763DDD"/>
    <w:rsid w:val="007644C7"/>
    <w:rsid w:val="007B671F"/>
    <w:rsid w:val="007F2BD5"/>
    <w:rsid w:val="00800BE8"/>
    <w:rsid w:val="00843786"/>
    <w:rsid w:val="008B3FA9"/>
    <w:rsid w:val="00954E0E"/>
    <w:rsid w:val="00991DA6"/>
    <w:rsid w:val="009E08AC"/>
    <w:rsid w:val="00A213F6"/>
    <w:rsid w:val="00A45DC4"/>
    <w:rsid w:val="00A64E97"/>
    <w:rsid w:val="00AA14C4"/>
    <w:rsid w:val="00B06366"/>
    <w:rsid w:val="00B52AD4"/>
    <w:rsid w:val="00C3604C"/>
    <w:rsid w:val="00C82FFC"/>
    <w:rsid w:val="00CD50A6"/>
    <w:rsid w:val="00D25A10"/>
    <w:rsid w:val="00DC060B"/>
    <w:rsid w:val="00E22799"/>
    <w:rsid w:val="00E40BA2"/>
    <w:rsid w:val="00E628EB"/>
    <w:rsid w:val="00ED4E09"/>
    <w:rsid w:val="00F057AC"/>
    <w:rsid w:val="00F47DC9"/>
    <w:rsid w:val="00F5689F"/>
    <w:rsid w:val="00FD099D"/>
    <w:rsid w:val="00FE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A6833"/>
  <w14:defaultImageDpi w14:val="330"/>
  <w15:docId w15:val="{D04BE683-706D-4FE9-AC72-F6DD31EE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1D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8EB"/>
  </w:style>
  <w:style w:type="paragraph" w:styleId="Footer">
    <w:name w:val="footer"/>
    <w:basedOn w:val="Normal"/>
    <w:link w:val="FooterChar"/>
    <w:uiPriority w:val="99"/>
    <w:unhideWhenUsed/>
    <w:rsid w:val="00E62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8EB"/>
  </w:style>
  <w:style w:type="table" w:styleId="TableGrid">
    <w:name w:val="Table Grid"/>
    <w:basedOn w:val="TableNormal"/>
    <w:uiPriority w:val="39"/>
    <w:rsid w:val="00F47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4E09"/>
    <w:rPr>
      <w:color w:val="0563C1" w:themeColor="hyperlink"/>
      <w:u w:val="single"/>
    </w:rPr>
  </w:style>
  <w:style w:type="character" w:customStyle="1" w:styleId="Heading1Char">
    <w:name w:val="Heading 1 Char"/>
    <w:basedOn w:val="DefaultParagraphFont"/>
    <w:link w:val="Heading1"/>
    <w:uiPriority w:val="9"/>
    <w:rsid w:val="00991DA6"/>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843786"/>
    <w:rPr>
      <w:sz w:val="16"/>
      <w:szCs w:val="16"/>
    </w:rPr>
  </w:style>
  <w:style w:type="paragraph" w:styleId="CommentText">
    <w:name w:val="annotation text"/>
    <w:basedOn w:val="Normal"/>
    <w:link w:val="CommentTextChar"/>
    <w:uiPriority w:val="99"/>
    <w:semiHidden/>
    <w:unhideWhenUsed/>
    <w:rsid w:val="00843786"/>
    <w:pPr>
      <w:spacing w:line="240" w:lineRule="auto"/>
    </w:pPr>
    <w:rPr>
      <w:sz w:val="20"/>
      <w:szCs w:val="20"/>
    </w:rPr>
  </w:style>
  <w:style w:type="character" w:customStyle="1" w:styleId="CommentTextChar">
    <w:name w:val="Comment Text Char"/>
    <w:basedOn w:val="DefaultParagraphFont"/>
    <w:link w:val="CommentText"/>
    <w:uiPriority w:val="99"/>
    <w:semiHidden/>
    <w:rsid w:val="00843786"/>
    <w:rPr>
      <w:sz w:val="20"/>
      <w:szCs w:val="20"/>
    </w:rPr>
  </w:style>
  <w:style w:type="paragraph" w:styleId="CommentSubject">
    <w:name w:val="annotation subject"/>
    <w:basedOn w:val="CommentText"/>
    <w:next w:val="CommentText"/>
    <w:link w:val="CommentSubjectChar"/>
    <w:uiPriority w:val="99"/>
    <w:semiHidden/>
    <w:unhideWhenUsed/>
    <w:rsid w:val="00843786"/>
    <w:rPr>
      <w:b/>
      <w:bCs/>
    </w:rPr>
  </w:style>
  <w:style w:type="character" w:customStyle="1" w:styleId="CommentSubjectChar">
    <w:name w:val="Comment Subject Char"/>
    <w:basedOn w:val="CommentTextChar"/>
    <w:link w:val="CommentSubject"/>
    <w:uiPriority w:val="99"/>
    <w:semiHidden/>
    <w:rsid w:val="00843786"/>
    <w:rPr>
      <w:b/>
      <w:bCs/>
      <w:sz w:val="20"/>
      <w:szCs w:val="20"/>
    </w:rPr>
  </w:style>
  <w:style w:type="paragraph" w:styleId="BalloonText">
    <w:name w:val="Balloon Text"/>
    <w:basedOn w:val="Normal"/>
    <w:link w:val="BalloonTextChar"/>
    <w:uiPriority w:val="99"/>
    <w:semiHidden/>
    <w:unhideWhenUsed/>
    <w:rsid w:val="00843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786"/>
    <w:rPr>
      <w:rFonts w:ascii="Tahoma" w:hAnsi="Tahoma" w:cs="Tahoma"/>
      <w:sz w:val="16"/>
      <w:szCs w:val="16"/>
    </w:rPr>
  </w:style>
  <w:style w:type="character" w:styleId="LineNumber">
    <w:name w:val="line number"/>
    <w:basedOn w:val="DefaultParagraphFont"/>
    <w:uiPriority w:val="99"/>
    <w:semiHidden/>
    <w:unhideWhenUsed/>
    <w:rsid w:val="00F56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35509">
      <w:bodyDiv w:val="1"/>
      <w:marLeft w:val="0"/>
      <w:marRight w:val="0"/>
      <w:marTop w:val="0"/>
      <w:marBottom w:val="0"/>
      <w:divBdr>
        <w:top w:val="none" w:sz="0" w:space="0" w:color="auto"/>
        <w:left w:val="none" w:sz="0" w:space="0" w:color="auto"/>
        <w:bottom w:val="none" w:sz="0" w:space="0" w:color="auto"/>
        <w:right w:val="none" w:sz="0" w:space="0" w:color="auto"/>
      </w:divBdr>
      <w:divsChild>
        <w:div w:id="168833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432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CRAN.R-project.org/package=RCarb" TargetMode="External"/><Relationship Id="rId4" Type="http://schemas.openxmlformats.org/officeDocument/2006/relationships/footnotes" Target="footnotes.xml"/><Relationship Id="rId9" Type="http://schemas.openxmlformats.org/officeDocument/2006/relationships/hyperlink" Target="https://CRAN.R-project.org/package=Luminesc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11</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Andrew S. (Dr.)</dc:creator>
  <cp:keywords/>
  <dc:description/>
  <cp:lastModifiedBy>Carr, Andrew S. (Dr.)</cp:lastModifiedBy>
  <cp:revision>8</cp:revision>
  <dcterms:created xsi:type="dcterms:W3CDTF">2022-03-22T08:06:00Z</dcterms:created>
  <dcterms:modified xsi:type="dcterms:W3CDTF">2022-08-02T07:57:00Z</dcterms:modified>
</cp:coreProperties>
</file>