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E8" w:rsidRPr="003B33B1" w:rsidRDefault="005D58E8" w:rsidP="005D58E8">
      <w:pPr>
        <w:spacing w:after="0" w:line="360" w:lineRule="auto"/>
        <w:jc w:val="both"/>
        <w:rPr>
          <w:b/>
          <w:sz w:val="24"/>
          <w:szCs w:val="24"/>
          <w:lang w:val="en-GB"/>
        </w:rPr>
      </w:pPr>
      <w:bookmarkStart w:id="0" w:name="_GoBack"/>
      <w:bookmarkEnd w:id="0"/>
      <w:r w:rsidRPr="003B33B1">
        <w:rPr>
          <w:b/>
          <w:sz w:val="24"/>
          <w:szCs w:val="24"/>
          <w:lang w:val="en-GB"/>
        </w:rPr>
        <w:t>SUPPLEMENTARY MATERIAL</w:t>
      </w:r>
    </w:p>
    <w:p w:rsidR="005D58E8" w:rsidRPr="003B33B1" w:rsidRDefault="005D58E8" w:rsidP="005D58E8">
      <w:pPr>
        <w:spacing w:after="0" w:line="360" w:lineRule="auto"/>
        <w:jc w:val="both"/>
        <w:rPr>
          <w:sz w:val="24"/>
          <w:szCs w:val="24"/>
          <w:lang w:val="en-GB"/>
        </w:rPr>
      </w:pPr>
    </w:p>
    <w:p w:rsidR="005D58E8" w:rsidRPr="00081AE7" w:rsidRDefault="005D58E8" w:rsidP="005D58E8">
      <w:pPr>
        <w:spacing w:after="0" w:line="360" w:lineRule="auto"/>
        <w:jc w:val="both"/>
        <w:rPr>
          <w:sz w:val="24"/>
          <w:szCs w:val="24"/>
          <w:lang w:val="en-GB"/>
        </w:rPr>
      </w:pPr>
      <w:r w:rsidRPr="003B33B1">
        <w:rPr>
          <w:b/>
          <w:sz w:val="24"/>
          <w:szCs w:val="24"/>
          <w:lang w:val="en-GB"/>
        </w:rPr>
        <w:t xml:space="preserve">Supplementary Table 1. </w:t>
      </w:r>
      <w:r w:rsidRPr="003B33B1">
        <w:rPr>
          <w:sz w:val="24"/>
          <w:szCs w:val="24"/>
          <w:lang w:val="en-GB"/>
        </w:rPr>
        <w:t>Detail list</w:t>
      </w:r>
      <w:r w:rsidRPr="00921BCA">
        <w:rPr>
          <w:sz w:val="24"/>
          <w:szCs w:val="24"/>
          <w:lang w:val="en-GB"/>
        </w:rPr>
        <w:t xml:space="preserve"> of studied specimens. X = considered, / = not considered, </w:t>
      </w:r>
      <w:r>
        <w:rPr>
          <w:sz w:val="24"/>
          <w:szCs w:val="24"/>
          <w:lang w:val="en-GB"/>
        </w:rPr>
        <w:t>GM</w:t>
      </w:r>
      <w:r w:rsidRPr="00921BCA">
        <w:rPr>
          <w:sz w:val="24"/>
          <w:szCs w:val="24"/>
          <w:lang w:val="en-GB"/>
        </w:rPr>
        <w:t xml:space="preserve"> = geometric morphometrics, Mw = microwear analyses. It was not possible to connect fossil specimens for </w:t>
      </w:r>
      <w:r>
        <w:rPr>
          <w:sz w:val="24"/>
          <w:szCs w:val="24"/>
          <w:lang w:val="en-GB"/>
        </w:rPr>
        <w:t>GM</w:t>
      </w:r>
      <w:r w:rsidRPr="00921BCA">
        <w:rPr>
          <w:sz w:val="24"/>
          <w:szCs w:val="24"/>
          <w:lang w:val="en-GB"/>
        </w:rPr>
        <w:t xml:space="preserve"> and Mw </w:t>
      </w:r>
      <w:r w:rsidRPr="00081AE7">
        <w:rPr>
          <w:sz w:val="24"/>
          <w:szCs w:val="24"/>
          <w:lang w:val="en-GB"/>
        </w:rPr>
        <w:t xml:space="preserve">because they were not individually numbered, and different arbitrary numbers were given for </w:t>
      </w:r>
      <w:r>
        <w:rPr>
          <w:sz w:val="24"/>
          <w:szCs w:val="24"/>
          <w:lang w:val="en-GB"/>
        </w:rPr>
        <w:t>GM</w:t>
      </w:r>
      <w:r w:rsidRPr="00081AE7">
        <w:rPr>
          <w:sz w:val="24"/>
          <w:szCs w:val="24"/>
          <w:lang w:val="en-GB"/>
        </w:rPr>
        <w:t xml:space="preserve"> (F) and Mw (T). </w:t>
      </w:r>
      <w:r w:rsidRPr="00132DFC">
        <w:rPr>
          <w:sz w:val="24"/>
          <w:szCs w:val="24"/>
        </w:rPr>
        <w:t>For Mw, only 14 specimens whose wear facets were usable could have been analysed on 26 casts.</w:t>
      </w:r>
    </w:p>
    <w:tbl>
      <w:tblPr>
        <w:tblW w:w="489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862"/>
        <w:gridCol w:w="2147"/>
        <w:gridCol w:w="959"/>
        <w:gridCol w:w="3288"/>
        <w:gridCol w:w="595"/>
        <w:gridCol w:w="1127"/>
        <w:gridCol w:w="620"/>
        <w:gridCol w:w="654"/>
        <w:gridCol w:w="1590"/>
      </w:tblGrid>
      <w:tr w:rsidR="005D58E8" w:rsidRPr="00EE2B4B" w:rsidTr="002B0BC3">
        <w:trPr>
          <w:trHeight w:val="227"/>
        </w:trPr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n° collection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Modern/fossil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Species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Country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Locality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Sex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Considered teeth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GM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Mw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Remarks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1972-84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30km Gondar - Axum road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1972-91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20km Addis Abeba - Gondar road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1972-92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20km Addis Abeba - Gondar road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1972-93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20km Addis Abeba - Gondar road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1972-94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30km Gondar - Axum road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1972-95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20km SW Gondar road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1972-96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Marguerite Lake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1972-97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20km Addis Abeba - Gondar road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1972-99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Marguerite Lake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1972-100</w:t>
            </w:r>
          </w:p>
        </w:tc>
        <w:tc>
          <w:tcPr>
            <w:tcW w:w="311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20km Addis Abeba - Gondar road</w:t>
            </w:r>
          </w:p>
        </w:tc>
        <w:tc>
          <w:tcPr>
            <w:tcW w:w="21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1972-101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20km Addis Abeba - Gondar road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1972-106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30km Gondar - Axum road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1972-107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Marguerite Lake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1972-109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Marguerite Lake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1972-111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30km Gondar - Axum road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1972-112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30km Gondar - Axum road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1972-121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Marguerite Lake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1972-124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Marguerite Lake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1972-138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abyssinicus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20km Addis Abeba - Gondar road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2004-734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Samaya (12° 33' 0'' N ; 8° 3' 0''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2004-735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Samaya (12° 33' 0'' N ; 8° 3' 0''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2004-737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Samaya (12° 33' 0'' N ; 8° 3' 0''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2004-738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Samaya (12° 33' 0'' N ; 8° 3' 0''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2004-739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Samaya (12° 33' 0'' N ; 8° 3' 0''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2004-740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Samaya (12° 33' 0'' N ; 8° 3' 0''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2004-741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Samaya (12° 33' 0'' N ; 8° 3' 0''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MNHN-CG 2004-742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Samaya (12° 33' 0'' N ; 8° 3' 0''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2004-743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Samaya (12° 33' 0'' N ; 8° 3' 0''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2004-744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Samaya (12° 33' 0'' N ; 8° 3' 0''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2004-745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Djoliba (12° 24' 0'' N ; 8° 20' 49.2''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2004-746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Djoliba (12° 24' 0'' N ; 8° 20' 49.2''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2004-747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Djoliba (12° 24' 0'' N ; 8° 20' 49.2''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2004-748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Djoliba (12° 24' 0'' N ; 8° 20' 49.2''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2004-1079</w:t>
            </w:r>
          </w:p>
        </w:tc>
        <w:tc>
          <w:tcPr>
            <w:tcW w:w="311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Samaya (12° 33' 0'' N ; 8° 3' 0'' W)</w:t>
            </w:r>
          </w:p>
        </w:tc>
        <w:tc>
          <w:tcPr>
            <w:tcW w:w="21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2004-1080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Samaya (12° 33' 0'' N ; 8° 3' 0''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2004-1081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ansorgei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Samaya (12° 33' 0'' N ; 8° 3' 0'' W)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1972-77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1972-78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1972-79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1972-80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1972-81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1972-82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1972-83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1972-85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1972-86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1972-87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1972-88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1972-89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1972-90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1972-145</w:t>
            </w:r>
          </w:p>
        </w:tc>
        <w:tc>
          <w:tcPr>
            <w:tcW w:w="311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1972-146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1972-147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1972-148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1972-149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1972-150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132DFC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1972-151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blicki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Dirsho Balé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val="en-GB" w:eastAsia="fr-FR"/>
              </w:rPr>
              <w:t>metallized tooth (for SEM picture)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1978-195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neumanni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30km N of Kalam - SW Ethiopia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1978-196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neumanni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30km N of Kalam - SW Ethiopia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1978-197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neumanni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30km N of Kalam - SW Ethiopia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1978-198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neumanni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30km N of Kalam - SW Ethiopia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1978-199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neumanni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30km N of Kalam - SW Ethiopia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1978-200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neumanni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30km N of Kalam - SW Ethiopia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MNHN-CG 1978-201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neumanni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30km N of Kalam - SW Ethiopia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1978-202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neumanni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30km N of Kalam - SW Ethiopia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1978-203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neumanni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30km N of Kalam - SW Ethiopia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1978-204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neumanni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30km N of Kalam - SW Ethiopia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1978-205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neumanni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30km N of Kalam - SW Ethiopia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1978-206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neumanni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30km N of Kalam - SW Ethiopia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1978-207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neumanni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132DFC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32DFC">
              <w:rPr>
                <w:rFonts w:cstheme="minorHAnsi"/>
                <w:color w:val="000000"/>
                <w:sz w:val="20"/>
                <w:szCs w:val="20"/>
              </w:rPr>
              <w:t>30km N of Kalam - SW Ethiopia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1959-267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Amalaoli,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1959-268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Telouess,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1959-269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Telouess,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1959-270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Amalaoli,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1959-271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Amalaoli,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1959-272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Amalaoli,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1959-273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Tabelot,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1959-274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Tabelot,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1959-275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Tabelot,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1959-276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Tabelot,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1959-277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Tabelot,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1959-278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Tabelot,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1959-279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Tabelot,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1959-280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Tabelot,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1959-281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Tabelot,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1959-282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Tabelot,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1959-283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Tabelot,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1959-284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Tabelot,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1959-285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Tabelot, Aïr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1970-338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Mopti region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1970-339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Mopti region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1970-340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Mopti region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1970-341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Mopti region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1970-343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Mopti region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1970-344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Mopti region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1970-345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Mopti region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1970-347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Mopti region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1970-348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Mopti region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1970-349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Mopti region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1970-351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Bamako (Samaya)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MNHN-CG 1970-352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Mopti region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2003-496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1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El Sabaloga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2003-497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1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El Sabaloga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2003-498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1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El Sabaloga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2003-499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1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El Sabaloga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2003-500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1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El Sabaloga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2003-501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1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El Sabaloga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2003-502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1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El Sabaloga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2003-503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1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El Sabaloga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2003-504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1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El Sabaloga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2003-505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1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El Sabaloga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2003-507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1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El Sabaloga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2003-506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1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El Sabaloga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2003-508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EE2B4B">
              <w:rPr>
                <w:rFonts w:cstheme="minorHAnsi"/>
                <w:sz w:val="20"/>
                <w:szCs w:val="20"/>
              </w:rPr>
              <w:t>Sudan 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Dongola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2003-509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Dongola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2003-510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Dongola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2003-511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Dongola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selected for repetition test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2003-512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Dongola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selected for repetition test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2003-513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Dongola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selected for repetition test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2003-514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Dongola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2003-515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Dongola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2003-517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Dongola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2003-518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Dongola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2003-519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Dongola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2003-516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Dongola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MNHN-CG 2003-520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modern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niloticus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Sudan 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Dongola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T10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T12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T14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T15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T19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T20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T21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T24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T25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7616FF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TR29 (Paratype)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val="en-GB" w:eastAsia="fr-FR"/>
              </w:rPr>
              <w:t>metallized tooth (for SEM picture)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F6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F10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F11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F15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F17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F18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F19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F23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F24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F28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F31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F32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F33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F34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F35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M1D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F37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F38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5D58E8" w:rsidRPr="00EE2B4B" w:rsidTr="002B0BC3">
        <w:trPr>
          <w:trHeight w:val="227"/>
        </w:trPr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F40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fossil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Arvicanthis arambourgi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E2B4B">
              <w:rPr>
                <w:rFonts w:cstheme="minorHAns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Tighennif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M1G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E8" w:rsidRPr="00EE2B4B" w:rsidRDefault="005D58E8" w:rsidP="002B0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E2B4B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</w:tbl>
    <w:p w:rsidR="004E4E79" w:rsidRDefault="00EB668D" w:rsidP="003E1B71"/>
    <w:sectPr w:rsidR="004E4E79" w:rsidSect="003E1B71">
      <w:footerReference w:type="default" r:id="rId7"/>
      <w:pgSz w:w="16838" w:h="11906" w:orient="landscape"/>
      <w:pgMar w:top="1418" w:right="1418" w:bottom="1418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68D" w:rsidRDefault="00EB668D" w:rsidP="007D32FD">
      <w:pPr>
        <w:spacing w:after="0" w:line="240" w:lineRule="auto"/>
      </w:pPr>
      <w:r>
        <w:separator/>
      </w:r>
    </w:p>
  </w:endnote>
  <w:endnote w:type="continuationSeparator" w:id="0">
    <w:p w:rsidR="00EB668D" w:rsidRDefault="00EB668D" w:rsidP="007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793308"/>
      <w:docPartObj>
        <w:docPartGallery w:val="Page Numbers (Bottom of Page)"/>
        <w:docPartUnique/>
      </w:docPartObj>
    </w:sdtPr>
    <w:sdtEndPr/>
    <w:sdtContent>
      <w:p w:rsidR="000D72C3" w:rsidRDefault="007D32FD" w:rsidP="0067633C">
        <w:pPr>
          <w:pStyle w:val="Pieddepage"/>
          <w:jc w:val="right"/>
        </w:pPr>
        <w:r>
          <w:rPr>
            <w:noProof/>
          </w:rPr>
          <w:fldChar w:fldCharType="begin"/>
        </w:r>
        <w:r w:rsidR="005D58E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1B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68D" w:rsidRDefault="00EB668D" w:rsidP="007D32FD">
      <w:pPr>
        <w:spacing w:after="0" w:line="240" w:lineRule="auto"/>
      </w:pPr>
      <w:r>
        <w:separator/>
      </w:r>
    </w:p>
  </w:footnote>
  <w:footnote w:type="continuationSeparator" w:id="0">
    <w:p w:rsidR="00EB668D" w:rsidRDefault="00EB668D" w:rsidP="007D3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3296"/>
    <w:multiLevelType w:val="hybridMultilevel"/>
    <w:tmpl w:val="21F03DA6"/>
    <w:lvl w:ilvl="0" w:tplc="FC4EFA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8E8"/>
    <w:rsid w:val="00086830"/>
    <w:rsid w:val="003E1B71"/>
    <w:rsid w:val="005B1816"/>
    <w:rsid w:val="005D58E8"/>
    <w:rsid w:val="007D32FD"/>
    <w:rsid w:val="00C1105D"/>
    <w:rsid w:val="00E35A5F"/>
    <w:rsid w:val="00E6445D"/>
    <w:rsid w:val="00E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84EC-22F9-4808-BD49-64260FA9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8E8"/>
  </w:style>
  <w:style w:type="paragraph" w:styleId="Titre1">
    <w:name w:val="heading 1"/>
    <w:basedOn w:val="Normal"/>
    <w:next w:val="Normal"/>
    <w:link w:val="Titre1Car"/>
    <w:uiPriority w:val="9"/>
    <w:qFormat/>
    <w:rsid w:val="005D58E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58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styleId="Lienhypertexte">
    <w:name w:val="Hyperlink"/>
    <w:uiPriority w:val="99"/>
    <w:rsid w:val="005D58E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D58E8"/>
    <w:rPr>
      <w:b/>
      <w:bCs/>
    </w:rPr>
  </w:style>
  <w:style w:type="character" w:customStyle="1" w:styleId="hps">
    <w:name w:val="hps"/>
    <w:basedOn w:val="Policepardfaut"/>
    <w:rsid w:val="005D58E8"/>
  </w:style>
  <w:style w:type="paragraph" w:customStyle="1" w:styleId="Default">
    <w:name w:val="Default"/>
    <w:rsid w:val="005D5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D58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58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58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58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58E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8E8"/>
    <w:rPr>
      <w:rFonts w:ascii="Segoe UI" w:hAnsi="Segoe UI" w:cs="Segoe UI"/>
      <w:sz w:val="18"/>
      <w:szCs w:val="18"/>
    </w:rPr>
  </w:style>
  <w:style w:type="paragraph" w:styleId="Bibliographie">
    <w:name w:val="Bibliography"/>
    <w:basedOn w:val="Normal"/>
    <w:next w:val="Normal"/>
    <w:uiPriority w:val="37"/>
    <w:unhideWhenUsed/>
    <w:rsid w:val="005D58E8"/>
  </w:style>
  <w:style w:type="paragraph" w:styleId="NormalWeb">
    <w:name w:val="Normal (Web)"/>
    <w:basedOn w:val="Normal"/>
    <w:uiPriority w:val="99"/>
    <w:semiHidden/>
    <w:unhideWhenUsed/>
    <w:rsid w:val="005D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D58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D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58E8"/>
  </w:style>
  <w:style w:type="paragraph" w:styleId="Pieddepage">
    <w:name w:val="footer"/>
    <w:basedOn w:val="Normal"/>
    <w:link w:val="PieddepageCar"/>
    <w:uiPriority w:val="99"/>
    <w:unhideWhenUsed/>
    <w:rsid w:val="005D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58E8"/>
  </w:style>
  <w:style w:type="character" w:customStyle="1" w:styleId="Mentionnonrsolue1">
    <w:name w:val="Mention non résolue1"/>
    <w:basedOn w:val="Policepardfaut"/>
    <w:uiPriority w:val="99"/>
    <w:semiHidden/>
    <w:unhideWhenUsed/>
    <w:rsid w:val="005D58E8"/>
    <w:rPr>
      <w:color w:val="605E5C"/>
      <w:shd w:val="clear" w:color="auto" w:fill="E1DFDD"/>
    </w:rPr>
  </w:style>
  <w:style w:type="character" w:customStyle="1" w:styleId="q4iawc">
    <w:name w:val="q4iawc"/>
    <w:basedOn w:val="Policepardfaut"/>
    <w:rsid w:val="005D58E8"/>
  </w:style>
  <w:style w:type="paragraph" w:styleId="Rvision">
    <w:name w:val="Revision"/>
    <w:hidden/>
    <w:uiPriority w:val="99"/>
    <w:semiHidden/>
    <w:rsid w:val="005D58E8"/>
    <w:pPr>
      <w:spacing w:after="0" w:line="240" w:lineRule="auto"/>
    </w:pPr>
  </w:style>
  <w:style w:type="character" w:styleId="Numrodeligne">
    <w:name w:val="line number"/>
    <w:basedOn w:val="Policepardfaut"/>
    <w:uiPriority w:val="99"/>
    <w:semiHidden/>
    <w:unhideWhenUsed/>
    <w:rsid w:val="005D58E8"/>
  </w:style>
  <w:style w:type="character" w:customStyle="1" w:styleId="Mentionnonrsolue2">
    <w:name w:val="Mention non résolue2"/>
    <w:basedOn w:val="Policepardfaut"/>
    <w:uiPriority w:val="99"/>
    <w:semiHidden/>
    <w:unhideWhenUsed/>
    <w:rsid w:val="005D58E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D5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2117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Emmanuelle STOETZEL</cp:lastModifiedBy>
  <cp:revision>3</cp:revision>
  <dcterms:created xsi:type="dcterms:W3CDTF">2022-12-15T09:55:00Z</dcterms:created>
  <dcterms:modified xsi:type="dcterms:W3CDTF">2023-01-27T15:15:00Z</dcterms:modified>
</cp:coreProperties>
</file>