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41A2F" w14:textId="117259E2" w:rsidR="00E9665F" w:rsidRPr="00E9665F" w:rsidRDefault="00E9665F" w:rsidP="00E9665F">
      <w:pPr>
        <w:spacing w:after="20" w:line="480" w:lineRule="auto"/>
        <w:ind w:firstLine="360"/>
        <w:rPr>
          <w:sz w:val="22"/>
          <w:szCs w:val="22"/>
          <w:u w:val="single"/>
        </w:rPr>
      </w:pPr>
      <w:r w:rsidRPr="00E9665F">
        <w:rPr>
          <w:sz w:val="22"/>
          <w:szCs w:val="22"/>
          <w:u w:val="single"/>
        </w:rPr>
        <w:t>Optically Stimulated Luminescence Dating of Quartz extracts from Red River sediments</w:t>
      </w:r>
    </w:p>
    <w:p w14:paraId="0FFA9C0C" w14:textId="3D9D6DC4" w:rsidR="00E9665F" w:rsidRPr="0086228A" w:rsidRDefault="00E9665F" w:rsidP="00E9665F">
      <w:pPr>
        <w:spacing w:after="20" w:line="480" w:lineRule="auto"/>
        <w:ind w:firstLine="360"/>
        <w:rPr>
          <w:rFonts w:eastAsiaTheme="minorHAnsi"/>
          <w:sz w:val="22"/>
          <w:szCs w:val="22"/>
        </w:rPr>
      </w:pPr>
      <w:r w:rsidRPr="0086228A">
        <w:rPr>
          <w:sz w:val="22"/>
          <w:szCs w:val="22"/>
        </w:rPr>
        <w:t xml:space="preserve">OSL-SAR analyses were completed by an Automated Risø TL/OSL–DA–15 system, with excitation from an array of 30 blue (470 ± 20 nm) light-emitting diodes (LEDs) focused onto the quartz aliquot. Optical stimulation of grains was at 125° C with a heating rate of 5 °C/s. All SAR emissions were integrated for the first 0.8 s out of 40 s of stimulation, with background emissions at 30-40 s.  The quartz luminescence emissions showed a dominance of a fast component with a &gt; 90% reduction in signal after 3 s of blue-LED excitation. The fast ratio was calculated for each natural and the equivalent emission from a regenerative dose, with aliquots of &lt;15 excluded from </w:t>
      </w:r>
      <w:r w:rsidRPr="0086228A">
        <w:rPr>
          <w:i/>
          <w:iCs/>
          <w:sz w:val="22"/>
          <w:szCs w:val="22"/>
        </w:rPr>
        <w:t>D</w:t>
      </w:r>
      <w:r w:rsidRPr="0086228A">
        <w:rPr>
          <w:i/>
          <w:iCs/>
          <w:sz w:val="22"/>
          <w:szCs w:val="22"/>
          <w:vertAlign w:val="subscript"/>
        </w:rPr>
        <w:t>e</w:t>
      </w:r>
      <w:r w:rsidRPr="0086228A">
        <w:rPr>
          <w:sz w:val="22"/>
          <w:szCs w:val="22"/>
        </w:rPr>
        <w:t xml:space="preserve"> analysis (Durcan and Duller, 2011). </w:t>
      </w:r>
    </w:p>
    <w:p w14:paraId="1C413A99" w14:textId="6FC349B9" w:rsidR="00E9665F" w:rsidRPr="0086228A" w:rsidRDefault="00E9665F" w:rsidP="00E9665F">
      <w:pPr>
        <w:spacing w:after="20" w:line="480" w:lineRule="auto"/>
        <w:ind w:firstLine="360"/>
        <w:rPr>
          <w:sz w:val="22"/>
          <w:szCs w:val="22"/>
        </w:rPr>
      </w:pPr>
      <w:r w:rsidRPr="0086228A">
        <w:rPr>
          <w:sz w:val="22"/>
          <w:szCs w:val="22"/>
        </w:rPr>
        <w:t xml:space="preserve">Experiments were done to evaluate the effect of preheat temperatures (160, 180, 200, 220, and 240 °C) on isolating a robust, time-sensitive and thermal-transfer emission of the regenerative signal, prior to </w:t>
      </w:r>
      <w:r w:rsidRPr="0086228A">
        <w:rPr>
          <w:i/>
          <w:iCs/>
          <w:sz w:val="22"/>
          <w:szCs w:val="22"/>
        </w:rPr>
        <w:t>D</w:t>
      </w:r>
      <w:r w:rsidRPr="0086228A">
        <w:rPr>
          <w:i/>
          <w:iCs/>
          <w:sz w:val="22"/>
          <w:szCs w:val="22"/>
          <w:vertAlign w:val="subscript"/>
        </w:rPr>
        <w:t>e</w:t>
      </w:r>
      <w:r w:rsidRPr="0086228A">
        <w:rPr>
          <w:sz w:val="22"/>
          <w:szCs w:val="22"/>
        </w:rPr>
        <w:t xml:space="preserve"> assessment with SAR protocols</w:t>
      </w:r>
      <w:r>
        <w:rPr>
          <w:sz w:val="22"/>
          <w:szCs w:val="22"/>
        </w:rPr>
        <w:t xml:space="preserve">. </w:t>
      </w:r>
      <w:r w:rsidRPr="0086228A">
        <w:rPr>
          <w:sz w:val="22"/>
          <w:szCs w:val="22"/>
        </w:rPr>
        <w:t>These experiments gave a known dose (5-30 Gy) and then evaluated which preheat resulted in recovery of this dose. There was concordance with the known dose for preheat temperatures above 200 °C for 10 s. A second “cut heat” at 200 °C for 10 s was applied prior to the measurement of the test dose. A final heating at 260 °C for 40 s was given to minimize carryover of luminescence to the succession of regenerative doses. A test for the reproducibility of the radiation-induced SAR ratio (L</w:t>
      </w:r>
      <w:r w:rsidRPr="0086228A">
        <w:rPr>
          <w:sz w:val="22"/>
          <w:szCs w:val="22"/>
          <w:vertAlign w:val="subscript"/>
        </w:rPr>
        <w:t>x</w:t>
      </w:r>
      <w:r w:rsidRPr="0086228A">
        <w:rPr>
          <w:sz w:val="22"/>
          <w:szCs w:val="22"/>
        </w:rPr>
        <w:t>/T</w:t>
      </w:r>
      <w:r w:rsidRPr="0086228A">
        <w:rPr>
          <w:sz w:val="22"/>
          <w:szCs w:val="22"/>
          <w:vertAlign w:val="subscript"/>
        </w:rPr>
        <w:t>x</w:t>
      </w:r>
      <w:r w:rsidRPr="0086228A">
        <w:rPr>
          <w:sz w:val="22"/>
          <w:szCs w:val="22"/>
        </w:rPr>
        <w:t>) was performed routinely by giving the same beta dose for the initial and the final regenerative dose, and evaluating the concordance of the SAR ratios, which should be within 10% (Murray and Wintle, 2003; Wintle and Murray, 2006).</w:t>
      </w:r>
    </w:p>
    <w:p w14:paraId="0D71C8F1" w14:textId="5BA76D33" w:rsidR="00E9665F" w:rsidRPr="0086228A" w:rsidRDefault="00E9665F" w:rsidP="00E9665F">
      <w:pPr>
        <w:shd w:val="clear" w:color="auto" w:fill="FFFFFF"/>
        <w:spacing w:line="480" w:lineRule="auto"/>
        <w:ind w:firstLine="360"/>
        <w:rPr>
          <w:color w:val="000000"/>
          <w:sz w:val="22"/>
          <w:szCs w:val="22"/>
        </w:rPr>
      </w:pPr>
      <w:r w:rsidRPr="0086228A">
        <w:rPr>
          <w:sz w:val="22"/>
          <w:szCs w:val="22"/>
        </w:rPr>
        <w:t xml:space="preserve">The SAR protocols were used to resolve </w:t>
      </w:r>
      <w:r w:rsidRPr="0086228A">
        <w:rPr>
          <w:i/>
          <w:iCs/>
          <w:sz w:val="22"/>
          <w:szCs w:val="22"/>
        </w:rPr>
        <w:t>D</w:t>
      </w:r>
      <w:r w:rsidRPr="0086228A">
        <w:rPr>
          <w:i/>
          <w:iCs/>
          <w:sz w:val="22"/>
          <w:szCs w:val="22"/>
          <w:vertAlign w:val="subscript"/>
        </w:rPr>
        <w:t>e</w:t>
      </w:r>
      <w:r w:rsidRPr="0086228A">
        <w:rPr>
          <w:sz w:val="22"/>
          <w:szCs w:val="22"/>
        </w:rPr>
        <w:t xml:space="preserve"> for </w:t>
      </w:r>
      <w:r w:rsidRPr="00566274">
        <w:rPr>
          <w:sz w:val="22"/>
          <w:szCs w:val="22"/>
        </w:rPr>
        <w:t>sixty-</w:t>
      </w:r>
      <w:r w:rsidR="00566274" w:rsidRPr="00566274">
        <w:rPr>
          <w:sz w:val="22"/>
          <w:szCs w:val="22"/>
        </w:rPr>
        <w:t>five</w:t>
      </w:r>
      <w:r w:rsidRPr="00566274">
        <w:rPr>
          <w:sz w:val="22"/>
          <w:szCs w:val="22"/>
        </w:rPr>
        <w:t xml:space="preserve"> quartz</w:t>
      </w:r>
      <w:r w:rsidRPr="0086228A">
        <w:rPr>
          <w:sz w:val="22"/>
          <w:szCs w:val="22"/>
        </w:rPr>
        <w:t xml:space="preserve"> extracts for eolian and fluvial sediment associated with the Red River (Table </w:t>
      </w:r>
      <w:r w:rsidR="00C93D32">
        <w:rPr>
          <w:sz w:val="22"/>
          <w:szCs w:val="22"/>
        </w:rPr>
        <w:t>A</w:t>
      </w:r>
      <w:r w:rsidRPr="0086228A">
        <w:rPr>
          <w:sz w:val="22"/>
          <w:szCs w:val="22"/>
        </w:rPr>
        <w:t>1</w:t>
      </w:r>
      <w:r w:rsidR="00C93D32">
        <w:rPr>
          <w:sz w:val="22"/>
          <w:szCs w:val="22"/>
        </w:rPr>
        <w:t>; Fig. A1</w:t>
      </w:r>
      <w:r w:rsidRPr="0086228A">
        <w:rPr>
          <w:sz w:val="22"/>
          <w:szCs w:val="22"/>
        </w:rPr>
        <w:t xml:space="preserve">). Aliquots were removed from analysis if the fast ratio was &lt; 15 (Durcan and Duller, 2011), the recycling ratio was outside of 0.90 to 1.10, the zero dose was &gt; 5% of the natural signal, if the infrared depletion ratio was &gt; 5%, or the error in </w:t>
      </w:r>
      <w:r w:rsidRPr="0086228A">
        <w:rPr>
          <w:i/>
          <w:iCs/>
          <w:sz w:val="22"/>
          <w:szCs w:val="22"/>
        </w:rPr>
        <w:t>D</w:t>
      </w:r>
      <w:r w:rsidRPr="0086228A">
        <w:rPr>
          <w:i/>
          <w:iCs/>
          <w:sz w:val="22"/>
          <w:szCs w:val="22"/>
          <w:vertAlign w:val="subscript"/>
        </w:rPr>
        <w:t>e</w:t>
      </w:r>
      <w:r w:rsidRPr="0086228A">
        <w:rPr>
          <w:sz w:val="22"/>
          <w:szCs w:val="22"/>
        </w:rPr>
        <w:t xml:space="preserve"> value was &gt;10% (Wintle and Murray, 2006). </w:t>
      </w:r>
      <w:r w:rsidRPr="0086228A">
        <w:rPr>
          <w:color w:val="000000"/>
          <w:sz w:val="22"/>
          <w:szCs w:val="22"/>
        </w:rPr>
        <w:t xml:space="preserve">Thus, </w:t>
      </w:r>
      <w:r w:rsidRPr="0086228A">
        <w:rPr>
          <w:sz w:val="22"/>
          <w:szCs w:val="22"/>
        </w:rPr>
        <w:t xml:space="preserve">the statistical significance of an </w:t>
      </w:r>
      <w:r w:rsidRPr="0086228A">
        <w:rPr>
          <w:i/>
          <w:iCs/>
          <w:sz w:val="22"/>
          <w:szCs w:val="22"/>
        </w:rPr>
        <w:t>D</w:t>
      </w:r>
      <w:r w:rsidRPr="0086228A">
        <w:rPr>
          <w:i/>
          <w:iCs/>
          <w:sz w:val="22"/>
          <w:szCs w:val="22"/>
          <w:vertAlign w:val="subscript"/>
        </w:rPr>
        <w:t>e</w:t>
      </w:r>
      <w:r w:rsidRPr="0086228A">
        <w:rPr>
          <w:sz w:val="22"/>
          <w:szCs w:val="22"/>
        </w:rPr>
        <w:t xml:space="preserve"> population was determined for 27 to 72 quartz aliquots (Table 1). </w:t>
      </w:r>
      <w:r w:rsidRPr="0086228A">
        <w:rPr>
          <w:color w:val="000000"/>
          <w:sz w:val="22"/>
          <w:szCs w:val="22"/>
        </w:rPr>
        <w:t xml:space="preserve">Error analysis for </w:t>
      </w:r>
      <w:r w:rsidRPr="0086228A">
        <w:rPr>
          <w:i/>
          <w:iCs/>
          <w:sz w:val="22"/>
          <w:szCs w:val="22"/>
        </w:rPr>
        <w:t>D</w:t>
      </w:r>
      <w:r w:rsidRPr="0086228A">
        <w:rPr>
          <w:i/>
          <w:iCs/>
          <w:sz w:val="22"/>
          <w:szCs w:val="22"/>
          <w:vertAlign w:val="subscript"/>
        </w:rPr>
        <w:t>e</w:t>
      </w:r>
      <w:r w:rsidRPr="0086228A">
        <w:rPr>
          <w:color w:val="000000"/>
          <w:sz w:val="22"/>
          <w:szCs w:val="22"/>
        </w:rPr>
        <w:t xml:space="preserve"> calculations for a quartz aliquot assumed a measurement error of 1% with 2000 Monte Carlo simulation repeats. </w:t>
      </w:r>
    </w:p>
    <w:p w14:paraId="6136725B" w14:textId="16E675EF" w:rsidR="00E9665F" w:rsidRPr="0086228A" w:rsidRDefault="00E9665F" w:rsidP="00E9665F">
      <w:pPr>
        <w:spacing w:line="480" w:lineRule="auto"/>
        <w:ind w:firstLine="360"/>
        <w:rPr>
          <w:color w:val="000000"/>
          <w:sz w:val="22"/>
          <w:szCs w:val="22"/>
        </w:rPr>
      </w:pPr>
      <w:r w:rsidRPr="0086228A">
        <w:rPr>
          <w:sz w:val="22"/>
          <w:szCs w:val="22"/>
        </w:rPr>
        <w:lastRenderedPageBreak/>
        <w:t xml:space="preserve">The </w:t>
      </w:r>
      <w:r w:rsidRPr="0086228A">
        <w:rPr>
          <w:i/>
          <w:iCs/>
          <w:sz w:val="22"/>
          <w:szCs w:val="22"/>
        </w:rPr>
        <w:t>D</w:t>
      </w:r>
      <w:r w:rsidRPr="0086228A">
        <w:rPr>
          <w:i/>
          <w:iCs/>
          <w:sz w:val="22"/>
          <w:szCs w:val="22"/>
          <w:vertAlign w:val="subscript"/>
        </w:rPr>
        <w:t>e</w:t>
      </w:r>
      <w:r w:rsidRPr="0086228A">
        <w:rPr>
          <w:sz w:val="22"/>
          <w:szCs w:val="22"/>
        </w:rPr>
        <w:t xml:space="preserve"> distributions were log normal and </w:t>
      </w:r>
      <w:r w:rsidRPr="00566274">
        <w:rPr>
          <w:sz w:val="22"/>
          <w:szCs w:val="22"/>
        </w:rPr>
        <w:t>over 90% samples showed D</w:t>
      </w:r>
      <w:r w:rsidRPr="00566274">
        <w:rPr>
          <w:sz w:val="22"/>
          <w:szCs w:val="22"/>
          <w:vertAlign w:val="subscript"/>
        </w:rPr>
        <w:t>e</w:t>
      </w:r>
      <w:r w:rsidRPr="00566274">
        <w:rPr>
          <w:sz w:val="22"/>
          <w:szCs w:val="22"/>
        </w:rPr>
        <w:t xml:space="preserve"> values with overdispersion values between 9 and 23%.  </w:t>
      </w:r>
      <w:r w:rsidRPr="00566274">
        <w:rPr>
          <w:color w:val="000000"/>
          <w:sz w:val="22"/>
          <w:szCs w:val="22"/>
        </w:rPr>
        <w:t>Overdispe</w:t>
      </w:r>
      <w:r w:rsidRPr="0086228A">
        <w:rPr>
          <w:color w:val="000000"/>
          <w:sz w:val="22"/>
          <w:szCs w:val="22"/>
        </w:rPr>
        <w:t xml:space="preserve">rsion values &lt; 20% are routinely assessed for quartz grains that are well solar reset, like aeolian sands </w:t>
      </w:r>
      <w:r w:rsidRPr="0086228A">
        <w:rPr>
          <w:noProof/>
          <w:color w:val="000000"/>
          <w:sz w:val="22"/>
          <w:szCs w:val="22"/>
        </w:rPr>
        <w:t>(e.g., Wright et al., 2011)</w:t>
      </w:r>
      <w:r w:rsidRPr="0086228A">
        <w:rPr>
          <w:color w:val="000000"/>
          <w:sz w:val="22"/>
          <w:szCs w:val="22"/>
        </w:rPr>
        <w:t xml:space="preserve"> and this value is considered a threshold metric for calculation of a D</w:t>
      </w:r>
      <w:r w:rsidRPr="0086228A">
        <w:rPr>
          <w:color w:val="000000"/>
          <w:sz w:val="22"/>
          <w:szCs w:val="22"/>
          <w:vertAlign w:val="subscript"/>
        </w:rPr>
        <w:t>e</w:t>
      </w:r>
      <w:r w:rsidRPr="0086228A">
        <w:rPr>
          <w:color w:val="000000"/>
          <w:sz w:val="22"/>
          <w:szCs w:val="22"/>
        </w:rPr>
        <w:t xml:space="preserve"> value using the central age model (Galbraith and Roberts, 2012). Overdispersion values &gt;20% may indicate mixing or grains of various ages or partial solar resetting of grains; the minimum age model (MAM; four parameters) may be an appropriate statistical treatment for such data</w:t>
      </w:r>
      <w:r w:rsidR="005A2896">
        <w:rPr>
          <w:color w:val="000000"/>
          <w:sz w:val="22"/>
          <w:szCs w:val="22"/>
        </w:rPr>
        <w:t xml:space="preserve"> (Fig. A1)</w:t>
      </w:r>
      <w:r w:rsidRPr="0086228A">
        <w:rPr>
          <w:color w:val="000000"/>
          <w:sz w:val="22"/>
          <w:szCs w:val="22"/>
        </w:rPr>
        <w:t>. However, overdispersion values between 20 and 32% may reflect a single D</w:t>
      </w:r>
      <w:r w:rsidRPr="0086228A">
        <w:rPr>
          <w:color w:val="000000"/>
          <w:sz w:val="22"/>
          <w:szCs w:val="22"/>
          <w:vertAlign w:val="subscript"/>
        </w:rPr>
        <w:t>e</w:t>
      </w:r>
      <w:r w:rsidRPr="0086228A">
        <w:rPr>
          <w:color w:val="000000"/>
          <w:sz w:val="22"/>
          <w:szCs w:val="22"/>
        </w:rPr>
        <w:t xml:space="preserve"> population, particularly if the D</w:t>
      </w:r>
      <w:r w:rsidRPr="0086228A">
        <w:rPr>
          <w:color w:val="000000"/>
          <w:sz w:val="22"/>
          <w:szCs w:val="22"/>
          <w:vertAlign w:val="subscript"/>
        </w:rPr>
        <w:t>e</w:t>
      </w:r>
      <w:r w:rsidRPr="0086228A">
        <w:rPr>
          <w:color w:val="000000"/>
          <w:sz w:val="22"/>
          <w:szCs w:val="22"/>
        </w:rPr>
        <w:t xml:space="preserve"> distribution is symmetrical, with the dispersion related to variability associated with micro-dosimetry and/or sedimentary processes </w:t>
      </w:r>
      <w:r w:rsidRPr="0086228A">
        <w:rPr>
          <w:noProof/>
          <w:color w:val="000000"/>
          <w:sz w:val="22"/>
          <w:szCs w:val="22"/>
        </w:rPr>
        <w:t>(e.g., Arnold &amp; Roberts, 2009)</w:t>
      </w:r>
      <w:r w:rsidRPr="0086228A">
        <w:rPr>
          <w:color w:val="000000"/>
          <w:sz w:val="22"/>
          <w:szCs w:val="22"/>
        </w:rPr>
        <w:t>. The MAM can effectively model the D</w:t>
      </w:r>
      <w:r w:rsidRPr="0086228A">
        <w:rPr>
          <w:color w:val="000000"/>
          <w:sz w:val="22"/>
          <w:szCs w:val="22"/>
          <w:vertAlign w:val="subscript"/>
        </w:rPr>
        <w:t>e</w:t>
      </w:r>
      <w:r w:rsidRPr="0086228A">
        <w:rPr>
          <w:color w:val="000000"/>
          <w:sz w:val="22"/>
          <w:szCs w:val="22"/>
        </w:rPr>
        <w:t xml:space="preserve"> components that are time dependent and inherited (Galbraith and Roberts, 2012), particularly using slice sampling statistics (Peng and Forman, 2019). </w:t>
      </w:r>
      <w:r w:rsidR="00566274" w:rsidRPr="002D1780">
        <w:rPr>
          <w:sz w:val="22"/>
          <w:szCs w:val="22"/>
        </w:rPr>
        <w:t>Note all OSL ages are in respect to corrections in beta source collaborations (Autzen et al., 2022).</w:t>
      </w:r>
      <w:r w:rsidR="00566274">
        <w:rPr>
          <w:sz w:val="22"/>
          <w:szCs w:val="22"/>
        </w:rPr>
        <w:t xml:space="preserve"> </w:t>
      </w:r>
      <w:r w:rsidR="00566274" w:rsidRPr="00AB575E">
        <w:rPr>
          <w:sz w:val="22"/>
          <w:szCs w:val="22"/>
        </w:rPr>
        <w:t xml:space="preserve"> </w:t>
      </w:r>
    </w:p>
    <w:p w14:paraId="00CDFEBB" w14:textId="77777777" w:rsidR="00E9665F" w:rsidRPr="0086228A" w:rsidRDefault="00E9665F" w:rsidP="00E9665F">
      <w:pPr>
        <w:spacing w:line="480" w:lineRule="auto"/>
        <w:ind w:firstLine="720"/>
        <w:rPr>
          <w:color w:val="000000"/>
          <w:sz w:val="22"/>
          <w:szCs w:val="22"/>
        </w:rPr>
      </w:pPr>
      <w:r w:rsidRPr="0086228A">
        <w:rPr>
          <w:color w:val="000000"/>
          <w:sz w:val="22"/>
          <w:szCs w:val="22"/>
        </w:rPr>
        <w:t>An assessment of the environmental dose rate (D</w:t>
      </w:r>
      <w:r w:rsidRPr="0086228A">
        <w:rPr>
          <w:color w:val="000000"/>
          <w:sz w:val="22"/>
          <w:szCs w:val="22"/>
          <w:vertAlign w:val="subscript"/>
        </w:rPr>
        <w:t>r</w:t>
      </w:r>
      <w:r w:rsidRPr="0086228A">
        <w:rPr>
          <w:color w:val="000000"/>
          <w:sz w:val="22"/>
          <w:szCs w:val="22"/>
        </w:rPr>
        <w:t>) for each sample is a required metric for calculating a luminescence age. The D</w:t>
      </w:r>
      <w:r w:rsidRPr="0086228A">
        <w:rPr>
          <w:color w:val="000000"/>
          <w:sz w:val="22"/>
          <w:szCs w:val="22"/>
          <w:vertAlign w:val="subscript"/>
        </w:rPr>
        <w:t>r</w:t>
      </w:r>
      <w:r w:rsidRPr="0086228A">
        <w:rPr>
          <w:color w:val="000000"/>
          <w:sz w:val="22"/>
          <w:szCs w:val="22"/>
        </w:rPr>
        <w:t xml:space="preserve"> is an estimate of exposure of quartz grains to ionizing radiation (α, β, and γ) from the decay of the U and Th series, </w:t>
      </w:r>
      <w:r w:rsidRPr="0086228A">
        <w:rPr>
          <w:color w:val="000000"/>
          <w:sz w:val="22"/>
          <w:szCs w:val="22"/>
          <w:vertAlign w:val="superscript"/>
        </w:rPr>
        <w:t>40</w:t>
      </w:r>
      <w:r w:rsidRPr="0086228A">
        <w:rPr>
          <w:color w:val="000000"/>
          <w:sz w:val="22"/>
          <w:szCs w:val="22"/>
        </w:rPr>
        <w:t>K, Rb, and cosmic sources during the burial period. The concentrations of these elements were determined on the bulk sediment by inductively coupled plasma mass spectrometry (</w:t>
      </w:r>
      <w:r w:rsidRPr="0086228A">
        <w:rPr>
          <w:sz w:val="22"/>
          <w:szCs w:val="22"/>
        </w:rPr>
        <w:t>ALS Laboratories, Reno, NV)</w:t>
      </w:r>
      <w:r w:rsidRPr="0086228A">
        <w:rPr>
          <w:color w:val="000000"/>
          <w:sz w:val="22"/>
          <w:szCs w:val="22"/>
        </w:rPr>
        <w:t xml:space="preserve">.  A cosmic ray component, considering location, elevation and depth of strata sampled was calculated which includes the soft component </w:t>
      </w:r>
      <w:r w:rsidRPr="0086228A">
        <w:rPr>
          <w:noProof/>
          <w:color w:val="000000"/>
          <w:sz w:val="22"/>
          <w:szCs w:val="22"/>
        </w:rPr>
        <w:t>(Prescott and Hutton, 1994; Liang and Forman, 2019)</w:t>
      </w:r>
      <w:r w:rsidRPr="0086228A">
        <w:rPr>
          <w:color w:val="000000"/>
          <w:sz w:val="22"/>
          <w:szCs w:val="22"/>
        </w:rPr>
        <w:t xml:space="preserve">. Moisture content (by weight) for the burial period was estimated from present values, sedimentology and in reference to field indicators on the height of the water table. </w:t>
      </w:r>
    </w:p>
    <w:p w14:paraId="79B1EE19" w14:textId="1E211579" w:rsidR="00E9665F" w:rsidRDefault="00E9665F" w:rsidP="00E9665F">
      <w:pPr>
        <w:spacing w:line="480" w:lineRule="auto"/>
        <w:ind w:right="360" w:firstLine="540"/>
        <w:rPr>
          <w:sz w:val="22"/>
          <w:szCs w:val="22"/>
        </w:rPr>
      </w:pPr>
      <w:r w:rsidRPr="0086228A">
        <w:rPr>
          <w:rFonts w:eastAsia="Calibri"/>
          <w:sz w:val="22"/>
          <w:szCs w:val="22"/>
        </w:rPr>
        <w:t>the Luminescence Dose and Age Calculation (LDAC) platform which unites D</w:t>
      </w:r>
      <w:r w:rsidRPr="0086228A">
        <w:rPr>
          <w:rFonts w:eastAsia="Calibri"/>
          <w:sz w:val="22"/>
          <w:szCs w:val="22"/>
          <w:vertAlign w:val="subscript"/>
        </w:rPr>
        <w:t>e</w:t>
      </w:r>
      <w:r w:rsidRPr="0086228A">
        <w:rPr>
          <w:rFonts w:eastAsia="Calibri"/>
          <w:sz w:val="22"/>
          <w:szCs w:val="22"/>
        </w:rPr>
        <w:t xml:space="preserve"> and D</w:t>
      </w:r>
      <w:r w:rsidRPr="0086228A">
        <w:rPr>
          <w:rFonts w:eastAsia="Calibri"/>
          <w:sz w:val="22"/>
          <w:szCs w:val="22"/>
          <w:vertAlign w:val="subscript"/>
        </w:rPr>
        <w:t>r</w:t>
      </w:r>
      <w:r w:rsidRPr="0086228A">
        <w:rPr>
          <w:rFonts w:eastAsia="Calibri"/>
          <w:sz w:val="22"/>
          <w:szCs w:val="22"/>
        </w:rPr>
        <w:t xml:space="preserve"> calculations, resolves a final OSL age with appropriate statistical and error analyses (Liang and Forman, 2019). </w:t>
      </w:r>
      <w:r w:rsidRPr="0086228A">
        <w:rPr>
          <w:sz w:val="22"/>
          <w:szCs w:val="22"/>
        </w:rPr>
        <w:t>The datum year for all OSL ages is AD 2010.</w:t>
      </w:r>
    </w:p>
    <w:tbl>
      <w:tblPr>
        <w:tblW w:w="4033" w:type="dxa"/>
        <w:tblLook w:val="04A0" w:firstRow="1" w:lastRow="0" w:firstColumn="1" w:lastColumn="0" w:noHBand="0" w:noVBand="1"/>
      </w:tblPr>
      <w:tblGrid>
        <w:gridCol w:w="382"/>
        <w:gridCol w:w="2356"/>
        <w:gridCol w:w="1295"/>
      </w:tblGrid>
      <w:tr w:rsidR="006E08AF" w:rsidRPr="00C501D8" w14:paraId="1C9981C1" w14:textId="77777777" w:rsidTr="005726C4">
        <w:trPr>
          <w:trHeight w:val="574"/>
        </w:trPr>
        <w:tc>
          <w:tcPr>
            <w:tcW w:w="40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0CA818" w14:textId="1F85A2DE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 xml:space="preserve">Table </w:t>
            </w:r>
            <w:r w:rsidR="00C93D32">
              <w:rPr>
                <w:color w:val="000000"/>
              </w:rPr>
              <w:t>A</w:t>
            </w:r>
            <w:r w:rsidRPr="00C501D8">
              <w:rPr>
                <w:color w:val="000000"/>
              </w:rPr>
              <w:t>1. Single Aliquot Regeneration protocols for OSL dating (SAR</w:t>
            </w:r>
            <w:r>
              <w:rPr>
                <w:color w:val="000000"/>
              </w:rPr>
              <w:t>-OSL</w:t>
            </w:r>
            <w:r w:rsidRPr="00C501D8">
              <w:rPr>
                <w:color w:val="000000"/>
              </w:rPr>
              <w:t>)</w:t>
            </w:r>
          </w:p>
        </w:tc>
      </w:tr>
      <w:tr w:rsidR="006E08AF" w:rsidRPr="00C501D8" w14:paraId="37A1A9DE" w14:textId="77777777" w:rsidTr="005726C4">
        <w:trPr>
          <w:trHeight w:val="615"/>
        </w:trPr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138535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EA0FA8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Steps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676BDC" w14:textId="77777777" w:rsidR="006E08AF" w:rsidRPr="00C501D8" w:rsidRDefault="006E08AF" w:rsidP="005726C4">
            <w:pPr>
              <w:jc w:val="center"/>
              <w:rPr>
                <w:color w:val="000000"/>
              </w:rPr>
            </w:pPr>
            <w:r w:rsidRPr="00C501D8">
              <w:rPr>
                <w:color w:val="000000"/>
              </w:rPr>
              <w:t>Time (seconds)</w:t>
            </w:r>
          </w:p>
        </w:tc>
      </w:tr>
      <w:tr w:rsidR="006E08AF" w:rsidRPr="00C501D8" w14:paraId="7986ACF2" w14:textId="77777777" w:rsidTr="005726C4">
        <w:trPr>
          <w:trHeight w:val="286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E8669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lastRenderedPageBreak/>
              <w:t>1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73F09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Dose (β)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A34C1" w14:textId="77777777" w:rsidR="006E08AF" w:rsidRPr="00C501D8" w:rsidRDefault="006E08AF" w:rsidP="005726C4">
            <w:pPr>
              <w:jc w:val="center"/>
              <w:rPr>
                <w:color w:val="000000"/>
              </w:rPr>
            </w:pPr>
            <w:r w:rsidRPr="00C501D8">
              <w:rPr>
                <w:color w:val="000000"/>
              </w:rPr>
              <w:t>-</w:t>
            </w:r>
          </w:p>
        </w:tc>
      </w:tr>
      <w:tr w:rsidR="006E08AF" w:rsidRPr="00C501D8" w14:paraId="03D4B599" w14:textId="77777777" w:rsidTr="005726C4">
        <w:trPr>
          <w:trHeight w:val="300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5C224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2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5AD3A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Preheat (160-300)</w:t>
            </w:r>
            <w:r>
              <w:rPr>
                <w:color w:val="000000"/>
              </w:rPr>
              <w:t xml:space="preserve"> </w:t>
            </w:r>
            <w:r w:rsidRPr="00C501D8">
              <w:rPr>
                <w:color w:val="000000"/>
              </w:rPr>
              <w:t>°C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37537" w14:textId="77777777" w:rsidR="006E08AF" w:rsidRPr="00C501D8" w:rsidRDefault="006E08AF" w:rsidP="005726C4">
            <w:pPr>
              <w:jc w:val="center"/>
              <w:rPr>
                <w:color w:val="000000"/>
              </w:rPr>
            </w:pPr>
            <w:r w:rsidRPr="00C501D8">
              <w:rPr>
                <w:color w:val="000000"/>
              </w:rPr>
              <w:t>10</w:t>
            </w:r>
          </w:p>
        </w:tc>
      </w:tr>
      <w:tr w:rsidR="006E08AF" w:rsidRPr="00C501D8" w14:paraId="7230EE0A" w14:textId="77777777" w:rsidTr="005726C4">
        <w:trPr>
          <w:trHeight w:val="300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75061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3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349A4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OSL 125°C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CFF75" w14:textId="77777777" w:rsidR="006E08AF" w:rsidRPr="00C501D8" w:rsidRDefault="006E08AF" w:rsidP="005726C4">
            <w:pPr>
              <w:jc w:val="center"/>
              <w:rPr>
                <w:color w:val="000000"/>
              </w:rPr>
            </w:pPr>
            <w:r w:rsidRPr="00C501D8">
              <w:rPr>
                <w:color w:val="000000"/>
              </w:rPr>
              <w:t>40</w:t>
            </w:r>
          </w:p>
        </w:tc>
      </w:tr>
      <w:tr w:rsidR="006E08AF" w:rsidRPr="00C501D8" w14:paraId="0B60D9D4" w14:textId="77777777" w:rsidTr="005726C4">
        <w:trPr>
          <w:trHeight w:val="300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8DADC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4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1130B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Test Dose (β)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48721" w14:textId="77777777" w:rsidR="006E08AF" w:rsidRPr="00C501D8" w:rsidRDefault="006E08AF" w:rsidP="005726C4">
            <w:pPr>
              <w:jc w:val="center"/>
              <w:rPr>
                <w:color w:val="000000"/>
              </w:rPr>
            </w:pPr>
            <w:r w:rsidRPr="00C501D8">
              <w:rPr>
                <w:color w:val="000000"/>
              </w:rPr>
              <w:t>-</w:t>
            </w:r>
          </w:p>
        </w:tc>
      </w:tr>
      <w:tr w:rsidR="006E08AF" w:rsidRPr="00C501D8" w14:paraId="0E74A48A" w14:textId="77777777" w:rsidTr="005726C4">
        <w:trPr>
          <w:trHeight w:val="300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14F84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5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448F4" w14:textId="77777777" w:rsidR="006E08AF" w:rsidRPr="00C501D8" w:rsidRDefault="006E08AF" w:rsidP="005726C4">
            <w:pPr>
              <w:ind w:right="-157"/>
              <w:rPr>
                <w:color w:val="000000"/>
              </w:rPr>
            </w:pPr>
            <w:r w:rsidRPr="00C501D8">
              <w:rPr>
                <w:color w:val="000000"/>
              </w:rPr>
              <w:t>Cut Heat (160-220)</w:t>
            </w:r>
            <w:r>
              <w:rPr>
                <w:color w:val="000000"/>
              </w:rPr>
              <w:t xml:space="preserve"> </w:t>
            </w:r>
            <w:r w:rsidRPr="00C501D8">
              <w:rPr>
                <w:color w:val="000000"/>
              </w:rPr>
              <w:t>°C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F95DA" w14:textId="77777777" w:rsidR="006E08AF" w:rsidRPr="00C501D8" w:rsidRDefault="006E08AF" w:rsidP="005726C4">
            <w:pPr>
              <w:jc w:val="center"/>
              <w:rPr>
                <w:color w:val="000000"/>
              </w:rPr>
            </w:pPr>
            <w:r w:rsidRPr="00C501D8">
              <w:rPr>
                <w:color w:val="000000"/>
              </w:rPr>
              <w:t>10</w:t>
            </w:r>
          </w:p>
        </w:tc>
      </w:tr>
      <w:tr w:rsidR="006E08AF" w:rsidRPr="00C501D8" w14:paraId="756CA7AA" w14:textId="77777777" w:rsidTr="005726C4">
        <w:trPr>
          <w:trHeight w:val="300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8FB88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6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64921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OSL 125°C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03DB8" w14:textId="77777777" w:rsidR="006E08AF" w:rsidRPr="00C501D8" w:rsidRDefault="006E08AF" w:rsidP="005726C4">
            <w:pPr>
              <w:jc w:val="center"/>
              <w:rPr>
                <w:color w:val="000000"/>
              </w:rPr>
            </w:pPr>
            <w:r w:rsidRPr="00C501D8">
              <w:rPr>
                <w:color w:val="000000"/>
              </w:rPr>
              <w:t>40</w:t>
            </w:r>
          </w:p>
        </w:tc>
      </w:tr>
      <w:tr w:rsidR="006E08AF" w:rsidRPr="00C501D8" w14:paraId="36EAA7E9" w14:textId="77777777" w:rsidTr="005726C4">
        <w:trPr>
          <w:trHeight w:val="300"/>
        </w:trPr>
        <w:tc>
          <w:tcPr>
            <w:tcW w:w="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690D35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7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2C8C30" w14:textId="77777777" w:rsidR="006E08AF" w:rsidRPr="00C501D8" w:rsidRDefault="006E08AF" w:rsidP="005726C4">
            <w:pPr>
              <w:rPr>
                <w:color w:val="000000"/>
              </w:rPr>
            </w:pPr>
            <w:r w:rsidRPr="00C501D8">
              <w:rPr>
                <w:color w:val="000000"/>
              </w:rPr>
              <w:t>Annealing 260°C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0AD06D" w14:textId="77777777" w:rsidR="006E08AF" w:rsidRPr="00C501D8" w:rsidRDefault="006E08AF" w:rsidP="005726C4">
            <w:pPr>
              <w:jc w:val="center"/>
              <w:rPr>
                <w:color w:val="000000"/>
              </w:rPr>
            </w:pPr>
            <w:r w:rsidRPr="00C501D8">
              <w:rPr>
                <w:color w:val="000000"/>
              </w:rPr>
              <w:t>40</w:t>
            </w:r>
          </w:p>
        </w:tc>
      </w:tr>
    </w:tbl>
    <w:p w14:paraId="633865F7" w14:textId="77777777" w:rsidR="006E08AF" w:rsidRDefault="006E08AF" w:rsidP="006E08AF"/>
    <w:p w14:paraId="76418EB5" w14:textId="77777777" w:rsidR="006E08AF" w:rsidRPr="0086228A" w:rsidRDefault="006E08AF" w:rsidP="00E9665F">
      <w:pPr>
        <w:spacing w:line="480" w:lineRule="auto"/>
        <w:ind w:right="360" w:firstLine="540"/>
        <w:rPr>
          <w:sz w:val="22"/>
          <w:szCs w:val="22"/>
        </w:rPr>
      </w:pPr>
    </w:p>
    <w:p w14:paraId="1FA49A2F" w14:textId="0BA193A8" w:rsidR="00C93D32" w:rsidRPr="00B272EC" w:rsidRDefault="005A2896" w:rsidP="00C93D32">
      <w:pPr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60621DD" wp14:editId="2B42115C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3389397" cy="5628005"/>
            <wp:effectExtent l="0" t="0" r="1905" b="0"/>
            <wp:wrapTight wrapText="bothSides">
              <wp:wrapPolygon edited="0">
                <wp:start x="0" y="0"/>
                <wp:lineTo x="0" y="21495"/>
                <wp:lineTo x="21491" y="21495"/>
                <wp:lineTo x="21491" y="0"/>
                <wp:lineTo x="0" y="0"/>
              </wp:wrapPolygon>
            </wp:wrapTight>
            <wp:docPr id="1" name="Picture 1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engineering drawing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9397" cy="5628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3D32" w:rsidRPr="00C93D32">
        <w:t>Fig. A1</w:t>
      </w:r>
      <w:r w:rsidR="00C93D32" w:rsidRPr="00B272EC">
        <w:rPr>
          <w:sz w:val="22"/>
          <w:szCs w:val="22"/>
        </w:rPr>
        <w:t>. (a) OSL regenerative growth curves for quartz grains for samples BG4</w:t>
      </w:r>
      <w:r w:rsidR="00C93D32">
        <w:rPr>
          <w:sz w:val="22"/>
          <w:szCs w:val="22"/>
        </w:rPr>
        <w:t>795</w:t>
      </w:r>
      <w:r w:rsidR="00C93D32" w:rsidRPr="00B272EC">
        <w:rPr>
          <w:sz w:val="22"/>
          <w:szCs w:val="22"/>
        </w:rPr>
        <w:t>, BG4</w:t>
      </w:r>
      <w:r w:rsidR="00C93D32">
        <w:rPr>
          <w:sz w:val="22"/>
          <w:szCs w:val="22"/>
        </w:rPr>
        <w:t>9</w:t>
      </w:r>
      <w:r w:rsidR="00C93D32" w:rsidRPr="00B272EC">
        <w:rPr>
          <w:sz w:val="22"/>
          <w:szCs w:val="22"/>
        </w:rPr>
        <w:t>8</w:t>
      </w:r>
      <w:r w:rsidR="00C93D32">
        <w:rPr>
          <w:sz w:val="22"/>
          <w:szCs w:val="22"/>
        </w:rPr>
        <w:t>2</w:t>
      </w:r>
      <w:r w:rsidR="00C93D32" w:rsidRPr="00B272EC">
        <w:rPr>
          <w:sz w:val="22"/>
          <w:szCs w:val="22"/>
        </w:rPr>
        <w:t>, BG4</w:t>
      </w:r>
      <w:r w:rsidR="00C93D32">
        <w:rPr>
          <w:sz w:val="22"/>
          <w:szCs w:val="22"/>
        </w:rPr>
        <w:t>79</w:t>
      </w:r>
      <w:r w:rsidR="00C93D32" w:rsidRPr="00B272EC">
        <w:rPr>
          <w:sz w:val="22"/>
          <w:szCs w:val="22"/>
        </w:rPr>
        <w:t>7 and BG4</w:t>
      </w:r>
      <w:r w:rsidR="00C93D32">
        <w:rPr>
          <w:sz w:val="22"/>
          <w:szCs w:val="22"/>
        </w:rPr>
        <w:t>804</w:t>
      </w:r>
      <w:r w:rsidR="00C93D32" w:rsidRPr="00B272EC">
        <w:rPr>
          <w:sz w:val="22"/>
          <w:szCs w:val="22"/>
        </w:rPr>
        <w:t xml:space="preserve"> with inset figure showing representative shine-down curve for a natural emission. (b) Radial plots of equivalent dose (D</w:t>
      </w:r>
      <w:r w:rsidR="00C93D32" w:rsidRPr="00B272EC">
        <w:rPr>
          <w:i/>
          <w:iCs/>
          <w:sz w:val="22"/>
          <w:szCs w:val="22"/>
          <w:vertAlign w:val="subscript"/>
        </w:rPr>
        <w:t>e</w:t>
      </w:r>
      <w:r w:rsidR="00C93D32" w:rsidRPr="00B272EC">
        <w:rPr>
          <w:sz w:val="22"/>
          <w:szCs w:val="22"/>
        </w:rPr>
        <w:t xml:space="preserve">) values for aliquots. Shown is the </w:t>
      </w:r>
      <w:proofErr w:type="gramStart"/>
      <w:r w:rsidR="00C93D32" w:rsidRPr="00B272EC">
        <w:rPr>
          <w:sz w:val="22"/>
          <w:szCs w:val="22"/>
        </w:rPr>
        <w:t>two sigma</w:t>
      </w:r>
      <w:proofErr w:type="gramEnd"/>
      <w:r w:rsidR="00C93D32" w:rsidRPr="00B272EC">
        <w:rPr>
          <w:sz w:val="22"/>
          <w:szCs w:val="22"/>
        </w:rPr>
        <w:t xml:space="preserve"> </w:t>
      </w:r>
      <w:r w:rsidR="00BA2BEC">
        <w:rPr>
          <w:sz w:val="22"/>
          <w:szCs w:val="22"/>
        </w:rPr>
        <w:t xml:space="preserve">standard error for </w:t>
      </w:r>
      <w:r w:rsidR="00C93D32" w:rsidRPr="00B272EC">
        <w:rPr>
          <w:sz w:val="22"/>
          <w:szCs w:val="22"/>
        </w:rPr>
        <w:t>D</w:t>
      </w:r>
      <w:r w:rsidR="00C93D32" w:rsidRPr="00B272EC">
        <w:rPr>
          <w:i/>
          <w:iCs/>
          <w:sz w:val="22"/>
          <w:szCs w:val="22"/>
          <w:vertAlign w:val="subscript"/>
        </w:rPr>
        <w:t>e</w:t>
      </w:r>
      <w:r w:rsidR="00C93D32" w:rsidRPr="00B272EC">
        <w:rPr>
          <w:sz w:val="22"/>
          <w:szCs w:val="22"/>
        </w:rPr>
        <w:t xml:space="preserve"> </w:t>
      </w:r>
      <w:r w:rsidR="00BA2BEC">
        <w:rPr>
          <w:sz w:val="22"/>
          <w:szCs w:val="22"/>
        </w:rPr>
        <w:t>from Peng and Forman computation (2019).</w:t>
      </w:r>
    </w:p>
    <w:p w14:paraId="0B775E86" w14:textId="62F37700" w:rsidR="00C93D32" w:rsidRDefault="00C93D32"/>
    <w:p w14:paraId="31291AE9" w14:textId="10FA234E" w:rsidR="00C93D32" w:rsidRDefault="00C93D32"/>
    <w:p w14:paraId="672925D3" w14:textId="309CFC3A" w:rsidR="00C93D32" w:rsidRDefault="00C93D32"/>
    <w:p w14:paraId="1184F81E" w14:textId="352F4F78" w:rsidR="00C93D32" w:rsidRDefault="00C93D32"/>
    <w:p w14:paraId="73088DC0" w14:textId="77777777" w:rsidR="00C93D32" w:rsidRPr="00C93D32" w:rsidRDefault="00C93D32"/>
    <w:p w14:paraId="506BB9AA" w14:textId="77777777" w:rsidR="00C93D32" w:rsidRDefault="00C93D32">
      <w:pPr>
        <w:rPr>
          <w:u w:val="single"/>
        </w:rPr>
      </w:pPr>
    </w:p>
    <w:p w14:paraId="5B040D55" w14:textId="77777777" w:rsidR="00C93D32" w:rsidRDefault="00C93D32">
      <w:pPr>
        <w:rPr>
          <w:u w:val="single"/>
        </w:rPr>
      </w:pPr>
    </w:p>
    <w:p w14:paraId="66B5B50E" w14:textId="77777777" w:rsidR="00C93D32" w:rsidRDefault="00C93D32">
      <w:pPr>
        <w:rPr>
          <w:u w:val="single"/>
        </w:rPr>
      </w:pPr>
    </w:p>
    <w:p w14:paraId="03487E0D" w14:textId="77777777" w:rsidR="00C93D32" w:rsidRDefault="00C93D32">
      <w:pPr>
        <w:rPr>
          <w:u w:val="single"/>
        </w:rPr>
      </w:pPr>
    </w:p>
    <w:p w14:paraId="3657D993" w14:textId="77777777" w:rsidR="00C93D32" w:rsidRDefault="00C93D32">
      <w:pPr>
        <w:rPr>
          <w:u w:val="single"/>
        </w:rPr>
      </w:pPr>
    </w:p>
    <w:p w14:paraId="0FACCD57" w14:textId="77777777" w:rsidR="00C93D32" w:rsidRDefault="00C93D32">
      <w:pPr>
        <w:rPr>
          <w:u w:val="single"/>
        </w:rPr>
      </w:pPr>
    </w:p>
    <w:p w14:paraId="19D6DCCE" w14:textId="77777777" w:rsidR="00C93D32" w:rsidRDefault="00C93D32">
      <w:pPr>
        <w:rPr>
          <w:u w:val="single"/>
        </w:rPr>
      </w:pPr>
    </w:p>
    <w:p w14:paraId="00F98641" w14:textId="77777777" w:rsidR="00C93D32" w:rsidRDefault="00C93D32">
      <w:pPr>
        <w:rPr>
          <w:u w:val="single"/>
        </w:rPr>
      </w:pPr>
    </w:p>
    <w:p w14:paraId="3C9649E0" w14:textId="77777777" w:rsidR="00C93D32" w:rsidRDefault="00C93D32">
      <w:pPr>
        <w:rPr>
          <w:u w:val="single"/>
        </w:rPr>
      </w:pPr>
    </w:p>
    <w:p w14:paraId="59B896AC" w14:textId="77777777" w:rsidR="00C93D32" w:rsidRDefault="00C93D32">
      <w:pPr>
        <w:rPr>
          <w:u w:val="single"/>
        </w:rPr>
      </w:pPr>
    </w:p>
    <w:p w14:paraId="572E2095" w14:textId="77777777" w:rsidR="00C93D32" w:rsidRDefault="00C93D32">
      <w:pPr>
        <w:rPr>
          <w:u w:val="single"/>
        </w:rPr>
      </w:pPr>
    </w:p>
    <w:p w14:paraId="10563694" w14:textId="77777777" w:rsidR="00C93D32" w:rsidRDefault="00C93D32">
      <w:pPr>
        <w:rPr>
          <w:u w:val="single"/>
        </w:rPr>
      </w:pPr>
    </w:p>
    <w:p w14:paraId="30FEA6F5" w14:textId="77777777" w:rsidR="00BA2BEC" w:rsidRDefault="00BA2BEC">
      <w:pPr>
        <w:rPr>
          <w:u w:val="single"/>
        </w:rPr>
      </w:pPr>
    </w:p>
    <w:p w14:paraId="29913BB4" w14:textId="77777777" w:rsidR="00BA2BEC" w:rsidRDefault="00BA2BEC">
      <w:pPr>
        <w:rPr>
          <w:u w:val="single"/>
        </w:rPr>
      </w:pPr>
    </w:p>
    <w:p w14:paraId="4033DD1A" w14:textId="77777777" w:rsidR="00BA2BEC" w:rsidRDefault="00BA2BEC">
      <w:pPr>
        <w:rPr>
          <w:u w:val="single"/>
        </w:rPr>
      </w:pPr>
    </w:p>
    <w:p w14:paraId="7FFEA5FE" w14:textId="77777777" w:rsidR="00BA2BEC" w:rsidRDefault="00BA2BEC">
      <w:pPr>
        <w:rPr>
          <w:u w:val="single"/>
        </w:rPr>
      </w:pPr>
    </w:p>
    <w:p w14:paraId="2B481195" w14:textId="77777777" w:rsidR="00BA2BEC" w:rsidRDefault="00BA2BEC">
      <w:pPr>
        <w:rPr>
          <w:u w:val="single"/>
        </w:rPr>
      </w:pPr>
    </w:p>
    <w:p w14:paraId="0D3FDF7D" w14:textId="77777777" w:rsidR="00BA2BEC" w:rsidRDefault="00BA2BEC">
      <w:pPr>
        <w:rPr>
          <w:u w:val="single"/>
        </w:rPr>
      </w:pPr>
    </w:p>
    <w:p w14:paraId="62134331" w14:textId="06D750B5" w:rsidR="005A2896" w:rsidRPr="00BA2BEC" w:rsidRDefault="005A2896" w:rsidP="00BA2BEC">
      <w:pPr>
        <w:spacing w:line="480" w:lineRule="auto"/>
        <w:ind w:left="288" w:hanging="288"/>
        <w:contextualSpacing/>
        <w:rPr>
          <w:u w:val="single"/>
        </w:rPr>
      </w:pPr>
      <w:r w:rsidRPr="00BA2BEC">
        <w:rPr>
          <w:u w:val="single"/>
        </w:rPr>
        <w:t>References</w:t>
      </w:r>
    </w:p>
    <w:p w14:paraId="738ADD95" w14:textId="77777777" w:rsidR="00C93D32" w:rsidRPr="00BA2BEC" w:rsidRDefault="00C93D32" w:rsidP="00BA2BEC">
      <w:pPr>
        <w:autoSpaceDE w:val="0"/>
        <w:autoSpaceDN w:val="0"/>
        <w:adjustRightInd w:val="0"/>
        <w:spacing w:line="480" w:lineRule="auto"/>
        <w:ind w:left="288" w:hanging="288"/>
        <w:contextualSpacing/>
        <w:rPr>
          <w:rFonts w:eastAsiaTheme="minorHAnsi"/>
          <w:lang w:eastAsia="en-US"/>
        </w:rPr>
      </w:pPr>
      <w:r w:rsidRPr="00BA2BEC">
        <w:rPr>
          <w:rFonts w:eastAsiaTheme="minorHAnsi"/>
          <w:lang w:eastAsia="en-US"/>
        </w:rPr>
        <w:lastRenderedPageBreak/>
        <w:t xml:space="preserve">Arnold, L.J., Roberts, R.G., 2009. Stochastic modelling of multi-grain equivalent dose (D-e) distributions: Implications for OSL dating of sediment mixtures. </w:t>
      </w:r>
      <w:r w:rsidRPr="00BA2BEC">
        <w:rPr>
          <w:rFonts w:eastAsiaTheme="minorHAnsi"/>
          <w:i/>
          <w:iCs/>
          <w:lang w:eastAsia="en-US"/>
        </w:rPr>
        <w:t>Quaternary Geochronology</w:t>
      </w:r>
      <w:r w:rsidRPr="00BA2BEC">
        <w:rPr>
          <w:rFonts w:eastAsiaTheme="minorHAnsi"/>
          <w:lang w:eastAsia="en-US"/>
        </w:rPr>
        <w:t xml:space="preserve"> 4, 204-230.</w:t>
      </w:r>
    </w:p>
    <w:p w14:paraId="267AED25" w14:textId="77777777" w:rsidR="005A2896" w:rsidRPr="00BA2BEC" w:rsidRDefault="005A2896" w:rsidP="00BA2BEC">
      <w:pPr>
        <w:autoSpaceDE w:val="0"/>
        <w:autoSpaceDN w:val="0"/>
        <w:adjustRightInd w:val="0"/>
        <w:spacing w:line="480" w:lineRule="auto"/>
        <w:ind w:left="288" w:hanging="288"/>
        <w:contextualSpacing/>
        <w:rPr>
          <w:rFonts w:eastAsia="SimSun"/>
        </w:rPr>
      </w:pPr>
      <w:r w:rsidRPr="00BA2BEC">
        <w:rPr>
          <w:rFonts w:eastAsia="SimSun"/>
        </w:rPr>
        <w:t xml:space="preserve">Autzen, M., Andersen, C.E., Bailey, M. Murray, A.S., 2022. Calibration quartz: An update on dose calculations for luminescence dating. </w:t>
      </w:r>
      <w:r w:rsidRPr="00BA2BEC">
        <w:rPr>
          <w:rFonts w:eastAsia="SimSun"/>
          <w:i/>
          <w:iCs/>
        </w:rPr>
        <w:t>Radiation Measurements</w:t>
      </w:r>
      <w:r w:rsidRPr="00BA2BEC">
        <w:rPr>
          <w:rFonts w:eastAsia="SimSun"/>
        </w:rPr>
        <w:t xml:space="preserve"> 157, 106828.</w:t>
      </w:r>
    </w:p>
    <w:p w14:paraId="0360C86B" w14:textId="77F8B107" w:rsidR="005A2896" w:rsidRPr="00BA2BEC" w:rsidRDefault="005A2896" w:rsidP="00BA2BEC">
      <w:pPr>
        <w:autoSpaceDE w:val="0"/>
        <w:autoSpaceDN w:val="0"/>
        <w:adjustRightInd w:val="0"/>
        <w:spacing w:line="480" w:lineRule="auto"/>
        <w:ind w:left="288" w:hanging="288"/>
        <w:contextualSpacing/>
        <w:rPr>
          <w:rFonts w:eastAsiaTheme="minorHAnsi"/>
        </w:rPr>
      </w:pPr>
      <w:r w:rsidRPr="00BA2BEC">
        <w:rPr>
          <w:rFonts w:eastAsiaTheme="minorHAnsi"/>
        </w:rPr>
        <w:t xml:space="preserve">Durcan, J.A., Duller, G.A.T., 2011. The fast ratio: A rapid measure for testing the dominance of the fast component in the initial OSL signal from quartz. </w:t>
      </w:r>
      <w:r w:rsidR="00BA2BEC" w:rsidRPr="00BA2BEC">
        <w:rPr>
          <w:rFonts w:eastAsia="SimSun"/>
          <w:i/>
          <w:iCs/>
        </w:rPr>
        <w:t>Radiation Measurements</w:t>
      </w:r>
      <w:r w:rsidRPr="00BA2BEC">
        <w:rPr>
          <w:rFonts w:eastAsiaTheme="minorHAnsi"/>
        </w:rPr>
        <w:t xml:space="preserve"> 46, 1065-1072.</w:t>
      </w:r>
    </w:p>
    <w:p w14:paraId="32F56B51" w14:textId="29ACFB3A" w:rsidR="005A2896" w:rsidRPr="00BA2BEC" w:rsidRDefault="005A2896" w:rsidP="00BA2BEC">
      <w:pPr>
        <w:spacing w:line="480" w:lineRule="auto"/>
        <w:ind w:left="288" w:hanging="288"/>
        <w:contextualSpacing/>
        <w:mirrorIndents/>
      </w:pPr>
      <w:r w:rsidRPr="00BA2BEC">
        <w:t xml:space="preserve">Fain, J., </w:t>
      </w:r>
      <w:proofErr w:type="spellStart"/>
      <w:r w:rsidRPr="00BA2BEC">
        <w:t>Soumana</w:t>
      </w:r>
      <w:proofErr w:type="spellEnd"/>
      <w:r w:rsidRPr="00BA2BEC">
        <w:t xml:space="preserve">, S., </w:t>
      </w:r>
      <w:proofErr w:type="spellStart"/>
      <w:r w:rsidRPr="00BA2BEC">
        <w:t>Montret</w:t>
      </w:r>
      <w:proofErr w:type="spellEnd"/>
      <w:r w:rsidRPr="00BA2BEC">
        <w:t xml:space="preserve">, M., </w:t>
      </w:r>
      <w:proofErr w:type="spellStart"/>
      <w:r w:rsidRPr="00BA2BEC">
        <w:t>Miallier</w:t>
      </w:r>
      <w:proofErr w:type="spellEnd"/>
      <w:r w:rsidRPr="00BA2BEC">
        <w:t xml:space="preserve">, D., </w:t>
      </w:r>
      <w:proofErr w:type="spellStart"/>
      <w:r w:rsidRPr="00BA2BEC">
        <w:t>Pilleyre</w:t>
      </w:r>
      <w:proofErr w:type="spellEnd"/>
      <w:r w:rsidRPr="00BA2BEC">
        <w:t xml:space="preserve">, T., </w:t>
      </w:r>
      <w:proofErr w:type="spellStart"/>
      <w:r w:rsidRPr="00BA2BEC">
        <w:t>Sanzelle</w:t>
      </w:r>
      <w:proofErr w:type="spellEnd"/>
      <w:r w:rsidRPr="00BA2BEC">
        <w:t xml:space="preserve">, S., 1999. Luminescence and ESR dating-Beta-dose attenuation for various grain shapes calculated by a Monte-Carlo method. </w:t>
      </w:r>
      <w:r w:rsidRPr="00BA2BEC">
        <w:rPr>
          <w:i/>
          <w:iCs/>
        </w:rPr>
        <w:t>Quat. Sci. Rev.</w:t>
      </w:r>
      <w:r w:rsidRPr="00BA2BEC">
        <w:t xml:space="preserve"> 18, 231-234.</w:t>
      </w:r>
    </w:p>
    <w:p w14:paraId="56AC3780" w14:textId="77777777" w:rsidR="00C93D32" w:rsidRPr="00BA2BEC" w:rsidRDefault="00C93D32" w:rsidP="00BA2BEC">
      <w:pPr>
        <w:autoSpaceDE w:val="0"/>
        <w:autoSpaceDN w:val="0"/>
        <w:adjustRightInd w:val="0"/>
        <w:spacing w:line="480" w:lineRule="auto"/>
        <w:ind w:left="288" w:hanging="288"/>
        <w:contextualSpacing/>
        <w:rPr>
          <w:rFonts w:eastAsiaTheme="minorHAnsi"/>
          <w:lang w:eastAsia="en-US"/>
        </w:rPr>
      </w:pPr>
      <w:r w:rsidRPr="00BA2BEC">
        <w:rPr>
          <w:rFonts w:eastAsiaTheme="minorHAnsi"/>
          <w:lang w:eastAsia="en-US"/>
        </w:rPr>
        <w:t xml:space="preserve">Galbraith, R.F., Roberts, R.G., 2012. Statistical aspects of equivalent dose and error calculation and display in OSL dating: An overview and some recommendations. </w:t>
      </w:r>
      <w:r w:rsidRPr="00BA2BEC">
        <w:rPr>
          <w:rFonts w:eastAsiaTheme="minorHAnsi"/>
          <w:i/>
          <w:iCs/>
          <w:lang w:eastAsia="en-US"/>
        </w:rPr>
        <w:t>Quaternary Geochronology</w:t>
      </w:r>
      <w:r w:rsidRPr="00BA2BEC">
        <w:rPr>
          <w:rFonts w:eastAsiaTheme="minorHAnsi"/>
          <w:lang w:eastAsia="en-US"/>
        </w:rPr>
        <w:t xml:space="preserve"> 11, 1-27.</w:t>
      </w:r>
    </w:p>
    <w:p w14:paraId="0C22CFFB" w14:textId="16498A1C" w:rsidR="005A2896" w:rsidRPr="00BA2BEC" w:rsidRDefault="005A2896" w:rsidP="00BA2BEC">
      <w:pPr>
        <w:autoSpaceDE w:val="0"/>
        <w:autoSpaceDN w:val="0"/>
        <w:adjustRightInd w:val="0"/>
        <w:spacing w:line="480" w:lineRule="auto"/>
        <w:ind w:left="288" w:hanging="288"/>
        <w:contextualSpacing/>
        <w:mirrorIndents/>
      </w:pPr>
      <w:r w:rsidRPr="00BA2BEC">
        <w:t xml:space="preserve">Jain, M., </w:t>
      </w:r>
      <w:proofErr w:type="spellStart"/>
      <w:r w:rsidRPr="00BA2BEC">
        <w:t>Botter</w:t>
      </w:r>
      <w:proofErr w:type="spellEnd"/>
      <w:r w:rsidRPr="00BA2BEC">
        <w:t xml:space="preserve">-Jensen, L., Singhvi, A. K., 2003. Dose evaluation using multiple-aliquot quartz OSL: test of methods and a new protocol for improved accuracy and precision. </w:t>
      </w:r>
      <w:r w:rsidR="00BA2BEC" w:rsidRPr="00BA2BEC">
        <w:rPr>
          <w:rFonts w:eastAsia="SimSun"/>
          <w:i/>
          <w:iCs/>
        </w:rPr>
        <w:t>Radiation Measurements</w:t>
      </w:r>
      <w:r w:rsidRPr="00BA2BEC">
        <w:t xml:space="preserve"> </w:t>
      </w:r>
      <w:r w:rsidRPr="00BA2BEC">
        <w:rPr>
          <w:bCs/>
        </w:rPr>
        <w:t>37</w:t>
      </w:r>
      <w:r w:rsidRPr="00BA2BEC">
        <w:rPr>
          <w:b/>
          <w:bCs/>
        </w:rPr>
        <w:t>,</w:t>
      </w:r>
      <w:r w:rsidRPr="00BA2BEC">
        <w:t xml:space="preserve"> 67-80.</w:t>
      </w:r>
    </w:p>
    <w:p w14:paraId="2E918396" w14:textId="77777777" w:rsidR="005A2896" w:rsidRPr="00BA2BEC" w:rsidRDefault="005A2896" w:rsidP="00BA2BEC">
      <w:pPr>
        <w:spacing w:line="480" w:lineRule="auto"/>
        <w:ind w:left="288" w:hanging="288"/>
        <w:contextualSpacing/>
        <w:mirrorIndents/>
        <w:rPr>
          <w:rFonts w:eastAsia="Batang"/>
        </w:rPr>
      </w:pPr>
      <w:r w:rsidRPr="00BA2BEC">
        <w:rPr>
          <w:rFonts w:eastAsia="Batang"/>
        </w:rPr>
        <w:t xml:space="preserve">Mejdahl, V. &amp; Christiansen, H.H., 1994. Procedures used for luminescence dating of sediments. </w:t>
      </w:r>
      <w:r w:rsidRPr="00BA2BEC">
        <w:rPr>
          <w:rFonts w:eastAsia="Batang"/>
          <w:i/>
          <w:iCs/>
        </w:rPr>
        <w:t>Boreas</w:t>
      </w:r>
      <w:r w:rsidRPr="00BA2BEC">
        <w:rPr>
          <w:rFonts w:eastAsia="Batang"/>
        </w:rPr>
        <w:t xml:space="preserve"> 13, 403-406. </w:t>
      </w:r>
    </w:p>
    <w:p w14:paraId="547264D1" w14:textId="77777777" w:rsidR="00C93D32" w:rsidRPr="00BA2BEC" w:rsidRDefault="00C93D32" w:rsidP="00BA2BEC">
      <w:pPr>
        <w:autoSpaceDE w:val="0"/>
        <w:autoSpaceDN w:val="0"/>
        <w:adjustRightInd w:val="0"/>
        <w:spacing w:line="480" w:lineRule="auto"/>
        <w:ind w:left="288" w:hanging="288"/>
        <w:contextualSpacing/>
        <w:rPr>
          <w:rFonts w:eastAsiaTheme="minorHAnsi"/>
          <w:lang w:eastAsia="en-US"/>
        </w:rPr>
      </w:pPr>
      <w:r w:rsidRPr="00BA2BEC">
        <w:rPr>
          <w:rFonts w:eastAsiaTheme="minorHAnsi"/>
          <w:lang w:eastAsia="en-US"/>
        </w:rPr>
        <w:t xml:space="preserve">Murray, A.S., Wintle, A.G., 2003. The single aliquot regenerative dose protocol: potential for improvements in reliability. </w:t>
      </w:r>
      <w:r w:rsidRPr="00BA2BEC">
        <w:rPr>
          <w:rFonts w:eastAsiaTheme="minorHAnsi"/>
          <w:i/>
          <w:iCs/>
          <w:lang w:eastAsia="en-US"/>
        </w:rPr>
        <w:t>Radiation Measurements</w:t>
      </w:r>
      <w:r w:rsidRPr="00BA2BEC">
        <w:rPr>
          <w:rFonts w:eastAsiaTheme="minorHAnsi"/>
          <w:lang w:eastAsia="en-US"/>
        </w:rPr>
        <w:t xml:space="preserve"> 37, 377-381.</w:t>
      </w:r>
    </w:p>
    <w:p w14:paraId="1F71DC33" w14:textId="5EEA6EB2" w:rsidR="005A2896" w:rsidRPr="00BA2BEC" w:rsidRDefault="005A2896" w:rsidP="00BA2BEC">
      <w:pPr>
        <w:autoSpaceDE w:val="0"/>
        <w:autoSpaceDN w:val="0"/>
        <w:adjustRightInd w:val="0"/>
        <w:spacing w:line="480" w:lineRule="auto"/>
        <w:ind w:left="288" w:hanging="288"/>
        <w:contextualSpacing/>
        <w:mirrorIndents/>
      </w:pPr>
      <w:r w:rsidRPr="00BA2BEC">
        <w:rPr>
          <w:bCs/>
          <w:iCs/>
        </w:rPr>
        <w:t xml:space="preserve">Peng, L, Forman, S. L., 2019. </w:t>
      </w:r>
      <w:r w:rsidRPr="00BA2BEC">
        <w:t xml:space="preserve">LDAC: An Excel-based program for luminescence equivalent dose and burial age calculations. </w:t>
      </w:r>
      <w:r w:rsidRPr="00BA2BEC">
        <w:rPr>
          <w:i/>
          <w:iCs/>
        </w:rPr>
        <w:t>Ancient TL</w:t>
      </w:r>
      <w:r w:rsidR="00BA2BEC" w:rsidRPr="00BA2BEC">
        <w:rPr>
          <w:sz w:val="22"/>
          <w:szCs w:val="22"/>
        </w:rPr>
        <w:t xml:space="preserve"> </w:t>
      </w:r>
      <w:r w:rsidR="00BA2BEC">
        <w:rPr>
          <w:sz w:val="22"/>
          <w:szCs w:val="22"/>
        </w:rPr>
        <w:t xml:space="preserve">37 (2), 21-40; DOI: </w:t>
      </w:r>
      <w:r w:rsidR="00BA2BEC" w:rsidRPr="008F69D5">
        <w:rPr>
          <w:sz w:val="22"/>
          <w:szCs w:val="22"/>
        </w:rPr>
        <w:t>ancienttl.org/ATL_37.htm#December</w:t>
      </w:r>
      <w:r w:rsidR="00BA2BEC">
        <w:rPr>
          <w:sz w:val="22"/>
          <w:szCs w:val="22"/>
        </w:rPr>
        <w:t>.</w:t>
      </w:r>
    </w:p>
    <w:p w14:paraId="6E1947AC" w14:textId="74319D45" w:rsidR="005A2896" w:rsidRPr="00BA2BEC" w:rsidRDefault="005A2896" w:rsidP="00BA2BEC">
      <w:pPr>
        <w:spacing w:line="480" w:lineRule="auto"/>
        <w:ind w:left="288" w:hanging="288"/>
        <w:contextualSpacing/>
        <w:mirrorIndents/>
        <w:rPr>
          <w:rFonts w:eastAsiaTheme="minorHAnsi"/>
        </w:rPr>
      </w:pPr>
      <w:r w:rsidRPr="00BA2BEC">
        <w:rPr>
          <w:rFonts w:eastAsiaTheme="minorHAnsi"/>
        </w:rPr>
        <w:lastRenderedPageBreak/>
        <w:t xml:space="preserve">Prescott, J.R. Hutton, J.T., 1994. Cosmic ray contributions to dose rates for luminescence and ESR </w:t>
      </w:r>
      <w:proofErr w:type="gramStart"/>
      <w:r w:rsidRPr="00BA2BEC">
        <w:rPr>
          <w:rFonts w:eastAsiaTheme="minorHAnsi"/>
        </w:rPr>
        <w:t>dating:</w:t>
      </w:r>
      <w:proofErr w:type="gramEnd"/>
      <w:r w:rsidRPr="00BA2BEC">
        <w:rPr>
          <w:rFonts w:eastAsiaTheme="minorHAnsi"/>
        </w:rPr>
        <w:t xml:space="preserve"> large depths and long-term time variations. </w:t>
      </w:r>
      <w:r w:rsidR="00BA2BEC" w:rsidRPr="00BA2BEC">
        <w:rPr>
          <w:rFonts w:eastAsia="SimSun"/>
          <w:i/>
          <w:iCs/>
        </w:rPr>
        <w:t xml:space="preserve">Radiation </w:t>
      </w:r>
      <w:proofErr w:type="gramStart"/>
      <w:r w:rsidR="00BA2BEC" w:rsidRPr="00BA2BEC">
        <w:rPr>
          <w:rFonts w:eastAsia="SimSun"/>
          <w:i/>
          <w:iCs/>
        </w:rPr>
        <w:t>Measurements</w:t>
      </w:r>
      <w:r w:rsidR="00BA2BEC">
        <w:rPr>
          <w:rFonts w:eastAsiaTheme="minorHAnsi"/>
        </w:rPr>
        <w:t xml:space="preserve"> </w:t>
      </w:r>
      <w:r w:rsidRPr="00BA2BEC">
        <w:rPr>
          <w:rFonts w:eastAsiaTheme="minorHAnsi"/>
        </w:rPr>
        <w:t xml:space="preserve"> 23</w:t>
      </w:r>
      <w:proofErr w:type="gramEnd"/>
      <w:r w:rsidRPr="00BA2BEC">
        <w:rPr>
          <w:rFonts w:eastAsiaTheme="minorHAnsi"/>
        </w:rPr>
        <w:t>, 497-500.</w:t>
      </w:r>
    </w:p>
    <w:p w14:paraId="5ADF85B2" w14:textId="0216C0CA" w:rsidR="005A2896" w:rsidRPr="00BA2BEC" w:rsidRDefault="005A2896" w:rsidP="00BA2BEC">
      <w:pPr>
        <w:autoSpaceDE w:val="0"/>
        <w:autoSpaceDN w:val="0"/>
        <w:adjustRightInd w:val="0"/>
        <w:spacing w:line="480" w:lineRule="auto"/>
        <w:ind w:left="288" w:hanging="288"/>
        <w:contextualSpacing/>
        <w:rPr>
          <w:rFonts w:eastAsiaTheme="minorHAnsi"/>
        </w:rPr>
      </w:pPr>
      <w:r w:rsidRPr="00BA2BEC">
        <w:rPr>
          <w:rFonts w:eastAsiaTheme="minorHAnsi"/>
        </w:rPr>
        <w:t xml:space="preserve">Wintle, A.G., Murray, A.S., 2006. A review of quartz optically stimulated luminescence characteristics and their relevance in single-aliquot regeneration dating protocols. </w:t>
      </w:r>
      <w:r w:rsidR="00BA2BEC" w:rsidRPr="00BA2BEC">
        <w:rPr>
          <w:rFonts w:eastAsia="SimSun"/>
          <w:i/>
          <w:iCs/>
        </w:rPr>
        <w:t>Radiation Measurements</w:t>
      </w:r>
      <w:r w:rsidRPr="00BA2BEC">
        <w:rPr>
          <w:rFonts w:eastAsiaTheme="minorHAnsi"/>
        </w:rPr>
        <w:t xml:space="preserve"> 41, 369-391.</w:t>
      </w:r>
    </w:p>
    <w:p w14:paraId="64935640" w14:textId="77777777" w:rsidR="005A2896" w:rsidRPr="00BA2BEC" w:rsidRDefault="005A2896" w:rsidP="00BA2BEC">
      <w:pPr>
        <w:spacing w:line="480" w:lineRule="auto"/>
        <w:ind w:left="288" w:hanging="288"/>
        <w:contextualSpacing/>
        <w:rPr>
          <w:u w:val="single"/>
        </w:rPr>
      </w:pPr>
    </w:p>
    <w:sectPr w:rsidR="005A2896" w:rsidRPr="00BA2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5F"/>
    <w:rsid w:val="0004514C"/>
    <w:rsid w:val="00566274"/>
    <w:rsid w:val="005A2896"/>
    <w:rsid w:val="00631606"/>
    <w:rsid w:val="006E08AF"/>
    <w:rsid w:val="007B047E"/>
    <w:rsid w:val="00BA2BEC"/>
    <w:rsid w:val="00C93D32"/>
    <w:rsid w:val="00E9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9A582"/>
  <w15:chartTrackingRefBased/>
  <w15:docId w15:val="{45C4A54B-3FC6-4FA5-911C-63B92D567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Forman, Steven</dc:creator>
  <cp:keywords/>
  <dc:description/>
  <cp:lastModifiedBy>Forman, Steven</cp:lastModifiedBy>
  <cp:revision>2</cp:revision>
  <dcterms:created xsi:type="dcterms:W3CDTF">2023-03-02T21:30:00Z</dcterms:created>
  <dcterms:modified xsi:type="dcterms:W3CDTF">2023-03-02T21:30:00Z</dcterms:modified>
</cp:coreProperties>
</file>