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3E070" w14:textId="77777777" w:rsidR="00CF2D24" w:rsidRPr="00CB16F2" w:rsidRDefault="00EC2696" w:rsidP="00EC2696">
      <w:pPr>
        <w:jc w:val="center"/>
        <w:rPr>
          <w:rFonts w:ascii="Century Schoolbook" w:hAnsi="Century Schoolbook"/>
          <w:sz w:val="22"/>
          <w:szCs w:val="22"/>
        </w:rPr>
      </w:pPr>
      <w:r w:rsidRPr="00CB16F2">
        <w:rPr>
          <w:rFonts w:ascii="Century Schoolbook" w:hAnsi="Century Schoolbook"/>
          <w:sz w:val="22"/>
          <w:szCs w:val="22"/>
        </w:rPr>
        <w:t>Online Supplementary Material</w:t>
      </w:r>
    </w:p>
    <w:p w14:paraId="5C960F43" w14:textId="77777777" w:rsidR="00EC2696" w:rsidRPr="00CB16F2" w:rsidRDefault="00EC2696">
      <w:pPr>
        <w:rPr>
          <w:rFonts w:ascii="Century Schoolbook" w:hAnsi="Century Schoolbook"/>
          <w:sz w:val="22"/>
          <w:szCs w:val="22"/>
        </w:rPr>
      </w:pPr>
    </w:p>
    <w:p w14:paraId="03D470CF" w14:textId="77777777" w:rsidR="00EC2696" w:rsidRPr="00CB16F2" w:rsidRDefault="00EC2696">
      <w:pPr>
        <w:rPr>
          <w:rFonts w:ascii="Century Schoolbook" w:hAnsi="Century Schoolbook"/>
          <w:sz w:val="22"/>
          <w:szCs w:val="22"/>
        </w:rPr>
      </w:pPr>
      <w:r w:rsidRPr="00CB16F2">
        <w:rPr>
          <w:rFonts w:ascii="Century Schoolbook" w:hAnsi="Century Schoolbook"/>
          <w:sz w:val="22"/>
          <w:szCs w:val="22"/>
          <w:u w:val="single"/>
        </w:rPr>
        <w:t>1. Stable isotope size fraction analyses</w:t>
      </w:r>
    </w:p>
    <w:p w14:paraId="07F86528" w14:textId="77777777" w:rsidR="00EC2696" w:rsidRPr="00CB16F2" w:rsidRDefault="00EC2696">
      <w:pPr>
        <w:rPr>
          <w:rFonts w:ascii="Century Schoolbook" w:hAnsi="Century Schoolbook"/>
          <w:sz w:val="22"/>
          <w:szCs w:val="22"/>
        </w:rPr>
      </w:pPr>
    </w:p>
    <w:p w14:paraId="7025839F" w14:textId="77777777" w:rsidR="00EE0FB7" w:rsidRPr="00CB16F2" w:rsidRDefault="00EE0FB7" w:rsidP="00EE0FB7">
      <w:pPr>
        <w:ind w:firstLine="720"/>
        <w:rPr>
          <w:rFonts w:ascii="Century Schoolbook" w:hAnsi="Century Schoolbook"/>
          <w:sz w:val="22"/>
          <w:szCs w:val="22"/>
        </w:rPr>
      </w:pPr>
      <w:r w:rsidRPr="00CB16F2">
        <w:rPr>
          <w:rFonts w:ascii="Century Schoolbook" w:hAnsi="Century Schoolbook"/>
          <w:sz w:val="22"/>
          <w:szCs w:val="22"/>
        </w:rPr>
        <w:t xml:space="preserve">To determine the most representative size fraction for this specific study location, stable isotopes were analyzed from </w:t>
      </w:r>
      <w:r w:rsidRPr="00CB16F2">
        <w:rPr>
          <w:rFonts w:ascii="Century Schoolbook" w:hAnsi="Century Schoolbook"/>
          <w:i/>
          <w:sz w:val="22"/>
          <w:szCs w:val="22"/>
        </w:rPr>
        <w:t xml:space="preserve">Uvigerina sp., Cibicidoides sp., Globigerina bulloides, Neoglobigerina pachyderma, </w:t>
      </w:r>
      <w:r w:rsidRPr="00CB16F2">
        <w:rPr>
          <w:rFonts w:ascii="Century Schoolbook" w:hAnsi="Century Schoolbook"/>
          <w:sz w:val="22"/>
          <w:szCs w:val="22"/>
        </w:rPr>
        <w:t xml:space="preserve">and </w:t>
      </w:r>
      <w:r w:rsidRPr="00CB16F2">
        <w:rPr>
          <w:rFonts w:ascii="Century Schoolbook" w:hAnsi="Century Schoolbook"/>
          <w:i/>
          <w:sz w:val="22"/>
          <w:szCs w:val="22"/>
        </w:rPr>
        <w:t>Neoglobigerina incompta</w:t>
      </w:r>
      <w:r w:rsidRPr="00CB16F2">
        <w:rPr>
          <w:rFonts w:ascii="Century Schoolbook" w:hAnsi="Century Schoolbook"/>
          <w:sz w:val="22"/>
          <w:szCs w:val="22"/>
        </w:rPr>
        <w:t xml:space="preserve"> (formerly </w:t>
      </w:r>
      <w:r w:rsidRPr="00CB16F2">
        <w:rPr>
          <w:rFonts w:ascii="Century Schoolbook" w:hAnsi="Century Schoolbook"/>
          <w:i/>
          <w:sz w:val="22"/>
          <w:szCs w:val="22"/>
        </w:rPr>
        <w:t>Neoglobigerina pachyderma dextral</w:t>
      </w:r>
      <w:r w:rsidRPr="00CB16F2">
        <w:rPr>
          <w:rFonts w:ascii="Century Schoolbook" w:hAnsi="Century Schoolbook"/>
          <w:sz w:val="22"/>
          <w:szCs w:val="22"/>
        </w:rPr>
        <w:t xml:space="preserve">) in different size fractions on a Thermo Delta V Plus equipped with a Kiel IV individual acid bath device at LDEO. Three samples were selected for the Holocene (0cm), deglaciation (16cm), and last glacial period (39cm) from the shallowest multicore (53MC), which has the best carbonate preservation and thus the greatest volume of coarse fraction. Each sample was sieved into the following size fractions: 150-180um, 180-200um, 200-250um, 250-300um, 300-355um, and &gt;355um. Foraminiferal tests were picked from each size fraction and analyzed for stable isotopes in triplicate. Note that each foraminiferal species was not available in every size fraction from each of the three samples. </w:t>
      </w:r>
    </w:p>
    <w:p w14:paraId="5F4D6C99" w14:textId="52EB178B" w:rsidR="00EC2696" w:rsidRPr="00CB16F2" w:rsidRDefault="00EE0FB7" w:rsidP="00EE0FB7">
      <w:pPr>
        <w:ind w:firstLine="720"/>
        <w:rPr>
          <w:rFonts w:ascii="Century Schoolbook" w:hAnsi="Century Schoolbook"/>
          <w:sz w:val="22"/>
          <w:szCs w:val="22"/>
        </w:rPr>
      </w:pPr>
      <w:r w:rsidRPr="00CB16F2">
        <w:rPr>
          <w:rFonts w:ascii="Century Schoolbook" w:hAnsi="Century Schoolbook"/>
          <w:sz w:val="22"/>
          <w:szCs w:val="22"/>
        </w:rPr>
        <w:t xml:space="preserve">The average </w:t>
      </w:r>
      <w:r w:rsidRPr="00CB16F2">
        <w:rPr>
          <w:rFonts w:ascii="Symbol" w:hAnsi="Symbol"/>
          <w:sz w:val="22"/>
          <w:szCs w:val="22"/>
        </w:rPr>
        <w:t></w:t>
      </w:r>
      <w:r w:rsidRPr="00CB16F2">
        <w:rPr>
          <w:rFonts w:ascii="Century Schoolbook" w:hAnsi="Century Schoolbook"/>
          <w:sz w:val="22"/>
          <w:szCs w:val="22"/>
          <w:vertAlign w:val="superscript"/>
        </w:rPr>
        <w:t>18</w:t>
      </w:r>
      <w:r w:rsidRPr="00CB16F2">
        <w:rPr>
          <w:rFonts w:ascii="Century Schoolbook" w:hAnsi="Century Schoolbook"/>
          <w:sz w:val="22"/>
          <w:szCs w:val="22"/>
        </w:rPr>
        <w:t>O for each sample depth was calculated by averaging</w:t>
      </w:r>
      <w:r w:rsidR="00E35217">
        <w:rPr>
          <w:rFonts w:ascii="Century Schoolbook" w:hAnsi="Century Schoolbook"/>
          <w:sz w:val="22"/>
          <w:szCs w:val="22"/>
        </w:rPr>
        <w:t xml:space="preserve"> (mean)</w:t>
      </w:r>
      <w:r w:rsidRPr="00CB16F2">
        <w:rPr>
          <w:rFonts w:ascii="Century Schoolbook" w:hAnsi="Century Schoolbook"/>
          <w:sz w:val="22"/>
          <w:szCs w:val="22"/>
        </w:rPr>
        <w:t xml:space="preserve"> the values for each size fraction for each species (e.g., the </w:t>
      </w:r>
      <w:r w:rsidRPr="00CB16F2">
        <w:rPr>
          <w:rFonts w:ascii="Symbol" w:hAnsi="Symbol"/>
          <w:sz w:val="22"/>
          <w:szCs w:val="22"/>
        </w:rPr>
        <w:t></w:t>
      </w:r>
      <w:r w:rsidRPr="00CB16F2">
        <w:rPr>
          <w:rFonts w:ascii="Century Schoolbook" w:hAnsi="Century Schoolbook"/>
          <w:sz w:val="22"/>
          <w:szCs w:val="22"/>
          <w:vertAlign w:val="superscript"/>
        </w:rPr>
        <w:t>18</w:t>
      </w:r>
      <w:r w:rsidRPr="00CB16F2">
        <w:rPr>
          <w:rFonts w:ascii="Century Schoolbook" w:hAnsi="Century Schoolbook"/>
          <w:sz w:val="22"/>
          <w:szCs w:val="22"/>
        </w:rPr>
        <w:t xml:space="preserve">O for all the size fractions of </w:t>
      </w:r>
      <w:r w:rsidRPr="00CB16F2">
        <w:rPr>
          <w:rFonts w:ascii="Century Schoolbook" w:hAnsi="Century Schoolbook"/>
          <w:i/>
          <w:sz w:val="22"/>
          <w:szCs w:val="22"/>
        </w:rPr>
        <w:t xml:space="preserve">G. bulloides </w:t>
      </w:r>
      <w:r w:rsidRPr="00CB16F2">
        <w:rPr>
          <w:rFonts w:ascii="Century Schoolbook" w:hAnsi="Century Schoolbook"/>
          <w:sz w:val="22"/>
          <w:szCs w:val="22"/>
        </w:rPr>
        <w:t xml:space="preserve">in 53MC-16cm). The deviation from this mean value could then be determined by dividing the size fraction </w:t>
      </w:r>
      <w:r w:rsidRPr="00CB16F2">
        <w:rPr>
          <w:rFonts w:ascii="Symbol" w:hAnsi="Symbol"/>
          <w:sz w:val="22"/>
          <w:szCs w:val="22"/>
        </w:rPr>
        <w:t></w:t>
      </w:r>
      <w:r w:rsidRPr="00CB16F2">
        <w:rPr>
          <w:rFonts w:ascii="Century Schoolbook" w:hAnsi="Century Schoolbook"/>
          <w:sz w:val="22"/>
          <w:szCs w:val="22"/>
          <w:vertAlign w:val="superscript"/>
        </w:rPr>
        <w:t>18</w:t>
      </w:r>
      <w:r w:rsidRPr="00CB16F2">
        <w:rPr>
          <w:rFonts w:ascii="Century Schoolbook" w:hAnsi="Century Schoolbook"/>
          <w:sz w:val="22"/>
          <w:szCs w:val="22"/>
        </w:rPr>
        <w:t xml:space="preserve">O by the sample mean </w:t>
      </w:r>
      <w:r w:rsidRPr="00CB16F2">
        <w:rPr>
          <w:rFonts w:ascii="Symbol" w:hAnsi="Symbol"/>
          <w:sz w:val="22"/>
          <w:szCs w:val="22"/>
        </w:rPr>
        <w:t></w:t>
      </w:r>
      <w:r w:rsidRPr="00CB16F2">
        <w:rPr>
          <w:rFonts w:ascii="Century Schoolbook" w:hAnsi="Century Schoolbook"/>
          <w:sz w:val="22"/>
          <w:szCs w:val="22"/>
          <w:vertAlign w:val="superscript"/>
        </w:rPr>
        <w:t>18</w:t>
      </w:r>
      <w:r w:rsidRPr="00CB16F2">
        <w:rPr>
          <w:rFonts w:ascii="Century Schoolbook" w:hAnsi="Century Schoolbook"/>
          <w:sz w:val="22"/>
          <w:szCs w:val="22"/>
        </w:rPr>
        <w:t xml:space="preserve">O, so that a value of 1.2 indicates a size fraction </w:t>
      </w:r>
      <w:r w:rsidRPr="00CB16F2">
        <w:rPr>
          <w:rFonts w:ascii="Symbol" w:hAnsi="Symbol"/>
          <w:sz w:val="22"/>
          <w:szCs w:val="22"/>
        </w:rPr>
        <w:t></w:t>
      </w:r>
      <w:r w:rsidRPr="00CB16F2">
        <w:rPr>
          <w:rFonts w:ascii="Century Schoolbook" w:hAnsi="Century Schoolbook"/>
          <w:sz w:val="22"/>
          <w:szCs w:val="22"/>
          <w:vertAlign w:val="superscript"/>
        </w:rPr>
        <w:t>18</w:t>
      </w:r>
      <w:r w:rsidRPr="00CB16F2">
        <w:rPr>
          <w:rFonts w:ascii="Century Schoolbook" w:hAnsi="Century Schoolbook"/>
          <w:sz w:val="22"/>
          <w:szCs w:val="22"/>
        </w:rPr>
        <w:t>O that is 20% greater than the mean value for that species (</w:t>
      </w:r>
      <w:r w:rsidR="00241D3A" w:rsidRPr="00CB16F2">
        <w:rPr>
          <w:rFonts w:ascii="Century Schoolbook" w:hAnsi="Century Schoolbook"/>
          <w:sz w:val="22"/>
          <w:szCs w:val="22"/>
        </w:rPr>
        <w:t xml:space="preserve">Supplementary </w:t>
      </w:r>
      <w:r w:rsidRPr="00CB16F2">
        <w:rPr>
          <w:rFonts w:ascii="Century Schoolbook" w:hAnsi="Century Schoolbook"/>
          <w:sz w:val="22"/>
          <w:szCs w:val="22"/>
        </w:rPr>
        <w:t xml:space="preserve">Figure </w:t>
      </w:r>
      <w:r w:rsidR="00241D3A" w:rsidRPr="00CB16F2">
        <w:rPr>
          <w:rFonts w:ascii="Century Schoolbook" w:hAnsi="Century Schoolbook"/>
          <w:sz w:val="22"/>
          <w:szCs w:val="22"/>
        </w:rPr>
        <w:t>1</w:t>
      </w:r>
      <w:r w:rsidRPr="00CB16F2">
        <w:rPr>
          <w:rFonts w:ascii="Century Schoolbook" w:hAnsi="Century Schoolbook"/>
          <w:sz w:val="22"/>
          <w:szCs w:val="22"/>
        </w:rPr>
        <w:t>). On average, there is no apparent size fraction</w:t>
      </w:r>
      <w:r w:rsidR="00E35217">
        <w:rPr>
          <w:rFonts w:ascii="Century Schoolbook" w:hAnsi="Century Schoolbook"/>
          <w:sz w:val="22"/>
          <w:szCs w:val="22"/>
        </w:rPr>
        <w:t>ation</w:t>
      </w:r>
      <w:r w:rsidRPr="00CB16F2">
        <w:rPr>
          <w:rFonts w:ascii="Century Schoolbook" w:hAnsi="Century Schoolbook"/>
          <w:sz w:val="22"/>
          <w:szCs w:val="22"/>
        </w:rPr>
        <w:t xml:space="preserve"> of oxygen isotopes in </w:t>
      </w:r>
      <w:r w:rsidRPr="00CB16F2">
        <w:rPr>
          <w:rFonts w:ascii="Century Schoolbook" w:hAnsi="Century Schoolbook"/>
          <w:i/>
          <w:sz w:val="22"/>
          <w:szCs w:val="22"/>
        </w:rPr>
        <w:t>N. pachyderma</w:t>
      </w:r>
      <w:r w:rsidRPr="00CB16F2">
        <w:rPr>
          <w:rFonts w:ascii="Century Schoolbook" w:hAnsi="Century Schoolbook"/>
          <w:sz w:val="22"/>
          <w:szCs w:val="22"/>
        </w:rPr>
        <w:t xml:space="preserve">, </w:t>
      </w:r>
      <w:r w:rsidRPr="00CB16F2">
        <w:rPr>
          <w:rFonts w:ascii="Century Schoolbook" w:hAnsi="Century Schoolbook"/>
          <w:i/>
          <w:sz w:val="22"/>
          <w:szCs w:val="22"/>
        </w:rPr>
        <w:t>G. bulloides</w:t>
      </w:r>
      <w:r w:rsidRPr="00CB16F2">
        <w:rPr>
          <w:rFonts w:ascii="Century Schoolbook" w:hAnsi="Century Schoolbook"/>
          <w:sz w:val="22"/>
          <w:szCs w:val="22"/>
        </w:rPr>
        <w:t xml:space="preserve">, or </w:t>
      </w:r>
      <w:r w:rsidRPr="00CB16F2">
        <w:rPr>
          <w:rFonts w:ascii="Century Schoolbook" w:hAnsi="Century Schoolbook"/>
          <w:i/>
          <w:sz w:val="22"/>
          <w:szCs w:val="22"/>
        </w:rPr>
        <w:t>Cibicidoides sp</w:t>
      </w:r>
      <w:r w:rsidRPr="00CB16F2">
        <w:rPr>
          <w:rFonts w:ascii="Century Schoolbook" w:hAnsi="Century Schoolbook"/>
          <w:sz w:val="22"/>
          <w:szCs w:val="22"/>
        </w:rPr>
        <w:t xml:space="preserve">, while </w:t>
      </w:r>
      <w:r w:rsidRPr="00CB16F2">
        <w:rPr>
          <w:rFonts w:ascii="Century Schoolbook" w:hAnsi="Century Schoolbook"/>
          <w:i/>
          <w:sz w:val="22"/>
          <w:szCs w:val="22"/>
        </w:rPr>
        <w:t>Uvigerina sp.</w:t>
      </w:r>
      <w:r w:rsidRPr="00CB16F2">
        <w:rPr>
          <w:rFonts w:ascii="Century Schoolbook" w:hAnsi="Century Schoolbook"/>
          <w:sz w:val="22"/>
          <w:szCs w:val="22"/>
        </w:rPr>
        <w:t xml:space="preserve"> demonstrates a positive size relationship, in which </w:t>
      </w:r>
      <w:r w:rsidRPr="00CB16F2">
        <w:rPr>
          <w:rFonts w:ascii="Symbol" w:hAnsi="Symbol"/>
          <w:sz w:val="22"/>
          <w:szCs w:val="22"/>
        </w:rPr>
        <w:t></w:t>
      </w:r>
      <w:r w:rsidRPr="00CB16F2">
        <w:rPr>
          <w:rFonts w:ascii="Century Schoolbook" w:hAnsi="Century Schoolbook"/>
          <w:sz w:val="22"/>
          <w:szCs w:val="22"/>
          <w:vertAlign w:val="superscript"/>
        </w:rPr>
        <w:t>18</w:t>
      </w:r>
      <w:r w:rsidRPr="00CB16F2">
        <w:rPr>
          <w:rFonts w:ascii="Century Schoolbook" w:hAnsi="Century Schoolbook"/>
          <w:sz w:val="22"/>
          <w:szCs w:val="22"/>
        </w:rPr>
        <w:t xml:space="preserve">O increases with increasing size fraction, and </w:t>
      </w:r>
      <w:r w:rsidRPr="00CB16F2">
        <w:rPr>
          <w:rFonts w:ascii="Century Schoolbook" w:hAnsi="Century Schoolbook"/>
          <w:i/>
          <w:sz w:val="22"/>
          <w:szCs w:val="22"/>
        </w:rPr>
        <w:t>N. incompta</w:t>
      </w:r>
      <w:r w:rsidRPr="00CB16F2">
        <w:rPr>
          <w:rFonts w:ascii="Century Schoolbook" w:hAnsi="Century Schoolbook"/>
          <w:sz w:val="22"/>
          <w:szCs w:val="22"/>
        </w:rPr>
        <w:t xml:space="preserve"> exhibits the opposite size relationship, with </w:t>
      </w:r>
      <w:r w:rsidRPr="00CB16F2">
        <w:rPr>
          <w:rFonts w:ascii="Symbol" w:hAnsi="Symbol"/>
          <w:sz w:val="22"/>
          <w:szCs w:val="22"/>
        </w:rPr>
        <w:t></w:t>
      </w:r>
      <w:r w:rsidRPr="00CB16F2">
        <w:rPr>
          <w:rFonts w:ascii="Century Schoolbook" w:hAnsi="Century Schoolbook"/>
          <w:sz w:val="22"/>
          <w:szCs w:val="22"/>
          <w:vertAlign w:val="superscript"/>
        </w:rPr>
        <w:t>18</w:t>
      </w:r>
      <w:r w:rsidRPr="00CB16F2">
        <w:rPr>
          <w:rFonts w:ascii="Century Schoolbook" w:hAnsi="Century Schoolbook"/>
          <w:sz w:val="22"/>
          <w:szCs w:val="22"/>
        </w:rPr>
        <w:t xml:space="preserve">O decreasing with increasing size fraction. The more stable environment and longer life cycle of benthic species makes them less sensitive to size fractionation effects </w:t>
      </w:r>
      <w:r w:rsidRPr="00CB16F2">
        <w:rPr>
          <w:rFonts w:ascii="Century Schoolbook" w:hAnsi="Century Schoolbook"/>
          <w:sz w:val="22"/>
          <w:szCs w:val="22"/>
        </w:rPr>
        <w:fldChar w:fldCharType="begin" w:fldLock="1"/>
      </w:r>
      <w:r w:rsidRPr="00CB16F2">
        <w:rPr>
          <w:rFonts w:ascii="Century Schoolbook" w:hAnsi="Century Schoolbook"/>
          <w:sz w:val="22"/>
          <w:szCs w:val="22"/>
        </w:rPr>
        <w:instrText>ADDIN CSL_CITATION { "citationItems" : [ { "id" : "ITEM-1", "itemData" : { "DOI" : "10.1016/j.marmicro.2003.10.001", "ISBN" : "0377-8398", "ISSN" : "03778398", "abstract" : "The influence of microhabitat, organic matter flux, and metabolism on the stable oxygen and carbon isotope composition of live (Rose Bengal stained) and dead (empty tests) deep-sea benthic foraminifera from the Gulf of Lions (western Mediterranean Sea) have been studied. The total range of observed foraminiferal isotope values exceeds 1.0??? for ??18O and 2.2??? for ??13C demonstrating a wide range of coexisting disequilibria relative to ??18O of equilibrium calcite (?? 18OEQ) and ??13C of bottom water dissolved inorganic carbon (??13CDIC). The mean ??18O values reveal strongest disequilibria for the studied epifaunal to shallow infaunal species (Cibicidoides pachydermus, Uvigerina mediterranea, Uvigerina peregrina) while values approach equilibrium in deep infaunal species (Globobulimina affinis, Globobulimina pseudospinescens). The mean ??13C values decrease with increasing average living depths of the different species, thus reflecting a dominant microhabitat (pore water) signal. At the axis of the Lacaze-Duthier Canyon a minimum ?? 13CDIC pore water gradient of approximately -2.1??? is assessed for the upper 6 cm of the surface sediment. Although live individuals of U. mediterranea were found in different depth intervals their mean ??13C values are consistent with calcification at an average living depth around 1 cm. The deep infaunal occurrence of U. mediterranea specimens suggests association with macrofaunal burrows creating a microenvironment with geochemical characteristics similar to the topmost centimeter. This also explains the excellent agreement between stable isotope signals of live and dead individuals. The ontogenetic enrichment in both ??18O and ??13C values of U. mediterranea suggests a slow-down of metabolic rates during test growth similar to that previously observed in planktic foraminifera. Enhanced organic carbon fluxes and higher proportion of resuspended terrestrial organic material at the canyon axis are reflected by ??13C values of U. mediterranea on average 0.58??? lower than those from the open slope. These results demonstrate the general applicability of the ??13C signal of this species for the reconstruction of past organic matter fluxes in the Mediterranean Sea. Further studies on live specimens are needed for a more quantitative paleoceanographic approach. ?? 2004 Elsevier B.V. All rights reserved.", "author" : [ { "dropping-particle" : "", "family" : "Schmiedl", "given" : "Gerhard", "non-dropping-particle" : "", "parse-names" : false, "suffix" : "" }, { "dropping-particle" : "", "family" : "Pfeilsticker", "given" : "Martin", "non-dropping-particle" : "", "parse-names" : false, "suffix" : "" }, { "dropping-particle" : "", "family" : "Hemleben", "given" : "Christoph", "non-dropping-particle" : "", "parse-names" : false, "suffix" : "" }, { "dropping-particle" : "", "family" : "Mackensen", "given" : "Andreas", "non-dropping-particle" : "", "parse-names" : false, "suffix" : "" } ], "container-title" : "Marine Micropaleontology", "id" : "ITEM-1", "issue" : "1-2", "issued" : { "date-parts" : [ [ "2004" ] ] }, "page" : "129-152", "title" : "Environmental and biological effects on the stable isotope composition of recent deep-sea benthic foraminifera from the western Mediterranean Sea", "type" : "article-journal", "volume" : "51" }, "uris" : [ "http://www.mendeley.com/documents/?uuid=624052a5-faf6-4473-8851-955f4514a172" ] } ], "mendeley" : { "formattedCitation" : "[&lt;i&gt;Schmiedl et al.&lt;/i&gt;, 2004]", "plainTextFormattedCitation" : "[Schmiedl et al., 2004]", "previouslyFormattedCitation" : "[&lt;i&gt;Schmiedl et al.&lt;/i&gt;, 2004]" }, "properties" : { "noteIndex" : 0 }, "schema" : "https://github.com/citation-style-language/schema/raw/master/csl-citation.json" }</w:instrText>
      </w:r>
      <w:r w:rsidRPr="00CB16F2">
        <w:rPr>
          <w:rFonts w:ascii="Century Schoolbook" w:hAnsi="Century Schoolbook"/>
          <w:sz w:val="22"/>
          <w:szCs w:val="22"/>
        </w:rPr>
        <w:fldChar w:fldCharType="separate"/>
      </w:r>
      <w:r w:rsidRPr="00CB16F2">
        <w:rPr>
          <w:rFonts w:ascii="Century Schoolbook" w:hAnsi="Century Schoolbook"/>
          <w:noProof/>
          <w:sz w:val="22"/>
          <w:szCs w:val="22"/>
        </w:rPr>
        <w:t>[</w:t>
      </w:r>
      <w:r w:rsidRPr="00CB16F2">
        <w:rPr>
          <w:rFonts w:ascii="Century Schoolbook" w:hAnsi="Century Schoolbook"/>
          <w:i/>
          <w:noProof/>
          <w:sz w:val="22"/>
          <w:szCs w:val="22"/>
        </w:rPr>
        <w:t>Schmiedl et al.</w:t>
      </w:r>
      <w:r w:rsidRPr="00CB16F2">
        <w:rPr>
          <w:rFonts w:ascii="Century Schoolbook" w:hAnsi="Century Schoolbook"/>
          <w:noProof/>
          <w:sz w:val="22"/>
          <w:szCs w:val="22"/>
        </w:rPr>
        <w:t>, 2004]</w:t>
      </w:r>
      <w:r w:rsidRPr="00CB16F2">
        <w:rPr>
          <w:rFonts w:ascii="Century Schoolbook" w:hAnsi="Century Schoolbook"/>
          <w:sz w:val="22"/>
          <w:szCs w:val="22"/>
        </w:rPr>
        <w:fldChar w:fldCharType="end"/>
      </w:r>
      <w:r w:rsidRPr="00CB16F2">
        <w:rPr>
          <w:rFonts w:ascii="Century Schoolbook" w:hAnsi="Century Schoolbook"/>
          <w:sz w:val="22"/>
          <w:szCs w:val="22"/>
        </w:rPr>
        <w:t xml:space="preserve">, and the size-independent </w:t>
      </w:r>
      <w:r w:rsidRPr="00CB16F2">
        <w:rPr>
          <w:rFonts w:ascii="Symbol" w:hAnsi="Symbol"/>
          <w:sz w:val="22"/>
          <w:szCs w:val="22"/>
        </w:rPr>
        <w:t></w:t>
      </w:r>
      <w:r w:rsidRPr="00CB16F2">
        <w:rPr>
          <w:rFonts w:ascii="Century Schoolbook" w:hAnsi="Century Schoolbook"/>
          <w:sz w:val="22"/>
          <w:szCs w:val="22"/>
          <w:vertAlign w:val="superscript"/>
        </w:rPr>
        <w:t>18</w:t>
      </w:r>
      <w:r w:rsidRPr="00CB16F2">
        <w:rPr>
          <w:rFonts w:ascii="Century Schoolbook" w:hAnsi="Century Schoolbook"/>
          <w:sz w:val="22"/>
          <w:szCs w:val="22"/>
        </w:rPr>
        <w:t xml:space="preserve">O of </w:t>
      </w:r>
      <w:r w:rsidRPr="00CB16F2">
        <w:rPr>
          <w:rFonts w:ascii="Century Schoolbook" w:hAnsi="Century Schoolbook"/>
          <w:i/>
          <w:sz w:val="22"/>
          <w:szCs w:val="22"/>
        </w:rPr>
        <w:t>Cibicidoides sp.</w:t>
      </w:r>
      <w:r w:rsidRPr="00CB16F2">
        <w:rPr>
          <w:rFonts w:ascii="Century Schoolbook" w:hAnsi="Century Schoolbook"/>
          <w:sz w:val="22"/>
          <w:szCs w:val="22"/>
        </w:rPr>
        <w:t xml:space="preserve"> is consistent with previous results from the South Atlantic </w:t>
      </w:r>
      <w:r w:rsidRPr="00CB16F2">
        <w:rPr>
          <w:rFonts w:ascii="Century Schoolbook" w:hAnsi="Century Schoolbook"/>
          <w:sz w:val="22"/>
          <w:szCs w:val="22"/>
        </w:rPr>
        <w:fldChar w:fldCharType="begin" w:fldLock="1"/>
      </w:r>
      <w:r w:rsidRPr="00CB16F2">
        <w:rPr>
          <w:rFonts w:ascii="Century Schoolbook" w:hAnsi="Century Schoolbook"/>
          <w:sz w:val="22"/>
          <w:szCs w:val="22"/>
        </w:rPr>
        <w:instrText>ADDIN CSL_CITATION { "citationItems" : [ { "id" : "ITEM-1", "itemData" : { "DOI" : "10.1590/S1679-87592011000300010", "ISSN" : "16798759", "abstract" : "Stable isotope ( delta super(18)O and delta super(13)C) measurements in foraminifera tests are widely used for paleoceanographic interpretations (WEFER et al., 1999; ROHLING; COOKE, 1999). This is attained since during calcification foraminifera registered in their tests the stable isotope signature and environmental conditions of seawater of their local of calcification in a somehow predictable way (ROHLING; COOKE, 1999).", "author" : [ { "dropping-particle" : "", "family" : "Franco-Fraguas", "given" : "Paula", "non-dropping-particle" : "", "parse-names" : false, "suffix" : "" }, { "dropping-particle" : "", "family" : "Costa", "given" : "Karen Badaraco", "non-dropping-particle" : "", "parse-names" : false, "suffix" : "" }, { "dropping-particle" : "", "family" : "Toledo", "given" : "Felipe Antonio de Lima", "non-dropping-particle" : "", "parse-names" : false, "suffix" : "" } ], "container-title" : "Brazilian Journal of Oceanography", "id" : "ITEM-1", "issue" : "3", "issued" : { "date-parts" : [ [ "2011" ] ] }, "page" : "287-291", "title" : "Stable isotope/test size relationship in Cibicidoides wuellerstorfi", "type" : "article-journal", "volume" : "59" }, "uris" : [ "http://www.mendeley.com/documents/?uuid=025bf9f1-9f3e-4345-bb37-aab8af479c6e" ] } ], "mendeley" : { "formattedCitation" : "[&lt;i&gt;Franco-Fraguas et al.&lt;/i&gt;, 2011]", "plainTextFormattedCitation" : "[Franco-Fraguas et al., 2011]", "previouslyFormattedCitation" : "[&lt;i&gt;Franco-Fraguas et al.&lt;/i&gt;, 2011]" }, "properties" : { "noteIndex" : 0 }, "schema" : "https://github.com/citation-style-language/schema/raw/master/csl-citation.json" }</w:instrText>
      </w:r>
      <w:r w:rsidRPr="00CB16F2">
        <w:rPr>
          <w:rFonts w:ascii="Century Schoolbook" w:hAnsi="Century Schoolbook"/>
          <w:sz w:val="22"/>
          <w:szCs w:val="22"/>
        </w:rPr>
        <w:fldChar w:fldCharType="separate"/>
      </w:r>
      <w:r w:rsidRPr="00CB16F2">
        <w:rPr>
          <w:rFonts w:ascii="Century Schoolbook" w:hAnsi="Century Schoolbook"/>
          <w:noProof/>
          <w:sz w:val="22"/>
          <w:szCs w:val="22"/>
        </w:rPr>
        <w:t>[</w:t>
      </w:r>
      <w:r w:rsidRPr="00CB16F2">
        <w:rPr>
          <w:rFonts w:ascii="Century Schoolbook" w:hAnsi="Century Schoolbook"/>
          <w:i/>
          <w:noProof/>
          <w:sz w:val="22"/>
          <w:szCs w:val="22"/>
        </w:rPr>
        <w:t>Franco-Fraguas et al.</w:t>
      </w:r>
      <w:r w:rsidRPr="00CB16F2">
        <w:rPr>
          <w:rFonts w:ascii="Century Schoolbook" w:hAnsi="Century Schoolbook"/>
          <w:noProof/>
          <w:sz w:val="22"/>
          <w:szCs w:val="22"/>
        </w:rPr>
        <w:t>, 2011]</w:t>
      </w:r>
      <w:r w:rsidRPr="00CB16F2">
        <w:rPr>
          <w:rFonts w:ascii="Century Schoolbook" w:hAnsi="Century Schoolbook"/>
          <w:sz w:val="22"/>
          <w:szCs w:val="22"/>
        </w:rPr>
        <w:fldChar w:fldCharType="end"/>
      </w:r>
      <w:r w:rsidRPr="00CB16F2">
        <w:rPr>
          <w:rFonts w:ascii="Century Schoolbook" w:hAnsi="Century Schoolbook"/>
          <w:sz w:val="22"/>
          <w:szCs w:val="22"/>
        </w:rPr>
        <w:t>, Equato</w:t>
      </w:r>
      <w:r w:rsidRPr="00E35217">
        <w:rPr>
          <w:rFonts w:ascii="Century Schoolbook" w:hAnsi="Century Schoolbook"/>
          <w:sz w:val="22"/>
          <w:szCs w:val="22"/>
        </w:rPr>
        <w:t xml:space="preserve">rial Pacific </w:t>
      </w:r>
      <w:r w:rsidRPr="00E35217">
        <w:rPr>
          <w:rFonts w:ascii="Century Schoolbook" w:hAnsi="Century Schoolbook"/>
          <w:sz w:val="22"/>
          <w:szCs w:val="22"/>
        </w:rPr>
        <w:fldChar w:fldCharType="begin" w:fldLock="1"/>
      </w:r>
      <w:r w:rsidRPr="00E35217">
        <w:rPr>
          <w:rFonts w:ascii="Century Schoolbook" w:hAnsi="Century Schoolbook"/>
          <w:sz w:val="22"/>
          <w:szCs w:val="22"/>
        </w:rPr>
        <w:instrText>ADDIN CSL_CITATION { "citationItems" : [ { "id" : "ITEM-1", "itemData" : { "DOI" : "10.1016/0025-3227(84)90094-X", "ISBN" : "0025-3227", "ISSN" : "00253227", "abstract" : "Stable isotope ratios of the carbonate tests of benthic foraminifera are now widely used to reconstruct past changes in ocean circulation and chemistry. Such studies depend on the accuracy with which changing environmental conditions are recorded and preserved in the tests of foraminifera found in deep-sea deposits. Assessment of this aspect of the method is best accomplished through rigorous study of modern core-tops collected from a wide range of depths and bottom water temperatures. Stable isotope analyses of eighteen taxa of benthic foraminifera from surface sediments of the Peru continental margin indicate that most foraminifera are slightly depleted in 18O relative to the benthic foram Uvigerina peregrina. For at least five taxa we observed subparallel ??18O-temperature relationships with slopes nearly equal to that predicted by Shackleton (1974) for Uvigerina. For seven taxa, isotopic analysis of six size fractions (in the range 210-&gt;590 mm) reveals that, with the exception of U. peregrina, variation between different size classes for each species is small, &lt;0.35???) for ??18O and &lt;0.5???) for ??13C. A slight inverse correlation between foraminiferal 18O and 13C content implies a complex interplay of biological and environmental factors which control isotopic composition. ?? 1984.", "author" : [ { "dropping-particle" : "", "family" : "Dunbar", "given" : "Robert B.", "non-dropping-particle" : "", "parse-names" : false, "suffix" : "" }, { "dropping-particle" : "", "family" : "Wefer", "given" : "Gerold", "non-dropping-particle" : "", "parse-names" : false, "suffix" : "" } ], "container-title" : "Marine Geology", "id" : "ITEM-1", "issue" : "1-4", "issued" : { "date-parts" : [ [ "1984" ] ] }, "page" : "215-225", "title" : "Stable isotope fractionation in benthic foraminifera from the Peruvian continental margin", "type" : "article-journal", "volume" : "59" }, "uris" : [ "http://www.mendeley.com/documents/?uuid=cbc54802-8fa7-44a7-bb2e-fcca20899c04" ] } ], "mendeley" : { "formattedCitation" : "[&lt;i&gt;Dunbar and Wefer&lt;/i&gt;, 1984]", "plainTextFormattedCitation" : "[Dunbar and Wefer, 1984]", "previouslyFormattedCitation" : "[&lt;i&gt;Dunbar and Wefer&lt;/i&gt;, 1984]" }, "properties" : { "noteIndex" : 0 }, "schema" : "https://github.com/citation-style-language/schema/raw/master/csl-citation.json" }</w:instrText>
      </w:r>
      <w:r w:rsidRPr="00E35217">
        <w:rPr>
          <w:rFonts w:ascii="Century Schoolbook" w:hAnsi="Century Schoolbook"/>
          <w:sz w:val="22"/>
          <w:szCs w:val="22"/>
        </w:rPr>
        <w:fldChar w:fldCharType="separate"/>
      </w:r>
      <w:r w:rsidRPr="00E35217">
        <w:rPr>
          <w:rFonts w:ascii="Century Schoolbook" w:hAnsi="Century Schoolbook"/>
          <w:noProof/>
          <w:sz w:val="22"/>
          <w:szCs w:val="22"/>
        </w:rPr>
        <w:t>[</w:t>
      </w:r>
      <w:r w:rsidRPr="00E35217">
        <w:rPr>
          <w:rFonts w:ascii="Century Schoolbook" w:hAnsi="Century Schoolbook"/>
          <w:i/>
          <w:noProof/>
          <w:sz w:val="22"/>
          <w:szCs w:val="22"/>
        </w:rPr>
        <w:t>Dunbar and Wefer</w:t>
      </w:r>
      <w:r w:rsidRPr="00E35217">
        <w:rPr>
          <w:rFonts w:ascii="Century Schoolbook" w:hAnsi="Century Schoolbook"/>
          <w:noProof/>
          <w:sz w:val="22"/>
          <w:szCs w:val="22"/>
        </w:rPr>
        <w:t>, 1984]</w:t>
      </w:r>
      <w:r w:rsidRPr="00E35217">
        <w:rPr>
          <w:rFonts w:ascii="Century Schoolbook" w:hAnsi="Century Schoolbook"/>
          <w:sz w:val="22"/>
          <w:szCs w:val="22"/>
        </w:rPr>
        <w:fldChar w:fldCharType="end"/>
      </w:r>
      <w:r w:rsidRPr="00E35217">
        <w:rPr>
          <w:rFonts w:ascii="Century Schoolbook" w:hAnsi="Century Schoolbook"/>
          <w:sz w:val="22"/>
          <w:szCs w:val="22"/>
        </w:rPr>
        <w:t xml:space="preserve">, and the Mediterranean </w:t>
      </w:r>
      <w:r w:rsidRPr="00E35217">
        <w:rPr>
          <w:rFonts w:ascii="Century Schoolbook" w:hAnsi="Century Schoolbook"/>
          <w:sz w:val="22"/>
          <w:szCs w:val="22"/>
        </w:rPr>
        <w:fldChar w:fldCharType="begin" w:fldLock="1"/>
      </w:r>
      <w:r w:rsidRPr="00E35217">
        <w:rPr>
          <w:rFonts w:ascii="Century Schoolbook" w:hAnsi="Century Schoolbook"/>
          <w:sz w:val="22"/>
          <w:szCs w:val="22"/>
        </w:rPr>
        <w:instrText>ADDIN CSL_CITATION { "citationItems" : [ { "id" : "ITEM-1", "itemData" : { "DOI" : "10.1016/j.marmicro.2003.10.001", "ISBN" : "0377-8398", "ISSN" : "03778398", "abstract" : "The influence of microhabitat, organic matter flux, and metabolism on the stable oxygen and carbon isotope composition of live (Rose Bengal stained) and dead (empty tests) deep-sea benthic foraminifera from the Gulf of Lions (western Mediterranean Sea) have been studied. The total range of observed foraminiferal isotope values exceeds 1.0??? for ??18O and 2.2??? for ??13C demonstrating a wide range of coexisting disequilibria relative to ??18O of equilibrium calcite (?? 18OEQ) and ??13C of bottom water dissolved inorganic carbon (??13CDIC). The mean ??18O values reveal strongest disequilibria for the studied epifaunal to shallow infaunal species (Cibicidoides pachydermus, Uvigerina mediterranea, Uvigerina peregrina) while values approach equilibrium in deep infaunal species (Globobulimina affinis, Globobulimina pseudospinescens). The mean ??13C values decrease with increasing average living depths of the different species, thus reflecting a dominant microhabitat (pore water) signal. At the axis of the Lacaze-Duthier Canyon a minimum ?? 13CDIC pore water gradient of approximately -2.1??? is assessed for the upper 6 cm of the surface sediment. Although live individuals of U. mediterranea were found in different depth intervals their mean ??13C values are consistent with calcification at an average living depth around 1 cm. The deep infaunal occurrence of U. mediterranea specimens suggests association with macrofaunal burrows creating a microenvironment with geochemical characteristics similar to the topmost centimeter. This also explains the excellent agreement between stable isotope signals of live and dead individuals. The ontogenetic enrichment in both ??18O and ??13C values of U. mediterranea suggests a slow-down of metabolic rates during test growth similar to that previously observed in planktic foraminifera. Enhanced organic carbon fluxes and higher proportion of resuspended terrestrial organic material at the canyon axis are reflected by ??13C values of U. mediterranea on average 0.58??? lower than those from the open slope. These results demonstrate the general applicability of the ??13C signal of this species for the reconstruction of past organic matter fluxes in the Mediterranean Sea. Further studies on live specimens are needed for a more quantitative paleoceanographic approach. ?? 2004 Elsevier B.V. All rights reserved.", "author" : [ { "dropping-particle" : "", "family" : "Schmiedl", "given" : "Gerhard", "non-dropping-particle" : "", "parse-names" : false, "suffix" : "" }, { "dropping-particle" : "", "family" : "Pfeilsticker", "given" : "Martin", "non-dropping-particle" : "", "parse-names" : false, "suffix" : "" }, { "dropping-particle" : "", "family" : "Hemleben", "given" : "Christoph", "non-dropping-particle" : "", "parse-names" : false, "suffix" : "" }, { "dropping-particle" : "", "family" : "Mackensen", "given" : "Andreas", "non-dropping-particle" : "", "parse-names" : false, "suffix" : "" } ], "container-title" : "Marine Micropaleontology", "id" : "ITEM-1", "issue" : "1-2", "issued" : { "date-parts" : [ [ "2004" ] ] }, "page" : "129-152", "title" : "Environmental and biological effects on the stable isotope composition of recent deep-sea benthic foraminifera from the western Mediterranean Sea", "type" : "article-journal", "volume" : "51" }, "uris" : [ "http://www.mendeley.com/documents/?uuid=624052a5-faf6-4473-8851-955f4514a172" ] } ], "mendeley" : { "formattedCitation" : "[&lt;i&gt;Schmiedl et al.&lt;/i&gt;, 2004]", "plainTextFormattedCitation" : "[Schmiedl et al., 2004]", "previouslyFormattedCitation" : "[&lt;i&gt;Schmiedl et al.&lt;/i&gt;, 2004]" }, "properties" : { "noteIndex" : 0 }, "schema" : "https://github.com/citation-style-language/schema/raw/master/csl-citation.json" }</w:instrText>
      </w:r>
      <w:r w:rsidRPr="00E35217">
        <w:rPr>
          <w:rFonts w:ascii="Century Schoolbook" w:hAnsi="Century Schoolbook"/>
          <w:sz w:val="22"/>
          <w:szCs w:val="22"/>
        </w:rPr>
        <w:fldChar w:fldCharType="separate"/>
      </w:r>
      <w:r w:rsidRPr="00E35217">
        <w:rPr>
          <w:rFonts w:ascii="Century Schoolbook" w:hAnsi="Century Schoolbook"/>
          <w:noProof/>
          <w:sz w:val="22"/>
          <w:szCs w:val="22"/>
        </w:rPr>
        <w:t>[</w:t>
      </w:r>
      <w:r w:rsidRPr="00E35217">
        <w:rPr>
          <w:rFonts w:ascii="Century Schoolbook" w:hAnsi="Century Schoolbook"/>
          <w:i/>
          <w:noProof/>
          <w:sz w:val="22"/>
          <w:szCs w:val="22"/>
        </w:rPr>
        <w:t>Schmiedl et al.</w:t>
      </w:r>
      <w:r w:rsidRPr="00E35217">
        <w:rPr>
          <w:rFonts w:ascii="Century Schoolbook" w:hAnsi="Century Schoolbook"/>
          <w:noProof/>
          <w:sz w:val="22"/>
          <w:szCs w:val="22"/>
        </w:rPr>
        <w:t>, 2004]</w:t>
      </w:r>
      <w:r w:rsidRPr="00E35217">
        <w:rPr>
          <w:rFonts w:ascii="Century Schoolbook" w:hAnsi="Century Schoolbook"/>
          <w:sz w:val="22"/>
          <w:szCs w:val="22"/>
        </w:rPr>
        <w:fldChar w:fldCharType="end"/>
      </w:r>
      <w:r w:rsidRPr="00E35217">
        <w:rPr>
          <w:rFonts w:ascii="Century Schoolbook" w:hAnsi="Century Schoolbook"/>
          <w:sz w:val="22"/>
          <w:szCs w:val="22"/>
        </w:rPr>
        <w:t xml:space="preserve">. The positive trend in </w:t>
      </w:r>
      <w:r w:rsidRPr="00E35217">
        <w:rPr>
          <w:rFonts w:ascii="Century Schoolbook" w:hAnsi="Century Schoolbook"/>
          <w:i/>
          <w:sz w:val="22"/>
          <w:szCs w:val="22"/>
        </w:rPr>
        <w:t>Uvigerina sp.</w:t>
      </w:r>
      <w:r w:rsidRPr="00E35217">
        <w:rPr>
          <w:rFonts w:ascii="Century Schoolbook" w:hAnsi="Century Schoolbook"/>
          <w:sz w:val="22"/>
          <w:szCs w:val="22"/>
        </w:rPr>
        <w:t xml:space="preserve"> may be attributed to ontogenetic calcite precipitation </w:t>
      </w:r>
      <w:r w:rsidRPr="00E35217">
        <w:rPr>
          <w:rFonts w:ascii="Century Schoolbook" w:hAnsi="Century Schoolbook"/>
          <w:sz w:val="22"/>
          <w:szCs w:val="22"/>
        </w:rPr>
        <w:fldChar w:fldCharType="begin" w:fldLock="1"/>
      </w:r>
      <w:r w:rsidRPr="00E35217">
        <w:rPr>
          <w:rFonts w:ascii="Century Schoolbook" w:hAnsi="Century Schoolbook"/>
          <w:sz w:val="22"/>
          <w:szCs w:val="22"/>
        </w:rPr>
        <w:instrText>ADDIN CSL_CITATION { "citationItems" : [ { "id" : "ITEM-1", "itemData" : { "DOI" : "10.1016/j.marmicro.2003.10.001", "ISBN" : "0377-8398", "ISSN" : "03778398", "abstract" : "The influence of microhabitat, organic matter flux, and metabolism on the stable oxygen and carbon isotope composition of live (Rose Bengal stained) and dead (empty tests) deep-sea benthic foraminifera from the Gulf of Lions (western Mediterranean Sea) have been studied. The total range of observed foraminiferal isotope values exceeds 1.0??? for ??18O and 2.2??? for ??13C demonstrating a wide range of coexisting disequilibria relative to ??18O of equilibrium calcite (?? 18OEQ) and ??13C of bottom water dissolved inorganic carbon (??13CDIC). The mean ??18O values reveal strongest disequilibria for the studied epifaunal to shallow infaunal species (Cibicidoides pachydermus, Uvigerina mediterranea, Uvigerina peregrina) while values approach equilibrium in deep infaunal species (Globobulimina affinis, Globobulimina pseudospinescens). The mean ??13C values decrease with increasing average living depths of the different species, thus reflecting a dominant microhabitat (pore water) signal. At the axis of the Lacaze-Duthier Canyon a minimum ?? 13CDIC pore water gradient of approximately -2.1??? is assessed for the upper 6 cm of the surface sediment. Although live individuals of U. mediterranea were found in different depth intervals their mean ??13C values are consistent with calcification at an average living depth around 1 cm. The deep infaunal occurrence of U. mediterranea specimens suggests association with macrofaunal burrows creating a microenvironment with geochemical characteristics similar to the topmost centimeter. This also explains the excellent agreement between stable isotope signals of live and dead individuals. The ontogenetic enrichment in both ??18O and ??13C values of U. mediterranea suggests a slow-down of metabolic rates during test growth similar to that previously observed in planktic foraminifera. Enhanced organic carbon fluxes and higher proportion of resuspended terrestrial organic material at the canyon axis are reflected by ??13C values of U. mediterranea on average 0.58??? lower than those from the open slope. These results demonstrate the general applicability of the ??13C signal of this species for the reconstruction of past organic matter fluxes in the Mediterranean Sea. Further studies on live specimens are needed for a more quantitative paleoceanographic approach. ?? 2004 Elsevier B.V. All rights reserved.", "author" : [ { "dropping-particle" : "", "family" : "Schmiedl", "given" : "Gerhard", "non-dropping-particle" : "", "parse-names" : false, "suffix" : "" }, { "dropping-particle" : "", "family" : "Pfeilsticker", "given" : "Martin", "non-dropping-particle" : "", "parse-names" : false, "suffix" : "" }, { "dropping-particle" : "", "family" : "Hemleben", "given" : "Christoph", "non-dropping-particle" : "", "parse-names" : false, "suffix" : "" }, { "dropping-particle" : "", "family" : "Mackensen", "given" : "Andreas", "non-dropping-particle" : "", "parse-names" : false, "suffix" : "" } ], "container-title" : "Marine Micropaleontology", "id" : "ITEM-1", "issue" : "1-2", "issued" : { "date-parts" : [ [ "2004" ] ] }, "page" : "129-152", "title" : "Environmental and biological effects on the stable isotope composition of recent deep-sea benthic foraminifera from the western Mediterranean Sea", "type" : "article-journal", "volume" : "51" }, "uris" : [ "http://www.mendeley.com/documents/?uuid=624052a5-faf6-4473-8851-955f4514a172" ] } ], "mendeley" : { "formattedCitation" : "[&lt;i&gt;Schmiedl et al.&lt;/i&gt;, 2004]", "plainTextFormattedCitation" : "[Schmiedl et al., 2004]", "previouslyFormattedCitation" : "[&lt;i&gt;Schmiedl et al.&lt;/i&gt;, 2004]" }, "properties" : { "noteIndex" : 0 }, "schema" : "https://github.com/citation-style-language/schema/raw/master/csl-citation.json" }</w:instrText>
      </w:r>
      <w:r w:rsidRPr="00E35217">
        <w:rPr>
          <w:rFonts w:ascii="Century Schoolbook" w:hAnsi="Century Schoolbook"/>
          <w:sz w:val="22"/>
          <w:szCs w:val="22"/>
        </w:rPr>
        <w:fldChar w:fldCharType="separate"/>
      </w:r>
      <w:r w:rsidRPr="00E35217">
        <w:rPr>
          <w:rFonts w:ascii="Century Schoolbook" w:hAnsi="Century Schoolbook"/>
          <w:noProof/>
          <w:sz w:val="22"/>
          <w:szCs w:val="22"/>
        </w:rPr>
        <w:t>[</w:t>
      </w:r>
      <w:r w:rsidRPr="00E35217">
        <w:rPr>
          <w:rFonts w:ascii="Century Schoolbook" w:hAnsi="Century Schoolbook"/>
          <w:i/>
          <w:noProof/>
          <w:sz w:val="22"/>
          <w:szCs w:val="22"/>
        </w:rPr>
        <w:t>Schmiedl et al.</w:t>
      </w:r>
      <w:r w:rsidRPr="00E35217">
        <w:rPr>
          <w:rFonts w:ascii="Century Schoolbook" w:hAnsi="Century Schoolbook"/>
          <w:noProof/>
          <w:sz w:val="22"/>
          <w:szCs w:val="22"/>
        </w:rPr>
        <w:t>, 2004]</w:t>
      </w:r>
      <w:r w:rsidRPr="00E35217">
        <w:rPr>
          <w:rFonts w:ascii="Century Schoolbook" w:hAnsi="Century Schoolbook"/>
          <w:sz w:val="22"/>
          <w:szCs w:val="22"/>
        </w:rPr>
        <w:fldChar w:fldCharType="end"/>
      </w:r>
      <w:r w:rsidRPr="00E35217">
        <w:rPr>
          <w:rFonts w:ascii="Century Schoolbook" w:hAnsi="Century Schoolbook"/>
          <w:sz w:val="22"/>
          <w:szCs w:val="22"/>
        </w:rPr>
        <w:t xml:space="preserve"> and it is consistent with results from the Equatorial Pacific </w:t>
      </w:r>
      <w:r w:rsidRPr="00E35217">
        <w:rPr>
          <w:rFonts w:ascii="Century Schoolbook" w:hAnsi="Century Schoolbook"/>
          <w:sz w:val="22"/>
          <w:szCs w:val="22"/>
        </w:rPr>
        <w:fldChar w:fldCharType="begin" w:fldLock="1"/>
      </w:r>
      <w:r w:rsidRPr="00E35217">
        <w:rPr>
          <w:rFonts w:ascii="Century Schoolbook" w:hAnsi="Century Schoolbook"/>
          <w:sz w:val="22"/>
          <w:szCs w:val="22"/>
        </w:rPr>
        <w:instrText>ADDIN CSL_CITATION { "citationItems" : [ { "id" : "ITEM-1", "itemData" : { "DOI" : "10.1016/0025-3227(84)90094-X", "ISBN" : "0025-3227", "ISSN" : "00253227", "abstract" : "Stable isotope ratios of the carbonate tests of benthic foraminifera are now widely used to reconstruct past changes in ocean circulation and chemistry. Such studies depend on the accuracy with which changing environmental conditions are recorded and preserved in the tests of foraminifera found in deep-sea deposits. Assessment of this aspect of the method is best accomplished through rigorous study of modern core-tops collected from a wide range of depths and bottom water temperatures. Stable isotope analyses of eighteen taxa of benthic foraminifera from surface sediments of the Peru continental margin indicate that most foraminifera are slightly depleted in 18O relative to the benthic foram Uvigerina peregrina. For at least five taxa we observed subparallel ??18O-temperature relationships with slopes nearly equal to that predicted by Shackleton (1974) for Uvigerina. For seven taxa, isotopic analysis of six size fractions (in the range 210-&gt;590 mm) reveals that, with the exception of U. peregrina, variation between different size classes for each species is small, &lt;0.35???) for ??18O and &lt;0.5???) for ??13C. A slight inverse correlation between foraminiferal 18O and 13C content implies a complex interplay of biological and environmental factors which control isotopic composition. ?? 1984.", "author" : [ { "dropping-particle" : "", "family" : "Dunbar", "given" : "Robert B.", "non-dropping-particle" : "", "parse-names" : false, "suffix" : "" }, { "dropping-particle" : "", "family" : "Wefer", "given" : "Gerold", "non-dropping-particle" : "", "parse-names" : false, "suffix" : "" } ], "container-title" : "Marine Geology", "id" : "ITEM-1", "issue" : "1-4", "issued" : { "date-parts" : [ [ "1984" ] ] }, "page" : "215-225", "title" : "Stable isotope fractionation in benthic foraminifera from the Peruvian continental margin", "type" : "article-journal", "volume" : "59" }, "uris" : [ "http://www.mendeley.com/documents/?uuid=cbc54802-8fa7-44a7-bb2e-fcca20899c04" ] } ], "mendeley" : { "formattedCitation" : "[&lt;i&gt;Dunbar and Wefer&lt;/i&gt;, 1984]", "plainTextFormattedCitation" : "[Dunbar and Wefer, 1984]", "previouslyFormattedCitation" : "[&lt;i&gt;Dunbar and Wefer&lt;/i&gt;, 1984]" }, "properties" : { "noteIndex" : 0 }, "schema" : "https://github.com/citation-style-language/schema/raw/master/csl-citation.json" }</w:instrText>
      </w:r>
      <w:r w:rsidRPr="00E35217">
        <w:rPr>
          <w:rFonts w:ascii="Century Schoolbook" w:hAnsi="Century Schoolbook"/>
          <w:sz w:val="22"/>
          <w:szCs w:val="22"/>
        </w:rPr>
        <w:fldChar w:fldCharType="separate"/>
      </w:r>
      <w:r w:rsidRPr="00E35217">
        <w:rPr>
          <w:rFonts w:ascii="Century Schoolbook" w:hAnsi="Century Schoolbook"/>
          <w:noProof/>
          <w:sz w:val="22"/>
          <w:szCs w:val="22"/>
        </w:rPr>
        <w:t>[</w:t>
      </w:r>
      <w:r w:rsidRPr="00E35217">
        <w:rPr>
          <w:rFonts w:ascii="Century Schoolbook" w:hAnsi="Century Schoolbook"/>
          <w:i/>
          <w:noProof/>
          <w:sz w:val="22"/>
          <w:szCs w:val="22"/>
        </w:rPr>
        <w:t>Dunbar and Wefer</w:t>
      </w:r>
      <w:r w:rsidRPr="00E35217">
        <w:rPr>
          <w:rFonts w:ascii="Century Schoolbook" w:hAnsi="Century Schoolbook"/>
          <w:noProof/>
          <w:sz w:val="22"/>
          <w:szCs w:val="22"/>
        </w:rPr>
        <w:t>, 1984]</w:t>
      </w:r>
      <w:r w:rsidRPr="00E35217">
        <w:rPr>
          <w:rFonts w:ascii="Century Schoolbook" w:hAnsi="Century Schoolbook"/>
          <w:sz w:val="22"/>
          <w:szCs w:val="22"/>
        </w:rPr>
        <w:fldChar w:fldCharType="end"/>
      </w:r>
      <w:r w:rsidRPr="00E35217">
        <w:rPr>
          <w:rFonts w:ascii="Century Schoolbook" w:hAnsi="Century Schoolbook"/>
          <w:sz w:val="22"/>
          <w:szCs w:val="22"/>
        </w:rPr>
        <w:t xml:space="preserve">, and the Mediterranean </w:t>
      </w:r>
      <w:r w:rsidRPr="00E35217">
        <w:rPr>
          <w:rFonts w:ascii="Century Schoolbook" w:hAnsi="Century Schoolbook"/>
          <w:sz w:val="22"/>
          <w:szCs w:val="22"/>
        </w:rPr>
        <w:fldChar w:fldCharType="begin" w:fldLock="1"/>
      </w:r>
      <w:r w:rsidRPr="00E35217">
        <w:rPr>
          <w:rFonts w:ascii="Century Schoolbook" w:hAnsi="Century Schoolbook"/>
          <w:sz w:val="22"/>
          <w:szCs w:val="22"/>
        </w:rPr>
        <w:instrText>ADDIN CSL_CITATION { "citationItems" : [ { "id" : "ITEM-1", "itemData" : { "DOI" : "10.1016/j.marmicro.2003.10.001", "ISBN" : "0377-8398", "ISSN" : "03778398", "abstract" : "The influence of microhabitat, organic matter flux, and metabolism on the stable oxygen and carbon isotope composition of live (Rose Bengal stained) and dead (empty tests) deep-sea benthic foraminifera from the Gulf of Lions (western Mediterranean Sea) have been studied. The total range of observed foraminiferal isotope values exceeds 1.0??? for ??18O and 2.2??? for ??13C demonstrating a wide range of coexisting disequilibria relative to ??18O of equilibrium calcite (?? 18OEQ) and ??13C of bottom water dissolved inorganic carbon (??13CDIC). The mean ??18O values reveal strongest disequilibria for the studied epifaunal to shallow infaunal species (Cibicidoides pachydermus, Uvigerina mediterranea, Uvigerina peregrina) while values approach equilibrium in deep infaunal species (Globobulimina affinis, Globobulimina pseudospinescens). The mean ??13C values decrease with increasing average living depths of the different species, thus reflecting a dominant microhabitat (pore water) signal. At the axis of the Lacaze-Duthier Canyon a minimum ?? 13CDIC pore water gradient of approximately -2.1??? is assessed for the upper 6 cm of the surface sediment. Although live individuals of U. mediterranea were found in different depth intervals their mean ??13C values are consistent with calcification at an average living depth around 1 cm. The deep infaunal occurrence of U. mediterranea specimens suggests association with macrofaunal burrows creating a microenvironment with geochemical characteristics similar to the topmost centimeter. This also explains the excellent agreement between stable isotope signals of live and dead individuals. The ontogenetic enrichment in both ??18O and ??13C values of U. mediterranea suggests a slow-down of metabolic rates during test growth similar to that previously observed in planktic foraminifera. Enhanced organic carbon fluxes and higher proportion of resuspended terrestrial organic material at the canyon axis are reflected by ??13C values of U. mediterranea on average 0.58??? lower than those from the open slope. These results demonstrate the general applicability of the ??13C signal of this species for the reconstruction of past organic matter fluxes in the Mediterranean Sea. Further studies on live specimens are needed for a more quantitative paleoceanographic approach. ?? 2004 Elsevier B.V. All rights reserved.", "author" : [ { "dropping-particle" : "", "family" : "Schmiedl", "given" : "Gerhard", "non-dropping-particle" : "", "parse-names" : false, "suffix" : "" }, { "dropping-particle" : "", "family" : "Pfeilsticker", "given" : "Martin", "non-dropping-particle" : "", "parse-names" : false, "suffix" : "" }, { "dropping-particle" : "", "family" : "Hemleben", "given" : "Christoph", "non-dropping-particle" : "", "parse-names" : false, "suffix" : "" }, { "dropping-particle" : "", "family" : "Mackensen", "given" : "Andreas", "non-dropping-particle" : "", "parse-names" : false, "suffix" : "" } ], "container-title" : "Marine Micropaleontology", "id" : "ITEM-1", "issue" : "1-2", "issued" : { "date-parts" : [ [ "2004" ] ] }, "page" : "129-152", "title" : "Environmental and biological effects on the stable isotope composition of recent deep-sea benthic foraminifera from the western Mediterranean Sea", "type" : "article-journal", "volume" : "51" }, "uris" : [ "http://www.mendeley.com/documents/?uuid=624052a5-faf6-4473-8851-955f4514a172" ] } ], "mendeley" : { "formattedCitation" : "[&lt;i&gt;Schmiedl et al.&lt;/i&gt;, 2004]", "plainTextFormattedCitation" : "[Schmiedl et al., 2004]", "previouslyFormattedCitation" : "[&lt;i&gt;Schmiedl et al.&lt;/i&gt;, 2004]" }, "properties" : { "noteIndex" : 0 }, "schema" : "https://github.com/citation-style-language/schema/raw/master/csl-citation.json" }</w:instrText>
      </w:r>
      <w:r w:rsidRPr="00E35217">
        <w:rPr>
          <w:rFonts w:ascii="Century Schoolbook" w:hAnsi="Century Schoolbook"/>
          <w:sz w:val="22"/>
          <w:szCs w:val="22"/>
        </w:rPr>
        <w:fldChar w:fldCharType="separate"/>
      </w:r>
      <w:r w:rsidRPr="00E35217">
        <w:rPr>
          <w:rFonts w:ascii="Century Schoolbook" w:hAnsi="Century Schoolbook"/>
          <w:noProof/>
          <w:sz w:val="22"/>
          <w:szCs w:val="22"/>
        </w:rPr>
        <w:t>[</w:t>
      </w:r>
      <w:r w:rsidRPr="00E35217">
        <w:rPr>
          <w:rFonts w:ascii="Century Schoolbook" w:hAnsi="Century Schoolbook"/>
          <w:i/>
          <w:noProof/>
          <w:sz w:val="22"/>
          <w:szCs w:val="22"/>
        </w:rPr>
        <w:t>Schmiedl et al.</w:t>
      </w:r>
      <w:r w:rsidRPr="00E35217">
        <w:rPr>
          <w:rFonts w:ascii="Century Schoolbook" w:hAnsi="Century Schoolbook"/>
          <w:noProof/>
          <w:sz w:val="22"/>
          <w:szCs w:val="22"/>
        </w:rPr>
        <w:t>, 2004]</w:t>
      </w:r>
      <w:r w:rsidRPr="00E35217">
        <w:rPr>
          <w:rFonts w:ascii="Century Schoolbook" w:hAnsi="Century Schoolbook"/>
          <w:sz w:val="22"/>
          <w:szCs w:val="22"/>
        </w:rPr>
        <w:fldChar w:fldCharType="end"/>
      </w:r>
      <w:r w:rsidRPr="00E35217">
        <w:rPr>
          <w:rFonts w:ascii="Century Schoolbook" w:hAnsi="Century Schoolbook"/>
          <w:sz w:val="22"/>
          <w:szCs w:val="22"/>
        </w:rPr>
        <w:t xml:space="preserve">. Amongst the planktic species, previous studies have found </w:t>
      </w:r>
      <w:r w:rsidR="00E35217" w:rsidRPr="00E35217">
        <w:rPr>
          <w:rFonts w:ascii="Century Schoolbook" w:hAnsi="Century Schoolbook"/>
          <w:sz w:val="22"/>
          <w:szCs w:val="22"/>
        </w:rPr>
        <w:t>a similar</w:t>
      </w:r>
      <w:r w:rsidRPr="00E35217">
        <w:rPr>
          <w:rFonts w:ascii="Century Schoolbook" w:hAnsi="Century Schoolbook"/>
          <w:sz w:val="22"/>
          <w:szCs w:val="22"/>
        </w:rPr>
        <w:t xml:space="preserve"> size-dependent negative trend in both </w:t>
      </w:r>
      <w:r w:rsidRPr="00E35217">
        <w:rPr>
          <w:rFonts w:ascii="Century Schoolbook" w:hAnsi="Century Schoolbook"/>
          <w:i/>
          <w:sz w:val="22"/>
          <w:szCs w:val="22"/>
        </w:rPr>
        <w:t>N. incompta</w:t>
      </w:r>
      <w:r w:rsidRPr="00E35217">
        <w:rPr>
          <w:rFonts w:ascii="Century Schoolbook" w:hAnsi="Century Schoolbook"/>
          <w:sz w:val="22"/>
          <w:szCs w:val="22"/>
        </w:rPr>
        <w:t xml:space="preserve"> and </w:t>
      </w:r>
      <w:r w:rsidRPr="00E35217">
        <w:rPr>
          <w:rFonts w:ascii="Century Schoolbook" w:hAnsi="Century Schoolbook"/>
          <w:i/>
          <w:sz w:val="22"/>
          <w:szCs w:val="22"/>
        </w:rPr>
        <w:t>N. pachyderma</w:t>
      </w:r>
      <w:r w:rsidRPr="00E35217">
        <w:rPr>
          <w:rFonts w:ascii="Century Schoolbook" w:hAnsi="Century Schoolbook"/>
          <w:sz w:val="22"/>
          <w:szCs w:val="22"/>
        </w:rPr>
        <w:t xml:space="preserve"> </w:t>
      </w:r>
      <w:r w:rsidRPr="00E35217">
        <w:rPr>
          <w:rFonts w:ascii="Century Schoolbook" w:hAnsi="Century Schoolbook"/>
          <w:sz w:val="22"/>
          <w:szCs w:val="22"/>
        </w:rPr>
        <w:fldChar w:fldCharType="begin" w:fldLock="1"/>
      </w:r>
      <w:r w:rsidRPr="00E35217">
        <w:rPr>
          <w:rFonts w:ascii="Century Schoolbook" w:hAnsi="Century Schoolbook"/>
          <w:sz w:val="22"/>
          <w:szCs w:val="22"/>
        </w:rPr>
        <w:instrText>ADDIN CSL_CITATION { "citationItems" : [ { "id" : "ITEM-1", "itemData" : { "DOI" : "10.1016/j.quascirev.2003.08.006", "ISBN" : "0277-3791", "ISSN" : "02773791", "abstract" : "In Arctic and sub Arctic seas, shell growth and/or secondary calcite overgrowth of Neogloboquadrina pachyderma (left coiled) - Npl - occur along the pycnocline, and their ??13C and ??18O-values are size and weight dependent. However, whereas the Npl 18O data from the NW Atlantic indicate near-equilibrium conditions with ambient waters and a positive relationship between shell weight and 18O-content, assemblages from box-cored sediments of the Chukchi Sea (western Arctic) are depleted by ???2??? with respect to equilibrium values with modern conditions, and depict a negative relationship between shell weight and its ??18O-value (-0.15??0.03???/??g on VPDB scale). A similar feature is also depicted by the dextral form of N. pachyderma (Npd). We associate the reverse shell-size or weight vs. ??18O relationship to the reverse temperature gradient observed along the thermocline between the surface cold and dilute water layer, and the underlying near 3??C-warmer saline North Atlantic water mass. The analysis of two late to post-glacial sedimentary sequences from the Chukchi Sea indicates that such a water mass stratification with a reverse thermocline persisted throughout the Holocene, thus reflecting an early onset of the modern-like linkage between the Arctic Ocean and the North Atlantic. Moreover, lower ??18O- values in both Npl and Npd together with larger ??18O-gradients between the different shell sizes at ca 9-7ka BP suggest ???3??C higher temperatures in the upper North Atlantic water mass, in comparison with the present (approximately +1??C, at the study site), thus likely a higher inflow rate of this water mass during the early Holocene. ?? 2003 Elsevier Ltd. All rights reserved.", "author" : [ { "dropping-particle" : "", "family" : "Hillaire-Marcel", "given" : "C.", "non-dropping-particle" : "", "parse-names" : false, "suffix" : "" }, { "dropping-particle" : "", "family" : "Vernal", "given" : "A.", "non-dropping-particle" : "de", "parse-names" : false, "suffix" : "" }, { "dropping-particle" : "", "family" : "Polyak", "given" : "L.", "non-dropping-particle" : "", "parse-names" : false, "suffix" : "" }, { "dropping-particle" : "", "family" : "Darby", "given" : "D.", "non-dropping-particle" : "", "parse-names" : false, "suffix" : "" } ], "container-title" : "Quaternary Science Reviews", "id" : "ITEM-1", "issue" : "3-4", "issued" : { "date-parts" : [ [ "2004" ] ] }, "page" : "245-260", "title" : "Size-dependent isotopic composition of planktic foraminifers from Chukchi Sea vs. NW Atlantic sediments - Implications for the Holocene paleoceanography of the western Arctic", "type" : "article-journal", "volume" : "23" }, "uris" : [ "http://www.mendeley.com/documents/?uuid=eaffff59-667a-4e7a-b528-541d6ab21ff4" ] } ], "mendeley" : { "formattedCitation" : "[&lt;i&gt;Hillaire-Marcel et al.&lt;/i&gt;, 2004]", "plainTextFormattedCitation" : "[Hillaire-Marcel et al., 2004]", "previouslyFormattedCitation" : "[&lt;i&gt;Hillaire-Marcel et al.&lt;/i&gt;, 2004]" }, "properties" : { "noteIndex" : 0 }, "schema" : "https://github.com/citation-style-language/schema/raw/master/csl-citation.json" }</w:instrText>
      </w:r>
      <w:r w:rsidRPr="00E35217">
        <w:rPr>
          <w:rFonts w:ascii="Century Schoolbook" w:hAnsi="Century Schoolbook"/>
          <w:sz w:val="22"/>
          <w:szCs w:val="22"/>
        </w:rPr>
        <w:fldChar w:fldCharType="separate"/>
      </w:r>
      <w:r w:rsidRPr="00E35217">
        <w:rPr>
          <w:rFonts w:ascii="Century Schoolbook" w:hAnsi="Century Schoolbook"/>
          <w:noProof/>
          <w:sz w:val="22"/>
          <w:szCs w:val="22"/>
        </w:rPr>
        <w:t>[</w:t>
      </w:r>
      <w:r w:rsidRPr="00E35217">
        <w:rPr>
          <w:rFonts w:ascii="Century Schoolbook" w:hAnsi="Century Schoolbook"/>
          <w:i/>
          <w:noProof/>
          <w:sz w:val="22"/>
          <w:szCs w:val="22"/>
        </w:rPr>
        <w:t>Hillaire-Marcel et al.</w:t>
      </w:r>
      <w:r w:rsidRPr="00E35217">
        <w:rPr>
          <w:rFonts w:ascii="Century Schoolbook" w:hAnsi="Century Schoolbook"/>
          <w:noProof/>
          <w:sz w:val="22"/>
          <w:szCs w:val="22"/>
        </w:rPr>
        <w:t>, 2004]</w:t>
      </w:r>
      <w:r w:rsidRPr="00E35217">
        <w:rPr>
          <w:rFonts w:ascii="Century Schoolbook" w:hAnsi="Century Schoolbook"/>
          <w:sz w:val="22"/>
          <w:szCs w:val="22"/>
        </w:rPr>
        <w:fldChar w:fldCharType="end"/>
      </w:r>
      <w:r w:rsidRPr="00E35217">
        <w:rPr>
          <w:rFonts w:ascii="Century Schoolbook" w:hAnsi="Century Schoolbook"/>
          <w:sz w:val="22"/>
          <w:szCs w:val="22"/>
        </w:rPr>
        <w:t>,</w:t>
      </w:r>
      <w:r w:rsidR="00A76430" w:rsidRPr="00E35217">
        <w:rPr>
          <w:rFonts w:ascii="Century Schoolbook" w:hAnsi="Century Schoolbook"/>
          <w:sz w:val="22"/>
          <w:szCs w:val="22"/>
        </w:rPr>
        <w:t xml:space="preserve"> but</w:t>
      </w:r>
      <w:r w:rsidRPr="00E35217">
        <w:rPr>
          <w:rFonts w:ascii="Century Schoolbook" w:hAnsi="Century Schoolbook"/>
          <w:sz w:val="22"/>
          <w:szCs w:val="22"/>
        </w:rPr>
        <w:t xml:space="preserve"> the presence </w:t>
      </w:r>
      <w:r w:rsidR="00E01074" w:rsidRPr="00E35217">
        <w:rPr>
          <w:rFonts w:ascii="Century Schoolbook" w:hAnsi="Century Schoolbook"/>
          <w:sz w:val="22"/>
          <w:szCs w:val="22"/>
        </w:rPr>
        <w:t xml:space="preserve">of size-dependent </w:t>
      </w:r>
      <w:r w:rsidR="00E01074" w:rsidRPr="00E35217">
        <w:rPr>
          <w:rFonts w:ascii="Symbol" w:hAnsi="Symbol"/>
          <w:sz w:val="22"/>
          <w:szCs w:val="22"/>
        </w:rPr>
        <w:t></w:t>
      </w:r>
      <w:r w:rsidR="00E01074" w:rsidRPr="00E35217">
        <w:rPr>
          <w:rFonts w:ascii="Century Schoolbook" w:hAnsi="Century Schoolbook"/>
          <w:sz w:val="22"/>
          <w:szCs w:val="22"/>
          <w:vertAlign w:val="superscript"/>
        </w:rPr>
        <w:t>18</w:t>
      </w:r>
      <w:r w:rsidR="00E01074" w:rsidRPr="00E35217">
        <w:rPr>
          <w:rFonts w:ascii="Century Schoolbook" w:hAnsi="Century Schoolbook"/>
          <w:sz w:val="22"/>
          <w:szCs w:val="22"/>
        </w:rPr>
        <w:t xml:space="preserve">O in </w:t>
      </w:r>
      <w:r w:rsidR="00A76430" w:rsidRPr="00E35217">
        <w:rPr>
          <w:rFonts w:ascii="Century Schoolbook" w:hAnsi="Century Schoolbook"/>
          <w:sz w:val="22"/>
          <w:szCs w:val="22"/>
        </w:rPr>
        <w:t>just</w:t>
      </w:r>
      <w:r w:rsidRPr="00E35217">
        <w:rPr>
          <w:rFonts w:ascii="Century Schoolbook" w:hAnsi="Century Schoolbook"/>
          <w:sz w:val="22"/>
          <w:szCs w:val="22"/>
        </w:rPr>
        <w:t xml:space="preserve"> </w:t>
      </w:r>
      <w:r w:rsidRPr="00E35217">
        <w:rPr>
          <w:rFonts w:ascii="Century Schoolbook" w:hAnsi="Century Schoolbook"/>
          <w:i/>
          <w:sz w:val="22"/>
          <w:szCs w:val="22"/>
        </w:rPr>
        <w:t>N. incompta</w:t>
      </w:r>
      <w:r w:rsidRPr="00E35217">
        <w:rPr>
          <w:rFonts w:ascii="Century Schoolbook" w:hAnsi="Century Schoolbook"/>
          <w:sz w:val="22"/>
          <w:szCs w:val="22"/>
        </w:rPr>
        <w:t xml:space="preserve"> on the JdFR may indicate separate ecological niches for </w:t>
      </w:r>
      <w:r w:rsidR="00E35217" w:rsidRPr="00E35217">
        <w:rPr>
          <w:rFonts w:ascii="Century Schoolbook" w:hAnsi="Century Schoolbook"/>
          <w:i/>
          <w:sz w:val="22"/>
          <w:szCs w:val="22"/>
        </w:rPr>
        <w:t>N. incompta</w:t>
      </w:r>
      <w:r w:rsidR="00E35217" w:rsidRPr="00E35217">
        <w:rPr>
          <w:rFonts w:ascii="Century Schoolbook" w:hAnsi="Century Schoolbook"/>
          <w:sz w:val="22"/>
          <w:szCs w:val="22"/>
        </w:rPr>
        <w:t xml:space="preserve"> and </w:t>
      </w:r>
      <w:r w:rsidR="00E35217" w:rsidRPr="00E35217">
        <w:rPr>
          <w:rFonts w:ascii="Century Schoolbook" w:hAnsi="Century Schoolbook"/>
          <w:i/>
          <w:sz w:val="22"/>
          <w:szCs w:val="22"/>
        </w:rPr>
        <w:t>N. pachyderma</w:t>
      </w:r>
      <w:r w:rsidR="00E35217" w:rsidRPr="00E35217">
        <w:rPr>
          <w:rFonts w:ascii="Century Schoolbook" w:hAnsi="Century Schoolbook"/>
          <w:sz w:val="22"/>
          <w:szCs w:val="22"/>
        </w:rPr>
        <w:t xml:space="preserve"> </w:t>
      </w:r>
      <w:r w:rsidR="00E35217" w:rsidRPr="00E35217">
        <w:rPr>
          <w:rFonts w:ascii="Century Schoolbook" w:hAnsi="Century Schoolbook"/>
          <w:sz w:val="22"/>
          <w:szCs w:val="22"/>
        </w:rPr>
        <w:t>in this region.</w:t>
      </w:r>
      <w:r w:rsidR="00EC2696" w:rsidRPr="00CB16F2">
        <w:rPr>
          <w:rFonts w:ascii="Century Schoolbook" w:hAnsi="Century Schoolbook"/>
          <w:sz w:val="22"/>
          <w:szCs w:val="22"/>
        </w:rPr>
        <w:br w:type="page"/>
      </w:r>
    </w:p>
    <w:p w14:paraId="384C04D8" w14:textId="77777777" w:rsidR="00EC2696" w:rsidRPr="00CB16F2" w:rsidRDefault="00EC2696">
      <w:pPr>
        <w:rPr>
          <w:rFonts w:ascii="Century Schoolbook" w:hAnsi="Century Schoolbook"/>
          <w:sz w:val="22"/>
          <w:szCs w:val="22"/>
        </w:rPr>
      </w:pPr>
      <w:r w:rsidRPr="00CB16F2">
        <w:rPr>
          <w:rFonts w:ascii="Century Schoolbook" w:hAnsi="Century Schoolbook"/>
          <w:noProof/>
          <w:sz w:val="22"/>
          <w:szCs w:val="22"/>
        </w:rPr>
        <w:lastRenderedPageBreak/>
        <w:drawing>
          <wp:anchor distT="0" distB="0" distL="114300" distR="114300" simplePos="0" relativeHeight="251658240" behindDoc="0" locked="0" layoutInCell="1" allowOverlap="1" wp14:anchorId="69680CE2" wp14:editId="6ABCB6B8">
            <wp:simplePos x="0" y="0"/>
            <wp:positionH relativeFrom="column">
              <wp:posOffset>136525</wp:posOffset>
            </wp:positionH>
            <wp:positionV relativeFrom="paragraph">
              <wp:posOffset>0</wp:posOffset>
            </wp:positionV>
            <wp:extent cx="2378075" cy="82296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izeFraction.pdf"/>
                    <pic:cNvPicPr/>
                  </pic:nvPicPr>
                  <pic:blipFill>
                    <a:blip r:embed="rId7">
                      <a:extLst>
                        <a:ext uri="{28A0092B-C50C-407E-A947-70E740481C1C}">
                          <a14:useLocalDpi xmlns:a14="http://schemas.microsoft.com/office/drawing/2010/main" val="0"/>
                        </a:ext>
                      </a:extLst>
                    </a:blip>
                    <a:stretch>
                      <a:fillRect/>
                    </a:stretch>
                  </pic:blipFill>
                  <pic:spPr>
                    <a:xfrm>
                      <a:off x="0" y="0"/>
                      <a:ext cx="2378075" cy="8229600"/>
                    </a:xfrm>
                    <a:prstGeom prst="rect">
                      <a:avLst/>
                    </a:prstGeom>
                  </pic:spPr>
                </pic:pic>
              </a:graphicData>
            </a:graphic>
            <wp14:sizeRelH relativeFrom="page">
              <wp14:pctWidth>0</wp14:pctWidth>
            </wp14:sizeRelH>
            <wp14:sizeRelV relativeFrom="page">
              <wp14:pctHeight>0</wp14:pctHeight>
            </wp14:sizeRelV>
          </wp:anchor>
        </w:drawing>
      </w:r>
    </w:p>
    <w:p w14:paraId="08DAA0F2" w14:textId="77777777" w:rsidR="000D2FD8" w:rsidRPr="00CB16F2" w:rsidRDefault="000D2FD8">
      <w:pPr>
        <w:rPr>
          <w:rFonts w:ascii="Century Schoolbook" w:hAnsi="Century Schoolbook"/>
          <w:b/>
          <w:sz w:val="22"/>
          <w:szCs w:val="22"/>
        </w:rPr>
      </w:pPr>
    </w:p>
    <w:p w14:paraId="49E00C81" w14:textId="77777777" w:rsidR="000D2FD8" w:rsidRPr="00CB16F2" w:rsidRDefault="000D2FD8">
      <w:pPr>
        <w:rPr>
          <w:rFonts w:ascii="Century Schoolbook" w:hAnsi="Century Schoolbook"/>
          <w:b/>
          <w:sz w:val="22"/>
          <w:szCs w:val="22"/>
        </w:rPr>
      </w:pPr>
    </w:p>
    <w:p w14:paraId="498387D3" w14:textId="77777777" w:rsidR="000D2FD8" w:rsidRPr="00CB16F2" w:rsidRDefault="000D2FD8">
      <w:pPr>
        <w:rPr>
          <w:rFonts w:ascii="Century Schoolbook" w:hAnsi="Century Schoolbook"/>
          <w:b/>
          <w:sz w:val="22"/>
          <w:szCs w:val="22"/>
        </w:rPr>
      </w:pPr>
    </w:p>
    <w:p w14:paraId="7AA245F4" w14:textId="77777777" w:rsidR="000D2FD8" w:rsidRPr="00CB16F2" w:rsidRDefault="000D2FD8">
      <w:pPr>
        <w:rPr>
          <w:rFonts w:ascii="Century Schoolbook" w:hAnsi="Century Schoolbook"/>
          <w:b/>
          <w:sz w:val="22"/>
          <w:szCs w:val="22"/>
        </w:rPr>
      </w:pPr>
    </w:p>
    <w:p w14:paraId="128B7E2B" w14:textId="77777777" w:rsidR="000D2FD8" w:rsidRPr="00CB16F2" w:rsidRDefault="000D2FD8">
      <w:pPr>
        <w:rPr>
          <w:rFonts w:ascii="Century Schoolbook" w:hAnsi="Century Schoolbook"/>
          <w:b/>
          <w:sz w:val="22"/>
          <w:szCs w:val="22"/>
        </w:rPr>
      </w:pPr>
    </w:p>
    <w:p w14:paraId="6A9299BF" w14:textId="77777777" w:rsidR="000D2FD8" w:rsidRPr="00CB16F2" w:rsidRDefault="000D2FD8">
      <w:pPr>
        <w:rPr>
          <w:rFonts w:ascii="Century Schoolbook" w:hAnsi="Century Schoolbook"/>
          <w:b/>
          <w:sz w:val="22"/>
          <w:szCs w:val="22"/>
        </w:rPr>
      </w:pPr>
    </w:p>
    <w:p w14:paraId="5EAFF97B" w14:textId="77777777" w:rsidR="000D2FD8" w:rsidRPr="00CB16F2" w:rsidRDefault="000D2FD8">
      <w:pPr>
        <w:rPr>
          <w:rFonts w:ascii="Century Schoolbook" w:hAnsi="Century Schoolbook"/>
          <w:b/>
          <w:sz w:val="22"/>
          <w:szCs w:val="22"/>
        </w:rPr>
      </w:pPr>
    </w:p>
    <w:p w14:paraId="119BC246" w14:textId="77777777" w:rsidR="000D2FD8" w:rsidRPr="00CB16F2" w:rsidRDefault="000D2FD8">
      <w:pPr>
        <w:rPr>
          <w:rFonts w:ascii="Century Schoolbook" w:hAnsi="Century Schoolbook"/>
          <w:b/>
          <w:sz w:val="22"/>
          <w:szCs w:val="22"/>
        </w:rPr>
      </w:pPr>
    </w:p>
    <w:p w14:paraId="2F8B8BA3" w14:textId="77777777" w:rsidR="000D2FD8" w:rsidRPr="00CB16F2" w:rsidRDefault="000D2FD8">
      <w:pPr>
        <w:rPr>
          <w:rFonts w:ascii="Century Schoolbook" w:hAnsi="Century Schoolbook"/>
          <w:b/>
          <w:sz w:val="22"/>
          <w:szCs w:val="22"/>
        </w:rPr>
      </w:pPr>
    </w:p>
    <w:p w14:paraId="4BB41B04" w14:textId="77777777" w:rsidR="000D2FD8" w:rsidRPr="00CB16F2" w:rsidRDefault="000D2FD8">
      <w:pPr>
        <w:rPr>
          <w:rFonts w:ascii="Century Schoolbook" w:hAnsi="Century Schoolbook"/>
          <w:b/>
          <w:sz w:val="22"/>
          <w:szCs w:val="22"/>
        </w:rPr>
      </w:pPr>
    </w:p>
    <w:p w14:paraId="25010B17" w14:textId="77777777" w:rsidR="000D2FD8" w:rsidRPr="00CB16F2" w:rsidRDefault="000D2FD8">
      <w:pPr>
        <w:rPr>
          <w:rFonts w:ascii="Century Schoolbook" w:hAnsi="Century Schoolbook"/>
          <w:b/>
          <w:sz w:val="22"/>
          <w:szCs w:val="22"/>
        </w:rPr>
      </w:pPr>
    </w:p>
    <w:p w14:paraId="5198BE1E" w14:textId="77777777" w:rsidR="000D2FD8" w:rsidRPr="00CB16F2" w:rsidRDefault="000D2FD8">
      <w:pPr>
        <w:rPr>
          <w:rFonts w:ascii="Century Schoolbook" w:hAnsi="Century Schoolbook"/>
          <w:b/>
          <w:sz w:val="22"/>
          <w:szCs w:val="22"/>
        </w:rPr>
      </w:pPr>
    </w:p>
    <w:p w14:paraId="347E248C" w14:textId="77777777" w:rsidR="000D2FD8" w:rsidRPr="00CB16F2" w:rsidRDefault="000D2FD8">
      <w:pPr>
        <w:rPr>
          <w:rFonts w:ascii="Century Schoolbook" w:hAnsi="Century Schoolbook"/>
          <w:b/>
          <w:sz w:val="22"/>
          <w:szCs w:val="22"/>
        </w:rPr>
      </w:pPr>
    </w:p>
    <w:p w14:paraId="4205522D" w14:textId="77777777" w:rsidR="000D2FD8" w:rsidRPr="00CB16F2" w:rsidRDefault="000D2FD8">
      <w:pPr>
        <w:rPr>
          <w:rFonts w:ascii="Century Schoolbook" w:hAnsi="Century Schoolbook"/>
          <w:b/>
          <w:sz w:val="22"/>
          <w:szCs w:val="22"/>
        </w:rPr>
      </w:pPr>
    </w:p>
    <w:p w14:paraId="443A6C00" w14:textId="77777777" w:rsidR="000D2FD8" w:rsidRPr="00CB16F2" w:rsidRDefault="000D2FD8">
      <w:pPr>
        <w:rPr>
          <w:rFonts w:ascii="Century Schoolbook" w:hAnsi="Century Schoolbook"/>
          <w:b/>
          <w:sz w:val="22"/>
          <w:szCs w:val="22"/>
        </w:rPr>
      </w:pPr>
    </w:p>
    <w:p w14:paraId="40C28521" w14:textId="77777777" w:rsidR="000D2FD8" w:rsidRPr="00CB16F2" w:rsidRDefault="000D2FD8">
      <w:pPr>
        <w:rPr>
          <w:rFonts w:ascii="Century Schoolbook" w:hAnsi="Century Schoolbook"/>
          <w:b/>
          <w:sz w:val="22"/>
          <w:szCs w:val="22"/>
        </w:rPr>
      </w:pPr>
    </w:p>
    <w:p w14:paraId="7F612C94" w14:textId="77777777" w:rsidR="000D2FD8" w:rsidRPr="00CB16F2" w:rsidRDefault="000D2FD8">
      <w:pPr>
        <w:rPr>
          <w:rFonts w:ascii="Century Schoolbook" w:hAnsi="Century Schoolbook"/>
          <w:b/>
          <w:sz w:val="22"/>
          <w:szCs w:val="22"/>
        </w:rPr>
      </w:pPr>
    </w:p>
    <w:p w14:paraId="6DB98A8A" w14:textId="77777777" w:rsidR="000D2FD8" w:rsidRPr="00CB16F2" w:rsidRDefault="000D2FD8">
      <w:pPr>
        <w:rPr>
          <w:rFonts w:ascii="Century Schoolbook" w:hAnsi="Century Schoolbook"/>
          <w:b/>
          <w:sz w:val="22"/>
          <w:szCs w:val="22"/>
        </w:rPr>
      </w:pPr>
    </w:p>
    <w:p w14:paraId="45F2ED0C" w14:textId="77777777" w:rsidR="000D2FD8" w:rsidRPr="00CB16F2" w:rsidRDefault="000D2FD8">
      <w:pPr>
        <w:rPr>
          <w:rFonts w:ascii="Century Schoolbook" w:hAnsi="Century Schoolbook"/>
          <w:b/>
          <w:sz w:val="22"/>
          <w:szCs w:val="22"/>
        </w:rPr>
      </w:pPr>
    </w:p>
    <w:p w14:paraId="75528408" w14:textId="77777777" w:rsidR="000D2FD8" w:rsidRPr="00CB16F2" w:rsidRDefault="000D2FD8">
      <w:pPr>
        <w:rPr>
          <w:rFonts w:ascii="Century Schoolbook" w:hAnsi="Century Schoolbook"/>
          <w:b/>
          <w:sz w:val="22"/>
          <w:szCs w:val="22"/>
        </w:rPr>
      </w:pPr>
    </w:p>
    <w:p w14:paraId="76EF8C9F" w14:textId="77777777" w:rsidR="000D2FD8" w:rsidRPr="00CB16F2" w:rsidRDefault="000D2FD8">
      <w:pPr>
        <w:rPr>
          <w:rFonts w:ascii="Century Schoolbook" w:hAnsi="Century Schoolbook"/>
          <w:b/>
          <w:sz w:val="22"/>
          <w:szCs w:val="22"/>
        </w:rPr>
      </w:pPr>
    </w:p>
    <w:p w14:paraId="5762B573" w14:textId="4A37E6AB" w:rsidR="00EC2696" w:rsidRPr="00CB16F2" w:rsidRDefault="00EC2696">
      <w:pPr>
        <w:rPr>
          <w:rFonts w:ascii="Century Schoolbook" w:hAnsi="Century Schoolbook"/>
          <w:sz w:val="22"/>
          <w:szCs w:val="22"/>
        </w:rPr>
      </w:pPr>
      <w:r w:rsidRPr="00CB16F2">
        <w:rPr>
          <w:rFonts w:ascii="Century Schoolbook" w:hAnsi="Century Schoolbook"/>
          <w:b/>
          <w:sz w:val="22"/>
          <w:szCs w:val="22"/>
        </w:rPr>
        <w:t xml:space="preserve">Supplementary Figure 1. Size fraction </w:t>
      </w:r>
      <w:r w:rsidRPr="00CB16F2">
        <w:rPr>
          <w:rFonts w:ascii="Symbol" w:hAnsi="Symbol"/>
          <w:b/>
          <w:sz w:val="22"/>
          <w:szCs w:val="22"/>
        </w:rPr>
        <w:t></w:t>
      </w:r>
      <w:r w:rsidRPr="00CB16F2">
        <w:rPr>
          <w:rFonts w:ascii="Century Schoolbook" w:hAnsi="Century Schoolbook"/>
          <w:b/>
          <w:sz w:val="22"/>
          <w:szCs w:val="22"/>
          <w:vertAlign w:val="superscript"/>
        </w:rPr>
        <w:t>18</w:t>
      </w:r>
      <w:r w:rsidRPr="00CB16F2">
        <w:rPr>
          <w:rFonts w:ascii="Century Schoolbook" w:hAnsi="Century Schoolbook"/>
          <w:b/>
          <w:sz w:val="22"/>
          <w:szCs w:val="22"/>
        </w:rPr>
        <w:t xml:space="preserve">O for each of the five </w:t>
      </w:r>
      <w:r w:rsidR="00E01074">
        <w:rPr>
          <w:rFonts w:ascii="Century Schoolbook" w:hAnsi="Century Schoolbook"/>
          <w:b/>
          <w:sz w:val="22"/>
          <w:szCs w:val="22"/>
        </w:rPr>
        <w:t xml:space="preserve">foraminifera </w:t>
      </w:r>
      <w:r w:rsidRPr="00CB16F2">
        <w:rPr>
          <w:rFonts w:ascii="Century Schoolbook" w:hAnsi="Century Schoolbook"/>
          <w:b/>
          <w:sz w:val="22"/>
          <w:szCs w:val="22"/>
        </w:rPr>
        <w:t>species</w:t>
      </w:r>
      <w:r w:rsidR="00E01074">
        <w:rPr>
          <w:rFonts w:ascii="Century Schoolbook" w:hAnsi="Century Schoolbook"/>
          <w:b/>
          <w:sz w:val="22"/>
          <w:szCs w:val="22"/>
        </w:rPr>
        <w:t xml:space="preserve"> analyzed</w:t>
      </w:r>
      <w:r w:rsidRPr="00CB16F2">
        <w:rPr>
          <w:rFonts w:ascii="Century Schoolbook" w:hAnsi="Century Schoolbook"/>
          <w:sz w:val="22"/>
          <w:szCs w:val="22"/>
        </w:rPr>
        <w:t xml:space="preserve">. Samples are from 53MC and cover the Holocene (0cm, orange), deglaciation (16cm, gray), and the last glacial period (39cm, blue). All </w:t>
      </w:r>
      <w:r w:rsidRPr="00CB16F2">
        <w:rPr>
          <w:rFonts w:ascii="Symbol" w:hAnsi="Symbol"/>
          <w:sz w:val="22"/>
          <w:szCs w:val="22"/>
        </w:rPr>
        <w:t></w:t>
      </w:r>
      <w:r w:rsidRPr="00CB16F2">
        <w:rPr>
          <w:rFonts w:ascii="Century Schoolbook" w:hAnsi="Century Schoolbook"/>
          <w:sz w:val="22"/>
          <w:szCs w:val="22"/>
          <w:vertAlign w:val="superscript"/>
        </w:rPr>
        <w:t>18</w:t>
      </w:r>
      <w:r w:rsidRPr="00CB16F2">
        <w:rPr>
          <w:rFonts w:ascii="Century Schoolbook" w:hAnsi="Century Schoolbook"/>
          <w:sz w:val="22"/>
          <w:szCs w:val="22"/>
        </w:rPr>
        <w:t>O have been normalized to the specific mean for each sediment interval in order to plot the data on the same y-axis. Dashed lines at 1 indicate values equivalent to the mean. Data are plotted at the lower sieve bounds, so that the size fraction 150-180</w:t>
      </w:r>
      <w:r w:rsidRPr="00CB16F2">
        <w:rPr>
          <w:rFonts w:ascii="Symbol" w:hAnsi="Symbol"/>
          <w:sz w:val="22"/>
          <w:szCs w:val="22"/>
        </w:rPr>
        <w:t></w:t>
      </w:r>
      <w:r w:rsidRPr="00CB16F2">
        <w:rPr>
          <w:rFonts w:ascii="Century Schoolbook" w:hAnsi="Century Schoolbook"/>
          <w:sz w:val="22"/>
          <w:szCs w:val="22"/>
        </w:rPr>
        <w:t>m is shown at 150</w:t>
      </w:r>
      <w:r w:rsidRPr="00CB16F2">
        <w:rPr>
          <w:rFonts w:ascii="Symbol" w:hAnsi="Symbol"/>
          <w:sz w:val="22"/>
          <w:szCs w:val="22"/>
        </w:rPr>
        <w:t></w:t>
      </w:r>
      <w:r w:rsidRPr="00CB16F2">
        <w:rPr>
          <w:rFonts w:ascii="Century Schoolbook" w:hAnsi="Century Schoolbook"/>
          <w:sz w:val="22"/>
          <w:szCs w:val="22"/>
        </w:rPr>
        <w:t>m.</w:t>
      </w:r>
      <w:r w:rsidR="00517928">
        <w:rPr>
          <w:rFonts w:ascii="Century Schoolbook" w:hAnsi="Century Schoolbook"/>
          <w:sz w:val="22"/>
          <w:szCs w:val="22"/>
        </w:rPr>
        <w:t xml:space="preserve"> Black lines indicate the average (mean) deviation within each size bin.</w:t>
      </w:r>
    </w:p>
    <w:p w14:paraId="00D7D499" w14:textId="77777777" w:rsidR="00EC2696" w:rsidRPr="00CB16F2" w:rsidRDefault="00EC2696">
      <w:pPr>
        <w:rPr>
          <w:rFonts w:ascii="Century Schoolbook" w:hAnsi="Century Schoolbook"/>
          <w:sz w:val="22"/>
          <w:szCs w:val="22"/>
        </w:rPr>
      </w:pPr>
    </w:p>
    <w:p w14:paraId="7303A08F" w14:textId="77777777" w:rsidR="00EC2696" w:rsidRPr="00CB16F2" w:rsidRDefault="00EC2696">
      <w:pPr>
        <w:rPr>
          <w:rFonts w:ascii="Century Schoolbook" w:hAnsi="Century Schoolbook"/>
          <w:sz w:val="22"/>
          <w:szCs w:val="22"/>
        </w:rPr>
      </w:pPr>
      <w:r w:rsidRPr="00CB16F2">
        <w:rPr>
          <w:rFonts w:ascii="Century Schoolbook" w:hAnsi="Century Schoolbook"/>
          <w:sz w:val="22"/>
          <w:szCs w:val="22"/>
        </w:rPr>
        <w:br w:type="page"/>
      </w:r>
    </w:p>
    <w:p w14:paraId="528AB54A" w14:textId="6D2F056A" w:rsidR="00645BB9" w:rsidRPr="00CB16F2" w:rsidRDefault="00D17879">
      <w:pPr>
        <w:rPr>
          <w:rFonts w:ascii="Century Schoolbook" w:hAnsi="Century Schoolbook"/>
          <w:sz w:val="22"/>
          <w:szCs w:val="22"/>
        </w:rPr>
      </w:pPr>
      <w:r w:rsidRPr="00CB16F2">
        <w:rPr>
          <w:rFonts w:ascii="Century Schoolbook" w:hAnsi="Century Schoolbook"/>
          <w:noProof/>
          <w:sz w:val="22"/>
          <w:szCs w:val="22"/>
        </w:rPr>
        <w:drawing>
          <wp:inline distT="0" distB="0" distL="0" distR="0" wp14:anchorId="3FEF972A" wp14:editId="04BA2C2D">
            <wp:extent cx="5943600" cy="39204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CorevsCompositeDepth.pdf"/>
                    <pic:cNvPicPr/>
                  </pic:nvPicPr>
                  <pic:blipFill>
                    <a:blip r:embed="rId8">
                      <a:extLst>
                        <a:ext uri="{28A0092B-C50C-407E-A947-70E740481C1C}">
                          <a14:useLocalDpi xmlns:a14="http://schemas.microsoft.com/office/drawing/2010/main" val="0"/>
                        </a:ext>
                      </a:extLst>
                    </a:blip>
                    <a:stretch>
                      <a:fillRect/>
                    </a:stretch>
                  </pic:blipFill>
                  <pic:spPr>
                    <a:xfrm>
                      <a:off x="0" y="0"/>
                      <a:ext cx="5943600" cy="3920490"/>
                    </a:xfrm>
                    <a:prstGeom prst="rect">
                      <a:avLst/>
                    </a:prstGeom>
                  </pic:spPr>
                </pic:pic>
              </a:graphicData>
            </a:graphic>
          </wp:inline>
        </w:drawing>
      </w:r>
    </w:p>
    <w:p w14:paraId="1B2F4E19" w14:textId="77777777" w:rsidR="00D17879" w:rsidRPr="00CB16F2" w:rsidRDefault="00D17879">
      <w:pPr>
        <w:rPr>
          <w:rFonts w:ascii="Century Schoolbook" w:hAnsi="Century Schoolbook"/>
          <w:sz w:val="22"/>
          <w:szCs w:val="22"/>
        </w:rPr>
      </w:pPr>
    </w:p>
    <w:p w14:paraId="0F993115" w14:textId="322C1CE9" w:rsidR="00D17879" w:rsidRPr="00CB16F2" w:rsidRDefault="00D17879" w:rsidP="00D17879">
      <w:pPr>
        <w:rPr>
          <w:rFonts w:ascii="Century Schoolbook" w:hAnsi="Century Schoolbook"/>
          <w:sz w:val="22"/>
          <w:szCs w:val="22"/>
        </w:rPr>
      </w:pPr>
      <w:r w:rsidRPr="00CB16F2">
        <w:rPr>
          <w:rFonts w:ascii="Century Schoolbook" w:hAnsi="Century Schoolbook"/>
          <w:b/>
          <w:sz w:val="22"/>
          <w:szCs w:val="22"/>
        </w:rPr>
        <w:t>Supplementary Figure 2.</w:t>
      </w:r>
      <w:r w:rsidRPr="00CB16F2">
        <w:rPr>
          <w:rFonts w:ascii="Century Schoolbook" w:hAnsi="Century Schoolbook"/>
          <w:sz w:val="22"/>
          <w:szCs w:val="22"/>
        </w:rPr>
        <w:t xml:space="preserve"> </w:t>
      </w:r>
      <w:r w:rsidRPr="00CB16F2">
        <w:rPr>
          <w:rFonts w:ascii="Century Schoolbook" w:hAnsi="Century Schoolbook"/>
          <w:b/>
          <w:sz w:val="22"/>
          <w:szCs w:val="22"/>
        </w:rPr>
        <w:t>Alignment of individual core depths to the composite depth scale.</w:t>
      </w:r>
      <w:r w:rsidRPr="00CB16F2">
        <w:rPr>
          <w:rFonts w:ascii="Century Schoolbook" w:hAnsi="Century Schoolbook"/>
          <w:sz w:val="22"/>
          <w:szCs w:val="22"/>
        </w:rPr>
        <w:t xml:space="preserve"> Core 13MC </w:t>
      </w:r>
      <w:r w:rsidRPr="00CB16F2">
        <w:rPr>
          <w:rFonts w:ascii="Century Schoolbook" w:hAnsi="Century Schoolbook"/>
          <w:i/>
          <w:sz w:val="22"/>
          <w:szCs w:val="22"/>
        </w:rPr>
        <w:t>Uvigerina sp.</w:t>
      </w:r>
      <w:r w:rsidRPr="00CB16F2">
        <w:rPr>
          <w:rFonts w:ascii="Century Schoolbook" w:hAnsi="Century Schoolbook"/>
          <w:sz w:val="22"/>
          <w:szCs w:val="22"/>
        </w:rPr>
        <w:t xml:space="preserve"> </w:t>
      </w:r>
      <w:r w:rsidRPr="00CB16F2">
        <w:rPr>
          <w:rFonts w:ascii="Symbol" w:hAnsi="Symbol"/>
          <w:sz w:val="22"/>
          <w:szCs w:val="22"/>
        </w:rPr>
        <w:t></w:t>
      </w:r>
      <w:r w:rsidRPr="00CB16F2">
        <w:rPr>
          <w:rFonts w:ascii="Century Schoolbook" w:hAnsi="Century Schoolbook"/>
          <w:sz w:val="22"/>
          <w:szCs w:val="22"/>
          <w:vertAlign w:val="superscript"/>
        </w:rPr>
        <w:t>18</w:t>
      </w:r>
      <w:r w:rsidRPr="00CB16F2">
        <w:rPr>
          <w:rFonts w:ascii="Century Schoolbook" w:hAnsi="Century Schoolbook"/>
          <w:sz w:val="22"/>
          <w:szCs w:val="22"/>
        </w:rPr>
        <w:t xml:space="preserve">O </w:t>
      </w:r>
      <w:r w:rsidR="00E01074">
        <w:rPr>
          <w:rFonts w:ascii="Century Schoolbook" w:hAnsi="Century Schoolbook"/>
          <w:sz w:val="22"/>
          <w:szCs w:val="22"/>
        </w:rPr>
        <w:t xml:space="preserve">data </w:t>
      </w:r>
      <w:r w:rsidRPr="00CB16F2">
        <w:rPr>
          <w:rFonts w:ascii="Century Schoolbook" w:hAnsi="Century Schoolbook"/>
          <w:sz w:val="22"/>
          <w:szCs w:val="22"/>
        </w:rPr>
        <w:t>were used as the reference</w:t>
      </w:r>
      <w:r w:rsidR="008C2177" w:rsidRPr="00CB16F2">
        <w:rPr>
          <w:rFonts w:ascii="Century Schoolbook" w:hAnsi="Century Schoolbook"/>
          <w:sz w:val="22"/>
          <w:szCs w:val="22"/>
        </w:rPr>
        <w:t xml:space="preserve"> to which the other cores were aligned</w:t>
      </w:r>
      <w:r w:rsidRPr="00CB16F2">
        <w:rPr>
          <w:rFonts w:ascii="Century Schoolbook" w:hAnsi="Century Schoolbook"/>
          <w:sz w:val="22"/>
          <w:szCs w:val="22"/>
        </w:rPr>
        <w:t>. Dashed lines represent 1:1 relationships.</w:t>
      </w:r>
    </w:p>
    <w:p w14:paraId="6687C7AC" w14:textId="77777777" w:rsidR="00D17879" w:rsidRPr="00CB16F2" w:rsidRDefault="00D17879">
      <w:pPr>
        <w:rPr>
          <w:rFonts w:ascii="Century Schoolbook" w:hAnsi="Century Schoolbook"/>
          <w:sz w:val="22"/>
          <w:szCs w:val="22"/>
        </w:rPr>
      </w:pPr>
    </w:p>
    <w:p w14:paraId="7058A50C" w14:textId="77777777" w:rsidR="00D17879" w:rsidRPr="00CB16F2" w:rsidRDefault="00D17879">
      <w:pPr>
        <w:rPr>
          <w:rFonts w:ascii="Century Schoolbook" w:hAnsi="Century Schoolbook"/>
          <w:sz w:val="22"/>
          <w:szCs w:val="22"/>
        </w:rPr>
      </w:pPr>
    </w:p>
    <w:p w14:paraId="160B0CF2" w14:textId="77777777" w:rsidR="00D17879" w:rsidRPr="00CB16F2" w:rsidRDefault="00D17879">
      <w:pPr>
        <w:rPr>
          <w:rFonts w:ascii="Century Schoolbook" w:hAnsi="Century Schoolbook"/>
          <w:sz w:val="22"/>
          <w:szCs w:val="22"/>
        </w:rPr>
      </w:pPr>
    </w:p>
    <w:p w14:paraId="5162A03C" w14:textId="1D37F668" w:rsidR="00D17879" w:rsidRPr="00CB16F2" w:rsidRDefault="00D17879">
      <w:pPr>
        <w:rPr>
          <w:rFonts w:ascii="Century Schoolbook" w:hAnsi="Century Schoolbook"/>
          <w:sz w:val="22"/>
          <w:szCs w:val="22"/>
        </w:rPr>
      </w:pPr>
      <w:r w:rsidRPr="00CB16F2">
        <w:rPr>
          <w:rFonts w:ascii="Century Schoolbook" w:hAnsi="Century Schoolbook"/>
          <w:sz w:val="22"/>
          <w:szCs w:val="22"/>
        </w:rPr>
        <w:br w:type="page"/>
      </w:r>
    </w:p>
    <w:p w14:paraId="06F4C2AF" w14:textId="77777777" w:rsidR="00D17879" w:rsidRPr="00CB16F2" w:rsidRDefault="00D17879">
      <w:pPr>
        <w:rPr>
          <w:rFonts w:ascii="Century Schoolbook" w:hAnsi="Century Schoolbook"/>
          <w:sz w:val="22"/>
          <w:szCs w:val="22"/>
        </w:rPr>
      </w:pPr>
    </w:p>
    <w:p w14:paraId="0724833C" w14:textId="3FE26AC2" w:rsidR="00645BB9" w:rsidRPr="00CB16F2" w:rsidRDefault="00645BB9">
      <w:pPr>
        <w:rPr>
          <w:rFonts w:ascii="Century Schoolbook" w:hAnsi="Century Schoolbook"/>
          <w:sz w:val="22"/>
          <w:szCs w:val="22"/>
        </w:rPr>
      </w:pPr>
      <w:r w:rsidRPr="00CB16F2">
        <w:rPr>
          <w:rFonts w:ascii="Century Schoolbook" w:hAnsi="Century Schoolbook"/>
          <w:noProof/>
          <w:sz w:val="22"/>
          <w:szCs w:val="22"/>
        </w:rPr>
        <w:drawing>
          <wp:inline distT="0" distB="0" distL="0" distR="0" wp14:anchorId="27A0DE79" wp14:editId="17F7D726">
            <wp:extent cx="5156200" cy="462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ShellWeights.pdf"/>
                    <pic:cNvPicPr/>
                  </pic:nvPicPr>
                  <pic:blipFill>
                    <a:blip r:embed="rId9">
                      <a:extLst>
                        <a:ext uri="{28A0092B-C50C-407E-A947-70E740481C1C}">
                          <a14:useLocalDpi xmlns:a14="http://schemas.microsoft.com/office/drawing/2010/main" val="0"/>
                        </a:ext>
                      </a:extLst>
                    </a:blip>
                    <a:stretch>
                      <a:fillRect/>
                    </a:stretch>
                  </pic:blipFill>
                  <pic:spPr>
                    <a:xfrm>
                      <a:off x="0" y="0"/>
                      <a:ext cx="5156200" cy="4622800"/>
                    </a:xfrm>
                    <a:prstGeom prst="rect">
                      <a:avLst/>
                    </a:prstGeom>
                  </pic:spPr>
                </pic:pic>
              </a:graphicData>
            </a:graphic>
          </wp:inline>
        </w:drawing>
      </w:r>
    </w:p>
    <w:p w14:paraId="287D12CA" w14:textId="77777777" w:rsidR="00645BB9" w:rsidRPr="00CB16F2" w:rsidRDefault="00645BB9">
      <w:pPr>
        <w:rPr>
          <w:rFonts w:ascii="Century Schoolbook" w:hAnsi="Century Schoolbook"/>
          <w:sz w:val="22"/>
          <w:szCs w:val="22"/>
        </w:rPr>
      </w:pPr>
    </w:p>
    <w:p w14:paraId="29048B7D" w14:textId="77777777" w:rsidR="00645BB9" w:rsidRPr="00CB16F2" w:rsidRDefault="00645BB9">
      <w:pPr>
        <w:rPr>
          <w:rFonts w:ascii="Century Schoolbook" w:hAnsi="Century Schoolbook"/>
          <w:sz w:val="22"/>
          <w:szCs w:val="22"/>
        </w:rPr>
      </w:pPr>
    </w:p>
    <w:p w14:paraId="13678245" w14:textId="26C708C5" w:rsidR="00645BB9" w:rsidRPr="00CB16F2" w:rsidRDefault="00645BB9">
      <w:pPr>
        <w:rPr>
          <w:rFonts w:ascii="Century Schoolbook" w:hAnsi="Century Schoolbook"/>
          <w:sz w:val="22"/>
          <w:szCs w:val="22"/>
        </w:rPr>
      </w:pPr>
      <w:r w:rsidRPr="00CB16F2">
        <w:rPr>
          <w:rFonts w:ascii="Century Schoolbook" w:hAnsi="Century Schoolbook"/>
          <w:b/>
          <w:sz w:val="22"/>
          <w:szCs w:val="22"/>
        </w:rPr>
        <w:t xml:space="preserve">Supplementary Figure </w:t>
      </w:r>
      <w:r w:rsidR="000D431C" w:rsidRPr="00CB16F2">
        <w:rPr>
          <w:rFonts w:ascii="Century Schoolbook" w:hAnsi="Century Schoolbook"/>
          <w:b/>
          <w:sz w:val="22"/>
          <w:szCs w:val="22"/>
        </w:rPr>
        <w:t>3</w:t>
      </w:r>
      <w:r w:rsidRPr="00CB16F2">
        <w:rPr>
          <w:rFonts w:ascii="Century Schoolbook" w:hAnsi="Century Schoolbook"/>
          <w:b/>
          <w:sz w:val="22"/>
          <w:szCs w:val="22"/>
        </w:rPr>
        <w:t>.</w:t>
      </w:r>
      <w:r w:rsidRPr="00CB16F2">
        <w:rPr>
          <w:rFonts w:ascii="Century Schoolbook" w:hAnsi="Century Schoolbook"/>
          <w:sz w:val="22"/>
          <w:szCs w:val="22"/>
        </w:rPr>
        <w:t xml:space="preserve"> </w:t>
      </w:r>
      <w:r w:rsidRPr="00CB16F2">
        <w:rPr>
          <w:rFonts w:ascii="Century Schoolbook" w:hAnsi="Century Schoolbook"/>
          <w:b/>
          <w:sz w:val="22"/>
          <w:szCs w:val="22"/>
        </w:rPr>
        <w:t xml:space="preserve">Average shell weights for </w:t>
      </w:r>
      <w:r w:rsidRPr="00CB16F2">
        <w:rPr>
          <w:rFonts w:ascii="Century Schoolbook" w:hAnsi="Century Schoolbook"/>
          <w:b/>
          <w:i/>
          <w:sz w:val="22"/>
          <w:szCs w:val="22"/>
        </w:rPr>
        <w:t>G. bulloides</w:t>
      </w:r>
      <w:r w:rsidRPr="00CB16F2">
        <w:rPr>
          <w:rFonts w:ascii="Century Schoolbook" w:hAnsi="Century Schoolbook"/>
          <w:b/>
          <w:sz w:val="22"/>
          <w:szCs w:val="22"/>
        </w:rPr>
        <w:t xml:space="preserve"> and </w:t>
      </w:r>
      <w:r w:rsidRPr="00CB16F2">
        <w:rPr>
          <w:rFonts w:ascii="Century Schoolbook" w:hAnsi="Century Schoolbook"/>
          <w:b/>
          <w:i/>
          <w:sz w:val="22"/>
          <w:szCs w:val="22"/>
        </w:rPr>
        <w:t>N. incompta</w:t>
      </w:r>
      <w:r w:rsidRPr="00CB16F2">
        <w:rPr>
          <w:rFonts w:ascii="Century Schoolbook" w:hAnsi="Century Schoolbook"/>
          <w:b/>
          <w:sz w:val="22"/>
          <w:szCs w:val="22"/>
        </w:rPr>
        <w:t xml:space="preserve"> within the 250-300</w:t>
      </w:r>
      <w:r w:rsidRPr="00CB16F2">
        <w:rPr>
          <w:rFonts w:ascii="Symbol" w:hAnsi="Symbol"/>
          <w:b/>
          <w:sz w:val="22"/>
          <w:szCs w:val="22"/>
        </w:rPr>
        <w:t></w:t>
      </w:r>
      <w:r w:rsidRPr="00CB16F2">
        <w:rPr>
          <w:rFonts w:ascii="Century Schoolbook" w:hAnsi="Century Schoolbook"/>
          <w:b/>
          <w:sz w:val="22"/>
          <w:szCs w:val="22"/>
        </w:rPr>
        <w:t>m size fraction.</w:t>
      </w:r>
      <w:r w:rsidRPr="00CB16F2">
        <w:rPr>
          <w:rFonts w:ascii="Century Schoolbook" w:hAnsi="Century Schoolbook"/>
          <w:sz w:val="22"/>
          <w:szCs w:val="22"/>
        </w:rPr>
        <w:t xml:space="preserve"> Samples were weighed in triplicate to assess reproducibility. Error bars show the average reproducibility for each species: 1.0</w:t>
      </w:r>
      <w:r w:rsidR="00F601CA" w:rsidRPr="00CB16F2">
        <w:rPr>
          <w:rFonts w:ascii="Century Schoolbook" w:hAnsi="Century Schoolbook"/>
          <w:sz w:val="22"/>
          <w:szCs w:val="22"/>
        </w:rPr>
        <w:t>4</w:t>
      </w:r>
      <w:r w:rsidRPr="00CB16F2">
        <w:rPr>
          <w:rFonts w:ascii="Symbol" w:hAnsi="Symbol"/>
          <w:sz w:val="22"/>
          <w:szCs w:val="22"/>
        </w:rPr>
        <w:t></w:t>
      </w:r>
      <w:r w:rsidR="00F601CA" w:rsidRPr="00CB16F2">
        <w:rPr>
          <w:rFonts w:ascii="Century Schoolbook" w:hAnsi="Century Schoolbook"/>
          <w:sz w:val="22"/>
          <w:szCs w:val="22"/>
        </w:rPr>
        <w:t xml:space="preserve">g for </w:t>
      </w:r>
      <w:r w:rsidR="00F601CA" w:rsidRPr="00CB16F2">
        <w:rPr>
          <w:rFonts w:ascii="Century Schoolbook" w:hAnsi="Century Schoolbook"/>
          <w:i/>
          <w:sz w:val="22"/>
          <w:szCs w:val="22"/>
        </w:rPr>
        <w:t>G. bulloides</w:t>
      </w:r>
      <w:r w:rsidR="00F601CA" w:rsidRPr="00CB16F2">
        <w:rPr>
          <w:rFonts w:ascii="Century Schoolbook" w:hAnsi="Century Schoolbook"/>
          <w:sz w:val="22"/>
          <w:szCs w:val="22"/>
        </w:rPr>
        <w:t xml:space="preserve"> and 1.13</w:t>
      </w:r>
      <w:r w:rsidR="00F601CA" w:rsidRPr="00CB16F2">
        <w:rPr>
          <w:rFonts w:ascii="Symbol" w:hAnsi="Symbol"/>
          <w:sz w:val="22"/>
          <w:szCs w:val="22"/>
        </w:rPr>
        <w:t></w:t>
      </w:r>
      <w:r w:rsidR="00F601CA" w:rsidRPr="00CB16F2">
        <w:rPr>
          <w:rFonts w:ascii="Century Schoolbook" w:hAnsi="Century Schoolbook"/>
          <w:sz w:val="22"/>
          <w:szCs w:val="22"/>
        </w:rPr>
        <w:t xml:space="preserve">g for </w:t>
      </w:r>
      <w:r w:rsidR="00F601CA" w:rsidRPr="00CB16F2">
        <w:rPr>
          <w:rFonts w:ascii="Century Schoolbook" w:hAnsi="Century Schoolbook"/>
          <w:i/>
          <w:sz w:val="22"/>
          <w:szCs w:val="22"/>
        </w:rPr>
        <w:t>N. incompta.</w:t>
      </w:r>
    </w:p>
    <w:p w14:paraId="4FE3C8A9" w14:textId="77777777" w:rsidR="00645BB9" w:rsidRPr="00CB16F2" w:rsidRDefault="00645BB9">
      <w:pPr>
        <w:rPr>
          <w:rFonts w:ascii="Century Schoolbook" w:hAnsi="Century Schoolbook"/>
          <w:sz w:val="22"/>
          <w:szCs w:val="22"/>
          <w:u w:val="single"/>
        </w:rPr>
      </w:pPr>
    </w:p>
    <w:p w14:paraId="66232E47" w14:textId="77777777" w:rsidR="00D52576" w:rsidRPr="00CB16F2" w:rsidRDefault="00D52576">
      <w:pPr>
        <w:rPr>
          <w:rFonts w:ascii="Century Schoolbook" w:hAnsi="Century Schoolbook"/>
          <w:b/>
          <w:sz w:val="22"/>
          <w:szCs w:val="22"/>
        </w:rPr>
      </w:pPr>
      <w:r w:rsidRPr="00CB16F2">
        <w:rPr>
          <w:rFonts w:ascii="Century Schoolbook" w:hAnsi="Century Schoolbook"/>
          <w:b/>
          <w:sz w:val="22"/>
          <w:szCs w:val="22"/>
        </w:rPr>
        <w:br w:type="page"/>
      </w:r>
    </w:p>
    <w:p w14:paraId="1ABDB7A0" w14:textId="7C8EF5B3" w:rsidR="00D52576" w:rsidRPr="00CB16F2" w:rsidRDefault="00D52576" w:rsidP="00D52576">
      <w:pPr>
        <w:rPr>
          <w:rFonts w:ascii="Century Schoolbook" w:hAnsi="Century Schoolbook"/>
          <w:b/>
          <w:sz w:val="22"/>
          <w:szCs w:val="22"/>
        </w:rPr>
      </w:pPr>
      <w:r w:rsidRPr="00CB16F2">
        <w:rPr>
          <w:rFonts w:ascii="Century Schoolbook" w:hAnsi="Century Schoolbook"/>
          <w:b/>
          <w:noProof/>
          <w:sz w:val="22"/>
          <w:szCs w:val="22"/>
        </w:rPr>
        <w:drawing>
          <wp:inline distT="0" distB="0" distL="0" distR="0" wp14:anchorId="1374CBB1" wp14:editId="29312F95">
            <wp:extent cx="3813408" cy="571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RadiocarbonModel2.pdf"/>
                    <pic:cNvPicPr/>
                  </pic:nvPicPr>
                  <pic:blipFill>
                    <a:blip r:embed="rId10">
                      <a:extLst>
                        <a:ext uri="{28A0092B-C50C-407E-A947-70E740481C1C}">
                          <a14:useLocalDpi xmlns:a14="http://schemas.microsoft.com/office/drawing/2010/main" val="0"/>
                        </a:ext>
                      </a:extLst>
                    </a:blip>
                    <a:stretch>
                      <a:fillRect/>
                    </a:stretch>
                  </pic:blipFill>
                  <pic:spPr>
                    <a:xfrm>
                      <a:off x="0" y="0"/>
                      <a:ext cx="3813408" cy="5715000"/>
                    </a:xfrm>
                    <a:prstGeom prst="rect">
                      <a:avLst/>
                    </a:prstGeom>
                  </pic:spPr>
                </pic:pic>
              </a:graphicData>
            </a:graphic>
          </wp:inline>
        </w:drawing>
      </w:r>
    </w:p>
    <w:p w14:paraId="45A72825" w14:textId="77777777" w:rsidR="00D52576" w:rsidRPr="00CB16F2" w:rsidRDefault="00D52576" w:rsidP="00D52576">
      <w:pPr>
        <w:rPr>
          <w:rFonts w:ascii="Century Schoolbook" w:hAnsi="Century Schoolbook"/>
          <w:b/>
          <w:sz w:val="22"/>
          <w:szCs w:val="22"/>
        </w:rPr>
      </w:pPr>
    </w:p>
    <w:p w14:paraId="5471424F" w14:textId="1872BA90" w:rsidR="00D52576" w:rsidRPr="00CB16F2" w:rsidRDefault="00D52576" w:rsidP="00D52576">
      <w:pPr>
        <w:rPr>
          <w:rFonts w:ascii="Century Schoolbook" w:hAnsi="Century Schoolbook"/>
          <w:sz w:val="22"/>
          <w:szCs w:val="22"/>
        </w:rPr>
      </w:pPr>
      <w:r w:rsidRPr="00CB16F2">
        <w:rPr>
          <w:rFonts w:ascii="Century Schoolbook" w:hAnsi="Century Schoolbook"/>
          <w:b/>
          <w:sz w:val="22"/>
          <w:szCs w:val="22"/>
        </w:rPr>
        <w:t xml:space="preserve">Supplementary Figure </w:t>
      </w:r>
      <w:r w:rsidR="000C1DB1" w:rsidRPr="00CB16F2">
        <w:rPr>
          <w:rFonts w:ascii="Century Schoolbook" w:hAnsi="Century Schoolbook"/>
          <w:b/>
          <w:sz w:val="22"/>
          <w:szCs w:val="22"/>
        </w:rPr>
        <w:t>4</w:t>
      </w:r>
      <w:r w:rsidRPr="00CB16F2">
        <w:rPr>
          <w:rFonts w:ascii="Century Schoolbook" w:hAnsi="Century Schoolbook"/>
          <w:b/>
          <w:sz w:val="22"/>
          <w:szCs w:val="22"/>
        </w:rPr>
        <w:t>.</w:t>
      </w:r>
      <w:r w:rsidRPr="00CB16F2">
        <w:rPr>
          <w:rFonts w:ascii="Century Schoolbook" w:hAnsi="Century Schoolbook"/>
          <w:sz w:val="22"/>
          <w:szCs w:val="22"/>
        </w:rPr>
        <w:t xml:space="preserve"> </w:t>
      </w:r>
      <w:r w:rsidR="00C8583E" w:rsidRPr="00CB16F2">
        <w:rPr>
          <w:rFonts w:ascii="Century Schoolbook" w:hAnsi="Century Schoolbook"/>
          <w:b/>
          <w:sz w:val="22"/>
          <w:szCs w:val="22"/>
        </w:rPr>
        <w:t xml:space="preserve">Model output results using a deep (30cm) mixed layer. </w:t>
      </w:r>
      <w:r w:rsidR="00C8583E" w:rsidRPr="00CB16F2">
        <w:rPr>
          <w:rFonts w:ascii="Century Schoolbook" w:hAnsi="Century Schoolbook"/>
          <w:sz w:val="22"/>
          <w:szCs w:val="22"/>
        </w:rPr>
        <w:t>Model outputs were calculated by employing the variation in mixing depth shown in the bottom panel. Shaded envelopes define 1</w:t>
      </w:r>
      <w:r w:rsidR="00C8583E" w:rsidRPr="00CB16F2">
        <w:rPr>
          <w:rFonts w:ascii="Symbol" w:hAnsi="Symbol"/>
          <w:sz w:val="22"/>
          <w:szCs w:val="22"/>
        </w:rPr>
        <w:t></w:t>
      </w:r>
      <w:r w:rsidR="00C8583E" w:rsidRPr="00CB16F2">
        <w:rPr>
          <w:rFonts w:ascii="Century Schoolbook" w:hAnsi="Century Schoolbook"/>
          <w:sz w:val="22"/>
          <w:szCs w:val="22"/>
        </w:rPr>
        <w:t xml:space="preserve"> of 1000 bootstrap sampling runs for the model output, and they are much wider for </w:t>
      </w:r>
      <w:r w:rsidR="00C8583E" w:rsidRPr="00CB16F2">
        <w:rPr>
          <w:rFonts w:ascii="Symbol" w:hAnsi="Symbol"/>
          <w:sz w:val="22"/>
          <w:szCs w:val="22"/>
        </w:rPr>
        <w:t></w:t>
      </w:r>
      <w:r w:rsidR="00C8583E" w:rsidRPr="00CB16F2">
        <w:rPr>
          <w:rFonts w:ascii="Century Schoolbook" w:hAnsi="Century Schoolbook"/>
          <w:sz w:val="22"/>
          <w:szCs w:val="22"/>
          <w:vertAlign w:val="superscript"/>
        </w:rPr>
        <w:t>18</w:t>
      </w:r>
      <w:r w:rsidR="00C8583E" w:rsidRPr="00CB16F2">
        <w:rPr>
          <w:rFonts w:ascii="Century Schoolbook" w:hAnsi="Century Schoolbook"/>
          <w:sz w:val="22"/>
          <w:szCs w:val="22"/>
        </w:rPr>
        <w:t>O due to the smaller foraminiferal sample in the average (</w:t>
      </w:r>
      <w:r w:rsidR="00C8583E" w:rsidRPr="00CB16F2">
        <w:rPr>
          <w:rFonts w:ascii="Century Schoolbook" w:hAnsi="Century Schoolbook"/>
          <w:i/>
          <w:sz w:val="22"/>
          <w:szCs w:val="22"/>
        </w:rPr>
        <w:t>n</w:t>
      </w:r>
      <w:r w:rsidR="00C8583E" w:rsidRPr="00CB16F2">
        <w:rPr>
          <w:rFonts w:ascii="Century Schoolbook" w:hAnsi="Century Schoolbook"/>
          <w:sz w:val="22"/>
          <w:szCs w:val="22"/>
        </w:rPr>
        <w:t>=10) compared to age (</w:t>
      </w:r>
      <w:r w:rsidR="00C8583E" w:rsidRPr="00CB16F2">
        <w:rPr>
          <w:rFonts w:ascii="Century Schoolbook" w:hAnsi="Century Schoolbook"/>
          <w:i/>
          <w:sz w:val="22"/>
          <w:szCs w:val="22"/>
        </w:rPr>
        <w:t>n</w:t>
      </w:r>
      <w:r w:rsidR="00C8583E" w:rsidRPr="00CB16F2">
        <w:rPr>
          <w:rFonts w:ascii="Century Schoolbook" w:hAnsi="Century Schoolbook"/>
          <w:sz w:val="22"/>
          <w:szCs w:val="22"/>
        </w:rPr>
        <w:t>=300). Red dots indicate the actual data. Even this very deep (30cm)</w:t>
      </w:r>
      <w:r w:rsidR="00517928">
        <w:rPr>
          <w:rFonts w:ascii="Century Schoolbook" w:hAnsi="Century Schoolbook"/>
          <w:sz w:val="22"/>
          <w:szCs w:val="22"/>
        </w:rPr>
        <w:t xml:space="preserve"> mixed layer fails to prolong a young</w:t>
      </w:r>
      <w:r w:rsidR="00C8583E" w:rsidRPr="00CB16F2">
        <w:rPr>
          <w:rFonts w:ascii="Century Schoolbook" w:hAnsi="Century Schoolbook"/>
          <w:sz w:val="22"/>
          <w:szCs w:val="22"/>
        </w:rPr>
        <w:t xml:space="preserve"> </w:t>
      </w:r>
      <w:r w:rsidR="00C8583E" w:rsidRPr="00CB16F2">
        <w:rPr>
          <w:rFonts w:ascii="Century Schoolbook" w:hAnsi="Century Schoolbook"/>
          <w:i/>
          <w:sz w:val="22"/>
          <w:szCs w:val="22"/>
        </w:rPr>
        <w:t>N. incompta</w:t>
      </w:r>
      <w:r w:rsidR="00C8583E" w:rsidRPr="00CB16F2">
        <w:rPr>
          <w:rFonts w:ascii="Century Schoolbook" w:hAnsi="Century Schoolbook"/>
          <w:sz w:val="22"/>
          <w:szCs w:val="22"/>
        </w:rPr>
        <w:t xml:space="preserve"> age plateau down to 27cm depth.</w:t>
      </w:r>
    </w:p>
    <w:p w14:paraId="0C0110FE" w14:textId="264AFDC5" w:rsidR="002A1497" w:rsidRPr="00CB16F2" w:rsidRDefault="002A1497">
      <w:pPr>
        <w:rPr>
          <w:rFonts w:ascii="Century Schoolbook" w:hAnsi="Century Schoolbook"/>
          <w:b/>
          <w:sz w:val="22"/>
          <w:szCs w:val="22"/>
        </w:rPr>
      </w:pPr>
    </w:p>
    <w:p w14:paraId="1D14B149" w14:textId="6754D60E" w:rsidR="002A1497" w:rsidRPr="00CB16F2" w:rsidRDefault="00F16332" w:rsidP="002A1497">
      <w:pPr>
        <w:rPr>
          <w:rFonts w:ascii="Century Schoolbook" w:hAnsi="Century Schoolbook"/>
          <w:b/>
          <w:sz w:val="22"/>
          <w:szCs w:val="22"/>
        </w:rPr>
      </w:pPr>
      <w:r w:rsidRPr="00CB16F2">
        <w:rPr>
          <w:rFonts w:ascii="Century Schoolbook" w:hAnsi="Century Schoolbook"/>
          <w:b/>
          <w:noProof/>
          <w:sz w:val="22"/>
          <w:szCs w:val="22"/>
        </w:rPr>
        <w:drawing>
          <wp:inline distT="0" distB="0" distL="0" distR="0" wp14:anchorId="3CA4CAC7" wp14:editId="20EB3441">
            <wp:extent cx="4328410" cy="6286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RadiocarbonModel2.pdf"/>
                    <pic:cNvPicPr/>
                  </pic:nvPicPr>
                  <pic:blipFill>
                    <a:blip r:embed="rId11">
                      <a:extLst>
                        <a:ext uri="{28A0092B-C50C-407E-A947-70E740481C1C}">
                          <a14:useLocalDpi xmlns:a14="http://schemas.microsoft.com/office/drawing/2010/main" val="0"/>
                        </a:ext>
                      </a:extLst>
                    </a:blip>
                    <a:stretch>
                      <a:fillRect/>
                    </a:stretch>
                  </pic:blipFill>
                  <pic:spPr>
                    <a:xfrm>
                      <a:off x="0" y="0"/>
                      <a:ext cx="4328410" cy="6286500"/>
                    </a:xfrm>
                    <a:prstGeom prst="rect">
                      <a:avLst/>
                    </a:prstGeom>
                  </pic:spPr>
                </pic:pic>
              </a:graphicData>
            </a:graphic>
          </wp:inline>
        </w:drawing>
      </w:r>
    </w:p>
    <w:p w14:paraId="26756F2F" w14:textId="2F5EB308" w:rsidR="00C8583E" w:rsidRPr="00CB16F2" w:rsidRDefault="00C8583E" w:rsidP="00C8583E">
      <w:pPr>
        <w:rPr>
          <w:rFonts w:ascii="Century Schoolbook" w:hAnsi="Century Schoolbook"/>
          <w:sz w:val="22"/>
          <w:szCs w:val="22"/>
        </w:rPr>
      </w:pPr>
      <w:r w:rsidRPr="00CB16F2">
        <w:rPr>
          <w:rFonts w:ascii="Century Schoolbook" w:hAnsi="Century Schoolbook"/>
          <w:b/>
          <w:sz w:val="22"/>
          <w:szCs w:val="22"/>
        </w:rPr>
        <w:t xml:space="preserve">Supplementary Figure </w:t>
      </w:r>
      <w:r w:rsidR="00CB16F2" w:rsidRPr="00CB16F2">
        <w:rPr>
          <w:rFonts w:ascii="Century Schoolbook" w:hAnsi="Century Schoolbook"/>
          <w:b/>
          <w:sz w:val="22"/>
          <w:szCs w:val="22"/>
        </w:rPr>
        <w:t>5</w:t>
      </w:r>
      <w:r w:rsidRPr="00CB16F2">
        <w:rPr>
          <w:rFonts w:ascii="Century Schoolbook" w:hAnsi="Century Schoolbook"/>
          <w:b/>
          <w:sz w:val="22"/>
          <w:szCs w:val="22"/>
        </w:rPr>
        <w:t>.</w:t>
      </w:r>
      <w:r w:rsidRPr="00CB16F2">
        <w:rPr>
          <w:rFonts w:ascii="Century Schoolbook" w:hAnsi="Century Schoolbook"/>
          <w:sz w:val="22"/>
          <w:szCs w:val="22"/>
        </w:rPr>
        <w:t xml:space="preserve"> </w:t>
      </w:r>
      <w:r w:rsidRPr="00CB16F2">
        <w:rPr>
          <w:rFonts w:ascii="Century Schoolbook" w:hAnsi="Century Schoolbook"/>
          <w:b/>
          <w:sz w:val="22"/>
          <w:szCs w:val="22"/>
        </w:rPr>
        <w:t>Model output with increase</w:t>
      </w:r>
      <w:r w:rsidR="00CB16F2" w:rsidRPr="00CB16F2">
        <w:rPr>
          <w:rFonts w:ascii="Century Schoolbook" w:hAnsi="Century Schoolbook"/>
          <w:b/>
          <w:sz w:val="22"/>
          <w:szCs w:val="22"/>
        </w:rPr>
        <w:t>d</w:t>
      </w:r>
      <w:r w:rsidRPr="00CB16F2">
        <w:rPr>
          <w:rFonts w:ascii="Century Schoolbook" w:hAnsi="Century Schoolbook"/>
          <w:b/>
          <w:sz w:val="22"/>
          <w:szCs w:val="22"/>
        </w:rPr>
        <w:t xml:space="preserve"> coretop </w:t>
      </w:r>
      <w:r w:rsidRPr="00CB16F2">
        <w:rPr>
          <w:rFonts w:ascii="Century Schoolbook" w:hAnsi="Century Schoolbook"/>
          <w:b/>
          <w:i/>
          <w:sz w:val="22"/>
          <w:szCs w:val="22"/>
        </w:rPr>
        <w:t xml:space="preserve">N. incompta </w:t>
      </w:r>
      <w:r w:rsidRPr="00CB16F2">
        <w:rPr>
          <w:rFonts w:ascii="Century Schoolbook" w:hAnsi="Century Schoolbook"/>
          <w:b/>
          <w:sz w:val="22"/>
          <w:szCs w:val="22"/>
        </w:rPr>
        <w:t xml:space="preserve">abundance. </w:t>
      </w:r>
      <w:r w:rsidRPr="00CB16F2">
        <w:rPr>
          <w:rFonts w:ascii="Century Schoolbook" w:hAnsi="Century Schoolbook"/>
          <w:sz w:val="22"/>
          <w:szCs w:val="22"/>
        </w:rPr>
        <w:t xml:space="preserve">Model outputs were calculated by employing </w:t>
      </w:r>
      <w:r w:rsidR="00517928">
        <w:rPr>
          <w:rFonts w:ascii="Century Schoolbook" w:hAnsi="Century Schoolbook"/>
          <w:sz w:val="22"/>
          <w:szCs w:val="22"/>
        </w:rPr>
        <w:t xml:space="preserve">1) </w:t>
      </w:r>
      <w:r w:rsidRPr="00CB16F2">
        <w:rPr>
          <w:rFonts w:ascii="Century Schoolbook" w:hAnsi="Century Schoolbook"/>
          <w:sz w:val="22"/>
          <w:szCs w:val="22"/>
        </w:rPr>
        <w:t xml:space="preserve">the variation in mixing </w:t>
      </w:r>
      <w:r w:rsidR="00517928">
        <w:rPr>
          <w:rFonts w:ascii="Century Schoolbook" w:hAnsi="Century Schoolbook"/>
          <w:sz w:val="22"/>
          <w:szCs w:val="22"/>
        </w:rPr>
        <w:t>depth shown in the bottom panel</w:t>
      </w:r>
      <w:r w:rsidRPr="00CB16F2">
        <w:rPr>
          <w:rFonts w:ascii="Century Schoolbook" w:hAnsi="Century Schoolbook"/>
          <w:sz w:val="22"/>
          <w:szCs w:val="22"/>
        </w:rPr>
        <w:t xml:space="preserve"> and</w:t>
      </w:r>
      <w:r w:rsidR="00517928">
        <w:rPr>
          <w:rFonts w:ascii="Century Schoolbook" w:hAnsi="Century Schoolbook"/>
          <w:sz w:val="22"/>
          <w:szCs w:val="22"/>
        </w:rPr>
        <w:t xml:space="preserve"> 2) 500x </w:t>
      </w:r>
      <w:r w:rsidRPr="00CB16F2">
        <w:rPr>
          <w:rFonts w:ascii="Century Schoolbook" w:hAnsi="Century Schoolbook"/>
          <w:sz w:val="22"/>
          <w:szCs w:val="22"/>
        </w:rPr>
        <w:t xml:space="preserve">abundance of </w:t>
      </w:r>
      <w:r w:rsidRPr="00CB16F2">
        <w:rPr>
          <w:rFonts w:ascii="Century Schoolbook" w:hAnsi="Century Schoolbook"/>
          <w:i/>
          <w:sz w:val="22"/>
          <w:szCs w:val="22"/>
        </w:rPr>
        <w:t>N. incompta</w:t>
      </w:r>
      <w:r w:rsidRPr="00CB16F2">
        <w:rPr>
          <w:rFonts w:ascii="Century Schoolbook" w:hAnsi="Century Schoolbook"/>
          <w:sz w:val="22"/>
          <w:szCs w:val="22"/>
        </w:rPr>
        <w:t xml:space="preserve"> in the top 5cm. Shaded envelopes define 1</w:t>
      </w:r>
      <w:r w:rsidRPr="00CB16F2">
        <w:rPr>
          <w:rFonts w:ascii="Symbol" w:hAnsi="Symbol"/>
          <w:sz w:val="22"/>
          <w:szCs w:val="22"/>
        </w:rPr>
        <w:t></w:t>
      </w:r>
      <w:r w:rsidRPr="00CB16F2">
        <w:rPr>
          <w:rFonts w:ascii="Century Schoolbook" w:hAnsi="Century Schoolbook"/>
          <w:sz w:val="22"/>
          <w:szCs w:val="22"/>
        </w:rPr>
        <w:t xml:space="preserve"> of 1000 bootstrap sampling runs for the model output, and they are much wider for </w:t>
      </w:r>
      <w:r w:rsidRPr="00CB16F2">
        <w:rPr>
          <w:rFonts w:ascii="Symbol" w:hAnsi="Symbol"/>
          <w:sz w:val="22"/>
          <w:szCs w:val="22"/>
        </w:rPr>
        <w:t></w:t>
      </w:r>
      <w:r w:rsidRPr="00CB16F2">
        <w:rPr>
          <w:rFonts w:ascii="Century Schoolbook" w:hAnsi="Century Schoolbook"/>
          <w:sz w:val="22"/>
          <w:szCs w:val="22"/>
          <w:vertAlign w:val="superscript"/>
        </w:rPr>
        <w:t>18</w:t>
      </w:r>
      <w:r w:rsidRPr="00CB16F2">
        <w:rPr>
          <w:rFonts w:ascii="Century Schoolbook" w:hAnsi="Century Schoolbook"/>
          <w:sz w:val="22"/>
          <w:szCs w:val="22"/>
        </w:rPr>
        <w:t>O due to the smaller foraminiferal sample in the average (</w:t>
      </w:r>
      <w:r w:rsidRPr="00CB16F2">
        <w:rPr>
          <w:rFonts w:ascii="Century Schoolbook" w:hAnsi="Century Schoolbook"/>
          <w:i/>
          <w:sz w:val="22"/>
          <w:szCs w:val="22"/>
        </w:rPr>
        <w:t>n</w:t>
      </w:r>
      <w:r w:rsidRPr="00CB16F2">
        <w:rPr>
          <w:rFonts w:ascii="Century Schoolbook" w:hAnsi="Century Schoolbook"/>
          <w:sz w:val="22"/>
          <w:szCs w:val="22"/>
        </w:rPr>
        <w:t>=10) compared to age (</w:t>
      </w:r>
      <w:r w:rsidRPr="00CB16F2">
        <w:rPr>
          <w:rFonts w:ascii="Century Schoolbook" w:hAnsi="Century Schoolbook"/>
          <w:i/>
          <w:sz w:val="22"/>
          <w:szCs w:val="22"/>
        </w:rPr>
        <w:t>n</w:t>
      </w:r>
      <w:r w:rsidRPr="00CB16F2">
        <w:rPr>
          <w:rFonts w:ascii="Century Schoolbook" w:hAnsi="Century Schoolbook"/>
          <w:sz w:val="22"/>
          <w:szCs w:val="22"/>
        </w:rPr>
        <w:t>=300). Red dots indicate the actual data. The combination of increased coretop abundance and deep mixing</w:t>
      </w:r>
      <w:r w:rsidR="00517928">
        <w:rPr>
          <w:rFonts w:ascii="Century Schoolbook" w:hAnsi="Century Schoolbook"/>
          <w:sz w:val="22"/>
          <w:szCs w:val="22"/>
        </w:rPr>
        <w:t xml:space="preserve"> (35cm)</w:t>
      </w:r>
      <w:bookmarkStart w:id="0" w:name="_GoBack"/>
      <w:bookmarkEnd w:id="0"/>
      <w:r w:rsidRPr="00CB16F2">
        <w:rPr>
          <w:rFonts w:ascii="Century Schoolbook" w:hAnsi="Century Schoolbook"/>
          <w:sz w:val="22"/>
          <w:szCs w:val="22"/>
        </w:rPr>
        <w:t xml:space="preserve"> is able to reconstruct the </w:t>
      </w:r>
      <w:r w:rsidRPr="00CB16F2">
        <w:rPr>
          <w:rFonts w:ascii="Century Schoolbook" w:hAnsi="Century Schoolbook"/>
          <w:i/>
          <w:sz w:val="22"/>
          <w:szCs w:val="22"/>
        </w:rPr>
        <w:t>N. incompta</w:t>
      </w:r>
      <w:r w:rsidRPr="00CB16F2">
        <w:rPr>
          <w:rFonts w:ascii="Century Schoolbook" w:hAnsi="Century Schoolbook"/>
          <w:sz w:val="22"/>
          <w:szCs w:val="22"/>
        </w:rPr>
        <w:t xml:space="preserve"> age plateau, although it fails to reconstruct the </w:t>
      </w:r>
      <w:r w:rsidRPr="00CB16F2">
        <w:rPr>
          <w:rFonts w:ascii="Century Schoolbook" w:hAnsi="Century Schoolbook"/>
          <w:i/>
          <w:sz w:val="22"/>
          <w:szCs w:val="22"/>
        </w:rPr>
        <w:t>G. bulloides</w:t>
      </w:r>
      <w:r w:rsidRPr="00CB16F2">
        <w:rPr>
          <w:rFonts w:ascii="Century Schoolbook" w:hAnsi="Century Schoolbook"/>
          <w:sz w:val="22"/>
          <w:szCs w:val="22"/>
        </w:rPr>
        <w:t xml:space="preserve"> results.</w:t>
      </w:r>
    </w:p>
    <w:p w14:paraId="757D59A3" w14:textId="77777777" w:rsidR="002A1497" w:rsidRPr="00CB16F2" w:rsidRDefault="002A1497">
      <w:pPr>
        <w:rPr>
          <w:rFonts w:ascii="Century Schoolbook" w:hAnsi="Century Schoolbook"/>
          <w:sz w:val="22"/>
          <w:szCs w:val="22"/>
          <w:u w:val="single"/>
        </w:rPr>
      </w:pPr>
    </w:p>
    <w:p w14:paraId="780A87A9" w14:textId="77777777" w:rsidR="00645BB9" w:rsidRPr="00CB16F2" w:rsidRDefault="00645BB9">
      <w:pPr>
        <w:rPr>
          <w:rFonts w:ascii="Century Schoolbook" w:hAnsi="Century Schoolbook"/>
          <w:sz w:val="22"/>
          <w:szCs w:val="22"/>
          <w:u w:val="single"/>
        </w:rPr>
      </w:pPr>
      <w:r w:rsidRPr="00CB16F2">
        <w:rPr>
          <w:rFonts w:ascii="Century Schoolbook" w:hAnsi="Century Schoolbook"/>
          <w:sz w:val="22"/>
          <w:szCs w:val="22"/>
          <w:u w:val="single"/>
        </w:rPr>
        <w:br w:type="page"/>
      </w:r>
    </w:p>
    <w:p w14:paraId="6D3389E1" w14:textId="65B1FB82" w:rsidR="00EC2696" w:rsidRPr="00CB16F2" w:rsidRDefault="00EC2696">
      <w:pPr>
        <w:rPr>
          <w:rFonts w:ascii="Century Schoolbook" w:hAnsi="Century Schoolbook"/>
          <w:sz w:val="22"/>
          <w:szCs w:val="22"/>
          <w:u w:val="single"/>
        </w:rPr>
      </w:pPr>
      <w:r w:rsidRPr="00CB16F2">
        <w:rPr>
          <w:rFonts w:ascii="Century Schoolbook" w:hAnsi="Century Schoolbook"/>
          <w:sz w:val="22"/>
          <w:szCs w:val="22"/>
          <w:u w:val="single"/>
        </w:rPr>
        <w:t>Supplementary References</w:t>
      </w:r>
    </w:p>
    <w:p w14:paraId="600FAE83" w14:textId="77777777" w:rsidR="000D2FD8" w:rsidRPr="00CB16F2" w:rsidRDefault="000D2FD8" w:rsidP="000D2FD8">
      <w:pPr>
        <w:widowControl w:val="0"/>
        <w:autoSpaceDE w:val="0"/>
        <w:autoSpaceDN w:val="0"/>
        <w:adjustRightInd w:val="0"/>
        <w:ind w:left="480" w:hanging="480"/>
        <w:rPr>
          <w:rFonts w:ascii="Century Schoolbook" w:hAnsi="Century Schoolbook"/>
          <w:sz w:val="22"/>
          <w:szCs w:val="22"/>
          <w:u w:val="single"/>
        </w:rPr>
      </w:pPr>
    </w:p>
    <w:p w14:paraId="442B087B" w14:textId="0902E177" w:rsidR="000D2FD8" w:rsidRPr="00CB16F2" w:rsidRDefault="00832850" w:rsidP="000D2FD8">
      <w:pPr>
        <w:widowControl w:val="0"/>
        <w:autoSpaceDE w:val="0"/>
        <w:autoSpaceDN w:val="0"/>
        <w:adjustRightInd w:val="0"/>
        <w:ind w:left="480" w:hanging="480"/>
        <w:rPr>
          <w:rFonts w:ascii="Century Schoolbook" w:hAnsi="Century Schoolbook"/>
          <w:noProof/>
          <w:sz w:val="22"/>
        </w:rPr>
      </w:pPr>
      <w:r w:rsidRPr="00CB16F2">
        <w:rPr>
          <w:rFonts w:ascii="Century Schoolbook" w:hAnsi="Century Schoolbook"/>
          <w:sz w:val="22"/>
          <w:szCs w:val="22"/>
          <w:u w:val="single"/>
        </w:rPr>
        <w:fldChar w:fldCharType="begin" w:fldLock="1"/>
      </w:r>
      <w:r w:rsidRPr="00CB16F2">
        <w:rPr>
          <w:rFonts w:ascii="Century Schoolbook" w:hAnsi="Century Schoolbook"/>
          <w:sz w:val="22"/>
          <w:szCs w:val="22"/>
          <w:u w:val="single"/>
        </w:rPr>
        <w:instrText xml:space="preserve">ADDIN Mendeley Bibliography CSL_BIBLIOGRAPHY </w:instrText>
      </w:r>
      <w:r w:rsidRPr="00CB16F2">
        <w:rPr>
          <w:rFonts w:ascii="Century Schoolbook" w:hAnsi="Century Schoolbook"/>
          <w:sz w:val="22"/>
          <w:szCs w:val="22"/>
          <w:u w:val="single"/>
        </w:rPr>
        <w:fldChar w:fldCharType="separate"/>
      </w:r>
      <w:r w:rsidR="000D2FD8" w:rsidRPr="00CB16F2">
        <w:rPr>
          <w:rFonts w:ascii="Century Schoolbook" w:hAnsi="Century Schoolbook"/>
          <w:noProof/>
          <w:sz w:val="22"/>
        </w:rPr>
        <w:t xml:space="preserve">Dunbar, R. B., and G. Wefer (1984), Stable isotope fractionation in benthic foraminifera from the Peruvian continental margin, </w:t>
      </w:r>
      <w:r w:rsidR="000D2FD8" w:rsidRPr="00CB16F2">
        <w:rPr>
          <w:rFonts w:ascii="Century Schoolbook" w:hAnsi="Century Schoolbook"/>
          <w:i/>
          <w:iCs/>
          <w:noProof/>
          <w:sz w:val="22"/>
        </w:rPr>
        <w:t>Mar. Geol.</w:t>
      </w:r>
      <w:r w:rsidR="000D2FD8" w:rsidRPr="00CB16F2">
        <w:rPr>
          <w:rFonts w:ascii="Century Schoolbook" w:hAnsi="Century Schoolbook"/>
          <w:noProof/>
          <w:sz w:val="22"/>
        </w:rPr>
        <w:t xml:space="preserve">, </w:t>
      </w:r>
      <w:r w:rsidR="000D2FD8" w:rsidRPr="00CB16F2">
        <w:rPr>
          <w:rFonts w:ascii="Century Schoolbook" w:hAnsi="Century Schoolbook"/>
          <w:i/>
          <w:iCs/>
          <w:noProof/>
          <w:sz w:val="22"/>
        </w:rPr>
        <w:t>59</w:t>
      </w:r>
      <w:r w:rsidR="000D2FD8" w:rsidRPr="00CB16F2">
        <w:rPr>
          <w:rFonts w:ascii="Century Schoolbook" w:hAnsi="Century Schoolbook"/>
          <w:noProof/>
          <w:sz w:val="22"/>
        </w:rPr>
        <w:t>(1–4), 215–225, doi:10.1016/0025-3227(84)90094-X.</w:t>
      </w:r>
    </w:p>
    <w:p w14:paraId="41F131B9" w14:textId="77777777" w:rsidR="000D2FD8" w:rsidRPr="00CB16F2" w:rsidRDefault="000D2FD8" w:rsidP="000D2FD8">
      <w:pPr>
        <w:widowControl w:val="0"/>
        <w:autoSpaceDE w:val="0"/>
        <w:autoSpaceDN w:val="0"/>
        <w:adjustRightInd w:val="0"/>
        <w:ind w:left="480" w:hanging="480"/>
        <w:rPr>
          <w:rFonts w:ascii="Century Schoolbook" w:hAnsi="Century Schoolbook"/>
          <w:noProof/>
          <w:sz w:val="22"/>
        </w:rPr>
      </w:pPr>
      <w:r w:rsidRPr="00CB16F2">
        <w:rPr>
          <w:rFonts w:ascii="Century Schoolbook" w:hAnsi="Century Schoolbook"/>
          <w:noProof/>
          <w:sz w:val="22"/>
        </w:rPr>
        <w:t xml:space="preserve">Franco-Fraguas, P., K. B. Costa, and F. A. de L. Toledo (2011), Stable isotope/test size relationship in Cibicidoides wuellerstorfi, </w:t>
      </w:r>
      <w:r w:rsidRPr="00CB16F2">
        <w:rPr>
          <w:rFonts w:ascii="Century Schoolbook" w:hAnsi="Century Schoolbook"/>
          <w:i/>
          <w:iCs/>
          <w:noProof/>
          <w:sz w:val="22"/>
        </w:rPr>
        <w:t>Brazilian J. Oceanogr.</w:t>
      </w:r>
      <w:r w:rsidRPr="00CB16F2">
        <w:rPr>
          <w:rFonts w:ascii="Century Schoolbook" w:hAnsi="Century Schoolbook"/>
          <w:noProof/>
          <w:sz w:val="22"/>
        </w:rPr>
        <w:t xml:space="preserve">, </w:t>
      </w:r>
      <w:r w:rsidRPr="00CB16F2">
        <w:rPr>
          <w:rFonts w:ascii="Century Schoolbook" w:hAnsi="Century Schoolbook"/>
          <w:i/>
          <w:iCs/>
          <w:noProof/>
          <w:sz w:val="22"/>
        </w:rPr>
        <w:t>59</w:t>
      </w:r>
      <w:r w:rsidRPr="00CB16F2">
        <w:rPr>
          <w:rFonts w:ascii="Century Schoolbook" w:hAnsi="Century Schoolbook"/>
          <w:noProof/>
          <w:sz w:val="22"/>
        </w:rPr>
        <w:t>(3), 287–291, doi:10.1590/S1679-87592011000300010.</w:t>
      </w:r>
    </w:p>
    <w:p w14:paraId="5D0D5448" w14:textId="77777777" w:rsidR="000D2FD8" w:rsidRPr="00CB16F2" w:rsidRDefault="000D2FD8" w:rsidP="000D2FD8">
      <w:pPr>
        <w:widowControl w:val="0"/>
        <w:autoSpaceDE w:val="0"/>
        <w:autoSpaceDN w:val="0"/>
        <w:adjustRightInd w:val="0"/>
        <w:ind w:left="480" w:hanging="480"/>
        <w:rPr>
          <w:rFonts w:ascii="Century Schoolbook" w:hAnsi="Century Schoolbook"/>
          <w:noProof/>
          <w:sz w:val="22"/>
        </w:rPr>
      </w:pPr>
      <w:r w:rsidRPr="00CB16F2">
        <w:rPr>
          <w:rFonts w:ascii="Century Schoolbook" w:hAnsi="Century Schoolbook"/>
          <w:noProof/>
          <w:sz w:val="22"/>
        </w:rPr>
        <w:t xml:space="preserve">Hillaire-Marcel, C., A. de Vernal, L. Polyak, and D. Darby (2004), Size-dependent isotopic composition of planktic foraminifers from Chukchi Sea vs. NW Atlantic sediments - Implications for the Holocene paleoceanography of the western Arctic, </w:t>
      </w:r>
      <w:r w:rsidRPr="00CB16F2">
        <w:rPr>
          <w:rFonts w:ascii="Century Schoolbook" w:hAnsi="Century Schoolbook"/>
          <w:i/>
          <w:iCs/>
          <w:noProof/>
          <w:sz w:val="22"/>
        </w:rPr>
        <w:t>Quat. Sci. Rev.</w:t>
      </w:r>
      <w:r w:rsidRPr="00CB16F2">
        <w:rPr>
          <w:rFonts w:ascii="Century Schoolbook" w:hAnsi="Century Schoolbook"/>
          <w:noProof/>
          <w:sz w:val="22"/>
        </w:rPr>
        <w:t xml:space="preserve">, </w:t>
      </w:r>
      <w:r w:rsidRPr="00CB16F2">
        <w:rPr>
          <w:rFonts w:ascii="Century Schoolbook" w:hAnsi="Century Schoolbook"/>
          <w:i/>
          <w:iCs/>
          <w:noProof/>
          <w:sz w:val="22"/>
        </w:rPr>
        <w:t>23</w:t>
      </w:r>
      <w:r w:rsidRPr="00CB16F2">
        <w:rPr>
          <w:rFonts w:ascii="Century Schoolbook" w:hAnsi="Century Schoolbook"/>
          <w:noProof/>
          <w:sz w:val="22"/>
        </w:rPr>
        <w:t>(3–4), 245–260, doi:10.1016/j.quascirev.2003.08.006.</w:t>
      </w:r>
    </w:p>
    <w:p w14:paraId="63673255" w14:textId="77777777" w:rsidR="000D2FD8" w:rsidRPr="00CB16F2" w:rsidRDefault="000D2FD8" w:rsidP="000D2FD8">
      <w:pPr>
        <w:widowControl w:val="0"/>
        <w:autoSpaceDE w:val="0"/>
        <w:autoSpaceDN w:val="0"/>
        <w:adjustRightInd w:val="0"/>
        <w:ind w:left="480" w:hanging="480"/>
        <w:rPr>
          <w:rFonts w:ascii="Century Schoolbook" w:hAnsi="Century Schoolbook"/>
          <w:noProof/>
          <w:sz w:val="22"/>
        </w:rPr>
      </w:pPr>
      <w:r w:rsidRPr="00CB16F2">
        <w:rPr>
          <w:rFonts w:ascii="Century Schoolbook" w:hAnsi="Century Schoolbook"/>
          <w:noProof/>
          <w:sz w:val="22"/>
        </w:rPr>
        <w:t xml:space="preserve">Schmiedl, G., M. Pfeilsticker, C. Hemleben, and A. Mackensen (2004), Environmental and biological effects on the stable isotope composition of recent deep-sea benthic foraminifera from the western Mediterranean Sea, </w:t>
      </w:r>
      <w:r w:rsidRPr="00CB16F2">
        <w:rPr>
          <w:rFonts w:ascii="Century Schoolbook" w:hAnsi="Century Schoolbook"/>
          <w:i/>
          <w:iCs/>
          <w:noProof/>
          <w:sz w:val="22"/>
        </w:rPr>
        <w:t>Mar. Micropaleontol.</w:t>
      </w:r>
      <w:r w:rsidRPr="00CB16F2">
        <w:rPr>
          <w:rFonts w:ascii="Century Schoolbook" w:hAnsi="Century Schoolbook"/>
          <w:noProof/>
          <w:sz w:val="22"/>
        </w:rPr>
        <w:t xml:space="preserve">, </w:t>
      </w:r>
      <w:r w:rsidRPr="00CB16F2">
        <w:rPr>
          <w:rFonts w:ascii="Century Schoolbook" w:hAnsi="Century Schoolbook"/>
          <w:i/>
          <w:iCs/>
          <w:noProof/>
          <w:sz w:val="22"/>
        </w:rPr>
        <w:t>51</w:t>
      </w:r>
      <w:r w:rsidRPr="00CB16F2">
        <w:rPr>
          <w:rFonts w:ascii="Century Schoolbook" w:hAnsi="Century Schoolbook"/>
          <w:noProof/>
          <w:sz w:val="22"/>
        </w:rPr>
        <w:t>(1–2), 129–152, doi:10.1016/j.marmicro.2003.10.001.</w:t>
      </w:r>
    </w:p>
    <w:p w14:paraId="2D814E48" w14:textId="563F0AE0" w:rsidR="00832850" w:rsidRDefault="00832850" w:rsidP="000D2FD8">
      <w:pPr>
        <w:widowControl w:val="0"/>
        <w:autoSpaceDE w:val="0"/>
        <w:autoSpaceDN w:val="0"/>
        <w:adjustRightInd w:val="0"/>
        <w:rPr>
          <w:rFonts w:ascii="Century Schoolbook" w:hAnsi="Century Schoolbook"/>
          <w:sz w:val="22"/>
          <w:szCs w:val="22"/>
        </w:rPr>
      </w:pPr>
      <w:r w:rsidRPr="00CB16F2">
        <w:rPr>
          <w:rFonts w:ascii="Century Schoolbook" w:hAnsi="Century Schoolbook"/>
          <w:sz w:val="22"/>
          <w:szCs w:val="22"/>
          <w:u w:val="single"/>
        </w:rPr>
        <w:fldChar w:fldCharType="end"/>
      </w:r>
    </w:p>
    <w:p w14:paraId="6D3D72BF" w14:textId="77777777" w:rsidR="00EC2696" w:rsidRPr="00EC2696" w:rsidRDefault="00EC2696">
      <w:pPr>
        <w:rPr>
          <w:rFonts w:ascii="Century Schoolbook" w:hAnsi="Century Schoolbook"/>
          <w:sz w:val="22"/>
          <w:szCs w:val="22"/>
        </w:rPr>
      </w:pPr>
    </w:p>
    <w:sectPr w:rsidR="00EC2696" w:rsidRPr="00EC2696" w:rsidSect="00EE0FB7">
      <w:footerReference w:type="even" r:id="rId12"/>
      <w:footerReference w:type="defaul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65434" w14:textId="77777777" w:rsidR="000C1DB1" w:rsidRDefault="000C1DB1" w:rsidP="00EE0FB7">
      <w:r>
        <w:separator/>
      </w:r>
    </w:p>
  </w:endnote>
  <w:endnote w:type="continuationSeparator" w:id="0">
    <w:p w14:paraId="3AEDF9FB" w14:textId="77777777" w:rsidR="000C1DB1" w:rsidRDefault="000C1DB1" w:rsidP="00EE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AA9BF" w14:textId="77777777" w:rsidR="000C1DB1" w:rsidRDefault="000C1DB1" w:rsidP="00645B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BB6E7D" w14:textId="77777777" w:rsidR="000C1DB1" w:rsidRDefault="000C1DB1" w:rsidP="00EE0F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C4A28" w14:textId="77777777" w:rsidR="000C1DB1" w:rsidRDefault="000C1DB1" w:rsidP="00645B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7928">
      <w:rPr>
        <w:rStyle w:val="PageNumber"/>
        <w:noProof/>
      </w:rPr>
      <w:t>1</w:t>
    </w:r>
    <w:r>
      <w:rPr>
        <w:rStyle w:val="PageNumber"/>
      </w:rPr>
      <w:fldChar w:fldCharType="end"/>
    </w:r>
  </w:p>
  <w:p w14:paraId="53223B5D" w14:textId="77777777" w:rsidR="000C1DB1" w:rsidRDefault="000C1DB1" w:rsidP="00EE0FB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9C148" w14:textId="77777777" w:rsidR="000C1DB1" w:rsidRDefault="000C1DB1" w:rsidP="00EE0FB7">
      <w:r>
        <w:separator/>
      </w:r>
    </w:p>
  </w:footnote>
  <w:footnote w:type="continuationSeparator" w:id="0">
    <w:p w14:paraId="3F746668" w14:textId="77777777" w:rsidR="000C1DB1" w:rsidRDefault="000C1DB1" w:rsidP="00EE0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87"/>
    <w:rsid w:val="00067634"/>
    <w:rsid w:val="000C1DB1"/>
    <w:rsid w:val="000D2FD8"/>
    <w:rsid w:val="000D431C"/>
    <w:rsid w:val="00111503"/>
    <w:rsid w:val="00241D3A"/>
    <w:rsid w:val="002A1497"/>
    <w:rsid w:val="002F0887"/>
    <w:rsid w:val="00517928"/>
    <w:rsid w:val="00645BB9"/>
    <w:rsid w:val="00652447"/>
    <w:rsid w:val="007908C9"/>
    <w:rsid w:val="00832850"/>
    <w:rsid w:val="0086531F"/>
    <w:rsid w:val="008C2177"/>
    <w:rsid w:val="00A76430"/>
    <w:rsid w:val="00A95768"/>
    <w:rsid w:val="00AE1568"/>
    <w:rsid w:val="00B12257"/>
    <w:rsid w:val="00BA3019"/>
    <w:rsid w:val="00C8583E"/>
    <w:rsid w:val="00CB16F2"/>
    <w:rsid w:val="00CF2D24"/>
    <w:rsid w:val="00D17879"/>
    <w:rsid w:val="00D52576"/>
    <w:rsid w:val="00D8547C"/>
    <w:rsid w:val="00E01074"/>
    <w:rsid w:val="00E35217"/>
    <w:rsid w:val="00EC2696"/>
    <w:rsid w:val="00EE0FB7"/>
    <w:rsid w:val="00F16332"/>
    <w:rsid w:val="00F23832"/>
    <w:rsid w:val="00F60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8C96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4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547C"/>
    <w:rPr>
      <w:rFonts w:ascii="Lucida Grande" w:hAnsi="Lucida Grande" w:cs="Lucida Grande"/>
      <w:sz w:val="18"/>
      <w:szCs w:val="18"/>
    </w:rPr>
  </w:style>
  <w:style w:type="character" w:styleId="LineNumber">
    <w:name w:val="line number"/>
    <w:basedOn w:val="DefaultParagraphFont"/>
    <w:uiPriority w:val="99"/>
    <w:semiHidden/>
    <w:unhideWhenUsed/>
    <w:rsid w:val="00B12257"/>
  </w:style>
  <w:style w:type="paragraph" w:styleId="Footer">
    <w:name w:val="footer"/>
    <w:basedOn w:val="Normal"/>
    <w:link w:val="FooterChar"/>
    <w:uiPriority w:val="99"/>
    <w:unhideWhenUsed/>
    <w:rsid w:val="00EE0FB7"/>
    <w:pPr>
      <w:tabs>
        <w:tab w:val="center" w:pos="4320"/>
        <w:tab w:val="right" w:pos="8640"/>
      </w:tabs>
    </w:pPr>
  </w:style>
  <w:style w:type="character" w:customStyle="1" w:styleId="FooterChar">
    <w:name w:val="Footer Char"/>
    <w:basedOn w:val="DefaultParagraphFont"/>
    <w:link w:val="Footer"/>
    <w:uiPriority w:val="99"/>
    <w:rsid w:val="00EE0FB7"/>
  </w:style>
  <w:style w:type="character" w:styleId="PageNumber">
    <w:name w:val="page number"/>
    <w:basedOn w:val="DefaultParagraphFont"/>
    <w:uiPriority w:val="99"/>
    <w:semiHidden/>
    <w:unhideWhenUsed/>
    <w:rsid w:val="00EE0F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4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547C"/>
    <w:rPr>
      <w:rFonts w:ascii="Lucida Grande" w:hAnsi="Lucida Grande" w:cs="Lucida Grande"/>
      <w:sz w:val="18"/>
      <w:szCs w:val="18"/>
    </w:rPr>
  </w:style>
  <w:style w:type="character" w:styleId="LineNumber">
    <w:name w:val="line number"/>
    <w:basedOn w:val="DefaultParagraphFont"/>
    <w:uiPriority w:val="99"/>
    <w:semiHidden/>
    <w:unhideWhenUsed/>
    <w:rsid w:val="00B12257"/>
  </w:style>
  <w:style w:type="paragraph" w:styleId="Footer">
    <w:name w:val="footer"/>
    <w:basedOn w:val="Normal"/>
    <w:link w:val="FooterChar"/>
    <w:uiPriority w:val="99"/>
    <w:unhideWhenUsed/>
    <w:rsid w:val="00EE0FB7"/>
    <w:pPr>
      <w:tabs>
        <w:tab w:val="center" w:pos="4320"/>
        <w:tab w:val="right" w:pos="8640"/>
      </w:tabs>
    </w:pPr>
  </w:style>
  <w:style w:type="character" w:customStyle="1" w:styleId="FooterChar">
    <w:name w:val="Footer Char"/>
    <w:basedOn w:val="DefaultParagraphFont"/>
    <w:link w:val="Footer"/>
    <w:uiPriority w:val="99"/>
    <w:rsid w:val="00EE0FB7"/>
  </w:style>
  <w:style w:type="character" w:styleId="PageNumber">
    <w:name w:val="page number"/>
    <w:basedOn w:val="DefaultParagraphFont"/>
    <w:uiPriority w:val="99"/>
    <w:semiHidden/>
    <w:unhideWhenUsed/>
    <w:rsid w:val="00EE0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emf"/><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4767</Words>
  <Characters>27175</Characters>
  <Application>Microsoft Macintosh Word</Application>
  <DocSecurity>0</DocSecurity>
  <Lines>226</Lines>
  <Paragraphs>63</Paragraphs>
  <ScaleCrop>false</ScaleCrop>
  <Company/>
  <LinksUpToDate>false</LinksUpToDate>
  <CharactersWithSpaces>31879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 Costa</dc:creator>
  <cp:keywords/>
  <dc:description/>
  <cp:lastModifiedBy>Kassandra Costa</cp:lastModifiedBy>
  <cp:revision>5</cp:revision>
  <dcterms:created xsi:type="dcterms:W3CDTF">2017-08-21T15:42:00Z</dcterms:created>
  <dcterms:modified xsi:type="dcterms:W3CDTF">2017-08-21T15:53:00Z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a48b72e3-bbf2-3890-b9e9-327846b2b9e1</vt:lpwstr>
  </property>
  <property fmtid="{D5CDD505-2E9C-101B-9397-08002B2CF9AE}" pid="4" name="Mendeley Citation Style_1">
    <vt:lpwstr>http://www.zotero.org/styles/paleoceanography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http://www.zotero.org/styles/earth-and-planetary-science-letters</vt:lpwstr>
  </property>
  <property fmtid="{D5CDD505-2E9C-101B-9397-08002B2CF9AE}" pid="8" name="Mendeley Recent Style Name 1_1">
    <vt:lpwstr>Earth and Planetary Science  Letters</vt:lpwstr>
  </property>
  <property fmtid="{D5CDD505-2E9C-101B-9397-08002B2CF9AE}" pid="9" name="Mendeley Recent Style Id 2_1">
    <vt:lpwstr>http://www.zotero.org/styles/global-biogeochemical-cycles</vt:lpwstr>
  </property>
  <property fmtid="{D5CDD505-2E9C-101B-9397-08002B2CF9AE}" pid="10" name="Mendeley Recent Style Name 2_1">
    <vt:lpwstr>Global Biogeochemical Cycles</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http://www.zotero.org/styles/nature-geoscience</vt:lpwstr>
  </property>
  <property fmtid="{D5CDD505-2E9C-101B-9397-08002B2CF9AE}" pid="18" name="Mendeley Recent Style Name 6_1">
    <vt:lpwstr>Nature Geoscience</vt:lpwstr>
  </property>
  <property fmtid="{D5CDD505-2E9C-101B-9397-08002B2CF9AE}" pid="19" name="Mendeley Recent Style Id 7_1">
    <vt:lpwstr>http://www.zotero.org/styles/palaeogeography-palaeoclimatology-palaeoecology</vt:lpwstr>
  </property>
  <property fmtid="{D5CDD505-2E9C-101B-9397-08002B2CF9AE}" pid="20" name="Mendeley Recent Style Name 7_1">
    <vt:lpwstr>Palaeogeography, Palaeoclimatology, Palaeoecology</vt:lpwstr>
  </property>
  <property fmtid="{D5CDD505-2E9C-101B-9397-08002B2CF9AE}" pid="21" name="Mendeley Recent Style Id 8_1">
    <vt:lpwstr>http://www.zotero.org/styles/paleoceanography</vt:lpwstr>
  </property>
  <property fmtid="{D5CDD505-2E9C-101B-9397-08002B2CF9AE}" pid="22" name="Mendeley Recent Style Name 8_1">
    <vt:lpwstr>Paleoceanography</vt:lpwstr>
  </property>
  <property fmtid="{D5CDD505-2E9C-101B-9397-08002B2CF9AE}" pid="23" name="Mendeley Recent Style Id 9_1">
    <vt:lpwstr>http://www.zotero.org/styles/quaternary-science-reviews</vt:lpwstr>
  </property>
  <property fmtid="{D5CDD505-2E9C-101B-9397-08002B2CF9AE}" pid="24" name="Mendeley Recent Style Name 9_1">
    <vt:lpwstr>Quaternary Science Reviews</vt:lpwstr>
  </property>
</Properties>
</file>