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42" w:rsidRDefault="00E50E42" w:rsidP="00E50E42">
      <w:pPr>
        <w:pStyle w:val="PlainText"/>
      </w:pPr>
      <w:r>
        <w:t xml:space="preserve">Figure S1    Comparison of different age-depth models for </w:t>
      </w:r>
      <w:proofErr w:type="spellStart"/>
      <w:r>
        <w:t>Moossee</w:t>
      </w:r>
      <w:proofErr w:type="spellEnd"/>
      <w:r>
        <w:t xml:space="preserve"> (a) and </w:t>
      </w:r>
      <w:proofErr w:type="spellStart"/>
      <w:r>
        <w:t>Burgäschisee</w:t>
      </w:r>
      <w:proofErr w:type="spellEnd"/>
      <w:r>
        <w:t xml:space="preserve"> (b) including 95% probabilities (2σ) of the models (dotted lines). Black dots (1−31, 33−50) and one grey dot (32, outlier) show the calibrated ages with 95% probabilities (2σ) (IntCal13, Reimer et al. 2013). </w:t>
      </w:r>
      <w:proofErr w:type="gramStart"/>
      <w:r>
        <w:t xml:space="preserve">Red = </w:t>
      </w:r>
      <w:proofErr w:type="spellStart"/>
      <w:r>
        <w:t>OxCal</w:t>
      </w:r>
      <w:proofErr w:type="spellEnd"/>
      <w:r>
        <w:t xml:space="preserve"> V/U/P-sequence (</w:t>
      </w:r>
      <w:proofErr w:type="spellStart"/>
      <w:r>
        <w:t>Bronk</w:t>
      </w:r>
      <w:proofErr w:type="spellEnd"/>
      <w:r>
        <w:t xml:space="preserve"> Ramsey 1994, 1995, 2001, 2008; </w:t>
      </w:r>
      <w:proofErr w:type="spellStart"/>
      <w:r>
        <w:t>Bronk</w:t>
      </w:r>
      <w:proofErr w:type="spellEnd"/>
      <w:r>
        <w:t xml:space="preserve"> Ramsey et al. 2001; </w:t>
      </w:r>
      <w:proofErr w:type="spellStart"/>
      <w:r>
        <w:t>Bronk</w:t>
      </w:r>
      <w:proofErr w:type="spellEnd"/>
      <w:r>
        <w:t xml:space="preserve"> Ramsey and Lee 2013), purple = clam 2.2 (smooth spline at smoothing level = 0.6 for both sites, </w:t>
      </w:r>
      <w:proofErr w:type="spellStart"/>
      <w:r>
        <w:t>Blaauw</w:t>
      </w:r>
      <w:proofErr w:type="spellEnd"/>
      <w:r>
        <w:t xml:space="preserve"> 2010), yellow = GAM (</w:t>
      </w:r>
      <w:proofErr w:type="spellStart"/>
      <w:r>
        <w:t>Heegaard</w:t>
      </w:r>
      <w:proofErr w:type="spellEnd"/>
      <w:r>
        <w:t xml:space="preserve"> et al. 2005) and blue = Bacon 2.2 (mean accumulation rate = 20 years/cm, accumulation shape = 1.5 for both sites, </w:t>
      </w:r>
      <w:proofErr w:type="spellStart"/>
      <w:r>
        <w:t>Blaauw</w:t>
      </w:r>
      <w:proofErr w:type="spellEnd"/>
      <w:r>
        <w:t xml:space="preserve"> and Christen 2011).</w:t>
      </w:r>
      <w:proofErr w:type="gramEnd"/>
    </w:p>
    <w:p w:rsidR="006F1345" w:rsidRDefault="00E50E42">
      <w:bookmarkStart w:id="0" w:name="_GoBack"/>
      <w:bookmarkEnd w:id="0"/>
    </w:p>
    <w:sectPr w:rsidR="006F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42"/>
    <w:rsid w:val="00BB3100"/>
    <w:rsid w:val="00E50E42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6183-A440-4E5C-8BA0-198A4FC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50E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0E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Musha</dc:creator>
  <cp:keywords/>
  <dc:description/>
  <cp:lastModifiedBy>Julia Musha</cp:lastModifiedBy>
  <cp:revision>1</cp:revision>
  <dcterms:created xsi:type="dcterms:W3CDTF">2018-05-04T21:38:00Z</dcterms:created>
  <dcterms:modified xsi:type="dcterms:W3CDTF">2018-05-04T21:39:00Z</dcterms:modified>
</cp:coreProperties>
</file>