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595E" w:rsidRPr="004A6F27" w:rsidRDefault="00AE595E" w:rsidP="00AE595E">
      <w:pPr>
        <w:spacing w:line="480" w:lineRule="auto"/>
        <w:rPr>
          <w:rFonts w:asciiTheme="minorHAnsi" w:hAnsiTheme="minorHAnsi" w:cstheme="minorHAnsi"/>
          <w:b/>
          <w:sz w:val="22"/>
          <w:szCs w:val="22"/>
        </w:rPr>
      </w:pPr>
      <w:r w:rsidRPr="004A6F27">
        <w:rPr>
          <w:rFonts w:asciiTheme="minorHAnsi" w:hAnsiTheme="minorHAnsi" w:cstheme="minorHAnsi"/>
          <w:b/>
          <w:sz w:val="22"/>
          <w:szCs w:val="22"/>
        </w:rPr>
        <w:t>SUPPLEMENTARY MATERIAL</w:t>
      </w:r>
    </w:p>
    <w:p w:rsidR="00AE595E" w:rsidRPr="004A6F27" w:rsidRDefault="00AE595E" w:rsidP="00AE595E">
      <w:pPr>
        <w:spacing w:line="480" w:lineRule="auto"/>
        <w:rPr>
          <w:rFonts w:asciiTheme="minorHAnsi" w:hAnsiTheme="minorHAnsi" w:cstheme="minorHAnsi"/>
          <w:b/>
          <w:sz w:val="22"/>
          <w:szCs w:val="22"/>
        </w:rPr>
      </w:pPr>
    </w:p>
    <w:p w:rsidR="00AE595E" w:rsidRPr="004A6F27" w:rsidRDefault="00AE595E" w:rsidP="00AE595E">
      <w:pPr>
        <w:spacing w:line="480" w:lineRule="auto"/>
        <w:rPr>
          <w:rFonts w:asciiTheme="minorHAnsi" w:hAnsiTheme="minorHAnsi" w:cstheme="minorHAnsi"/>
          <w:i/>
          <w:sz w:val="22"/>
          <w:szCs w:val="22"/>
        </w:rPr>
      </w:pPr>
      <w:r w:rsidRPr="004A6F27">
        <w:rPr>
          <w:rFonts w:asciiTheme="minorHAnsi" w:hAnsiTheme="minorHAnsi" w:cstheme="minorHAnsi"/>
          <w:i/>
          <w:sz w:val="22"/>
          <w:szCs w:val="22"/>
        </w:rPr>
        <w:t>Details of sample preparation</w:t>
      </w:r>
    </w:p>
    <w:p w:rsidR="00AE595E" w:rsidRPr="004A6F27" w:rsidRDefault="00AE595E" w:rsidP="00AE595E">
      <w:pPr>
        <w:spacing w:line="480" w:lineRule="auto"/>
        <w:rPr>
          <w:rFonts w:asciiTheme="minorHAnsi" w:hAnsiTheme="minorHAnsi" w:cstheme="minorHAnsi"/>
          <w:sz w:val="22"/>
          <w:szCs w:val="22"/>
        </w:rPr>
      </w:pPr>
    </w:p>
    <w:p w:rsidR="00AE595E" w:rsidRPr="004A6F27" w:rsidRDefault="00AE595E" w:rsidP="00AE595E">
      <w:pPr>
        <w:spacing w:line="480" w:lineRule="auto"/>
        <w:rPr>
          <w:rFonts w:asciiTheme="minorHAnsi" w:hAnsiTheme="minorHAnsi" w:cstheme="minorHAnsi"/>
          <w:sz w:val="22"/>
          <w:szCs w:val="22"/>
        </w:rPr>
      </w:pPr>
      <w:r w:rsidRPr="004A6F27">
        <w:rPr>
          <w:rFonts w:asciiTheme="minorHAnsi" w:hAnsiTheme="minorHAnsi" w:cstheme="minorHAnsi"/>
          <w:sz w:val="22"/>
          <w:szCs w:val="22"/>
        </w:rPr>
        <w:t>Benzene for liquid scintillation counting (LSC) was prepared from cellulose as follows: 1. Combustion to CO</w:t>
      </w:r>
      <w:r w:rsidRPr="004A6F27">
        <w:rPr>
          <w:rFonts w:asciiTheme="minorHAnsi" w:hAnsiTheme="minorHAnsi" w:cstheme="minorHAnsi"/>
          <w:sz w:val="22"/>
          <w:szCs w:val="22"/>
          <w:vertAlign w:val="subscript"/>
        </w:rPr>
        <w:t>2</w:t>
      </w:r>
      <w:r w:rsidRPr="004A6F27">
        <w:rPr>
          <w:rFonts w:asciiTheme="minorHAnsi" w:hAnsiTheme="minorHAnsi" w:cstheme="minorHAnsi"/>
          <w:sz w:val="22"/>
          <w:szCs w:val="22"/>
        </w:rPr>
        <w:t xml:space="preserve"> in a stream of O</w:t>
      </w:r>
      <w:r w:rsidRPr="004A6F27">
        <w:rPr>
          <w:rFonts w:asciiTheme="minorHAnsi" w:hAnsiTheme="minorHAnsi" w:cstheme="minorHAnsi"/>
          <w:sz w:val="22"/>
          <w:szCs w:val="22"/>
          <w:vertAlign w:val="subscript"/>
        </w:rPr>
        <w:t>2</w:t>
      </w:r>
      <w:r w:rsidRPr="004A6F27">
        <w:rPr>
          <w:rFonts w:asciiTheme="minorHAnsi" w:hAnsiTheme="minorHAnsi" w:cstheme="minorHAnsi"/>
          <w:sz w:val="22"/>
          <w:szCs w:val="22"/>
        </w:rPr>
        <w:t xml:space="preserve"> gas; 2. Removal of S- and Cl-bearing impurities in bubble traps containing AgNO</w:t>
      </w:r>
      <w:r w:rsidRPr="004A6F27">
        <w:rPr>
          <w:rFonts w:asciiTheme="minorHAnsi" w:hAnsiTheme="minorHAnsi" w:cstheme="minorHAnsi"/>
          <w:sz w:val="22"/>
          <w:szCs w:val="22"/>
          <w:vertAlign w:val="subscript"/>
        </w:rPr>
        <w:t>3</w:t>
      </w:r>
      <w:r w:rsidRPr="004A6F27">
        <w:rPr>
          <w:rFonts w:asciiTheme="minorHAnsi" w:hAnsiTheme="minorHAnsi" w:cstheme="minorHAnsi"/>
          <w:sz w:val="22"/>
          <w:szCs w:val="22"/>
        </w:rPr>
        <w:t>, acidified KMnO</w:t>
      </w:r>
      <w:r w:rsidRPr="004A6F27">
        <w:rPr>
          <w:rFonts w:asciiTheme="minorHAnsi" w:hAnsiTheme="minorHAnsi" w:cstheme="minorHAnsi"/>
          <w:sz w:val="22"/>
          <w:szCs w:val="22"/>
          <w:vertAlign w:val="subscript"/>
        </w:rPr>
        <w:t>4</w:t>
      </w:r>
      <w:r w:rsidRPr="004A6F27">
        <w:rPr>
          <w:rFonts w:asciiTheme="minorHAnsi" w:hAnsiTheme="minorHAnsi" w:cstheme="minorHAnsi"/>
          <w:sz w:val="22"/>
          <w:szCs w:val="22"/>
        </w:rPr>
        <w:t xml:space="preserve"> and chromic acid/H2SO</w:t>
      </w:r>
      <w:r w:rsidRPr="004A6F27">
        <w:rPr>
          <w:rFonts w:asciiTheme="minorHAnsi" w:hAnsiTheme="minorHAnsi" w:cstheme="minorHAnsi"/>
          <w:sz w:val="22"/>
          <w:szCs w:val="22"/>
          <w:vertAlign w:val="subscript"/>
        </w:rPr>
        <w:t>4</w:t>
      </w:r>
      <w:r w:rsidRPr="004A6F27">
        <w:rPr>
          <w:rFonts w:asciiTheme="minorHAnsi" w:hAnsiTheme="minorHAnsi" w:cstheme="minorHAnsi"/>
          <w:sz w:val="22"/>
          <w:szCs w:val="22"/>
        </w:rPr>
        <w:t xml:space="preserve"> solutions;  3. Cryogenic separation of water from CO</w:t>
      </w:r>
      <w:r w:rsidRPr="004A6F27">
        <w:rPr>
          <w:rFonts w:asciiTheme="minorHAnsi" w:hAnsiTheme="minorHAnsi" w:cstheme="minorHAnsi"/>
          <w:sz w:val="22"/>
          <w:szCs w:val="22"/>
          <w:vertAlign w:val="subscript"/>
        </w:rPr>
        <w:t>2</w:t>
      </w:r>
      <w:r w:rsidRPr="004A6F27">
        <w:rPr>
          <w:rFonts w:asciiTheme="minorHAnsi" w:hAnsiTheme="minorHAnsi" w:cstheme="minorHAnsi"/>
          <w:sz w:val="22"/>
          <w:szCs w:val="22"/>
        </w:rPr>
        <w:t>;   4.  Reaction of CO2 with molten Li at 500</w:t>
      </w:r>
      <w:r w:rsidRPr="004A6F27">
        <w:rPr>
          <w:rFonts w:asciiTheme="minorHAnsi" w:hAnsiTheme="minorHAnsi" w:cstheme="minorHAnsi"/>
          <w:sz w:val="22"/>
          <w:szCs w:val="22"/>
        </w:rPr>
        <w:sym w:font="Symbol" w:char="F0B0"/>
      </w:r>
      <w:r w:rsidRPr="004A6F27">
        <w:rPr>
          <w:rFonts w:asciiTheme="minorHAnsi" w:hAnsiTheme="minorHAnsi" w:cstheme="minorHAnsi"/>
          <w:sz w:val="22"/>
          <w:szCs w:val="22"/>
        </w:rPr>
        <w:t>C,  to give Li</w:t>
      </w:r>
      <w:r w:rsidRPr="004A6F27">
        <w:rPr>
          <w:rFonts w:asciiTheme="minorHAnsi" w:hAnsiTheme="minorHAnsi" w:cstheme="minorHAnsi"/>
          <w:sz w:val="22"/>
          <w:szCs w:val="22"/>
          <w:vertAlign w:val="subscript"/>
        </w:rPr>
        <w:t>2</w:t>
      </w:r>
      <w:r w:rsidRPr="004A6F27">
        <w:rPr>
          <w:rFonts w:asciiTheme="minorHAnsi" w:hAnsiTheme="minorHAnsi" w:cstheme="minorHAnsi"/>
          <w:sz w:val="22"/>
          <w:szCs w:val="22"/>
        </w:rPr>
        <w:t>C</w:t>
      </w:r>
      <w:r w:rsidRPr="004A6F27">
        <w:rPr>
          <w:rFonts w:asciiTheme="minorHAnsi" w:hAnsiTheme="minorHAnsi" w:cstheme="minorHAnsi"/>
          <w:sz w:val="22"/>
          <w:szCs w:val="22"/>
          <w:vertAlign w:val="subscript"/>
        </w:rPr>
        <w:t>2</w:t>
      </w:r>
      <w:r w:rsidRPr="004A6F27">
        <w:rPr>
          <w:rFonts w:asciiTheme="minorHAnsi" w:hAnsiTheme="minorHAnsi" w:cstheme="minorHAnsi"/>
          <w:sz w:val="22"/>
          <w:szCs w:val="22"/>
        </w:rPr>
        <w:t>, followed by cooling and hydrolysis yielding C</w:t>
      </w:r>
      <w:r w:rsidRPr="004A6F27">
        <w:rPr>
          <w:rFonts w:asciiTheme="minorHAnsi" w:hAnsiTheme="minorHAnsi" w:cstheme="minorHAnsi"/>
          <w:sz w:val="22"/>
          <w:szCs w:val="22"/>
          <w:vertAlign w:val="subscript"/>
        </w:rPr>
        <w:t>2</w:t>
      </w:r>
      <w:r w:rsidRPr="004A6F27">
        <w:rPr>
          <w:rFonts w:asciiTheme="minorHAnsi" w:hAnsiTheme="minorHAnsi" w:cstheme="minorHAnsi"/>
          <w:sz w:val="22"/>
          <w:szCs w:val="22"/>
        </w:rPr>
        <w:t>H</w:t>
      </w:r>
      <w:r w:rsidRPr="004A6F27">
        <w:rPr>
          <w:rFonts w:asciiTheme="minorHAnsi" w:hAnsiTheme="minorHAnsi" w:cstheme="minorHAnsi"/>
          <w:sz w:val="22"/>
          <w:szCs w:val="22"/>
          <w:vertAlign w:val="subscript"/>
        </w:rPr>
        <w:t>2</w:t>
      </w:r>
      <w:r w:rsidRPr="004A6F27">
        <w:rPr>
          <w:rFonts w:asciiTheme="minorHAnsi" w:hAnsiTheme="minorHAnsi" w:cstheme="minorHAnsi"/>
          <w:sz w:val="22"/>
          <w:szCs w:val="22"/>
        </w:rPr>
        <w:t xml:space="preserve"> gas.   5.  Chemical purification of C</w:t>
      </w:r>
      <w:r w:rsidRPr="004A6F27">
        <w:rPr>
          <w:rFonts w:asciiTheme="minorHAnsi" w:hAnsiTheme="minorHAnsi" w:cstheme="minorHAnsi"/>
          <w:sz w:val="22"/>
          <w:szCs w:val="22"/>
          <w:vertAlign w:val="subscript"/>
        </w:rPr>
        <w:t>2</w:t>
      </w:r>
      <w:r w:rsidRPr="004A6F27">
        <w:rPr>
          <w:rFonts w:asciiTheme="minorHAnsi" w:hAnsiTheme="minorHAnsi" w:cstheme="minorHAnsi"/>
          <w:sz w:val="22"/>
          <w:szCs w:val="22"/>
        </w:rPr>
        <w:t>H</w:t>
      </w:r>
      <w:r w:rsidRPr="004A6F27">
        <w:rPr>
          <w:rFonts w:asciiTheme="minorHAnsi" w:hAnsiTheme="minorHAnsi" w:cstheme="minorHAnsi"/>
          <w:sz w:val="22"/>
          <w:szCs w:val="22"/>
          <w:vertAlign w:val="subscript"/>
        </w:rPr>
        <w:t>2</w:t>
      </w:r>
      <w:r w:rsidRPr="004A6F27">
        <w:rPr>
          <w:rFonts w:asciiTheme="minorHAnsi" w:hAnsiTheme="minorHAnsi" w:cstheme="minorHAnsi"/>
          <w:sz w:val="22"/>
          <w:szCs w:val="22"/>
        </w:rPr>
        <w:t xml:space="preserve"> gas using concentrated H</w:t>
      </w:r>
      <w:r w:rsidRPr="004A6F27">
        <w:rPr>
          <w:rFonts w:asciiTheme="minorHAnsi" w:hAnsiTheme="minorHAnsi" w:cstheme="minorHAnsi"/>
          <w:sz w:val="22"/>
          <w:szCs w:val="22"/>
          <w:vertAlign w:val="subscript"/>
        </w:rPr>
        <w:t>3</w:t>
      </w:r>
      <w:r w:rsidRPr="004A6F27">
        <w:rPr>
          <w:rFonts w:asciiTheme="minorHAnsi" w:hAnsiTheme="minorHAnsi" w:cstheme="minorHAnsi"/>
          <w:sz w:val="22"/>
          <w:szCs w:val="22"/>
        </w:rPr>
        <w:t>PO</w:t>
      </w:r>
      <w:r w:rsidRPr="004A6F27">
        <w:rPr>
          <w:rFonts w:asciiTheme="minorHAnsi" w:hAnsiTheme="minorHAnsi" w:cstheme="minorHAnsi"/>
          <w:sz w:val="22"/>
          <w:szCs w:val="22"/>
          <w:vertAlign w:val="subscript"/>
        </w:rPr>
        <w:t>4</w:t>
      </w:r>
      <w:r w:rsidRPr="004A6F27">
        <w:rPr>
          <w:rFonts w:asciiTheme="minorHAnsi" w:hAnsiTheme="minorHAnsi" w:cstheme="minorHAnsi"/>
          <w:sz w:val="22"/>
          <w:szCs w:val="22"/>
        </w:rPr>
        <w:t xml:space="preserve"> solution; 6.  Trimerization of C</w:t>
      </w:r>
      <w:r w:rsidRPr="004A6F27">
        <w:rPr>
          <w:rFonts w:asciiTheme="minorHAnsi" w:hAnsiTheme="minorHAnsi" w:cstheme="minorHAnsi"/>
          <w:sz w:val="22"/>
          <w:szCs w:val="22"/>
          <w:vertAlign w:val="subscript"/>
        </w:rPr>
        <w:t>2</w:t>
      </w:r>
      <w:r w:rsidRPr="004A6F27">
        <w:rPr>
          <w:rFonts w:asciiTheme="minorHAnsi" w:hAnsiTheme="minorHAnsi" w:cstheme="minorHAnsi"/>
          <w:sz w:val="22"/>
          <w:szCs w:val="22"/>
        </w:rPr>
        <w:t>H</w:t>
      </w:r>
      <w:r w:rsidRPr="004A6F27">
        <w:rPr>
          <w:rFonts w:asciiTheme="minorHAnsi" w:hAnsiTheme="minorHAnsi" w:cstheme="minorHAnsi"/>
          <w:sz w:val="22"/>
          <w:szCs w:val="22"/>
          <w:vertAlign w:val="subscript"/>
        </w:rPr>
        <w:t>2</w:t>
      </w:r>
      <w:r w:rsidRPr="004A6F27">
        <w:rPr>
          <w:rFonts w:asciiTheme="minorHAnsi" w:hAnsiTheme="minorHAnsi" w:cstheme="minorHAnsi"/>
          <w:sz w:val="22"/>
          <w:szCs w:val="22"/>
        </w:rPr>
        <w:t xml:space="preserve"> to C</w:t>
      </w:r>
      <w:r w:rsidRPr="004A6F27">
        <w:rPr>
          <w:rFonts w:asciiTheme="minorHAnsi" w:hAnsiTheme="minorHAnsi" w:cstheme="minorHAnsi"/>
          <w:sz w:val="22"/>
          <w:szCs w:val="22"/>
          <w:vertAlign w:val="subscript"/>
        </w:rPr>
        <w:t>6</w:t>
      </w:r>
      <w:r w:rsidRPr="004A6F27">
        <w:rPr>
          <w:rFonts w:asciiTheme="minorHAnsi" w:hAnsiTheme="minorHAnsi" w:cstheme="minorHAnsi"/>
          <w:sz w:val="22"/>
          <w:szCs w:val="22"/>
        </w:rPr>
        <w:t>H</w:t>
      </w:r>
      <w:r w:rsidRPr="004A6F27">
        <w:rPr>
          <w:rFonts w:asciiTheme="minorHAnsi" w:hAnsiTheme="minorHAnsi" w:cstheme="minorHAnsi"/>
          <w:sz w:val="22"/>
          <w:szCs w:val="22"/>
          <w:vertAlign w:val="subscript"/>
        </w:rPr>
        <w:t>6</w:t>
      </w:r>
      <w:r w:rsidRPr="004A6F27">
        <w:rPr>
          <w:rFonts w:asciiTheme="minorHAnsi" w:hAnsiTheme="minorHAnsi" w:cstheme="minorHAnsi"/>
          <w:sz w:val="22"/>
          <w:szCs w:val="22"/>
        </w:rPr>
        <w:t xml:space="preserve"> on a catalyst containing Cr</w:t>
      </w:r>
      <w:r w:rsidRPr="004A6F27">
        <w:rPr>
          <w:rFonts w:asciiTheme="minorHAnsi" w:hAnsiTheme="minorHAnsi" w:cstheme="minorHAnsi"/>
          <w:sz w:val="22"/>
          <w:szCs w:val="22"/>
          <w:vertAlign w:val="superscript"/>
        </w:rPr>
        <w:t>6+</w:t>
      </w:r>
      <w:r w:rsidRPr="004A6F27">
        <w:rPr>
          <w:rFonts w:asciiTheme="minorHAnsi" w:hAnsiTheme="minorHAnsi" w:cstheme="minorHAnsi"/>
          <w:sz w:val="22"/>
          <w:szCs w:val="22"/>
        </w:rPr>
        <w:t xml:space="preserve"> on a substrate of silica and alumina.   </w:t>
      </w:r>
      <w:r w:rsidRPr="004A6F27">
        <w:rPr>
          <w:rFonts w:asciiTheme="minorHAnsi" w:hAnsiTheme="minorHAnsi" w:cstheme="minorHAnsi"/>
          <w:sz w:val="22"/>
          <w:szCs w:val="22"/>
          <w:vertAlign w:val="superscript"/>
        </w:rPr>
        <w:t xml:space="preserve"> </w:t>
      </w:r>
      <w:r w:rsidRPr="004A6F27">
        <w:rPr>
          <w:rFonts w:asciiTheme="minorHAnsi" w:hAnsiTheme="minorHAnsi" w:cstheme="minorHAnsi"/>
          <w:sz w:val="22"/>
          <w:szCs w:val="22"/>
        </w:rPr>
        <w:t xml:space="preserve"> All of these operations were carried out using vacuum lines and vessels reserved for this project.  A split of the CO</w:t>
      </w:r>
      <w:r w:rsidRPr="004A6F27">
        <w:rPr>
          <w:rFonts w:asciiTheme="minorHAnsi" w:hAnsiTheme="minorHAnsi" w:cstheme="minorHAnsi"/>
          <w:sz w:val="22"/>
          <w:szCs w:val="22"/>
          <w:vertAlign w:val="subscript"/>
        </w:rPr>
        <w:t>2</w:t>
      </w:r>
      <w:r w:rsidRPr="004A6F27">
        <w:rPr>
          <w:rFonts w:asciiTheme="minorHAnsi" w:hAnsiTheme="minorHAnsi" w:cstheme="minorHAnsi"/>
          <w:sz w:val="22"/>
          <w:szCs w:val="22"/>
          <w:vertAlign w:val="superscript"/>
        </w:rPr>
        <w:t xml:space="preserve"> </w:t>
      </w:r>
      <w:r w:rsidRPr="004A6F27">
        <w:rPr>
          <w:rFonts w:asciiTheme="minorHAnsi" w:hAnsiTheme="minorHAnsi" w:cstheme="minorHAnsi"/>
          <w:sz w:val="22"/>
          <w:szCs w:val="22"/>
        </w:rPr>
        <w:t>was reserved for measurement of δ</w:t>
      </w:r>
      <w:r w:rsidRPr="004A6F27">
        <w:rPr>
          <w:rFonts w:asciiTheme="minorHAnsi" w:hAnsiTheme="minorHAnsi" w:cstheme="minorHAnsi"/>
          <w:sz w:val="22"/>
          <w:szCs w:val="22"/>
          <w:vertAlign w:val="superscript"/>
        </w:rPr>
        <w:t>13</w:t>
      </w:r>
      <w:r w:rsidRPr="004A6F27">
        <w:rPr>
          <w:rFonts w:asciiTheme="minorHAnsi" w:hAnsiTheme="minorHAnsi" w:cstheme="minorHAnsi"/>
          <w:sz w:val="22"/>
          <w:szCs w:val="22"/>
        </w:rPr>
        <w:t>C following step 3.  Benzene was stripped from the catalyst beads at 70-90</w:t>
      </w:r>
      <w:r w:rsidRPr="004A6F27">
        <w:rPr>
          <w:rFonts w:asciiTheme="minorHAnsi" w:hAnsiTheme="minorHAnsi" w:cstheme="minorHAnsi"/>
          <w:sz w:val="22"/>
          <w:szCs w:val="22"/>
        </w:rPr>
        <w:sym w:font="Symbol" w:char="F0B0"/>
      </w:r>
      <w:r w:rsidRPr="004A6F27">
        <w:rPr>
          <w:rFonts w:asciiTheme="minorHAnsi" w:hAnsiTheme="minorHAnsi" w:cstheme="minorHAnsi"/>
          <w:sz w:val="22"/>
          <w:szCs w:val="22"/>
        </w:rPr>
        <w:t xml:space="preserve">C, then frozen into a cold trap at the temperature of dry ice.   The vapor above the solid benzene was pumped for 30 minutes to ensure removal of any radon gas.   The benzene was collected and weighed.   Ideally, 7-8 g of benzene was obtained.   </w:t>
      </w:r>
    </w:p>
    <w:p w:rsidR="00AE595E" w:rsidRPr="004A6F27" w:rsidRDefault="00AE595E" w:rsidP="00AE595E">
      <w:pPr>
        <w:spacing w:line="480" w:lineRule="auto"/>
        <w:rPr>
          <w:rFonts w:asciiTheme="minorHAnsi" w:hAnsiTheme="minorHAnsi" w:cstheme="minorHAnsi"/>
          <w:sz w:val="22"/>
          <w:szCs w:val="22"/>
        </w:rPr>
      </w:pPr>
    </w:p>
    <w:p w:rsidR="00AE595E" w:rsidRPr="004A6F27" w:rsidRDefault="00AE595E" w:rsidP="00AE595E">
      <w:pPr>
        <w:spacing w:line="480" w:lineRule="auto"/>
        <w:rPr>
          <w:rFonts w:asciiTheme="minorHAnsi" w:hAnsiTheme="minorHAnsi" w:cstheme="minorHAnsi"/>
          <w:sz w:val="22"/>
          <w:szCs w:val="22"/>
        </w:rPr>
      </w:pPr>
      <w:r w:rsidRPr="004A6F27">
        <w:rPr>
          <w:rFonts w:asciiTheme="minorHAnsi" w:hAnsiTheme="minorHAnsi" w:cstheme="minorHAnsi"/>
          <w:sz w:val="22"/>
          <w:szCs w:val="22"/>
        </w:rPr>
        <w:t xml:space="preserve">For LSC, 7.02 ± 0.02 g of benzene was mixed with 0.0958 ± 0.0002 g of butyl-PBD scintillant in a counting vial.   Counting of 6000 to 8000 minutes in 100 minute intervals provided the desired precision for full-size samples.   Smaller samples were “diluted” to 7.3 g with high-purity benzene containing 0 percent modern carbon, and the mixing ratio was determined gravimetrically.   The mixture was prepared for counting as for full-size samples, and the counting time was extended in order to obtain the required precision. </w:t>
      </w:r>
    </w:p>
    <w:p w:rsidR="00AE595E" w:rsidRPr="004A6F27" w:rsidRDefault="00AE595E" w:rsidP="00AE595E">
      <w:pPr>
        <w:spacing w:line="480" w:lineRule="auto"/>
        <w:rPr>
          <w:rFonts w:asciiTheme="minorHAnsi" w:hAnsiTheme="minorHAnsi" w:cstheme="minorHAnsi"/>
          <w:sz w:val="22"/>
          <w:szCs w:val="22"/>
        </w:rPr>
      </w:pPr>
    </w:p>
    <w:p w:rsidR="00AE595E" w:rsidRPr="004A6F27" w:rsidRDefault="00AE595E" w:rsidP="00AE595E">
      <w:pPr>
        <w:spacing w:before="240" w:line="480" w:lineRule="auto"/>
        <w:rPr>
          <w:rFonts w:asciiTheme="minorHAnsi" w:hAnsiTheme="minorHAnsi" w:cstheme="minorHAnsi"/>
          <w:sz w:val="22"/>
          <w:szCs w:val="22"/>
        </w:rPr>
      </w:pPr>
      <w:r w:rsidRPr="004A6F27">
        <w:rPr>
          <w:rFonts w:asciiTheme="minorHAnsi" w:hAnsiTheme="minorHAnsi" w:cstheme="minorHAnsi"/>
          <w:sz w:val="22"/>
          <w:szCs w:val="22"/>
        </w:rPr>
        <w:t xml:space="preserve">A single LKB </w:t>
      </w:r>
      <w:proofErr w:type="spellStart"/>
      <w:r w:rsidRPr="004A6F27">
        <w:rPr>
          <w:rFonts w:asciiTheme="minorHAnsi" w:hAnsiTheme="minorHAnsi" w:cstheme="minorHAnsi"/>
          <w:sz w:val="22"/>
          <w:szCs w:val="22"/>
        </w:rPr>
        <w:t>Quantulus</w:t>
      </w:r>
      <w:proofErr w:type="spellEnd"/>
      <w:r w:rsidRPr="004A6F27">
        <w:rPr>
          <w:rFonts w:asciiTheme="minorHAnsi" w:hAnsiTheme="minorHAnsi" w:cstheme="minorHAnsi"/>
          <w:sz w:val="22"/>
          <w:szCs w:val="22"/>
        </w:rPr>
        <w:t xml:space="preserve"> 1220® spectrophotometer with excellent long-term stability characteristics was </w:t>
      </w:r>
      <w:r w:rsidRPr="004A6F27">
        <w:rPr>
          <w:rFonts w:asciiTheme="minorHAnsi" w:hAnsiTheme="minorHAnsi" w:cstheme="minorHAnsi"/>
          <w:sz w:val="22"/>
          <w:szCs w:val="22"/>
        </w:rPr>
        <w:lastRenderedPageBreak/>
        <w:t xml:space="preserve">used for all LSC measurements.   The two photomultiplier tubes in the counter were balanced by determining the dependence of the </w:t>
      </w:r>
      <w:r w:rsidRPr="004A6F27">
        <w:rPr>
          <w:rFonts w:asciiTheme="minorHAnsi" w:hAnsiTheme="minorHAnsi" w:cstheme="minorHAnsi"/>
          <w:sz w:val="22"/>
          <w:szCs w:val="22"/>
          <w:lang w:val="en"/>
        </w:rPr>
        <w:t>spectral quench parameter of the external standard (</w:t>
      </w:r>
      <w:r w:rsidRPr="004A6F27">
        <w:rPr>
          <w:rFonts w:asciiTheme="minorHAnsi" w:hAnsiTheme="minorHAnsi" w:cstheme="minorHAnsi"/>
          <w:sz w:val="22"/>
          <w:szCs w:val="22"/>
        </w:rPr>
        <w:t xml:space="preserve">SQP(E)) factor (the counter channel below which 95% of the energy spectrum of detected pulses is encountered) on applied high voltage, and selecting a pair of voltages that gave the same value of SQP(E) in each tube.  Counter stability was verified by 1.  Checking the </w:t>
      </w:r>
      <w:proofErr w:type="spellStart"/>
      <w:r w:rsidRPr="004A6F27">
        <w:rPr>
          <w:rFonts w:asciiTheme="minorHAnsi" w:hAnsiTheme="minorHAnsi" w:cstheme="minorHAnsi"/>
          <w:sz w:val="22"/>
          <w:szCs w:val="22"/>
        </w:rPr>
        <w:t>photomulitplier</w:t>
      </w:r>
      <w:proofErr w:type="spellEnd"/>
      <w:r w:rsidRPr="004A6F27">
        <w:rPr>
          <w:rFonts w:asciiTheme="minorHAnsi" w:hAnsiTheme="minorHAnsi" w:cstheme="minorHAnsi"/>
          <w:sz w:val="22"/>
          <w:szCs w:val="22"/>
        </w:rPr>
        <w:t xml:space="preserve"> tube high voltages every few weeks; 2.  Measurement, every 15-20 unknowns, of the IAEA standard Oxalic acid I which was prepared according to the numbered steps above, but using different vacuum lines and vessels; and 3.  Measurement of background, every 15-20 unknowns, using the same high-purity benzene that was used for sample dilution.  Calibration was carried out using international standard Oxalic Acid I.</w:t>
      </w:r>
    </w:p>
    <w:p w:rsidR="00AE595E" w:rsidRPr="004A6F27" w:rsidRDefault="00AE595E" w:rsidP="00AE595E">
      <w:pPr>
        <w:spacing w:line="480" w:lineRule="auto"/>
        <w:rPr>
          <w:rFonts w:asciiTheme="minorHAnsi" w:hAnsiTheme="minorHAnsi" w:cstheme="minorHAnsi"/>
          <w:sz w:val="22"/>
          <w:szCs w:val="22"/>
        </w:rPr>
      </w:pPr>
    </w:p>
    <w:p w:rsidR="00AE595E" w:rsidRPr="004A6F27" w:rsidRDefault="00AE595E" w:rsidP="00AE595E">
      <w:pPr>
        <w:spacing w:line="480" w:lineRule="auto"/>
        <w:rPr>
          <w:rFonts w:asciiTheme="minorHAnsi" w:hAnsiTheme="minorHAnsi" w:cstheme="minorHAnsi"/>
          <w:sz w:val="22"/>
          <w:szCs w:val="22"/>
        </w:rPr>
      </w:pPr>
      <w:r w:rsidRPr="004A6F27">
        <w:rPr>
          <w:rFonts w:asciiTheme="minorHAnsi" w:hAnsiTheme="minorHAnsi" w:cstheme="minorHAnsi"/>
          <w:sz w:val="22"/>
          <w:szCs w:val="22"/>
        </w:rPr>
        <w:t xml:space="preserve">Counting vials of two different types were employed.  For AD 1064 to 1200, borosilicate scintillation vials, selected for uniform optical quality, were used.    The vials were equipped with metal screw-caps with </w:t>
      </w:r>
      <w:proofErr w:type="spellStart"/>
      <w:r w:rsidRPr="004A6F27">
        <w:rPr>
          <w:rFonts w:asciiTheme="minorHAnsi" w:hAnsiTheme="minorHAnsi" w:cstheme="minorHAnsi"/>
          <w:sz w:val="22"/>
          <w:szCs w:val="22"/>
        </w:rPr>
        <w:t>teflon</w:t>
      </w:r>
      <w:proofErr w:type="spellEnd"/>
      <w:r w:rsidRPr="004A6F27">
        <w:rPr>
          <w:rFonts w:asciiTheme="minorHAnsi" w:hAnsiTheme="minorHAnsi" w:cstheme="minorHAnsi"/>
          <w:sz w:val="22"/>
          <w:szCs w:val="22"/>
        </w:rPr>
        <w:t xml:space="preserve"> liners and an indium-foil seal against the glass.  They were cleaned with chromic acid, followed by DI water and benzene rinses.   For the remaining samples, silica glass vials equipped with metal plugs and a compression seals using </w:t>
      </w:r>
      <w:proofErr w:type="spellStart"/>
      <w:r w:rsidRPr="004A6F27">
        <w:rPr>
          <w:rFonts w:asciiTheme="minorHAnsi" w:hAnsiTheme="minorHAnsi" w:cstheme="minorHAnsi"/>
          <w:sz w:val="22"/>
          <w:szCs w:val="22"/>
        </w:rPr>
        <w:t>Chemraz</w:t>
      </w:r>
      <w:proofErr w:type="spellEnd"/>
      <w:r w:rsidRPr="004A6F27">
        <w:rPr>
          <w:rFonts w:asciiTheme="minorHAnsi" w:hAnsiTheme="minorHAnsi" w:cstheme="minorHAnsi"/>
          <w:sz w:val="22"/>
          <w:szCs w:val="22"/>
        </w:rPr>
        <w:t>® O-rings.   Cleaning steps included rinses with ethanol and water, ultrasonication with chromic acid, and subsequent rinses with DI water, ethanol and benzene.   The plugs and O-rings were rinsed with benzene between runs.    Table S1 shows counting characteristics, which differed between the borosilicate and silica vials. Despite the lower efficiency of the silica vials, their background was so low that their use led to a superior figure of merit.   High background measurements were obtained occasionally from the borosilicate vials, but never from the silica vials.   This suggested a difficulty with the cleaning technique applied to the borosilicate vials.</w:t>
      </w:r>
    </w:p>
    <w:p w:rsidR="00AE595E" w:rsidRPr="004A6F27" w:rsidRDefault="00AE595E" w:rsidP="00AE595E">
      <w:pPr>
        <w:spacing w:line="480" w:lineRule="auto"/>
        <w:rPr>
          <w:rFonts w:asciiTheme="minorHAnsi" w:hAnsiTheme="minorHAnsi" w:cstheme="minorHAnsi"/>
          <w:sz w:val="22"/>
          <w:szCs w:val="22"/>
        </w:rPr>
      </w:pPr>
    </w:p>
    <w:p w:rsidR="00AE595E" w:rsidRPr="004A6F27" w:rsidRDefault="00AE595E" w:rsidP="00AE595E">
      <w:pPr>
        <w:spacing w:line="480" w:lineRule="auto"/>
        <w:rPr>
          <w:rFonts w:asciiTheme="minorHAnsi" w:hAnsiTheme="minorHAnsi" w:cstheme="minorHAnsi"/>
          <w:sz w:val="22"/>
          <w:szCs w:val="22"/>
        </w:rPr>
      </w:pPr>
      <w:r w:rsidRPr="004A6F27">
        <w:rPr>
          <w:rFonts w:asciiTheme="minorHAnsi" w:hAnsiTheme="minorHAnsi" w:cstheme="minorHAnsi"/>
          <w:sz w:val="22"/>
          <w:szCs w:val="22"/>
        </w:rPr>
        <w:t>Quench corrections (</w:t>
      </w:r>
      <w:proofErr w:type="spellStart"/>
      <w:r w:rsidRPr="004A6F27">
        <w:rPr>
          <w:rFonts w:asciiTheme="minorHAnsi" w:hAnsiTheme="minorHAnsi" w:cstheme="minorHAnsi"/>
          <w:sz w:val="22"/>
          <w:szCs w:val="22"/>
        </w:rPr>
        <w:t>McCormac</w:t>
      </w:r>
      <w:proofErr w:type="spellEnd"/>
      <w:r w:rsidRPr="004A6F27">
        <w:rPr>
          <w:rFonts w:asciiTheme="minorHAnsi" w:hAnsiTheme="minorHAnsi" w:cstheme="minorHAnsi"/>
          <w:sz w:val="22"/>
          <w:szCs w:val="22"/>
        </w:rPr>
        <w:t xml:space="preserve"> 1992) were applied to data measured in borosilicate vials.  The quench correction adjusts for changes in the energy of detected pulses as a result of small variations in the </w:t>
      </w:r>
      <w:r w:rsidRPr="004A6F27">
        <w:rPr>
          <w:rFonts w:asciiTheme="minorHAnsi" w:hAnsiTheme="minorHAnsi" w:cstheme="minorHAnsi"/>
          <w:sz w:val="22"/>
          <w:szCs w:val="22"/>
        </w:rPr>
        <w:lastRenderedPageBreak/>
        <w:t>chemical composition of the benzene from sample to sample; effectively, such changes can shift the energy spectrum of counts relative to the fixed counting window.   The quench correction for a sample is determined by way of the factor SQP(E) by irradiating the vial from an external radium source.  The technique cannot be applied to silica glass because it causes slow-decaying luminescence in the glass.   The absence of a quench correction might be expected to introduce a random error into the post-1200 data set.  In fact, most of those data (post 1230) show less scatter than can be seen as outliers in the data set for AD 1100-1200.</w:t>
      </w:r>
    </w:p>
    <w:p w:rsidR="00AE595E" w:rsidRPr="004A6F27" w:rsidRDefault="00AE595E" w:rsidP="00AE595E">
      <w:pPr>
        <w:spacing w:line="480" w:lineRule="auto"/>
        <w:rPr>
          <w:rFonts w:asciiTheme="minorHAnsi" w:hAnsiTheme="minorHAnsi" w:cstheme="minorHAnsi"/>
          <w:sz w:val="22"/>
          <w:szCs w:val="22"/>
        </w:rPr>
      </w:pPr>
    </w:p>
    <w:p w:rsidR="00AE595E" w:rsidRPr="004A6F27" w:rsidRDefault="00AE595E" w:rsidP="00AE595E">
      <w:pPr>
        <w:spacing w:line="480" w:lineRule="auto"/>
        <w:rPr>
          <w:rFonts w:asciiTheme="minorHAnsi" w:hAnsiTheme="minorHAnsi" w:cstheme="minorHAnsi"/>
          <w:i/>
          <w:sz w:val="22"/>
          <w:szCs w:val="22"/>
        </w:rPr>
      </w:pPr>
      <w:r w:rsidRPr="004A6F27">
        <w:rPr>
          <w:rFonts w:asciiTheme="minorHAnsi" w:hAnsiTheme="minorHAnsi" w:cstheme="minorHAnsi"/>
          <w:i/>
          <w:sz w:val="22"/>
          <w:szCs w:val="22"/>
        </w:rPr>
        <w:t>Reference</w:t>
      </w:r>
      <w:r w:rsidR="004A6F27" w:rsidRPr="004A6F27">
        <w:rPr>
          <w:rFonts w:asciiTheme="minorHAnsi" w:hAnsiTheme="minorHAnsi" w:cstheme="minorHAnsi"/>
          <w:i/>
          <w:sz w:val="22"/>
          <w:szCs w:val="22"/>
        </w:rPr>
        <w:t>s</w:t>
      </w:r>
    </w:p>
    <w:p w:rsidR="004A6F27" w:rsidRPr="004A6F27" w:rsidRDefault="004A6F27" w:rsidP="00AE595E">
      <w:pPr>
        <w:spacing w:line="480" w:lineRule="auto"/>
        <w:rPr>
          <w:rFonts w:asciiTheme="minorHAnsi" w:hAnsiTheme="minorHAnsi" w:cstheme="minorHAnsi"/>
          <w:i/>
          <w:sz w:val="22"/>
          <w:szCs w:val="22"/>
        </w:rPr>
      </w:pPr>
    </w:p>
    <w:p w:rsidR="004A6F27" w:rsidRPr="004A6F27" w:rsidRDefault="004A6F27" w:rsidP="004A6F27">
      <w:pPr>
        <w:spacing w:line="480" w:lineRule="auto"/>
        <w:rPr>
          <w:rFonts w:asciiTheme="minorHAnsi" w:hAnsiTheme="minorHAnsi" w:cstheme="minorHAnsi"/>
          <w:color w:val="505050"/>
          <w:sz w:val="22"/>
          <w:szCs w:val="22"/>
          <w:lang w:val="en"/>
        </w:rPr>
      </w:pPr>
      <w:proofErr w:type="spellStart"/>
      <w:r w:rsidRPr="004A6F27">
        <w:rPr>
          <w:rFonts w:asciiTheme="minorHAnsi" w:hAnsiTheme="minorHAnsi" w:cstheme="minorHAnsi"/>
          <w:color w:val="505050"/>
          <w:sz w:val="22"/>
          <w:szCs w:val="22"/>
          <w:lang w:val="en"/>
        </w:rPr>
        <w:t>Diefendorf</w:t>
      </w:r>
      <w:proofErr w:type="spellEnd"/>
      <w:r w:rsidRPr="004A6F27">
        <w:rPr>
          <w:rFonts w:asciiTheme="minorHAnsi" w:hAnsiTheme="minorHAnsi" w:cstheme="minorHAnsi"/>
          <w:color w:val="505050"/>
          <w:sz w:val="22"/>
          <w:szCs w:val="22"/>
          <w:lang w:val="en"/>
        </w:rPr>
        <w:t xml:space="preserve"> AF, Mueller KE, Wing SL, Koch PL, Freeman KH. 2010. Global patterns in leaf </w:t>
      </w:r>
      <w:r w:rsidRPr="004A6F27">
        <w:rPr>
          <w:rFonts w:asciiTheme="minorHAnsi" w:hAnsiTheme="minorHAnsi" w:cstheme="minorHAnsi"/>
          <w:color w:val="505050"/>
          <w:sz w:val="22"/>
          <w:szCs w:val="22"/>
          <w:vertAlign w:val="superscript"/>
          <w:lang w:val="en"/>
        </w:rPr>
        <w:t>13</w:t>
      </w:r>
      <w:r w:rsidRPr="004A6F27">
        <w:rPr>
          <w:rFonts w:asciiTheme="minorHAnsi" w:hAnsiTheme="minorHAnsi" w:cstheme="minorHAnsi"/>
          <w:color w:val="505050"/>
          <w:sz w:val="22"/>
          <w:szCs w:val="22"/>
          <w:lang w:val="en"/>
        </w:rPr>
        <w:t>C discrimination and implications for studies of past and future climate.  PNAS  107:5738–5743.</w:t>
      </w:r>
    </w:p>
    <w:p w:rsidR="00AE595E" w:rsidRPr="004A6F27" w:rsidRDefault="004A6F27" w:rsidP="00AE595E">
      <w:pPr>
        <w:spacing w:line="480" w:lineRule="auto"/>
        <w:rPr>
          <w:rFonts w:asciiTheme="minorHAnsi" w:hAnsiTheme="minorHAnsi" w:cstheme="minorHAnsi"/>
          <w:i/>
          <w:sz w:val="22"/>
          <w:szCs w:val="22"/>
        </w:rPr>
      </w:pPr>
      <w:proofErr w:type="spellStart"/>
      <w:r w:rsidRPr="004A6F27">
        <w:rPr>
          <w:rFonts w:asciiTheme="minorHAnsi" w:hAnsiTheme="minorHAnsi" w:cstheme="minorHAnsi"/>
          <w:sz w:val="22"/>
          <w:szCs w:val="22"/>
        </w:rPr>
        <w:t>Graumlich</w:t>
      </w:r>
      <w:proofErr w:type="spellEnd"/>
      <w:r w:rsidRPr="004A6F27">
        <w:rPr>
          <w:rFonts w:asciiTheme="minorHAnsi" w:hAnsiTheme="minorHAnsi" w:cstheme="minorHAnsi"/>
          <w:sz w:val="22"/>
          <w:szCs w:val="22"/>
        </w:rPr>
        <w:t xml:space="preserve"> LJ. 1993. A 1000-year record of temperature and precipitation in the Sierra Nevada.  </w:t>
      </w:r>
      <w:proofErr w:type="spellStart"/>
      <w:r w:rsidRPr="004A6F27">
        <w:rPr>
          <w:rFonts w:asciiTheme="minorHAnsi" w:hAnsiTheme="minorHAnsi" w:cstheme="minorHAnsi"/>
          <w:sz w:val="22"/>
          <w:szCs w:val="22"/>
        </w:rPr>
        <w:t>Quat</w:t>
      </w:r>
      <w:proofErr w:type="spellEnd"/>
      <w:r w:rsidRPr="004A6F27">
        <w:rPr>
          <w:rFonts w:asciiTheme="minorHAnsi" w:hAnsiTheme="minorHAnsi" w:cstheme="minorHAnsi"/>
          <w:sz w:val="22"/>
          <w:szCs w:val="22"/>
        </w:rPr>
        <w:t xml:space="preserve"> Res. 39: 249-255.</w:t>
      </w:r>
    </w:p>
    <w:p w:rsidR="004A6F27" w:rsidRPr="004A6F27" w:rsidRDefault="00AE595E" w:rsidP="00AE595E">
      <w:pPr>
        <w:spacing w:line="480" w:lineRule="auto"/>
        <w:rPr>
          <w:rFonts w:asciiTheme="minorHAnsi" w:hAnsiTheme="minorHAnsi" w:cstheme="minorHAnsi"/>
          <w:sz w:val="22"/>
          <w:szCs w:val="22"/>
        </w:rPr>
      </w:pPr>
      <w:proofErr w:type="spellStart"/>
      <w:r w:rsidRPr="004A6F27">
        <w:rPr>
          <w:rFonts w:asciiTheme="minorHAnsi" w:hAnsiTheme="minorHAnsi" w:cstheme="minorHAnsi"/>
          <w:sz w:val="22"/>
          <w:szCs w:val="22"/>
        </w:rPr>
        <w:t>McCormac</w:t>
      </w:r>
      <w:proofErr w:type="spellEnd"/>
      <w:r w:rsidRPr="004A6F27">
        <w:rPr>
          <w:rFonts w:asciiTheme="minorHAnsi" w:hAnsiTheme="minorHAnsi" w:cstheme="minorHAnsi"/>
          <w:sz w:val="22"/>
          <w:szCs w:val="22"/>
        </w:rPr>
        <w:t xml:space="preserve"> FG. 1992</w:t>
      </w:r>
      <w:r w:rsidR="004A6F27" w:rsidRPr="004A6F27">
        <w:rPr>
          <w:rFonts w:asciiTheme="minorHAnsi" w:hAnsiTheme="minorHAnsi" w:cstheme="minorHAnsi"/>
          <w:sz w:val="22"/>
          <w:szCs w:val="22"/>
        </w:rPr>
        <w:t>.</w:t>
      </w:r>
      <w:r w:rsidRPr="004A6F27">
        <w:rPr>
          <w:rFonts w:asciiTheme="minorHAnsi" w:hAnsiTheme="minorHAnsi" w:cstheme="minorHAnsi"/>
          <w:sz w:val="22"/>
          <w:szCs w:val="22"/>
        </w:rPr>
        <w:t xml:space="preserve"> Liquid scintillation counter characterization, optimization and benzene purity correction.  Radiocarbon 21: 1-21.</w:t>
      </w:r>
    </w:p>
    <w:p w:rsidR="004A6F27" w:rsidRPr="004A6F27" w:rsidRDefault="004A6F27" w:rsidP="004A6F27">
      <w:pPr>
        <w:spacing w:line="480" w:lineRule="auto"/>
        <w:rPr>
          <w:rFonts w:asciiTheme="minorHAnsi" w:hAnsiTheme="minorHAnsi" w:cstheme="minorHAnsi"/>
          <w:sz w:val="22"/>
          <w:szCs w:val="22"/>
        </w:rPr>
      </w:pPr>
      <w:r w:rsidRPr="004A6F27">
        <w:rPr>
          <w:rFonts w:asciiTheme="minorHAnsi" w:hAnsiTheme="minorHAnsi" w:cstheme="minorHAnsi"/>
          <w:sz w:val="22"/>
          <w:szCs w:val="22"/>
        </w:rPr>
        <w:t>Scuderi LA. 1993. A 2000-year tree ring record of annual temperatures in the Sierra Nevada Mountains. Science 259: 1433-1436.</w:t>
      </w:r>
    </w:p>
    <w:p w:rsidR="004A6F27" w:rsidRPr="004A6F27" w:rsidRDefault="004A6F27" w:rsidP="00AE595E">
      <w:pPr>
        <w:spacing w:line="480" w:lineRule="auto"/>
        <w:rPr>
          <w:rFonts w:asciiTheme="minorHAnsi" w:hAnsiTheme="minorHAnsi" w:cstheme="minorHAnsi"/>
          <w:sz w:val="22"/>
          <w:szCs w:val="22"/>
        </w:rPr>
      </w:pPr>
    </w:p>
    <w:p w:rsidR="00AE595E" w:rsidRPr="004A6F27" w:rsidRDefault="00AE595E" w:rsidP="00AE595E">
      <w:pPr>
        <w:spacing w:line="480" w:lineRule="auto"/>
        <w:rPr>
          <w:rFonts w:asciiTheme="minorHAnsi" w:hAnsiTheme="minorHAnsi" w:cstheme="minorHAnsi"/>
          <w:i/>
          <w:sz w:val="22"/>
          <w:szCs w:val="22"/>
        </w:rPr>
      </w:pPr>
    </w:p>
    <w:p w:rsidR="00AE595E" w:rsidRPr="004A6F27" w:rsidRDefault="00AE595E" w:rsidP="00AE595E">
      <w:pPr>
        <w:spacing w:line="480" w:lineRule="auto"/>
        <w:rPr>
          <w:rFonts w:asciiTheme="minorHAnsi" w:hAnsiTheme="minorHAnsi" w:cstheme="minorHAnsi"/>
          <w:b/>
          <w:sz w:val="22"/>
          <w:szCs w:val="22"/>
        </w:rPr>
      </w:pPr>
      <w:r w:rsidRPr="004A6F27">
        <w:rPr>
          <w:rFonts w:asciiTheme="minorHAnsi" w:hAnsiTheme="minorHAnsi" w:cstheme="minorHAnsi"/>
          <w:b/>
          <w:sz w:val="22"/>
          <w:szCs w:val="22"/>
        </w:rPr>
        <w:t>SUPPLEMENTARY FIGURE CAPTIONS</w:t>
      </w:r>
    </w:p>
    <w:p w:rsidR="00AE595E" w:rsidRPr="004A6F27" w:rsidRDefault="00AE595E" w:rsidP="00AE595E">
      <w:pPr>
        <w:spacing w:line="480" w:lineRule="auto"/>
        <w:rPr>
          <w:rFonts w:asciiTheme="minorHAnsi" w:hAnsiTheme="minorHAnsi" w:cstheme="minorHAnsi"/>
          <w:sz w:val="22"/>
          <w:szCs w:val="22"/>
        </w:rPr>
      </w:pPr>
      <w:r w:rsidRPr="004A6F27">
        <w:rPr>
          <w:rFonts w:asciiTheme="minorHAnsi" w:hAnsiTheme="minorHAnsi" w:cstheme="minorHAnsi"/>
          <w:sz w:val="22"/>
          <w:szCs w:val="22"/>
        </w:rPr>
        <w:t xml:space="preserve">Supplementary Fig. S1:   A-F:  Sequential panels showing details of the Tucson </w:t>
      </w:r>
      <w:r w:rsidRPr="004A6F27">
        <w:rPr>
          <w:rFonts w:asciiTheme="minorHAnsi" w:hAnsiTheme="minorHAnsi" w:cstheme="minorHAnsi"/>
          <w:sz w:val="22"/>
          <w:szCs w:val="22"/>
        </w:rPr>
        <w:sym w:font="Symbol" w:char="F044"/>
      </w:r>
      <w:r w:rsidRPr="004A6F27">
        <w:rPr>
          <w:rFonts w:asciiTheme="minorHAnsi" w:hAnsiTheme="minorHAnsi" w:cstheme="minorHAnsi"/>
          <w:sz w:val="22"/>
          <w:szCs w:val="22"/>
          <w:vertAlign w:val="superscript"/>
        </w:rPr>
        <w:t>14</w:t>
      </w:r>
      <w:r w:rsidRPr="004A6F27">
        <w:rPr>
          <w:rFonts w:asciiTheme="minorHAnsi" w:hAnsiTheme="minorHAnsi" w:cstheme="minorHAnsi"/>
          <w:sz w:val="22"/>
          <w:szCs w:val="22"/>
        </w:rPr>
        <w:t>C time series.</w:t>
      </w:r>
    </w:p>
    <w:p w:rsidR="00AE595E" w:rsidRPr="004A6F27" w:rsidRDefault="00AE595E" w:rsidP="00AE595E">
      <w:pPr>
        <w:spacing w:line="480" w:lineRule="auto"/>
        <w:rPr>
          <w:rFonts w:asciiTheme="minorHAnsi" w:hAnsiTheme="minorHAnsi" w:cstheme="minorHAnsi"/>
          <w:sz w:val="22"/>
          <w:szCs w:val="22"/>
        </w:rPr>
      </w:pPr>
    </w:p>
    <w:p w:rsidR="008016B3" w:rsidRPr="004A6F27" w:rsidRDefault="00AE595E" w:rsidP="00AE595E">
      <w:pPr>
        <w:spacing w:line="480" w:lineRule="auto"/>
        <w:rPr>
          <w:rFonts w:asciiTheme="minorHAnsi" w:hAnsiTheme="minorHAnsi" w:cstheme="minorHAnsi"/>
          <w:sz w:val="22"/>
          <w:szCs w:val="22"/>
        </w:rPr>
      </w:pPr>
      <w:r w:rsidRPr="004A6F27">
        <w:rPr>
          <w:rFonts w:asciiTheme="minorHAnsi" w:hAnsiTheme="minorHAnsi" w:cstheme="minorHAnsi"/>
          <w:sz w:val="22"/>
          <w:szCs w:val="22"/>
        </w:rPr>
        <w:t>Supplementary Fig. S2:  A.  Comparison of the Tucson δ</w:t>
      </w:r>
      <w:r w:rsidRPr="004A6F27">
        <w:rPr>
          <w:rFonts w:asciiTheme="minorHAnsi" w:hAnsiTheme="minorHAnsi" w:cstheme="minorHAnsi"/>
          <w:sz w:val="22"/>
          <w:szCs w:val="22"/>
          <w:vertAlign w:val="superscript"/>
        </w:rPr>
        <w:t>13</w:t>
      </w:r>
      <w:r w:rsidRPr="004A6F27">
        <w:rPr>
          <w:rFonts w:asciiTheme="minorHAnsi" w:hAnsiTheme="minorHAnsi" w:cstheme="minorHAnsi"/>
          <w:sz w:val="22"/>
          <w:szCs w:val="22"/>
        </w:rPr>
        <w:t xml:space="preserve">C time series with temperature residuals </w:t>
      </w:r>
      <w:r w:rsidRPr="004A6F27">
        <w:rPr>
          <w:rFonts w:asciiTheme="minorHAnsi" w:hAnsiTheme="minorHAnsi" w:cstheme="minorHAnsi"/>
          <w:sz w:val="22"/>
          <w:szCs w:val="22"/>
        </w:rPr>
        <w:lastRenderedPageBreak/>
        <w:t xml:space="preserve">determined from tree-ring width at tree-line sites of the southern Sierra Nevada, within </w:t>
      </w:r>
      <w:bookmarkStart w:id="0" w:name="_GoBack"/>
      <w:bookmarkEnd w:id="0"/>
      <w:r w:rsidRPr="004A6F27">
        <w:rPr>
          <w:rFonts w:asciiTheme="minorHAnsi" w:hAnsiTheme="minorHAnsi" w:cstheme="minorHAnsi"/>
          <w:sz w:val="22"/>
          <w:szCs w:val="22"/>
        </w:rPr>
        <w:t>100 km of the Big Stump Grove (</w:t>
      </w:r>
      <w:proofErr w:type="spellStart"/>
      <w:r w:rsidRPr="004A6F27">
        <w:rPr>
          <w:rFonts w:asciiTheme="minorHAnsi" w:hAnsiTheme="minorHAnsi" w:cstheme="minorHAnsi"/>
          <w:sz w:val="22"/>
          <w:szCs w:val="22"/>
        </w:rPr>
        <w:t>Graumlich</w:t>
      </w:r>
      <w:proofErr w:type="spellEnd"/>
      <w:r w:rsidRPr="004A6F27">
        <w:rPr>
          <w:rFonts w:asciiTheme="minorHAnsi" w:hAnsiTheme="minorHAnsi" w:cstheme="minorHAnsi"/>
          <w:sz w:val="22"/>
          <w:szCs w:val="22"/>
        </w:rPr>
        <w:t xml:space="preserve"> 1993; Scuderi 1993).  Also shown are periods of general wetter and drier climate (</w:t>
      </w:r>
      <w:proofErr w:type="spellStart"/>
      <w:r w:rsidRPr="004A6F27">
        <w:rPr>
          <w:rFonts w:asciiTheme="minorHAnsi" w:hAnsiTheme="minorHAnsi" w:cstheme="minorHAnsi"/>
          <w:sz w:val="22"/>
          <w:szCs w:val="22"/>
        </w:rPr>
        <w:t>Graumlich</w:t>
      </w:r>
      <w:proofErr w:type="spellEnd"/>
      <w:r w:rsidRPr="004A6F27">
        <w:rPr>
          <w:rFonts w:asciiTheme="minorHAnsi" w:hAnsiTheme="minorHAnsi" w:cstheme="minorHAnsi"/>
          <w:sz w:val="22"/>
          <w:szCs w:val="22"/>
        </w:rPr>
        <w:t xml:space="preserve"> 1993).  The corresponding changes in δ</w:t>
      </w:r>
      <w:r w:rsidRPr="004A6F27">
        <w:rPr>
          <w:rFonts w:asciiTheme="minorHAnsi" w:hAnsiTheme="minorHAnsi" w:cstheme="minorHAnsi"/>
          <w:sz w:val="22"/>
          <w:szCs w:val="22"/>
          <w:vertAlign w:val="superscript"/>
        </w:rPr>
        <w:t>13</w:t>
      </w:r>
      <w:r w:rsidRPr="004A6F27">
        <w:rPr>
          <w:rFonts w:asciiTheme="minorHAnsi" w:hAnsiTheme="minorHAnsi" w:cstheme="minorHAnsi"/>
          <w:sz w:val="22"/>
          <w:szCs w:val="22"/>
        </w:rPr>
        <w:t>C in the Tucson time series are the opposite of those predicted in the literature (</w:t>
      </w:r>
      <w:proofErr w:type="spellStart"/>
      <w:r w:rsidRPr="004A6F27">
        <w:rPr>
          <w:rFonts w:asciiTheme="minorHAnsi" w:hAnsiTheme="minorHAnsi" w:cstheme="minorHAnsi"/>
          <w:sz w:val="22"/>
          <w:szCs w:val="22"/>
        </w:rPr>
        <w:t>Dieffendorf</w:t>
      </w:r>
      <w:proofErr w:type="spellEnd"/>
      <w:r w:rsidRPr="004A6F27">
        <w:rPr>
          <w:rFonts w:asciiTheme="minorHAnsi" w:hAnsiTheme="minorHAnsi" w:cstheme="minorHAnsi"/>
          <w:sz w:val="22"/>
          <w:szCs w:val="22"/>
        </w:rPr>
        <w:t xml:space="preserve"> et al. 2010).  B.  Temperature residuals (</w:t>
      </w:r>
      <w:r w:rsidRPr="004A6F27">
        <w:rPr>
          <w:rFonts w:asciiTheme="minorHAnsi" w:hAnsiTheme="minorHAnsi" w:cstheme="minorHAnsi"/>
          <w:sz w:val="22"/>
          <w:szCs w:val="22"/>
        </w:rPr>
        <w:sym w:font="Symbol" w:char="F044"/>
      </w:r>
      <w:r w:rsidRPr="004A6F27">
        <w:rPr>
          <w:rFonts w:asciiTheme="minorHAnsi" w:hAnsiTheme="minorHAnsi" w:cstheme="minorHAnsi"/>
          <w:sz w:val="22"/>
          <w:szCs w:val="22"/>
        </w:rPr>
        <w:t xml:space="preserve">T) from </w:t>
      </w:r>
      <w:proofErr w:type="spellStart"/>
      <w:r w:rsidRPr="004A6F27">
        <w:rPr>
          <w:rFonts w:asciiTheme="minorHAnsi" w:hAnsiTheme="minorHAnsi" w:cstheme="minorHAnsi"/>
          <w:sz w:val="22"/>
          <w:szCs w:val="22"/>
        </w:rPr>
        <w:t>Graumlich</w:t>
      </w:r>
      <w:proofErr w:type="spellEnd"/>
      <w:r w:rsidRPr="004A6F27">
        <w:rPr>
          <w:rFonts w:asciiTheme="minorHAnsi" w:hAnsiTheme="minorHAnsi" w:cstheme="minorHAnsi"/>
          <w:sz w:val="22"/>
          <w:szCs w:val="22"/>
        </w:rPr>
        <w:t xml:space="preserve"> </w:t>
      </w:r>
      <w:r w:rsidR="004A6F27" w:rsidRPr="004A6F27">
        <w:rPr>
          <w:rFonts w:asciiTheme="minorHAnsi" w:hAnsiTheme="minorHAnsi" w:cstheme="minorHAnsi"/>
          <w:sz w:val="22"/>
          <w:szCs w:val="22"/>
        </w:rPr>
        <w:t>(</w:t>
      </w:r>
      <w:r w:rsidRPr="004A6F27">
        <w:rPr>
          <w:rFonts w:asciiTheme="minorHAnsi" w:hAnsiTheme="minorHAnsi" w:cstheme="minorHAnsi"/>
          <w:sz w:val="22"/>
          <w:szCs w:val="22"/>
        </w:rPr>
        <w:t>1993) plotted against δ</w:t>
      </w:r>
      <w:r w:rsidRPr="004A6F27">
        <w:rPr>
          <w:rFonts w:asciiTheme="minorHAnsi" w:hAnsiTheme="minorHAnsi" w:cstheme="minorHAnsi"/>
          <w:sz w:val="22"/>
          <w:szCs w:val="22"/>
          <w:vertAlign w:val="superscript"/>
        </w:rPr>
        <w:t>13</w:t>
      </w:r>
      <w:r w:rsidRPr="004A6F27">
        <w:rPr>
          <w:rFonts w:asciiTheme="minorHAnsi" w:hAnsiTheme="minorHAnsi" w:cstheme="minorHAnsi"/>
          <w:sz w:val="22"/>
          <w:szCs w:val="22"/>
        </w:rPr>
        <w:t>C from the Tucson dataset, showing no significant correlation.</w:t>
      </w:r>
    </w:p>
    <w:p w:rsidR="008016B3" w:rsidRPr="004A6F27" w:rsidRDefault="008016B3">
      <w:pPr>
        <w:widowControl/>
        <w:autoSpaceDE/>
        <w:autoSpaceDN/>
        <w:adjustRightInd/>
        <w:spacing w:after="160" w:line="259" w:lineRule="auto"/>
        <w:rPr>
          <w:rFonts w:asciiTheme="minorHAnsi" w:hAnsiTheme="minorHAnsi" w:cstheme="minorHAnsi"/>
          <w:sz w:val="22"/>
          <w:szCs w:val="22"/>
        </w:rPr>
      </w:pPr>
      <w:r w:rsidRPr="004A6F27">
        <w:rPr>
          <w:rFonts w:asciiTheme="minorHAnsi" w:hAnsiTheme="minorHAnsi" w:cstheme="minorHAnsi"/>
          <w:sz w:val="22"/>
          <w:szCs w:val="22"/>
        </w:rPr>
        <w:br w:type="page"/>
      </w:r>
    </w:p>
    <w:p w:rsidR="008016B3" w:rsidRPr="004A6F27" w:rsidRDefault="008016B3" w:rsidP="008016B3">
      <w:pPr>
        <w:rPr>
          <w:rFonts w:asciiTheme="minorHAnsi" w:hAnsiTheme="minorHAnsi" w:cstheme="minorHAnsi"/>
          <w:sz w:val="22"/>
          <w:szCs w:val="22"/>
        </w:rPr>
      </w:pPr>
      <w:r w:rsidRPr="004A6F27">
        <w:rPr>
          <w:rFonts w:asciiTheme="minorHAnsi" w:hAnsiTheme="minorHAnsi" w:cstheme="minorHAnsi"/>
          <w:noProof/>
          <w:sz w:val="22"/>
          <w:szCs w:val="22"/>
        </w:rPr>
        <w:lastRenderedPageBreak/>
        <mc:AlternateContent>
          <mc:Choice Requires="wps">
            <w:drawing>
              <wp:anchor distT="45720" distB="45720" distL="114300" distR="114300" simplePos="0" relativeHeight="251659264" behindDoc="0" locked="0" layoutInCell="1" allowOverlap="1" wp14:anchorId="0FA97CBF" wp14:editId="74235D83">
                <wp:simplePos x="0" y="0"/>
                <wp:positionH relativeFrom="column">
                  <wp:posOffset>3084554</wp:posOffset>
                </wp:positionH>
                <wp:positionV relativeFrom="paragraph">
                  <wp:posOffset>2377440</wp:posOffset>
                </wp:positionV>
                <wp:extent cx="1391285" cy="1404620"/>
                <wp:effectExtent l="0" t="0" r="18415"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1285" cy="1404620"/>
                        </a:xfrm>
                        <a:prstGeom prst="rect">
                          <a:avLst/>
                        </a:prstGeom>
                        <a:solidFill>
                          <a:srgbClr val="FFFFFF"/>
                        </a:solidFill>
                        <a:ln w="9525">
                          <a:solidFill>
                            <a:srgbClr val="000000"/>
                          </a:solidFill>
                          <a:miter lim="800000"/>
                          <a:headEnd/>
                          <a:tailEnd/>
                        </a:ln>
                      </wps:spPr>
                      <wps:txbx>
                        <w:txbxContent>
                          <w:p w:rsidR="008016B3" w:rsidRDefault="008016B3" w:rsidP="008016B3">
                            <w:r>
                              <w:t>Fig. S1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A97CBF" id="_x0000_t202" coordsize="21600,21600" o:spt="202" path="m,l,21600r21600,l21600,xe">
                <v:stroke joinstyle="miter"/>
                <v:path gradientshapeok="t" o:connecttype="rect"/>
              </v:shapetype>
              <v:shape id="Text Box 2" o:spid="_x0000_s1026" type="#_x0000_t202" style="position:absolute;margin-left:242.9pt;margin-top:187.2pt;width:109.5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">
                <v:textbox style="mso-fit-shape-to-text:t">
                  <w:txbxContent>
                    <w:p w:rsidR="008016B3" w:rsidRDefault="008016B3" w:rsidP="008016B3">
                      <w:r>
                        <w:t>Fig. S1</w:t>
                      </w:r>
                    </w:p>
                  </w:txbxContent>
                </v:textbox>
                <w10:wrap type="square"/>
              </v:shape>
            </w:pict>
          </mc:Fallback>
        </mc:AlternateContent>
      </w:r>
      <w:r w:rsidRPr="004A6F27">
        <w:rPr>
          <w:rFonts w:asciiTheme="minorHAnsi" w:hAnsiTheme="minorHAnsi" w:cstheme="minorHAnsi"/>
          <w:noProof/>
          <w:sz w:val="22"/>
          <w:szCs w:val="22"/>
        </w:rPr>
        <w:drawing>
          <wp:inline distT="0" distB="0" distL="0" distR="0" wp14:anchorId="0BC7584A" wp14:editId="7992BF5C">
            <wp:extent cx="3241314" cy="92632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47903" cy="9282099"/>
                    </a:xfrm>
                    <a:prstGeom prst="rect">
                      <a:avLst/>
                    </a:prstGeom>
                    <a:noFill/>
                    <a:ln>
                      <a:noFill/>
                    </a:ln>
                  </pic:spPr>
                </pic:pic>
              </a:graphicData>
            </a:graphic>
          </wp:inline>
        </w:drawing>
      </w:r>
    </w:p>
    <w:p w:rsidR="00AE595E" w:rsidRPr="004A6F27" w:rsidRDefault="008016B3" w:rsidP="00AE595E">
      <w:pPr>
        <w:spacing w:line="480" w:lineRule="auto"/>
        <w:rPr>
          <w:rFonts w:asciiTheme="minorHAnsi" w:hAnsiTheme="minorHAnsi" w:cstheme="minorHAnsi"/>
          <w:sz w:val="22"/>
          <w:szCs w:val="22"/>
        </w:rPr>
      </w:pPr>
      <w:r w:rsidRPr="004A6F27">
        <w:rPr>
          <w:rFonts w:asciiTheme="minorHAnsi" w:hAnsiTheme="minorHAnsi" w:cstheme="minorHAnsi"/>
          <w:noProof/>
          <w:sz w:val="22"/>
          <w:szCs w:val="22"/>
        </w:rPr>
        <w:lastRenderedPageBreak/>
        <w:drawing>
          <wp:inline distT="0" distB="0" distL="0" distR="0" wp14:anchorId="1133CEC4" wp14:editId="0B8FE576">
            <wp:extent cx="5943600" cy="57575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5757545"/>
                    </a:xfrm>
                    <a:prstGeom prst="rect">
                      <a:avLst/>
                    </a:prstGeom>
                    <a:noFill/>
                    <a:ln>
                      <a:noFill/>
                    </a:ln>
                  </pic:spPr>
                </pic:pic>
              </a:graphicData>
            </a:graphic>
          </wp:inline>
        </w:drawing>
      </w:r>
    </w:p>
    <w:p w:rsidR="00212E54" w:rsidRPr="004A6F27" w:rsidRDefault="008016B3" w:rsidP="00AE595E">
      <w:pPr>
        <w:rPr>
          <w:rFonts w:asciiTheme="minorHAnsi" w:hAnsiTheme="minorHAnsi" w:cstheme="minorHAnsi"/>
          <w:sz w:val="22"/>
          <w:szCs w:val="22"/>
        </w:rPr>
      </w:pPr>
      <w:r w:rsidRPr="004A6F27">
        <w:rPr>
          <w:rFonts w:asciiTheme="minorHAnsi" w:hAnsiTheme="minorHAnsi" w:cstheme="minorHAnsi"/>
          <w:sz w:val="22"/>
          <w:szCs w:val="22"/>
        </w:rPr>
        <w:t>Fig. S2</w:t>
      </w:r>
    </w:p>
    <w:sectPr w:rsidR="00212E54" w:rsidRPr="004A6F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8061F"/>
    <w:multiLevelType w:val="hybridMultilevel"/>
    <w:tmpl w:val="1BF63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E54"/>
    <w:rsid w:val="00212E54"/>
    <w:rsid w:val="003A14B8"/>
    <w:rsid w:val="004215BE"/>
    <w:rsid w:val="00471328"/>
    <w:rsid w:val="004A6F27"/>
    <w:rsid w:val="008016B3"/>
    <w:rsid w:val="00861200"/>
    <w:rsid w:val="00AE5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AA5A0"/>
  <w15:chartTrackingRefBased/>
  <w15:docId w15:val="{2BAA5A7E-E857-4262-8B39-E991AC74E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595E"/>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E54"/>
    <w:pPr>
      <w:widowControl/>
      <w:autoSpaceDE/>
      <w:autoSpaceDN/>
      <w:adjustRightInd/>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886</Words>
  <Characters>5052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Eastoe</dc:creator>
  <cp:keywords/>
  <dc:description/>
  <cp:lastModifiedBy>Chris Eastoe</cp:lastModifiedBy>
  <cp:revision>7</cp:revision>
  <dcterms:created xsi:type="dcterms:W3CDTF">2018-07-03T17:09:00Z</dcterms:created>
  <dcterms:modified xsi:type="dcterms:W3CDTF">2019-01-25T23:04:00Z</dcterms:modified>
</cp:coreProperties>
</file>