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EFFA" w14:textId="77777777" w:rsidR="00FF027E" w:rsidRDefault="00FF027E" w:rsidP="00FF027E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bookmarkStart w:id="0" w:name="_Hlk526199653"/>
      <w:r w:rsidRPr="00D91F32">
        <w:rPr>
          <w:rFonts w:ascii="Arial" w:hAnsi="Arial" w:cs="Arial"/>
          <w:b/>
          <w:bCs/>
          <w:sz w:val="24"/>
          <w:szCs w:val="24"/>
        </w:rPr>
        <w:t>Supplemental Figure 1</w:t>
      </w:r>
      <w:r>
        <w:rPr>
          <w:rFonts w:ascii="Arial" w:hAnsi="Arial" w:cs="Arial"/>
          <w:sz w:val="24"/>
          <w:szCs w:val="24"/>
        </w:rPr>
        <w:t>. Sealed tubes before (left) and after (right) graphitization.</w:t>
      </w:r>
    </w:p>
    <w:p w14:paraId="1F842769" w14:textId="77777777" w:rsidR="00FF027E" w:rsidRDefault="00FF027E" w:rsidP="00FF027E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bookmarkStart w:id="1" w:name="_Hlk526199806"/>
      <w:bookmarkEnd w:id="0"/>
      <w:r w:rsidRPr="00D91F32">
        <w:rPr>
          <w:rFonts w:ascii="Arial" w:hAnsi="Arial" w:cs="Arial"/>
          <w:b/>
          <w:bCs/>
          <w:sz w:val="24"/>
          <w:szCs w:val="24"/>
        </w:rPr>
        <w:t>Supplemental Figure 2</w:t>
      </w:r>
      <w:r>
        <w:rPr>
          <w:rFonts w:ascii="Arial" w:hAnsi="Arial" w:cs="Arial"/>
          <w:sz w:val="24"/>
          <w:szCs w:val="24"/>
        </w:rPr>
        <w:t xml:space="preserve">. Comparison of online </w:t>
      </w:r>
      <w:r>
        <w:rPr>
          <w:rFonts w:ascii="Arial" w:hAnsi="Arial" w:cs="Arial"/>
          <w:sz w:val="24"/>
          <w:szCs w:val="24"/>
        </w:rPr>
        <w:sym w:font="Symbol" w:char="F064"/>
      </w:r>
      <w:r w:rsidRPr="005C38FA"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C values of standards Bulk FIRI Belfast Cellulose (BBC), Bulk TIRI </w:t>
      </w:r>
      <w:proofErr w:type="spellStart"/>
      <w:r>
        <w:rPr>
          <w:rFonts w:ascii="Arial" w:hAnsi="Arial" w:cs="Arial"/>
          <w:sz w:val="24"/>
          <w:szCs w:val="24"/>
        </w:rPr>
        <w:t>Barleymash</w:t>
      </w:r>
      <w:proofErr w:type="spellEnd"/>
      <w:r>
        <w:rPr>
          <w:rFonts w:ascii="Arial" w:hAnsi="Arial" w:cs="Arial"/>
          <w:sz w:val="24"/>
          <w:szCs w:val="24"/>
        </w:rPr>
        <w:t xml:space="preserve"> (BBM) and Bulk Iceland Spar Calcite (BISC) measured in batches 1-3 on a 5MV AMS. </w:t>
      </w:r>
      <w:proofErr w:type="spellStart"/>
      <w:r>
        <w:rPr>
          <w:rFonts w:ascii="Arial" w:hAnsi="Arial" w:cs="Arial"/>
          <w:sz w:val="24"/>
          <w:szCs w:val="24"/>
        </w:rPr>
        <w:t>Graphites</w:t>
      </w:r>
      <w:proofErr w:type="spellEnd"/>
      <w:r>
        <w:rPr>
          <w:rFonts w:ascii="Arial" w:hAnsi="Arial" w:cs="Arial"/>
          <w:sz w:val="24"/>
          <w:szCs w:val="24"/>
        </w:rPr>
        <w:t xml:space="preserve"> were run in groups by size (e.g., group 1 for ~0.1 mg C, group 2 for ~0.2 mg C, and so forth) with one BISC of routine size (~1-1.5 mg C) run in each group. Dotted lines </w:t>
      </w:r>
      <w:bookmarkEnd w:id="1"/>
      <w:r>
        <w:rPr>
          <w:rFonts w:ascii="Arial" w:hAnsi="Arial" w:cs="Arial"/>
          <w:sz w:val="24"/>
          <w:szCs w:val="24"/>
        </w:rPr>
        <w:t>mark the scatter observed in all 3 batches for secondary standards BBC and BBM and values outside these lines in batch 2 were excluded from accuracy calculations.</w:t>
      </w:r>
    </w:p>
    <w:p w14:paraId="2BE8AC9B" w14:textId="77777777" w:rsidR="00097587" w:rsidRDefault="00097587">
      <w:bookmarkStart w:id="2" w:name="_GoBack"/>
      <w:bookmarkEnd w:id="2"/>
    </w:p>
    <w:sectPr w:rsidR="00097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E"/>
    <w:rsid w:val="00097587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7C0"/>
  <w15:chartTrackingRefBased/>
  <w15:docId w15:val="{FAA4F83C-F4BD-4C6C-A2C2-87BAFC0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7E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70E38456.dotm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Cisneros-Dozal</dc:creator>
  <cp:keywords/>
  <dc:description/>
  <cp:lastModifiedBy>Luz Maria Cisneros-Dozal</cp:lastModifiedBy>
  <cp:revision>1</cp:revision>
  <dcterms:created xsi:type="dcterms:W3CDTF">2019-06-24T14:27:00Z</dcterms:created>
  <dcterms:modified xsi:type="dcterms:W3CDTF">2019-06-24T14:27:00Z</dcterms:modified>
</cp:coreProperties>
</file>