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26A4" w14:textId="77777777" w:rsidR="00202DB4" w:rsidRDefault="00202DB4" w:rsidP="00202DB4">
      <w:pPr>
        <w:spacing w:after="0" w:line="48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lang w:val="en-US"/>
        </w:rPr>
        <w:t>Supplementary Materials</w:t>
      </w:r>
    </w:p>
    <w:p w14:paraId="2C4D465C" w14:textId="77777777" w:rsidR="00202DB4" w:rsidRDefault="00202DB4" w:rsidP="00202DB4">
      <w:pPr>
        <w:spacing w:after="0" w:line="480" w:lineRule="auto"/>
        <w:jc w:val="center"/>
        <w:outlineLvl w:val="0"/>
        <w:rPr>
          <w:rFonts w:ascii="Times New Roman" w:hAnsi="Times New Roman" w:cs="Times New Roman"/>
          <w:b/>
          <w:sz w:val="24"/>
          <w:szCs w:val="24"/>
          <w:lang w:val="en-US"/>
        </w:rPr>
      </w:pPr>
    </w:p>
    <w:p w14:paraId="2B90F6AA" w14:textId="77777777" w:rsidR="00202DB4" w:rsidRDefault="00202DB4" w:rsidP="00202DB4">
      <w:pPr>
        <w:spacing w:after="0" w:line="480" w:lineRule="auto"/>
        <w:ind w:firstLine="708"/>
        <w:jc w:val="both"/>
        <w:rPr>
          <w:rFonts w:ascii="Times New Roman" w:hAnsi="Times New Roman" w:cs="Times New Roman"/>
          <w:sz w:val="24"/>
          <w:szCs w:val="24"/>
          <w:lang w:val="en-US"/>
        </w:rPr>
      </w:pPr>
      <w:r w:rsidRPr="00425C02">
        <w:rPr>
          <w:rFonts w:ascii="Times New Roman" w:hAnsi="Times New Roman" w:cs="Times New Roman"/>
          <w:sz w:val="24"/>
          <w:szCs w:val="24"/>
          <w:lang w:val="en-US"/>
        </w:rPr>
        <w:t>The procedure</w:t>
      </w:r>
      <w:r>
        <w:rPr>
          <w:rFonts w:ascii="Times New Roman" w:hAnsi="Times New Roman" w:cs="Times New Roman"/>
          <w:sz w:val="24"/>
          <w:szCs w:val="24"/>
          <w:lang w:val="en-US"/>
        </w:rPr>
        <w:t>s</w:t>
      </w:r>
      <w:r w:rsidRPr="00425C02">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425C02">
        <w:rPr>
          <w:rFonts w:ascii="Times New Roman" w:hAnsi="Times New Roman" w:cs="Times New Roman"/>
          <w:sz w:val="24"/>
          <w:szCs w:val="24"/>
          <w:lang w:val="en-US"/>
        </w:rPr>
        <w:t xml:space="preserve"> sediment</w:t>
      </w:r>
      <w:r>
        <w:rPr>
          <w:rFonts w:ascii="Times New Roman" w:hAnsi="Times New Roman" w:cs="Times New Roman"/>
          <w:sz w:val="24"/>
          <w:szCs w:val="24"/>
          <w:lang w:val="en-US"/>
        </w:rPr>
        <w:t xml:space="preserve"> sampling to geochemical analysis, </w:t>
      </w:r>
      <w:r w:rsidRPr="00425C02">
        <w:rPr>
          <w:rFonts w:ascii="Times New Roman" w:hAnsi="Times New Roman" w:cs="Times New Roman"/>
          <w:sz w:val="24"/>
          <w:szCs w:val="24"/>
          <w:lang w:val="en-US"/>
        </w:rPr>
        <w:t>piston core description</w:t>
      </w:r>
      <w:r>
        <w:rPr>
          <w:rFonts w:ascii="Times New Roman" w:hAnsi="Times New Roman" w:cs="Times New Roman"/>
          <w:sz w:val="24"/>
          <w:szCs w:val="24"/>
          <w:lang w:val="en-US"/>
        </w:rPr>
        <w:t xml:space="preserve"> and the experimental conditions of the equipment </w:t>
      </w:r>
      <w:proofErr w:type="gramStart"/>
      <w:r>
        <w:rPr>
          <w:rFonts w:ascii="Times New Roman" w:hAnsi="Times New Roman" w:cs="Times New Roman"/>
          <w:sz w:val="24"/>
          <w:szCs w:val="24"/>
          <w:lang w:val="en-US"/>
        </w:rPr>
        <w:t>are</w:t>
      </w:r>
      <w:r w:rsidRPr="00425C02">
        <w:rPr>
          <w:rFonts w:ascii="Times New Roman" w:hAnsi="Times New Roman" w:cs="Times New Roman"/>
          <w:sz w:val="24"/>
          <w:szCs w:val="24"/>
          <w:lang w:val="en-US"/>
        </w:rPr>
        <w:t xml:space="preserve"> detailed</w:t>
      </w:r>
      <w:proofErr w:type="gramEnd"/>
      <w:r w:rsidRPr="00425C02">
        <w:rPr>
          <w:rFonts w:ascii="Times New Roman" w:hAnsi="Times New Roman" w:cs="Times New Roman"/>
          <w:sz w:val="24"/>
          <w:szCs w:val="24"/>
          <w:lang w:val="en-US"/>
        </w:rPr>
        <w:t xml:space="preserve"> </w:t>
      </w:r>
      <w:r>
        <w:rPr>
          <w:rFonts w:ascii="Times New Roman" w:hAnsi="Times New Roman" w:cs="Times New Roman"/>
          <w:sz w:val="24"/>
          <w:szCs w:val="24"/>
          <w:lang w:val="en-US"/>
        </w:rPr>
        <w:t>below:</w:t>
      </w:r>
    </w:p>
    <w:p w14:paraId="735396EB" w14:textId="77777777" w:rsidR="00202DB4" w:rsidRDefault="00202DB4" w:rsidP="00202DB4">
      <w:pPr>
        <w:spacing w:after="0" w:line="480" w:lineRule="auto"/>
        <w:jc w:val="both"/>
        <w:rPr>
          <w:rFonts w:ascii="Times New Roman" w:hAnsi="Times New Roman" w:cs="Times New Roman"/>
          <w:sz w:val="24"/>
          <w:szCs w:val="24"/>
          <w:lang w:val="en-US"/>
        </w:rPr>
      </w:pPr>
    </w:p>
    <w:p w14:paraId="68D1BA4B" w14:textId="77777777" w:rsidR="00202DB4" w:rsidRPr="009E38A8" w:rsidRDefault="00202DB4" w:rsidP="00202DB4">
      <w:pPr>
        <w:spacing w:after="0" w:line="480" w:lineRule="auto"/>
        <w:jc w:val="both"/>
        <w:rPr>
          <w:rFonts w:ascii="Times New Roman" w:hAnsi="Times New Roman" w:cs="Times New Roman"/>
          <w:b/>
          <w:sz w:val="24"/>
          <w:szCs w:val="24"/>
          <w:lang w:val="en-US"/>
        </w:rPr>
      </w:pPr>
      <w:r w:rsidRPr="009E38A8">
        <w:rPr>
          <w:rFonts w:ascii="Times New Roman" w:hAnsi="Times New Roman" w:cs="Times New Roman"/>
          <w:b/>
          <w:sz w:val="24"/>
          <w:szCs w:val="24"/>
          <w:lang w:val="en-US"/>
        </w:rPr>
        <w:t>1. Supplemental material for</w:t>
      </w:r>
      <w:r>
        <w:rPr>
          <w:rFonts w:ascii="Times New Roman" w:hAnsi="Times New Roman" w:cs="Times New Roman"/>
          <w:b/>
          <w:sz w:val="24"/>
          <w:szCs w:val="24"/>
          <w:lang w:val="en-US"/>
        </w:rPr>
        <w:t xml:space="preserve"> the</w:t>
      </w:r>
      <w:r w:rsidRPr="009E38A8">
        <w:rPr>
          <w:rFonts w:ascii="Times New Roman" w:hAnsi="Times New Roman" w:cs="Times New Roman"/>
          <w:b/>
          <w:sz w:val="24"/>
          <w:szCs w:val="24"/>
          <w:lang w:val="en-US"/>
        </w:rPr>
        <w:t xml:space="preserve"> Method</w:t>
      </w:r>
      <w:r>
        <w:rPr>
          <w:rFonts w:ascii="Times New Roman" w:hAnsi="Times New Roman" w:cs="Times New Roman"/>
          <w:b/>
          <w:sz w:val="24"/>
          <w:szCs w:val="24"/>
          <w:lang w:val="en-US"/>
        </w:rPr>
        <w:t>s</w:t>
      </w:r>
      <w:r w:rsidRPr="009E38A8">
        <w:rPr>
          <w:rFonts w:ascii="Times New Roman" w:hAnsi="Times New Roman" w:cs="Times New Roman"/>
          <w:b/>
          <w:sz w:val="24"/>
          <w:szCs w:val="24"/>
          <w:lang w:val="en-US"/>
        </w:rPr>
        <w:t xml:space="preserve"> section</w:t>
      </w:r>
    </w:p>
    <w:p w14:paraId="50E4B213" w14:textId="77777777" w:rsidR="00202DB4" w:rsidRPr="00C522EA" w:rsidRDefault="00202DB4" w:rsidP="00202DB4">
      <w:pPr>
        <w:spacing w:after="0" w:line="480" w:lineRule="auto"/>
        <w:ind w:firstLine="708"/>
        <w:jc w:val="both"/>
        <w:rPr>
          <w:rFonts w:ascii="Times New Roman" w:hAnsi="Times New Roman" w:cs="Times New Roman"/>
          <w:sz w:val="24"/>
          <w:szCs w:val="24"/>
          <w:lang w:val="en-US"/>
        </w:rPr>
      </w:pPr>
    </w:p>
    <w:p w14:paraId="70907324" w14:textId="77777777" w:rsidR="00202DB4" w:rsidRPr="005621F6" w:rsidRDefault="00202DB4" w:rsidP="00202DB4">
      <w:pPr>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t>1.1.</w:t>
      </w:r>
      <w:r w:rsidRPr="005621F6">
        <w:rPr>
          <w:rFonts w:ascii="Times New Roman" w:hAnsi="Times New Roman" w:cs="Times New Roman"/>
          <w:b/>
          <w:sz w:val="24"/>
          <w:szCs w:val="24"/>
          <w:lang w:val="en-US"/>
        </w:rPr>
        <w:t xml:space="preserve"> Sampling</w:t>
      </w:r>
    </w:p>
    <w:p w14:paraId="709E3006" w14:textId="77777777" w:rsidR="00202DB4" w:rsidRPr="005621F6" w:rsidRDefault="00202DB4" w:rsidP="00202DB4">
      <w:pPr>
        <w:spacing w:after="0" w:line="480" w:lineRule="auto"/>
        <w:ind w:firstLine="720"/>
        <w:jc w:val="both"/>
        <w:rPr>
          <w:rFonts w:ascii="Times New Roman" w:hAnsi="Times New Roman" w:cs="Times New Roman"/>
          <w:sz w:val="24"/>
          <w:szCs w:val="24"/>
          <w:lang w:val="en-US"/>
        </w:rPr>
      </w:pPr>
      <w:r w:rsidRPr="005621F6">
        <w:rPr>
          <w:rFonts w:ascii="Times New Roman" w:hAnsi="Times New Roman" w:cs="Times New Roman"/>
          <w:bCs/>
          <w:sz w:val="24"/>
          <w:szCs w:val="24"/>
          <w:lang w:val="en-US"/>
        </w:rPr>
        <w:t xml:space="preserve">Two </w:t>
      </w:r>
      <w:r w:rsidRPr="005621F6">
        <w:rPr>
          <w:rFonts w:ascii="Times New Roman" w:hAnsi="Times New Roman" w:cs="Times New Roman"/>
          <w:sz w:val="24"/>
          <w:szCs w:val="24"/>
          <w:lang w:val="en-US"/>
        </w:rPr>
        <w:t xml:space="preserve">sediment cores, named PC31 and PC51, were obtained with a 6.0 m long </w:t>
      </w:r>
      <w:r>
        <w:rPr>
          <w:rFonts w:ascii="Times New Roman" w:hAnsi="Times New Roman" w:cs="Times New Roman"/>
          <w:sz w:val="24"/>
          <w:szCs w:val="24"/>
          <w:lang w:val="en-US"/>
        </w:rPr>
        <w:t>PC</w:t>
      </w:r>
      <w:r w:rsidRPr="005621F6">
        <w:rPr>
          <w:rFonts w:ascii="Times New Roman" w:hAnsi="Times New Roman" w:cs="Times New Roman"/>
          <w:sz w:val="24"/>
          <w:szCs w:val="24"/>
          <w:lang w:val="en-US"/>
        </w:rPr>
        <w:t xml:space="preserve"> device during the MR11 oceanographic mission and were used in this study. The PCs were collected in the upper slope of Rio Grande Cone around 215 km from the coast. </w:t>
      </w:r>
      <w:r w:rsidRPr="005621F6">
        <w:rPr>
          <w:rFonts w:ascii="Times New Roman" w:hAnsi="Times New Roman" w:cs="Times New Roman"/>
          <w:iCs/>
          <w:sz w:val="24"/>
          <w:szCs w:val="24"/>
          <w:lang w:val="en-US"/>
        </w:rPr>
        <w:t>They</w:t>
      </w:r>
      <w:r w:rsidRPr="005621F6">
        <w:rPr>
          <w:rFonts w:ascii="Times New Roman" w:hAnsi="Times New Roman" w:cs="Times New Roman"/>
          <w:sz w:val="24"/>
          <w:szCs w:val="24"/>
          <w:lang w:val="en-US"/>
        </w:rPr>
        <w:t xml:space="preserve"> were retrieved </w:t>
      </w:r>
      <w:r w:rsidRPr="005621F6">
        <w:rPr>
          <w:rFonts w:ascii="Times New Roman" w:hAnsi="Times New Roman" w:cs="Times New Roman"/>
          <w:sz w:val="24"/>
          <w:szCs w:val="24"/>
          <w:shd w:val="clear" w:color="auto" w:fill="FFFFFF"/>
          <w:lang w:val="en-US"/>
        </w:rPr>
        <w:t xml:space="preserve">at </w:t>
      </w:r>
      <w:r w:rsidRPr="005621F6">
        <w:rPr>
          <w:rFonts w:ascii="Times New Roman" w:hAnsi="Times New Roman" w:cs="Times New Roman"/>
          <w:sz w:val="24"/>
          <w:szCs w:val="24"/>
          <w:lang w:val="en-US"/>
        </w:rPr>
        <w:t>water depths</w:t>
      </w:r>
      <w:r w:rsidRPr="005621F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of </w:t>
      </w:r>
      <w:r w:rsidRPr="005621F6">
        <w:rPr>
          <w:rFonts w:ascii="Times New Roman" w:hAnsi="Times New Roman" w:cs="Times New Roman"/>
          <w:sz w:val="24"/>
          <w:szCs w:val="24"/>
          <w:shd w:val="clear" w:color="auto" w:fill="FFFFFF"/>
          <w:lang w:val="en-US"/>
        </w:rPr>
        <w:t>1155 and 538</w:t>
      </w:r>
      <w:r w:rsidRPr="005621F6">
        <w:rPr>
          <w:rFonts w:ascii="Times New Roman" w:hAnsi="Times New Roman" w:cs="Times New Roman"/>
          <w:sz w:val="24"/>
          <w:szCs w:val="24"/>
          <w:lang w:val="en-US"/>
        </w:rPr>
        <w:t xml:space="preserve"> m</w:t>
      </w:r>
      <w:r w:rsidRPr="005621F6">
        <w:rPr>
          <w:rFonts w:ascii="Times New Roman" w:hAnsi="Times New Roman" w:cs="Times New Roman"/>
          <w:bCs/>
          <w:sz w:val="24"/>
          <w:szCs w:val="24"/>
          <w:lang w:val="en-US"/>
        </w:rPr>
        <w:t>, respectively</w:t>
      </w:r>
      <w:r w:rsidRPr="005621F6">
        <w:rPr>
          <w:rFonts w:ascii="Times New Roman" w:hAnsi="Times New Roman" w:cs="Times New Roman"/>
          <w:b/>
          <w:bCs/>
          <w:sz w:val="24"/>
          <w:szCs w:val="24"/>
          <w:lang w:val="en-US"/>
        </w:rPr>
        <w:t>.</w:t>
      </w:r>
      <w:r w:rsidRPr="005621F6">
        <w:rPr>
          <w:rFonts w:ascii="Times New Roman" w:hAnsi="Times New Roman" w:cs="Times New Roman"/>
          <w:b/>
          <w:bCs/>
          <w:color w:val="FF0000"/>
          <w:sz w:val="24"/>
          <w:szCs w:val="24"/>
          <w:lang w:val="en-US"/>
        </w:rPr>
        <w:t xml:space="preserve"> </w:t>
      </w:r>
      <w:r w:rsidRPr="005621F6">
        <w:rPr>
          <w:rFonts w:ascii="Times New Roman" w:hAnsi="Times New Roman" w:cs="Times New Roman"/>
          <w:sz w:val="24"/>
          <w:szCs w:val="24"/>
          <w:lang w:val="en-US"/>
        </w:rPr>
        <w:t>Immediately upon core recovery onto the ship’s deck, the PVC liner containing the sediments was removed from the outer iron tube and cut into 100 cm sections. Each section of the liner was then split lengthwise into a working half for sampling and an archive half for onboard core descriptions and storage.</w:t>
      </w:r>
    </w:p>
    <w:p w14:paraId="7FA5516F" w14:textId="77777777" w:rsidR="00202DB4" w:rsidRPr="005621F6" w:rsidRDefault="00202DB4" w:rsidP="00202DB4">
      <w:pPr>
        <w:spacing w:after="0" w:line="480" w:lineRule="auto"/>
        <w:ind w:firstLine="720"/>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The sediments were sampled from the working half at regular intervals of 30 cm (three per core section) for geochemical analysis (</w:t>
      </w:r>
      <w:r>
        <w:rPr>
          <w:rFonts w:ascii="Times New Roman" w:hAnsi="Times New Roman" w:cs="Times New Roman"/>
          <w:sz w:val="24"/>
          <w:szCs w:val="24"/>
          <w:lang w:val="en-US"/>
        </w:rPr>
        <w:t>TOC</w:t>
      </w:r>
      <w:r w:rsidRPr="005621F6">
        <w:rPr>
          <w:rFonts w:ascii="Times New Roman" w:hAnsi="Times New Roman" w:cs="Times New Roman"/>
          <w:sz w:val="24"/>
          <w:szCs w:val="24"/>
          <w:lang w:val="en-US"/>
        </w:rPr>
        <w:t xml:space="preserve">, </w:t>
      </w:r>
      <w:r>
        <w:rPr>
          <w:rFonts w:ascii="Times New Roman" w:hAnsi="Times New Roman" w:cs="Times New Roman"/>
          <w:sz w:val="24"/>
          <w:szCs w:val="24"/>
          <w:lang w:val="en-US"/>
        </w:rPr>
        <w:t>TN</w:t>
      </w:r>
      <w:r w:rsidRPr="005621F6">
        <w:rPr>
          <w:rFonts w:ascii="Times New Roman" w:hAnsi="Times New Roman" w:cs="Times New Roman"/>
          <w:sz w:val="24"/>
          <w:szCs w:val="24"/>
          <w:lang w:val="en-US"/>
        </w:rPr>
        <w:t xml:space="preserve">, </w:t>
      </w:r>
      <w:r>
        <w:rPr>
          <w:rFonts w:ascii="Times New Roman" w:hAnsi="Times New Roman" w:cs="Times New Roman"/>
          <w:sz w:val="24"/>
          <w:szCs w:val="24"/>
          <w:lang w:val="en-US"/>
        </w:rPr>
        <w:t>TS</w:t>
      </w:r>
      <w:r w:rsidRPr="005621F6">
        <w:rPr>
          <w:rFonts w:ascii="Times New Roman" w:hAnsi="Times New Roman" w:cs="Times New Roman"/>
          <w:sz w:val="24"/>
          <w:szCs w:val="24"/>
          <w:lang w:val="en-US"/>
        </w:rPr>
        <w:t>, stable isotope and radiocarbon analysis for bulk organic sediments). Samples for paleontological analysis were collected immediately below the geochemical samples. Sediment samples for mud gas analysis (C</w:t>
      </w:r>
      <w:r w:rsidRPr="005621F6">
        <w:rPr>
          <w:rFonts w:ascii="Times New Roman" w:hAnsi="Times New Roman" w:cs="Times New Roman"/>
          <w:sz w:val="24"/>
          <w:szCs w:val="24"/>
          <w:vertAlign w:val="subscript"/>
          <w:lang w:val="en-US"/>
        </w:rPr>
        <w:t>1</w:t>
      </w:r>
      <w:r w:rsidRPr="005621F6">
        <w:rPr>
          <w:rFonts w:ascii="Times New Roman" w:hAnsi="Times New Roman" w:cs="Times New Roman"/>
          <w:sz w:val="24"/>
          <w:szCs w:val="24"/>
          <w:lang w:val="en-US"/>
        </w:rPr>
        <w:t>–C</w:t>
      </w:r>
      <w:r w:rsidRPr="005621F6">
        <w:rPr>
          <w:rFonts w:ascii="Times New Roman" w:hAnsi="Times New Roman" w:cs="Times New Roman"/>
          <w:sz w:val="24"/>
          <w:szCs w:val="24"/>
          <w:vertAlign w:val="subscript"/>
          <w:lang w:val="en-US"/>
        </w:rPr>
        <w:t>5</w:t>
      </w:r>
      <w:r w:rsidRPr="005621F6">
        <w:rPr>
          <w:rFonts w:ascii="Times New Roman" w:hAnsi="Times New Roman" w:cs="Times New Roman"/>
          <w:sz w:val="24"/>
          <w:szCs w:val="24"/>
          <w:lang w:val="en-US"/>
        </w:rPr>
        <w:t xml:space="preserve"> hydrocarbons) were obtained from the top of each section (one per section). These samples were collected from the freshly exposed tops of the core sections using a spatula and were immediately placed into </w:t>
      </w:r>
      <w:proofErr w:type="spellStart"/>
      <w:r w:rsidRPr="005621F6">
        <w:rPr>
          <w:rFonts w:ascii="Times New Roman" w:hAnsi="Times New Roman" w:cs="Times New Roman"/>
          <w:sz w:val="24"/>
          <w:szCs w:val="24"/>
          <w:lang w:val="en-US"/>
        </w:rPr>
        <w:t>IsoJars</w:t>
      </w:r>
      <w:proofErr w:type="spellEnd"/>
      <w:r w:rsidRPr="005621F6">
        <w:rPr>
          <w:rFonts w:ascii="Times New Roman" w:hAnsi="Times New Roman" w:cs="Times New Roman"/>
          <w:sz w:val="24"/>
          <w:szCs w:val="24"/>
          <w:lang w:val="en-US"/>
        </w:rPr>
        <w:t xml:space="preserve">. The sediment samples filled one third of the </w:t>
      </w:r>
      <w:proofErr w:type="spellStart"/>
      <w:r w:rsidRPr="005621F6">
        <w:rPr>
          <w:rFonts w:ascii="Times New Roman" w:hAnsi="Times New Roman" w:cs="Times New Roman"/>
          <w:sz w:val="24"/>
          <w:szCs w:val="24"/>
          <w:lang w:val="en-US"/>
        </w:rPr>
        <w:t>IsoJars</w:t>
      </w:r>
      <w:proofErr w:type="spellEnd"/>
      <w:r w:rsidRPr="005621F6">
        <w:rPr>
          <w:rFonts w:ascii="Times New Roman" w:hAnsi="Times New Roman" w:cs="Times New Roman"/>
          <w:sz w:val="24"/>
          <w:szCs w:val="24"/>
          <w:lang w:val="en-US"/>
        </w:rPr>
        <w:t xml:space="preserve">, while another third was filled with distilled water, leaving the top third with air (headspace). Five drops of diluted </w:t>
      </w:r>
      <w:proofErr w:type="spellStart"/>
      <w:r w:rsidRPr="005621F6">
        <w:rPr>
          <w:rFonts w:ascii="Times New Roman" w:hAnsi="Times New Roman" w:cs="Times New Roman"/>
          <w:sz w:val="24"/>
          <w:szCs w:val="24"/>
          <w:lang w:val="en-US"/>
        </w:rPr>
        <w:t>Zephiran</w:t>
      </w:r>
      <w:proofErr w:type="spellEnd"/>
      <w:r w:rsidRPr="005621F6">
        <w:rPr>
          <w:rFonts w:ascii="Times New Roman" w:hAnsi="Times New Roman" w:cs="Times New Roman"/>
          <w:sz w:val="24"/>
          <w:szCs w:val="24"/>
          <w:lang w:val="en-US"/>
        </w:rPr>
        <w:t xml:space="preserve"> Chloride bactericide were added </w:t>
      </w:r>
      <w:r w:rsidRPr="005621F6">
        <w:rPr>
          <w:rFonts w:ascii="Times New Roman" w:hAnsi="Times New Roman" w:cs="Times New Roman"/>
          <w:sz w:val="24"/>
          <w:szCs w:val="24"/>
          <w:lang w:val="en-US"/>
        </w:rPr>
        <w:lastRenderedPageBreak/>
        <w:t xml:space="preserve">to the </w:t>
      </w:r>
      <w:proofErr w:type="spellStart"/>
      <w:r w:rsidRPr="005621F6">
        <w:rPr>
          <w:rFonts w:ascii="Times New Roman" w:hAnsi="Times New Roman" w:cs="Times New Roman"/>
          <w:sz w:val="24"/>
          <w:szCs w:val="24"/>
          <w:lang w:val="en-US"/>
        </w:rPr>
        <w:t>IsoJars</w:t>
      </w:r>
      <w:proofErr w:type="spellEnd"/>
      <w:r w:rsidRPr="005621F6">
        <w:rPr>
          <w:rFonts w:ascii="Times New Roman" w:hAnsi="Times New Roman" w:cs="Times New Roman"/>
          <w:sz w:val="24"/>
          <w:szCs w:val="24"/>
          <w:lang w:val="en-US"/>
        </w:rPr>
        <w:t xml:space="preserve"> in order to reduce microbial activity. The </w:t>
      </w:r>
      <w:proofErr w:type="spellStart"/>
      <w:r w:rsidRPr="005621F6">
        <w:rPr>
          <w:rFonts w:ascii="Times New Roman" w:hAnsi="Times New Roman" w:cs="Times New Roman"/>
          <w:sz w:val="24"/>
          <w:szCs w:val="24"/>
          <w:lang w:val="en-US"/>
        </w:rPr>
        <w:t>IsoJars</w:t>
      </w:r>
      <w:proofErr w:type="spellEnd"/>
      <w:r w:rsidRPr="005621F6">
        <w:rPr>
          <w:rFonts w:ascii="Times New Roman" w:hAnsi="Times New Roman" w:cs="Times New Roman"/>
          <w:sz w:val="24"/>
          <w:szCs w:val="24"/>
          <w:lang w:val="en-US"/>
        </w:rPr>
        <w:t xml:space="preserve"> were kept refrigerated at 4 °C (Rodrigues et al. 2017). For sulfate analysis of the interstitial water, the sediment samples of the working half were collected at regular intervals of 30 cm (three per core section) and pieces of 10 to 20 cm were squeezed onboard using titanium hydraulic Manheim squeezers. Interstitial water samples were collected in 50 ml syringes attached to the base of each squeezer. Approximately, 40 mL </w:t>
      </w:r>
      <w:r>
        <w:rPr>
          <w:rFonts w:ascii="Times New Roman" w:hAnsi="Times New Roman" w:cs="Times New Roman"/>
          <w:sz w:val="24"/>
          <w:szCs w:val="24"/>
          <w:lang w:val="en-US"/>
        </w:rPr>
        <w:t>was</w:t>
      </w:r>
      <w:r w:rsidRPr="005621F6">
        <w:rPr>
          <w:rFonts w:ascii="Times New Roman" w:hAnsi="Times New Roman" w:cs="Times New Roman"/>
          <w:sz w:val="24"/>
          <w:szCs w:val="24"/>
          <w:lang w:val="en-US"/>
        </w:rPr>
        <w:t xml:space="preserve"> transferred to plastic bottles and stored at 4</w:t>
      </w:r>
      <w:r>
        <w:rPr>
          <w:rFonts w:ascii="Times New Roman" w:hAnsi="Times New Roman" w:cs="Times New Roman"/>
          <w:sz w:val="24"/>
          <w:szCs w:val="24"/>
          <w:lang w:val="en-US"/>
        </w:rPr>
        <w:t> °C</w:t>
      </w:r>
      <w:r w:rsidRPr="005621F6">
        <w:rPr>
          <w:rFonts w:ascii="Times New Roman" w:hAnsi="Times New Roman" w:cs="Times New Roman"/>
          <w:sz w:val="24"/>
          <w:szCs w:val="24"/>
          <w:lang w:val="en-US"/>
        </w:rPr>
        <w:t xml:space="preserve"> for further analyses onshore (Manheim et al. 1994).</w:t>
      </w:r>
    </w:p>
    <w:p w14:paraId="043207E3" w14:textId="77777777" w:rsidR="00202DB4" w:rsidRPr="005621F6" w:rsidRDefault="00202DB4" w:rsidP="00202DB4">
      <w:pPr>
        <w:spacing w:after="0" w:line="480" w:lineRule="auto"/>
        <w:ind w:firstLine="720"/>
        <w:jc w:val="both"/>
        <w:rPr>
          <w:rFonts w:ascii="Times New Roman" w:hAnsi="Times New Roman" w:cs="Times New Roman"/>
          <w:sz w:val="24"/>
          <w:szCs w:val="24"/>
          <w:lang w:val="en-US"/>
        </w:rPr>
      </w:pPr>
    </w:p>
    <w:p w14:paraId="0E654CFC" w14:textId="77777777" w:rsidR="00202DB4" w:rsidRPr="005621F6" w:rsidRDefault="00202DB4" w:rsidP="00202DB4">
      <w:pPr>
        <w:pStyle w:val="TAMainText"/>
        <w:ind w:firstLine="0"/>
        <w:contextualSpacing/>
        <w:outlineLvl w:val="0"/>
        <w:rPr>
          <w:rFonts w:ascii="Times New Roman" w:hAnsi="Times New Roman"/>
          <w:b/>
          <w:szCs w:val="24"/>
        </w:rPr>
      </w:pPr>
      <w:r>
        <w:rPr>
          <w:rFonts w:ascii="Times New Roman" w:hAnsi="Times New Roman"/>
          <w:b/>
          <w:szCs w:val="24"/>
        </w:rPr>
        <w:t>1.2.</w:t>
      </w:r>
      <w:r w:rsidRPr="005621F6">
        <w:rPr>
          <w:rFonts w:ascii="Times New Roman" w:hAnsi="Times New Roman"/>
          <w:b/>
          <w:szCs w:val="24"/>
        </w:rPr>
        <w:t xml:space="preserve"> Piston core description</w:t>
      </w:r>
      <w:r>
        <w:rPr>
          <w:rFonts w:ascii="Times New Roman" w:hAnsi="Times New Roman"/>
          <w:b/>
          <w:szCs w:val="24"/>
        </w:rPr>
        <w:t>s</w:t>
      </w:r>
    </w:p>
    <w:p w14:paraId="5F4717E4" w14:textId="77777777" w:rsidR="00202DB4" w:rsidRPr="005621F6" w:rsidRDefault="00202DB4" w:rsidP="00202DB4">
      <w:pPr>
        <w:spacing w:after="0" w:line="480" w:lineRule="auto"/>
        <w:ind w:firstLine="720"/>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The two representative piston cores selected for this study (PC51 and PC31) were described as follows:</w:t>
      </w:r>
    </w:p>
    <w:p w14:paraId="456C7672" w14:textId="77777777" w:rsidR="00202DB4" w:rsidRPr="005621F6" w:rsidRDefault="00202DB4" w:rsidP="00202DB4">
      <w:pPr>
        <w:pStyle w:val="xxmsonormal"/>
        <w:shd w:val="clear" w:color="auto" w:fill="FFFFFF"/>
        <w:spacing w:line="480" w:lineRule="auto"/>
        <w:ind w:firstLine="720"/>
        <w:jc w:val="both"/>
        <w:rPr>
          <w:iCs/>
          <w:color w:val="212121"/>
          <w:lang w:val="en-US"/>
        </w:rPr>
      </w:pPr>
      <w:r w:rsidRPr="005621F6">
        <w:rPr>
          <w:iCs/>
          <w:color w:val="212121"/>
          <w:lang w:val="en-US"/>
        </w:rPr>
        <w:t xml:space="preserve">PC-51 </w:t>
      </w:r>
      <w:r>
        <w:rPr>
          <w:iCs/>
          <w:color w:val="212121"/>
          <w:lang w:val="en-US"/>
        </w:rPr>
        <w:t xml:space="preserve">cores </w:t>
      </w:r>
      <w:r w:rsidRPr="005621F6">
        <w:rPr>
          <w:iCs/>
          <w:color w:val="212121"/>
          <w:lang w:val="en-US"/>
        </w:rPr>
        <w:t>(3.97 m long/535 m water depth) consist</w:t>
      </w:r>
      <w:r>
        <w:rPr>
          <w:iCs/>
          <w:color w:val="212121"/>
          <w:lang w:val="en-US"/>
        </w:rPr>
        <w:t>ed</w:t>
      </w:r>
      <w:r w:rsidRPr="005621F6">
        <w:rPr>
          <w:iCs/>
          <w:color w:val="212121"/>
          <w:lang w:val="en-US"/>
        </w:rPr>
        <w:t xml:space="preserve"> of a dark green</w:t>
      </w:r>
      <w:r>
        <w:rPr>
          <w:iCs/>
          <w:color w:val="212121"/>
          <w:lang w:val="en-US"/>
        </w:rPr>
        <w:t>-</w:t>
      </w:r>
      <w:r w:rsidRPr="005621F6">
        <w:rPr>
          <w:iCs/>
          <w:color w:val="212121"/>
          <w:lang w:val="en-US"/>
        </w:rPr>
        <w:t xml:space="preserve">gray mud with concretions and carbonate nodules between 100 and 180 </w:t>
      </w:r>
      <w:proofErr w:type="spellStart"/>
      <w:r w:rsidRPr="005621F6">
        <w:rPr>
          <w:iCs/>
          <w:color w:val="212121"/>
          <w:lang w:val="en-US"/>
        </w:rPr>
        <w:t>cmbsf</w:t>
      </w:r>
      <w:proofErr w:type="spellEnd"/>
      <w:r w:rsidRPr="005621F6">
        <w:rPr>
          <w:iCs/>
          <w:color w:val="212121"/>
          <w:lang w:val="en-US"/>
        </w:rPr>
        <w:t xml:space="preserve">. At the interval from 185 to 270 </w:t>
      </w:r>
      <w:proofErr w:type="spellStart"/>
      <w:r w:rsidRPr="005621F6">
        <w:rPr>
          <w:iCs/>
          <w:color w:val="212121"/>
          <w:lang w:val="en-US"/>
        </w:rPr>
        <w:t>cmbsf</w:t>
      </w:r>
      <w:proofErr w:type="spellEnd"/>
      <w:r w:rsidRPr="005621F6">
        <w:rPr>
          <w:iCs/>
          <w:color w:val="212121"/>
          <w:lang w:val="en-US"/>
        </w:rPr>
        <w:t xml:space="preserve"> </w:t>
      </w:r>
      <w:proofErr w:type="spellStart"/>
      <w:r w:rsidRPr="005621F6">
        <w:rPr>
          <w:iCs/>
          <w:color w:val="212121"/>
          <w:lang w:val="en-US"/>
        </w:rPr>
        <w:t>authigenic</w:t>
      </w:r>
      <w:proofErr w:type="spellEnd"/>
      <w:r w:rsidRPr="005621F6">
        <w:rPr>
          <w:iCs/>
          <w:color w:val="212121"/>
          <w:lang w:val="en-US"/>
        </w:rPr>
        <w:t xml:space="preserve"> carbonate nodules </w:t>
      </w:r>
      <w:r>
        <w:rPr>
          <w:iCs/>
          <w:color w:val="212121"/>
          <w:lang w:val="en-US"/>
        </w:rPr>
        <w:t>were</w:t>
      </w:r>
      <w:r w:rsidRPr="005621F6">
        <w:rPr>
          <w:iCs/>
          <w:color w:val="212121"/>
          <w:lang w:val="en-US"/>
        </w:rPr>
        <w:t xml:space="preserve"> present. Between 315 and 397 </w:t>
      </w:r>
      <w:proofErr w:type="spellStart"/>
      <w:r w:rsidRPr="005621F6">
        <w:rPr>
          <w:iCs/>
          <w:color w:val="212121"/>
          <w:lang w:val="en-US"/>
        </w:rPr>
        <w:t>cmbsf</w:t>
      </w:r>
      <w:proofErr w:type="spellEnd"/>
      <w:r w:rsidRPr="005621F6">
        <w:rPr>
          <w:iCs/>
          <w:color w:val="212121"/>
          <w:lang w:val="en-US"/>
        </w:rPr>
        <w:t xml:space="preserve"> degassing structures were described and gas hydrates were found at </w:t>
      </w:r>
      <w:r>
        <w:rPr>
          <w:iCs/>
          <w:color w:val="212121"/>
          <w:lang w:val="en-US"/>
        </w:rPr>
        <w:t xml:space="preserve">the </w:t>
      </w:r>
      <w:r w:rsidRPr="005621F6">
        <w:rPr>
          <w:iCs/>
          <w:color w:val="212121"/>
          <w:lang w:val="en-US"/>
        </w:rPr>
        <w:t>interval 345</w:t>
      </w:r>
      <w:r>
        <w:rPr>
          <w:iCs/>
          <w:color w:val="212121"/>
          <w:lang w:val="en-US"/>
        </w:rPr>
        <w:t>–3</w:t>
      </w:r>
      <w:r w:rsidRPr="005621F6">
        <w:rPr>
          <w:iCs/>
          <w:color w:val="212121"/>
          <w:lang w:val="en-US"/>
        </w:rPr>
        <w:t xml:space="preserve">65 </w:t>
      </w:r>
      <w:proofErr w:type="spellStart"/>
      <w:r w:rsidRPr="005621F6">
        <w:rPr>
          <w:iCs/>
          <w:color w:val="212121"/>
          <w:lang w:val="en-US"/>
        </w:rPr>
        <w:t>cmbsf</w:t>
      </w:r>
      <w:proofErr w:type="spellEnd"/>
      <w:r w:rsidRPr="005621F6">
        <w:rPr>
          <w:iCs/>
          <w:color w:val="212121"/>
          <w:lang w:val="en-US"/>
        </w:rPr>
        <w:t>.</w:t>
      </w:r>
    </w:p>
    <w:p w14:paraId="6D08CD7A" w14:textId="77777777" w:rsidR="00202DB4" w:rsidRDefault="00202DB4" w:rsidP="00202DB4">
      <w:pPr>
        <w:pStyle w:val="xxmsonormal"/>
        <w:shd w:val="clear" w:color="auto" w:fill="FFFFFF"/>
        <w:spacing w:line="480" w:lineRule="auto"/>
        <w:ind w:firstLine="720"/>
        <w:jc w:val="both"/>
        <w:rPr>
          <w:iCs/>
          <w:color w:val="212121"/>
          <w:lang w:val="en-US"/>
        </w:rPr>
      </w:pPr>
      <w:r w:rsidRPr="005621F6">
        <w:rPr>
          <w:iCs/>
          <w:color w:val="212121"/>
          <w:lang w:val="en-US"/>
        </w:rPr>
        <w:t xml:space="preserve">PC-31 </w:t>
      </w:r>
      <w:r>
        <w:rPr>
          <w:iCs/>
          <w:color w:val="212121"/>
          <w:lang w:val="en-US"/>
        </w:rPr>
        <w:t xml:space="preserve">cores </w:t>
      </w:r>
      <w:r w:rsidRPr="005621F6">
        <w:rPr>
          <w:iCs/>
          <w:color w:val="212121"/>
          <w:lang w:val="en-US"/>
        </w:rPr>
        <w:t>(5.43 m long/1156 m water depth) consist</w:t>
      </w:r>
      <w:r>
        <w:rPr>
          <w:iCs/>
          <w:color w:val="212121"/>
          <w:lang w:val="en-US"/>
        </w:rPr>
        <w:t>ed</w:t>
      </w:r>
      <w:r w:rsidRPr="005621F6">
        <w:rPr>
          <w:iCs/>
          <w:color w:val="212121"/>
          <w:lang w:val="en-US"/>
        </w:rPr>
        <w:t xml:space="preserve"> of a grayish orange mud in the top10 </w:t>
      </w:r>
      <w:proofErr w:type="spellStart"/>
      <w:r w:rsidRPr="005621F6">
        <w:rPr>
          <w:iCs/>
          <w:color w:val="212121"/>
          <w:lang w:val="en-US"/>
        </w:rPr>
        <w:t>cmbsf</w:t>
      </w:r>
      <w:proofErr w:type="spellEnd"/>
      <w:r w:rsidRPr="005621F6">
        <w:rPr>
          <w:iCs/>
          <w:color w:val="212121"/>
          <w:lang w:val="en-US"/>
        </w:rPr>
        <w:t>, changing to a light olive gray (10</w:t>
      </w:r>
      <w:r>
        <w:rPr>
          <w:iCs/>
          <w:color w:val="212121"/>
          <w:lang w:val="en-US"/>
        </w:rPr>
        <w:t>–5</w:t>
      </w:r>
      <w:r w:rsidRPr="005621F6">
        <w:rPr>
          <w:iCs/>
          <w:color w:val="212121"/>
          <w:lang w:val="en-US"/>
        </w:rPr>
        <w:t xml:space="preserve">43cmbsf). </w:t>
      </w:r>
      <w:proofErr w:type="spellStart"/>
      <w:r w:rsidRPr="005621F6">
        <w:rPr>
          <w:iCs/>
          <w:color w:val="212121"/>
          <w:lang w:val="en-US"/>
        </w:rPr>
        <w:t>Planolites</w:t>
      </w:r>
      <w:proofErr w:type="spellEnd"/>
      <w:r w:rsidRPr="005621F6">
        <w:rPr>
          <w:iCs/>
          <w:color w:val="212121"/>
          <w:lang w:val="en-US"/>
        </w:rPr>
        <w:t xml:space="preserve"> and chondrites (10</w:t>
      </w:r>
      <w:r>
        <w:rPr>
          <w:iCs/>
          <w:color w:val="212121"/>
          <w:lang w:val="en-US"/>
        </w:rPr>
        <w:t>–5</w:t>
      </w:r>
      <w:r w:rsidRPr="005621F6">
        <w:rPr>
          <w:iCs/>
          <w:color w:val="212121"/>
          <w:lang w:val="en-US"/>
        </w:rPr>
        <w:t xml:space="preserve">0 </w:t>
      </w:r>
      <w:proofErr w:type="spellStart"/>
      <w:r w:rsidRPr="005621F6">
        <w:rPr>
          <w:iCs/>
          <w:color w:val="212121"/>
          <w:lang w:val="en-US"/>
        </w:rPr>
        <w:t>cmbsf</w:t>
      </w:r>
      <w:proofErr w:type="spellEnd"/>
      <w:r w:rsidRPr="005621F6">
        <w:rPr>
          <w:iCs/>
          <w:color w:val="212121"/>
          <w:lang w:val="en-US"/>
        </w:rPr>
        <w:t xml:space="preserve">) and </w:t>
      </w:r>
      <w:proofErr w:type="spellStart"/>
      <w:r w:rsidRPr="005621F6">
        <w:rPr>
          <w:iCs/>
          <w:color w:val="212121"/>
          <w:lang w:val="en-US"/>
        </w:rPr>
        <w:t>Zoophycos</w:t>
      </w:r>
      <w:proofErr w:type="spellEnd"/>
      <w:r w:rsidRPr="005621F6">
        <w:rPr>
          <w:iCs/>
          <w:color w:val="212121"/>
          <w:lang w:val="en-US"/>
        </w:rPr>
        <w:t xml:space="preserve"> </w:t>
      </w:r>
      <w:proofErr w:type="spellStart"/>
      <w:r w:rsidRPr="005621F6">
        <w:rPr>
          <w:iCs/>
          <w:color w:val="212121"/>
          <w:lang w:val="en-US"/>
        </w:rPr>
        <w:t>ichnofossils</w:t>
      </w:r>
      <w:proofErr w:type="spellEnd"/>
      <w:r w:rsidRPr="005621F6">
        <w:rPr>
          <w:iCs/>
          <w:color w:val="212121"/>
          <w:lang w:val="en-US"/>
        </w:rPr>
        <w:t xml:space="preserve"> (50</w:t>
      </w:r>
      <w:r>
        <w:rPr>
          <w:iCs/>
          <w:color w:val="212121"/>
          <w:lang w:val="en-US"/>
        </w:rPr>
        <w:t>–9</w:t>
      </w:r>
      <w:r w:rsidRPr="005621F6">
        <w:rPr>
          <w:iCs/>
          <w:color w:val="212121"/>
          <w:lang w:val="en-US"/>
        </w:rPr>
        <w:t>0 and 140</w:t>
      </w:r>
      <w:r>
        <w:rPr>
          <w:iCs/>
          <w:color w:val="212121"/>
          <w:lang w:val="en-US"/>
        </w:rPr>
        <w:t>–1</w:t>
      </w:r>
      <w:r w:rsidRPr="005621F6">
        <w:rPr>
          <w:iCs/>
          <w:color w:val="212121"/>
          <w:lang w:val="en-US"/>
        </w:rPr>
        <w:t xml:space="preserve">50 </w:t>
      </w:r>
      <w:proofErr w:type="spellStart"/>
      <w:r w:rsidRPr="005621F6">
        <w:rPr>
          <w:iCs/>
          <w:color w:val="212121"/>
          <w:lang w:val="en-US"/>
        </w:rPr>
        <w:t>cmbsf</w:t>
      </w:r>
      <w:proofErr w:type="spellEnd"/>
      <w:r w:rsidRPr="005621F6">
        <w:rPr>
          <w:iCs/>
          <w:color w:val="212121"/>
          <w:lang w:val="en-US"/>
        </w:rPr>
        <w:t xml:space="preserve">) and </w:t>
      </w:r>
      <w:proofErr w:type="spellStart"/>
      <w:r w:rsidRPr="005621F6">
        <w:rPr>
          <w:iCs/>
          <w:color w:val="212121"/>
          <w:lang w:val="en-US"/>
        </w:rPr>
        <w:t>hidro</w:t>
      </w:r>
      <w:r>
        <w:rPr>
          <w:iCs/>
          <w:color w:val="212121"/>
          <w:lang w:val="en-US"/>
        </w:rPr>
        <w:t>t</w:t>
      </w:r>
      <w:r w:rsidRPr="005621F6">
        <w:rPr>
          <w:iCs/>
          <w:color w:val="212121"/>
          <w:lang w:val="en-US"/>
        </w:rPr>
        <w:t>roilite</w:t>
      </w:r>
      <w:proofErr w:type="spellEnd"/>
      <w:r w:rsidRPr="005621F6">
        <w:rPr>
          <w:iCs/>
          <w:color w:val="212121"/>
          <w:lang w:val="en-US"/>
        </w:rPr>
        <w:t xml:space="preserve"> (250</w:t>
      </w:r>
      <w:r>
        <w:rPr>
          <w:iCs/>
          <w:color w:val="212121"/>
          <w:lang w:val="en-US"/>
        </w:rPr>
        <w:t>–2</w:t>
      </w:r>
      <w:r w:rsidRPr="005621F6">
        <w:rPr>
          <w:iCs/>
          <w:color w:val="212121"/>
          <w:lang w:val="en-US"/>
        </w:rPr>
        <w:t>70, 300</w:t>
      </w:r>
      <w:r>
        <w:rPr>
          <w:iCs/>
          <w:color w:val="212121"/>
          <w:lang w:val="en-US"/>
        </w:rPr>
        <w:t>–3</w:t>
      </w:r>
      <w:r w:rsidRPr="005621F6">
        <w:rPr>
          <w:iCs/>
          <w:color w:val="212121"/>
          <w:lang w:val="en-US"/>
        </w:rPr>
        <w:t>50 and 510</w:t>
      </w:r>
      <w:r>
        <w:rPr>
          <w:iCs/>
          <w:color w:val="212121"/>
          <w:lang w:val="en-US"/>
        </w:rPr>
        <w:t>–5</w:t>
      </w:r>
      <w:r w:rsidRPr="005621F6">
        <w:rPr>
          <w:iCs/>
          <w:color w:val="212121"/>
          <w:lang w:val="en-US"/>
        </w:rPr>
        <w:t xml:space="preserve">25 </w:t>
      </w:r>
      <w:proofErr w:type="spellStart"/>
      <w:r w:rsidRPr="005621F6">
        <w:rPr>
          <w:iCs/>
          <w:color w:val="212121"/>
          <w:lang w:val="en-US"/>
        </w:rPr>
        <w:t>cmbsf</w:t>
      </w:r>
      <w:proofErr w:type="spellEnd"/>
      <w:r w:rsidRPr="005621F6">
        <w:rPr>
          <w:iCs/>
          <w:color w:val="212121"/>
          <w:lang w:val="en-US"/>
        </w:rPr>
        <w:t>)</w:t>
      </w:r>
      <w:r>
        <w:rPr>
          <w:iCs/>
          <w:color w:val="212121"/>
          <w:lang w:val="en-US"/>
        </w:rPr>
        <w:t xml:space="preserve"> were found</w:t>
      </w:r>
      <w:r w:rsidRPr="005621F6">
        <w:rPr>
          <w:iCs/>
          <w:color w:val="212121"/>
          <w:lang w:val="en-US"/>
        </w:rPr>
        <w:t xml:space="preserve">. Core sections showing degassing features in muddy sediments from PC51 and PC31are depicted in Figure </w:t>
      </w:r>
      <w:r>
        <w:rPr>
          <w:iCs/>
          <w:color w:val="212121"/>
          <w:lang w:val="en-US"/>
        </w:rPr>
        <w:t>S1</w:t>
      </w:r>
      <w:r w:rsidRPr="005621F6">
        <w:rPr>
          <w:iCs/>
          <w:color w:val="212121"/>
          <w:lang w:val="en-US"/>
        </w:rPr>
        <w:t>.</w:t>
      </w:r>
    </w:p>
    <w:p w14:paraId="05BFA7E7" w14:textId="77777777" w:rsidR="00202DB4" w:rsidRDefault="00202DB4" w:rsidP="00202DB4">
      <w:pPr>
        <w:pStyle w:val="xxmsonormal"/>
        <w:shd w:val="clear" w:color="auto" w:fill="FFFFFF"/>
        <w:spacing w:line="480" w:lineRule="auto"/>
        <w:ind w:firstLine="720"/>
        <w:jc w:val="both"/>
        <w:rPr>
          <w:iCs/>
          <w:color w:val="212121"/>
          <w:lang w:val="en-US"/>
        </w:rPr>
      </w:pPr>
    </w:p>
    <w:p w14:paraId="2498EFA8" w14:textId="77777777" w:rsidR="00202DB4" w:rsidRPr="005621F6" w:rsidRDefault="00202DB4" w:rsidP="00202DB4">
      <w:pPr>
        <w:pStyle w:val="xxmsonormal"/>
        <w:shd w:val="clear" w:color="auto" w:fill="FFFFFF"/>
        <w:spacing w:line="480" w:lineRule="auto"/>
        <w:ind w:firstLine="720"/>
        <w:jc w:val="both"/>
        <w:rPr>
          <w:iCs/>
          <w:color w:val="212121"/>
          <w:lang w:val="en-US"/>
        </w:rPr>
      </w:pPr>
    </w:p>
    <w:p w14:paraId="1A2ED65A" w14:textId="77777777" w:rsidR="00202DB4" w:rsidRDefault="00202DB4" w:rsidP="00202DB4">
      <w:pPr>
        <w:spacing w:after="0" w:line="360" w:lineRule="auto"/>
        <w:jc w:val="both"/>
        <w:rPr>
          <w:rFonts w:ascii="Times New Roman" w:hAnsi="Times New Roman" w:cs="Times New Roman"/>
          <w:b/>
          <w:sz w:val="24"/>
          <w:szCs w:val="24"/>
          <w:lang w:val="en-US"/>
        </w:rPr>
      </w:pPr>
    </w:p>
    <w:p w14:paraId="11E1F7C4" w14:textId="77777777" w:rsidR="00202DB4" w:rsidRDefault="00202DB4" w:rsidP="00202DB4">
      <w:pPr>
        <w:spacing w:after="0" w:line="360" w:lineRule="auto"/>
        <w:jc w:val="both"/>
        <w:rPr>
          <w:rFonts w:ascii="Times New Roman" w:hAnsi="Times New Roman" w:cs="Times New Roman"/>
          <w:b/>
          <w:sz w:val="24"/>
          <w:szCs w:val="24"/>
          <w:lang w:val="en-US"/>
        </w:rPr>
      </w:pPr>
    </w:p>
    <w:p w14:paraId="24EACF1B" w14:textId="77777777" w:rsidR="00202DB4" w:rsidRDefault="00202DB4" w:rsidP="00202DB4">
      <w:pPr>
        <w:spacing w:after="0" w:line="360" w:lineRule="auto"/>
        <w:jc w:val="center"/>
        <w:rPr>
          <w:rFonts w:ascii="Times New Roman" w:hAnsi="Times New Roman" w:cs="Times New Roman"/>
          <w:b/>
          <w:sz w:val="24"/>
          <w:szCs w:val="24"/>
          <w:lang w:val="en-US"/>
        </w:rPr>
      </w:pPr>
      <w:r w:rsidRPr="00721E59">
        <w:rPr>
          <w:rFonts w:ascii="Times New Roman" w:hAnsi="Times New Roman" w:cs="Times New Roman"/>
          <w:b/>
          <w:noProof/>
          <w:sz w:val="24"/>
          <w:szCs w:val="24"/>
          <w:lang w:eastAsia="pt-BR"/>
        </w:rPr>
        <w:lastRenderedPageBreak/>
        <w:drawing>
          <wp:inline distT="0" distB="0" distL="0" distR="0" wp14:anchorId="0722227A" wp14:editId="439146CF">
            <wp:extent cx="2918137" cy="6619164"/>
            <wp:effectExtent l="0" t="0" r="0" b="0"/>
            <wp:docPr id="1" name="Imagem 1" descr="C:\Users\10083594\Desktop\Artigos IPR\Artigos em andamento\Conegas\Matéria orgânica\Radiocarbon\Nova submissão\Correções\versão resumida_final\Figure 1_supplemental mat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83594\Desktop\Artigos IPR\Artigos em andamento\Conegas\Matéria orgânica\Radiocarbon\Nova submissão\Correções\versão resumida_final\Figure 1_supplemental materi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01" cy="6621124"/>
                    </a:xfrm>
                    <a:prstGeom prst="rect">
                      <a:avLst/>
                    </a:prstGeom>
                    <a:noFill/>
                    <a:ln>
                      <a:noFill/>
                    </a:ln>
                  </pic:spPr>
                </pic:pic>
              </a:graphicData>
            </a:graphic>
          </wp:inline>
        </w:drawing>
      </w:r>
    </w:p>
    <w:p w14:paraId="5F17FB6D" w14:textId="77777777" w:rsidR="00202DB4" w:rsidRDefault="00202DB4" w:rsidP="00202DB4">
      <w:pPr>
        <w:spacing w:after="0" w:line="360" w:lineRule="auto"/>
        <w:jc w:val="both"/>
        <w:rPr>
          <w:rFonts w:ascii="Times New Roman" w:hAnsi="Times New Roman" w:cs="Times New Roman"/>
          <w:b/>
          <w:sz w:val="24"/>
          <w:szCs w:val="24"/>
          <w:lang w:val="en-US"/>
        </w:rPr>
      </w:pPr>
    </w:p>
    <w:p w14:paraId="36155C6A" w14:textId="77777777" w:rsidR="00202DB4" w:rsidRDefault="00202DB4" w:rsidP="00202DB4">
      <w:pPr>
        <w:spacing w:after="0" w:line="360" w:lineRule="auto"/>
        <w:jc w:val="both"/>
        <w:rPr>
          <w:rFonts w:ascii="Times New Roman" w:hAnsi="Times New Roman" w:cs="Times New Roman"/>
          <w:b/>
          <w:sz w:val="24"/>
          <w:szCs w:val="24"/>
          <w:lang w:val="en-US"/>
        </w:rPr>
      </w:pPr>
    </w:p>
    <w:p w14:paraId="6C8723D9" w14:textId="77777777" w:rsidR="00202DB4" w:rsidRPr="005621F6" w:rsidRDefault="00202DB4" w:rsidP="00202DB4">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sz w:val="24"/>
          <w:szCs w:val="24"/>
          <w:lang w:val="en-US"/>
        </w:rPr>
        <w:t>Figure S1</w:t>
      </w:r>
      <w:r w:rsidRPr="005621F6">
        <w:rPr>
          <w:rFonts w:ascii="Times New Roman" w:hAnsi="Times New Roman" w:cs="Times New Roman"/>
          <w:b/>
          <w:sz w:val="24"/>
          <w:szCs w:val="24"/>
          <w:lang w:val="en-US"/>
        </w:rPr>
        <w:t xml:space="preserve">. </w:t>
      </w:r>
      <w:r w:rsidRPr="005621F6">
        <w:rPr>
          <w:rFonts w:ascii="Times New Roman" w:hAnsi="Times New Roman" w:cs="Times New Roman"/>
          <w:color w:val="000000"/>
          <w:sz w:val="24"/>
          <w:szCs w:val="24"/>
          <w:lang w:val="en-US"/>
        </w:rPr>
        <w:t xml:space="preserve">Main sedimentary features identified in the studied piston cores. Core units are divided based on </w:t>
      </w:r>
      <w:r w:rsidRPr="005621F6">
        <w:rPr>
          <w:rFonts w:ascii="Times New Roman" w:hAnsi="Times New Roman" w:cs="Times New Roman"/>
          <w:sz w:val="24"/>
          <w:szCs w:val="24"/>
          <w:lang w:val="en-US"/>
        </w:rPr>
        <w:t>100 cm</w:t>
      </w:r>
      <w:r w:rsidRPr="005621F6">
        <w:rPr>
          <w:rFonts w:ascii="Times New Roman" w:hAnsi="Times New Roman" w:cs="Times New Roman"/>
          <w:color w:val="000000"/>
          <w:sz w:val="24"/>
          <w:szCs w:val="24"/>
          <w:lang w:val="en-US"/>
        </w:rPr>
        <w:t xml:space="preserve"> sections. According to the </w:t>
      </w:r>
      <w:r w:rsidRPr="005621F6">
        <w:rPr>
          <w:rFonts w:ascii="Times New Roman" w:hAnsi="Times New Roman" w:cs="Times New Roman"/>
          <w:color w:val="000000" w:themeColor="text1"/>
          <w:sz w:val="24"/>
          <w:szCs w:val="24"/>
          <w:lang w:val="en-US"/>
        </w:rPr>
        <w:t>Geological Color Chart</w:t>
      </w:r>
      <w:r>
        <w:rPr>
          <w:rFonts w:ascii="Times New Roman" w:hAnsi="Times New Roman" w:cs="Times New Roman"/>
          <w:color w:val="000000" w:themeColor="text1"/>
          <w:sz w:val="24"/>
          <w:szCs w:val="24"/>
          <w:lang w:val="en-US"/>
        </w:rPr>
        <w:t>,</w:t>
      </w:r>
      <w:r w:rsidRPr="005621F6">
        <w:rPr>
          <w:rFonts w:ascii="Times New Roman" w:hAnsi="Times New Roman" w:cs="Times New Roman"/>
          <w:color w:val="000000" w:themeColor="text1"/>
          <w:sz w:val="24"/>
          <w:szCs w:val="24"/>
          <w:lang w:val="en-US"/>
        </w:rPr>
        <w:t xml:space="preserve"> 10YR 7/4 is grayish orange; 5GY 2/1 is greenish black; SGY 5/2 is dusky yellow green and 5Y 4/1 is olive gray.</w:t>
      </w:r>
    </w:p>
    <w:p w14:paraId="177737C4" w14:textId="77777777" w:rsidR="00202DB4" w:rsidRDefault="00202DB4" w:rsidP="00202DB4">
      <w:pPr>
        <w:spacing w:after="0" w:line="360" w:lineRule="auto"/>
        <w:jc w:val="both"/>
        <w:rPr>
          <w:rFonts w:ascii="Times New Roman" w:hAnsi="Times New Roman" w:cs="Times New Roman"/>
          <w:b/>
          <w:sz w:val="24"/>
          <w:szCs w:val="24"/>
          <w:lang w:val="en-US"/>
        </w:rPr>
      </w:pPr>
    </w:p>
    <w:p w14:paraId="53A31E76" w14:textId="77777777" w:rsidR="00202DB4" w:rsidRPr="005621F6" w:rsidRDefault="00202DB4" w:rsidP="00202DB4">
      <w:pPr>
        <w:pStyle w:val="TAMainText"/>
        <w:ind w:firstLine="0"/>
        <w:contextualSpacing/>
        <w:outlineLvl w:val="0"/>
        <w:rPr>
          <w:rFonts w:ascii="Times New Roman" w:hAnsi="Times New Roman"/>
          <w:b/>
          <w:szCs w:val="24"/>
        </w:rPr>
      </w:pPr>
    </w:p>
    <w:p w14:paraId="33D480EA" w14:textId="77777777" w:rsidR="00202DB4" w:rsidRPr="005621F6" w:rsidRDefault="00202DB4" w:rsidP="00202DB4">
      <w:pPr>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1.3.</w:t>
      </w:r>
      <w:r w:rsidRPr="005621F6">
        <w:rPr>
          <w:rFonts w:ascii="Times New Roman" w:hAnsi="Times New Roman" w:cs="Times New Roman"/>
          <w:b/>
          <w:sz w:val="24"/>
          <w:szCs w:val="24"/>
          <w:lang w:val="en-US"/>
        </w:rPr>
        <w:t xml:space="preserve"> Total organic carbon, total nitrogen and total sulfur</w:t>
      </w:r>
    </w:p>
    <w:p w14:paraId="7A6267FF" w14:textId="77777777" w:rsidR="00202DB4" w:rsidRPr="005621F6" w:rsidRDefault="00202DB4" w:rsidP="00202DB4">
      <w:pPr>
        <w:spacing w:after="0" w:line="480" w:lineRule="auto"/>
        <w:ind w:firstLine="709"/>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 xml:space="preserve">The samples were analyzed for </w:t>
      </w:r>
      <w:r>
        <w:rPr>
          <w:rFonts w:ascii="Times New Roman" w:hAnsi="Times New Roman" w:cs="Times New Roman"/>
          <w:sz w:val="24"/>
          <w:szCs w:val="24"/>
          <w:lang w:val="en-US"/>
        </w:rPr>
        <w:t>TOC</w:t>
      </w:r>
      <w:r w:rsidRPr="005621F6">
        <w:rPr>
          <w:rFonts w:ascii="Times New Roman" w:hAnsi="Times New Roman" w:cs="Times New Roman"/>
          <w:sz w:val="24"/>
          <w:szCs w:val="24"/>
          <w:lang w:val="en-US"/>
        </w:rPr>
        <w:t xml:space="preserve"> and TN in a LECO elemental analyzer, model TRUSPEC (USA), equipped with an infrared detector </w:t>
      </w:r>
      <w:r>
        <w:rPr>
          <w:rFonts w:ascii="Times New Roman" w:hAnsi="Times New Roman" w:cs="Times New Roman"/>
          <w:sz w:val="24"/>
          <w:szCs w:val="24"/>
          <w:lang w:val="en-US"/>
        </w:rPr>
        <w:t>for</w:t>
      </w:r>
      <w:r w:rsidRPr="005621F6">
        <w:rPr>
          <w:rFonts w:ascii="Times New Roman" w:hAnsi="Times New Roman" w:cs="Times New Roman"/>
          <w:sz w:val="24"/>
          <w:szCs w:val="24"/>
          <w:lang w:val="en-US"/>
        </w:rPr>
        <w:t xml:space="preserve"> carbon analysis and conductivity detector </w:t>
      </w:r>
      <w:r>
        <w:rPr>
          <w:rFonts w:ascii="Times New Roman" w:hAnsi="Times New Roman" w:cs="Times New Roman"/>
          <w:sz w:val="24"/>
          <w:szCs w:val="24"/>
          <w:lang w:val="en-US"/>
        </w:rPr>
        <w:t>for</w:t>
      </w:r>
      <w:r w:rsidRPr="005621F6">
        <w:rPr>
          <w:rFonts w:ascii="Times New Roman" w:hAnsi="Times New Roman" w:cs="Times New Roman"/>
          <w:sz w:val="24"/>
          <w:szCs w:val="24"/>
          <w:lang w:val="en-US"/>
        </w:rPr>
        <w:t xml:space="preserve"> nitrogen analysis. An oxygen atmosphere (99.9999% pure) was used at 950 °C in the combustion step. The flow rate of oxygen was 10</w:t>
      </w:r>
      <w:r>
        <w:rPr>
          <w:rFonts w:ascii="Times New Roman" w:hAnsi="Times New Roman" w:cs="Times New Roman"/>
          <w:sz w:val="24"/>
          <w:szCs w:val="24"/>
          <w:lang w:val="en-US"/>
        </w:rPr>
        <w:t> </w:t>
      </w:r>
      <w:r w:rsidRPr="005621F6">
        <w:rPr>
          <w:rFonts w:ascii="Times New Roman" w:hAnsi="Times New Roman" w:cs="Times New Roman"/>
          <w:sz w:val="24"/>
          <w:szCs w:val="24"/>
          <w:lang w:val="en-US"/>
        </w:rPr>
        <w:t>L min</w:t>
      </w:r>
      <w:r>
        <w:rPr>
          <w:rFonts w:ascii="Times New Roman" w:hAnsi="Times New Roman" w:cs="Times New Roman"/>
          <w:sz w:val="24"/>
          <w:szCs w:val="24"/>
          <w:vertAlign w:val="superscript"/>
          <w:lang w:val="en-US"/>
        </w:rPr>
        <w:t>–</w:t>
      </w:r>
      <w:r w:rsidRPr="00C522EA">
        <w:rPr>
          <w:rFonts w:ascii="Times New Roman" w:hAnsi="Times New Roman" w:cs="Times New Roman"/>
          <w:sz w:val="24"/>
          <w:szCs w:val="24"/>
          <w:vertAlign w:val="superscript"/>
          <w:lang w:val="en-US"/>
        </w:rPr>
        <w:t>1</w:t>
      </w:r>
      <w:r w:rsidRPr="005621F6">
        <w:rPr>
          <w:rFonts w:ascii="Times New Roman" w:hAnsi="Times New Roman" w:cs="Times New Roman"/>
          <w:sz w:val="24"/>
          <w:szCs w:val="24"/>
          <w:lang w:val="en-US"/>
        </w:rPr>
        <w:t xml:space="preserve"> and all products obtained by combustion were carried by helium (99.99% pure). Approximately 100 mg of sediment samples were encapsulated within sheets of tin. The encapsulated samples were placed in an </w:t>
      </w:r>
      <w:proofErr w:type="spellStart"/>
      <w:r w:rsidRPr="005621F6">
        <w:rPr>
          <w:rFonts w:ascii="Times New Roman" w:hAnsi="Times New Roman" w:cs="Times New Roman"/>
          <w:sz w:val="24"/>
          <w:szCs w:val="24"/>
          <w:lang w:val="en-US"/>
        </w:rPr>
        <w:t>autosampler</w:t>
      </w:r>
      <w:proofErr w:type="spellEnd"/>
      <w:r w:rsidRPr="005621F6">
        <w:rPr>
          <w:rFonts w:ascii="Times New Roman" w:hAnsi="Times New Roman" w:cs="Times New Roman"/>
          <w:sz w:val="24"/>
          <w:szCs w:val="24"/>
          <w:lang w:val="en-US"/>
        </w:rPr>
        <w:t xml:space="preserve"> with capacity for 30 samples. Before analysis, the samples were heated to 60 °C for 24 h, powdered and inserted into Falcon tubes. A solution of 3.2 </w:t>
      </w:r>
      <w:proofErr w:type="spellStart"/>
      <w:r w:rsidRPr="005621F6">
        <w:rPr>
          <w:rFonts w:ascii="Times New Roman" w:hAnsi="Times New Roman" w:cs="Times New Roman"/>
          <w:sz w:val="24"/>
          <w:szCs w:val="24"/>
          <w:lang w:val="en-US"/>
        </w:rPr>
        <w:t>mol</w:t>
      </w:r>
      <w:proofErr w:type="spellEnd"/>
      <w:r w:rsidRPr="005621F6">
        <w:rPr>
          <w:rFonts w:ascii="Times New Roman" w:hAnsi="Times New Roman" w:cs="Times New Roman"/>
          <w:sz w:val="24"/>
          <w:szCs w:val="24"/>
          <w:lang w:val="en-US"/>
        </w:rPr>
        <w:t xml:space="preserve"> L</w:t>
      </w:r>
      <w:r>
        <w:rPr>
          <w:rFonts w:ascii="Times New Roman" w:hAnsi="Times New Roman" w:cs="Times New Roman"/>
          <w:sz w:val="24"/>
          <w:szCs w:val="24"/>
          <w:vertAlign w:val="superscript"/>
          <w:lang w:val="en-US"/>
        </w:rPr>
        <w:t>–</w:t>
      </w:r>
      <w:r w:rsidRPr="005621F6">
        <w:rPr>
          <w:rFonts w:ascii="Times New Roman" w:hAnsi="Times New Roman" w:cs="Times New Roman"/>
          <w:sz w:val="24"/>
          <w:szCs w:val="24"/>
          <w:vertAlign w:val="superscript"/>
          <w:lang w:val="en-US"/>
        </w:rPr>
        <w:t>1</w:t>
      </w:r>
      <w:r w:rsidRPr="005621F6">
        <w:rPr>
          <w:rFonts w:ascii="Times New Roman" w:hAnsi="Times New Roman" w:cs="Times New Roman"/>
          <w:sz w:val="24"/>
          <w:szCs w:val="24"/>
          <w:lang w:val="en-US"/>
        </w:rPr>
        <w:t xml:space="preserve"> </w:t>
      </w:r>
      <w:proofErr w:type="spellStart"/>
      <w:r w:rsidRPr="005621F6">
        <w:rPr>
          <w:rFonts w:ascii="Times New Roman" w:hAnsi="Times New Roman" w:cs="Times New Roman"/>
          <w:sz w:val="24"/>
          <w:szCs w:val="24"/>
          <w:lang w:val="en-US"/>
        </w:rPr>
        <w:t>HCl</w:t>
      </w:r>
      <w:proofErr w:type="spellEnd"/>
      <w:r w:rsidRPr="005621F6">
        <w:rPr>
          <w:rFonts w:ascii="Times New Roman" w:hAnsi="Times New Roman" w:cs="Times New Roman"/>
          <w:sz w:val="24"/>
          <w:szCs w:val="24"/>
          <w:lang w:val="en-US"/>
        </w:rPr>
        <w:t xml:space="preserve"> was added to the Falcon tubes, which were </w:t>
      </w:r>
      <w:r>
        <w:rPr>
          <w:rFonts w:ascii="Times New Roman" w:hAnsi="Times New Roman" w:cs="Times New Roman"/>
          <w:sz w:val="24"/>
          <w:szCs w:val="24"/>
          <w:lang w:val="en-US"/>
        </w:rPr>
        <w:t xml:space="preserve">then </w:t>
      </w:r>
      <w:r w:rsidRPr="005621F6">
        <w:rPr>
          <w:rFonts w:ascii="Times New Roman" w:hAnsi="Times New Roman" w:cs="Times New Roman"/>
          <w:sz w:val="24"/>
          <w:szCs w:val="24"/>
          <w:lang w:val="en-US"/>
        </w:rPr>
        <w:t xml:space="preserve">heated in </w:t>
      </w:r>
      <w:r>
        <w:rPr>
          <w:rFonts w:ascii="Times New Roman" w:hAnsi="Times New Roman" w:cs="Times New Roman"/>
          <w:sz w:val="24"/>
          <w:szCs w:val="24"/>
          <w:lang w:val="en-US"/>
        </w:rPr>
        <w:t xml:space="preserve">a </w:t>
      </w:r>
      <w:r w:rsidRPr="005621F6">
        <w:rPr>
          <w:rFonts w:ascii="Times New Roman" w:hAnsi="Times New Roman" w:cs="Times New Roman"/>
          <w:sz w:val="24"/>
          <w:szCs w:val="24"/>
          <w:lang w:val="en-US"/>
        </w:rPr>
        <w:t xml:space="preserve">water bath at 60 °C to remove carbonate minerals. Acidified samples were dried and washed with </w:t>
      </w:r>
      <w:proofErr w:type="spellStart"/>
      <w:r w:rsidRPr="005621F6">
        <w:rPr>
          <w:rFonts w:ascii="Times New Roman" w:hAnsi="Times New Roman" w:cs="Times New Roman"/>
          <w:sz w:val="24"/>
          <w:szCs w:val="24"/>
          <w:lang w:val="en-US"/>
        </w:rPr>
        <w:t>Milli</w:t>
      </w:r>
      <w:proofErr w:type="spellEnd"/>
      <w:r w:rsidRPr="005621F6">
        <w:rPr>
          <w:rFonts w:ascii="Times New Roman" w:hAnsi="Times New Roman" w:cs="Times New Roman"/>
          <w:sz w:val="24"/>
          <w:szCs w:val="24"/>
          <w:lang w:val="en-US"/>
        </w:rPr>
        <w:t>-Q water after acid evaporation. After the washing step, the Falcon tubes were heated to 60 °C for 24 h.</w:t>
      </w:r>
    </w:p>
    <w:p w14:paraId="2C3C9D6B" w14:textId="77777777" w:rsidR="00202DB4" w:rsidRPr="005621F6" w:rsidRDefault="00202DB4" w:rsidP="00202DB4">
      <w:pPr>
        <w:spacing w:after="0" w:line="480" w:lineRule="auto"/>
        <w:ind w:firstLine="709"/>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 xml:space="preserve">The samples for </w:t>
      </w:r>
      <w:r>
        <w:rPr>
          <w:rFonts w:ascii="Times New Roman" w:hAnsi="Times New Roman" w:cs="Times New Roman"/>
          <w:sz w:val="24"/>
          <w:szCs w:val="24"/>
          <w:lang w:val="en-US"/>
        </w:rPr>
        <w:t>TS</w:t>
      </w:r>
      <w:r w:rsidRPr="005621F6">
        <w:rPr>
          <w:rFonts w:ascii="Times New Roman" w:hAnsi="Times New Roman" w:cs="Times New Roman"/>
          <w:sz w:val="24"/>
          <w:szCs w:val="24"/>
          <w:lang w:val="en-US"/>
        </w:rPr>
        <w:t xml:space="preserve"> were analyzed in a LECO elemental analyzer model SC632.</w:t>
      </w:r>
      <w:r>
        <w:rPr>
          <w:rFonts w:ascii="Times New Roman" w:hAnsi="Times New Roman" w:cs="Times New Roman"/>
          <w:sz w:val="24"/>
          <w:szCs w:val="24"/>
          <w:lang w:val="en-US"/>
        </w:rPr>
        <w:t xml:space="preserve"> </w:t>
      </w:r>
      <w:r w:rsidRPr="005621F6">
        <w:rPr>
          <w:rFonts w:ascii="Times New Roman" w:hAnsi="Times New Roman" w:cs="Times New Roman"/>
          <w:sz w:val="24"/>
          <w:szCs w:val="24"/>
          <w:lang w:val="en-US"/>
        </w:rPr>
        <w:t>Approximately 100 mg of sediment samples were introduced in</w:t>
      </w:r>
      <w:r>
        <w:rPr>
          <w:rFonts w:ascii="Times New Roman" w:hAnsi="Times New Roman" w:cs="Times New Roman"/>
          <w:sz w:val="24"/>
          <w:szCs w:val="24"/>
          <w:lang w:val="en-US"/>
        </w:rPr>
        <w:t>to</w:t>
      </w:r>
      <w:r w:rsidRPr="005621F6">
        <w:rPr>
          <w:rFonts w:ascii="Times New Roman" w:hAnsi="Times New Roman" w:cs="Times New Roman"/>
          <w:sz w:val="24"/>
          <w:szCs w:val="24"/>
          <w:lang w:val="en-US"/>
        </w:rPr>
        <w:t xml:space="preserve"> the equipment. Along with the standard and samples, about 500 mg of the LECO COM-CAT was used to ensure total </w:t>
      </w:r>
      <w:r>
        <w:rPr>
          <w:rFonts w:ascii="Times New Roman" w:hAnsi="Times New Roman" w:cs="Times New Roman"/>
          <w:sz w:val="24"/>
          <w:szCs w:val="24"/>
          <w:lang w:val="en-US"/>
        </w:rPr>
        <w:t>combustion</w:t>
      </w:r>
      <w:r w:rsidRPr="005621F6">
        <w:rPr>
          <w:rFonts w:ascii="Times New Roman" w:hAnsi="Times New Roman" w:cs="Times New Roman"/>
          <w:sz w:val="24"/>
          <w:szCs w:val="24"/>
          <w:lang w:val="en-US"/>
        </w:rPr>
        <w:t xml:space="preserve"> of the material. All samples were </w:t>
      </w:r>
      <w:r>
        <w:rPr>
          <w:rFonts w:ascii="Times New Roman" w:hAnsi="Times New Roman" w:cs="Times New Roman"/>
          <w:sz w:val="24"/>
          <w:szCs w:val="24"/>
          <w:lang w:val="en-US"/>
        </w:rPr>
        <w:t>analyzed</w:t>
      </w:r>
      <w:r w:rsidRPr="005621F6">
        <w:rPr>
          <w:rFonts w:ascii="Times New Roman" w:hAnsi="Times New Roman" w:cs="Times New Roman"/>
          <w:sz w:val="24"/>
          <w:szCs w:val="24"/>
          <w:lang w:val="en-US"/>
        </w:rPr>
        <w:t xml:space="preserve"> in triplicate. Reference materials from marine sediments (PACS-2, MESS-2 and GBW 07313) were used for validation of results.</w:t>
      </w:r>
    </w:p>
    <w:p w14:paraId="2C6FEE69" w14:textId="77777777" w:rsidR="00202DB4" w:rsidRPr="005621F6" w:rsidRDefault="00202DB4" w:rsidP="00202DB4">
      <w:pPr>
        <w:spacing w:after="0" w:line="480" w:lineRule="auto"/>
        <w:jc w:val="both"/>
        <w:rPr>
          <w:rFonts w:ascii="Times New Roman" w:hAnsi="Times New Roman" w:cs="Times New Roman"/>
          <w:sz w:val="24"/>
          <w:szCs w:val="24"/>
          <w:lang w:val="en-US"/>
        </w:rPr>
      </w:pPr>
    </w:p>
    <w:p w14:paraId="5D19F222" w14:textId="77777777" w:rsidR="00202DB4" w:rsidRPr="005621F6" w:rsidRDefault="00202DB4" w:rsidP="00202DB4">
      <w:pPr>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t>1.4.</w:t>
      </w:r>
      <w:r w:rsidRPr="005621F6">
        <w:rPr>
          <w:rFonts w:ascii="Times New Roman" w:hAnsi="Times New Roman" w:cs="Times New Roman"/>
          <w:b/>
          <w:sz w:val="24"/>
          <w:szCs w:val="24"/>
          <w:lang w:val="en-US"/>
        </w:rPr>
        <w:t xml:space="preserve"> Stable carbon isotope analysis of bulk sediment</w:t>
      </w:r>
    </w:p>
    <w:p w14:paraId="476AE0D6" w14:textId="77777777" w:rsidR="00202DB4" w:rsidRPr="005621F6" w:rsidRDefault="00202DB4" w:rsidP="00202DB4">
      <w:pPr>
        <w:spacing w:after="0" w:line="480" w:lineRule="auto"/>
        <w:ind w:firstLine="709"/>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Stable carbon isotope ratios (</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C/</w:t>
      </w:r>
      <w:r w:rsidRPr="005621F6">
        <w:rPr>
          <w:rFonts w:ascii="Times New Roman" w:hAnsi="Times New Roman" w:cs="Times New Roman"/>
          <w:sz w:val="24"/>
          <w:szCs w:val="24"/>
          <w:vertAlign w:val="superscript"/>
          <w:lang w:val="en-US"/>
        </w:rPr>
        <w:t>12</w:t>
      </w:r>
      <w:r w:rsidRPr="005621F6">
        <w:rPr>
          <w:rFonts w:ascii="Times New Roman" w:hAnsi="Times New Roman" w:cs="Times New Roman"/>
          <w:sz w:val="24"/>
          <w:szCs w:val="24"/>
          <w:lang w:val="en-US"/>
        </w:rPr>
        <w:t>C) were determined using a gas chromatograph (</w:t>
      </w:r>
      <w:proofErr w:type="spellStart"/>
      <w:r w:rsidRPr="005621F6">
        <w:rPr>
          <w:rFonts w:ascii="Times New Roman" w:hAnsi="Times New Roman" w:cs="Times New Roman"/>
          <w:sz w:val="24"/>
          <w:szCs w:val="24"/>
          <w:lang w:val="en-US"/>
        </w:rPr>
        <w:t>Thermo</w:t>
      </w:r>
      <w:proofErr w:type="spellEnd"/>
      <w:r w:rsidRPr="005621F6">
        <w:rPr>
          <w:rFonts w:ascii="Times New Roman" w:hAnsi="Times New Roman" w:cs="Times New Roman"/>
          <w:sz w:val="24"/>
          <w:szCs w:val="24"/>
          <w:lang w:val="en-US"/>
        </w:rPr>
        <w:t xml:space="preserve"> Fisher Scientific, GC </w:t>
      </w:r>
      <w:proofErr w:type="spellStart"/>
      <w:r w:rsidRPr="005621F6">
        <w:rPr>
          <w:rFonts w:ascii="Times New Roman" w:hAnsi="Times New Roman" w:cs="Times New Roman"/>
          <w:sz w:val="24"/>
          <w:szCs w:val="24"/>
          <w:lang w:val="en-US"/>
        </w:rPr>
        <w:t>IsoLink</w:t>
      </w:r>
      <w:proofErr w:type="spellEnd"/>
      <w:r w:rsidRPr="005621F6">
        <w:rPr>
          <w:rFonts w:ascii="Times New Roman" w:hAnsi="Times New Roman" w:cs="Times New Roman"/>
          <w:sz w:val="24"/>
          <w:szCs w:val="24"/>
          <w:lang w:val="en-US"/>
        </w:rPr>
        <w:t>, Germany) coupled to a</w:t>
      </w:r>
      <w:r>
        <w:rPr>
          <w:rFonts w:ascii="Times New Roman" w:hAnsi="Times New Roman" w:cs="Times New Roman"/>
          <w:sz w:val="24"/>
          <w:szCs w:val="24"/>
          <w:lang w:val="en-US"/>
        </w:rPr>
        <w:t>n</w:t>
      </w:r>
      <w:r w:rsidRPr="005621F6">
        <w:rPr>
          <w:rFonts w:ascii="Times New Roman" w:hAnsi="Times New Roman" w:cs="Times New Roman"/>
          <w:sz w:val="24"/>
          <w:szCs w:val="24"/>
          <w:lang w:val="en-US"/>
        </w:rPr>
        <w:t xml:space="preserve"> isotope ratio monitoring mass spectrometer (</w:t>
      </w:r>
      <w:proofErr w:type="spellStart"/>
      <w:r w:rsidRPr="005621F6">
        <w:rPr>
          <w:rFonts w:ascii="Times New Roman" w:hAnsi="Times New Roman" w:cs="Times New Roman"/>
          <w:sz w:val="24"/>
          <w:szCs w:val="24"/>
          <w:lang w:val="en-US"/>
        </w:rPr>
        <w:t>Thermo</w:t>
      </w:r>
      <w:proofErr w:type="spellEnd"/>
      <w:r w:rsidRPr="005621F6">
        <w:rPr>
          <w:rFonts w:ascii="Times New Roman" w:hAnsi="Times New Roman" w:cs="Times New Roman"/>
          <w:sz w:val="24"/>
          <w:szCs w:val="24"/>
          <w:lang w:val="en-US"/>
        </w:rPr>
        <w:t xml:space="preserve"> Scientific DELTAV Plus, Germany) via a </w:t>
      </w:r>
      <w:proofErr w:type="spellStart"/>
      <w:r w:rsidRPr="005621F6">
        <w:rPr>
          <w:rFonts w:ascii="Times New Roman" w:hAnsi="Times New Roman" w:cs="Times New Roman"/>
          <w:sz w:val="24"/>
          <w:szCs w:val="24"/>
          <w:lang w:val="en-US"/>
        </w:rPr>
        <w:t>Conflo</w:t>
      </w:r>
      <w:proofErr w:type="spellEnd"/>
      <w:r w:rsidRPr="005621F6">
        <w:rPr>
          <w:rFonts w:ascii="Times New Roman" w:hAnsi="Times New Roman" w:cs="Times New Roman"/>
          <w:sz w:val="24"/>
          <w:szCs w:val="24"/>
          <w:lang w:val="en-US"/>
        </w:rPr>
        <w:t xml:space="preserve"> IV interface (</w:t>
      </w:r>
      <w:proofErr w:type="spellStart"/>
      <w:r w:rsidRPr="005621F6">
        <w:rPr>
          <w:rFonts w:ascii="Times New Roman" w:hAnsi="Times New Roman" w:cs="Times New Roman"/>
          <w:sz w:val="24"/>
          <w:szCs w:val="24"/>
          <w:lang w:val="en-US"/>
        </w:rPr>
        <w:t>Thermo</w:t>
      </w:r>
      <w:proofErr w:type="spellEnd"/>
      <w:r w:rsidRPr="005621F6">
        <w:rPr>
          <w:rFonts w:ascii="Times New Roman" w:hAnsi="Times New Roman" w:cs="Times New Roman"/>
          <w:sz w:val="24"/>
          <w:szCs w:val="24"/>
          <w:lang w:val="en-US"/>
        </w:rPr>
        <w:t xml:space="preserve"> Fisher Scientific, Germany). The gas chromatograph contained a 30</w:t>
      </w:r>
      <w:r>
        <w:rPr>
          <w:rFonts w:ascii="Times New Roman" w:hAnsi="Times New Roman" w:cs="Times New Roman"/>
          <w:sz w:val="24"/>
          <w:szCs w:val="24"/>
          <w:lang w:val="en-US"/>
        </w:rPr>
        <w:t> </w:t>
      </w:r>
      <w:r w:rsidRPr="005621F6">
        <w:rPr>
          <w:rFonts w:ascii="Times New Roman" w:hAnsi="Times New Roman" w:cs="Times New Roman"/>
          <w:sz w:val="24"/>
          <w:szCs w:val="24"/>
          <w:lang w:val="en-US"/>
        </w:rPr>
        <w:t xml:space="preserve">m </w:t>
      </w:r>
      <w:r>
        <w:rPr>
          <w:rFonts w:ascii="Times New Roman" w:hAnsi="Times New Roman" w:cs="Times New Roman"/>
          <w:sz w:val="24"/>
          <w:szCs w:val="24"/>
          <w:lang w:val="en-US"/>
        </w:rPr>
        <w:lastRenderedPageBreak/>
        <w:t>×</w:t>
      </w:r>
      <w:r w:rsidRPr="005621F6">
        <w:rPr>
          <w:rFonts w:ascii="Times New Roman" w:hAnsi="Times New Roman" w:cs="Times New Roman"/>
          <w:sz w:val="24"/>
          <w:szCs w:val="24"/>
          <w:lang w:val="en-US"/>
        </w:rPr>
        <w:t xml:space="preserve"> 0.32 mm fused silica column </w:t>
      </w:r>
      <w:proofErr w:type="spellStart"/>
      <w:r w:rsidRPr="005621F6">
        <w:rPr>
          <w:rFonts w:ascii="Times New Roman" w:hAnsi="Times New Roman" w:cs="Times New Roman"/>
          <w:sz w:val="24"/>
          <w:szCs w:val="24"/>
          <w:lang w:val="en-US"/>
        </w:rPr>
        <w:t>Carboxen</w:t>
      </w:r>
      <w:proofErr w:type="spellEnd"/>
      <w:r w:rsidRPr="005621F6">
        <w:rPr>
          <w:rFonts w:ascii="Times New Roman" w:hAnsi="Times New Roman" w:cs="Times New Roman"/>
          <w:sz w:val="24"/>
          <w:szCs w:val="24"/>
          <w:lang w:val="en-US"/>
        </w:rPr>
        <w:t xml:space="preserve"> Plot 1006 (</w:t>
      </w:r>
      <w:proofErr w:type="spellStart"/>
      <w:r w:rsidRPr="005621F6">
        <w:rPr>
          <w:rFonts w:ascii="Times New Roman" w:hAnsi="Times New Roman" w:cs="Times New Roman"/>
          <w:sz w:val="24"/>
          <w:szCs w:val="24"/>
          <w:lang w:val="en-US"/>
        </w:rPr>
        <w:t>Supelco</w:t>
      </w:r>
      <w:proofErr w:type="spellEnd"/>
      <w:r w:rsidRPr="005621F6">
        <w:rPr>
          <w:rFonts w:ascii="Times New Roman" w:hAnsi="Times New Roman" w:cs="Times New Roman"/>
          <w:sz w:val="24"/>
          <w:szCs w:val="24"/>
          <w:lang w:val="en-US"/>
        </w:rPr>
        <w:t>) and was operated at a heating ramp of 70</w:t>
      </w:r>
      <w:r>
        <w:rPr>
          <w:rFonts w:ascii="Times New Roman" w:hAnsi="Times New Roman" w:cs="Times New Roman"/>
          <w:sz w:val="24"/>
          <w:szCs w:val="24"/>
          <w:lang w:val="en-US"/>
        </w:rPr>
        <w:t> °C</w:t>
      </w:r>
      <w:r w:rsidRPr="005621F6">
        <w:rPr>
          <w:rFonts w:ascii="Times New Roman" w:hAnsi="Times New Roman" w:cs="Times New Roman"/>
          <w:sz w:val="24"/>
          <w:szCs w:val="24"/>
          <w:lang w:val="en-US"/>
        </w:rPr>
        <w:t xml:space="preserve"> to 150</w:t>
      </w:r>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C</w:t>
      </w:r>
      <w:r w:rsidRPr="005621F6">
        <w:rPr>
          <w:rFonts w:ascii="Times New Roman" w:hAnsi="Times New Roman" w:cs="Times New Roman"/>
          <w:sz w:val="24"/>
          <w:szCs w:val="24"/>
          <w:lang w:val="en-US"/>
        </w:rPr>
        <w:t xml:space="preserve"> over</w:t>
      </w:r>
      <w:proofErr w:type="spellEnd"/>
      <w:r w:rsidRPr="005621F6">
        <w:rPr>
          <w:rFonts w:ascii="Times New Roman" w:hAnsi="Times New Roman" w:cs="Times New Roman"/>
          <w:sz w:val="24"/>
          <w:szCs w:val="24"/>
          <w:lang w:val="en-US"/>
        </w:rPr>
        <w:t xml:space="preserve"> 10 min. All </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C/</w:t>
      </w:r>
      <w:r w:rsidRPr="005621F6">
        <w:rPr>
          <w:rFonts w:ascii="Times New Roman" w:hAnsi="Times New Roman" w:cs="Times New Roman"/>
          <w:sz w:val="24"/>
          <w:szCs w:val="24"/>
          <w:vertAlign w:val="superscript"/>
          <w:lang w:val="en-US"/>
        </w:rPr>
        <w:t>12</w:t>
      </w:r>
      <w:r w:rsidRPr="005621F6">
        <w:rPr>
          <w:rFonts w:ascii="Times New Roman" w:hAnsi="Times New Roman" w:cs="Times New Roman"/>
          <w:sz w:val="24"/>
          <w:szCs w:val="24"/>
          <w:lang w:val="en-US"/>
        </w:rPr>
        <w:t>C values are reported relative to a reference CO</w:t>
      </w:r>
      <w:r w:rsidRPr="005621F6">
        <w:rPr>
          <w:rFonts w:ascii="Times New Roman" w:hAnsi="Times New Roman" w:cs="Times New Roman"/>
          <w:sz w:val="24"/>
          <w:szCs w:val="24"/>
          <w:vertAlign w:val="subscript"/>
          <w:lang w:val="en-US"/>
        </w:rPr>
        <w:t>2</w:t>
      </w:r>
      <w:r w:rsidRPr="005621F6">
        <w:rPr>
          <w:rFonts w:ascii="Times New Roman" w:hAnsi="Times New Roman" w:cs="Times New Roman"/>
          <w:sz w:val="24"/>
          <w:szCs w:val="24"/>
          <w:lang w:val="en-US"/>
        </w:rPr>
        <w:t xml:space="preserve"> of known carbon isotopic composition (</w:t>
      </w:r>
      <w:r w:rsidRPr="005621F6">
        <w:rPr>
          <w:rFonts w:ascii="Times New Roman" w:hAnsi="Times New Roman" w:cs="Times New Roman"/>
          <w:sz w:val="24"/>
          <w:szCs w:val="24"/>
        </w:rPr>
        <w:t>δ</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 xml:space="preserve">C= −32.82 ± 0.25‰) which was introduced directly into the ion source in three pulses at the beginning of each run. The reference gas was calibrated against the Vienna Pee Dee Belemnite (VPDB) standard. Each measurement was performed in at least triplicate. The isotopic data are reported using the delta notation with </w:t>
      </w:r>
      <w:r w:rsidRPr="005621F6">
        <w:rPr>
          <w:rFonts w:ascii="Times New Roman" w:hAnsi="Times New Roman" w:cs="Times New Roman"/>
          <w:sz w:val="24"/>
          <w:szCs w:val="24"/>
        </w:rPr>
        <w:t>δ</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C variations relative to the international V</w:t>
      </w:r>
      <w:r>
        <w:rPr>
          <w:rFonts w:ascii="Times New Roman" w:hAnsi="Times New Roman" w:cs="Times New Roman"/>
          <w:sz w:val="24"/>
          <w:szCs w:val="24"/>
          <w:lang w:val="en-US"/>
        </w:rPr>
        <w:t>PDB</w:t>
      </w:r>
      <w:r w:rsidRPr="0056604D">
        <w:rPr>
          <w:rFonts w:ascii="Times New Roman" w:hAnsi="Times New Roman" w:cs="Times New Roman"/>
          <w:sz w:val="24"/>
          <w:szCs w:val="24"/>
          <w:lang w:val="en-US"/>
        </w:rPr>
        <w:t xml:space="preserve"> </w:t>
      </w:r>
      <w:r w:rsidRPr="005621F6">
        <w:rPr>
          <w:rFonts w:ascii="Times New Roman" w:hAnsi="Times New Roman" w:cs="Times New Roman"/>
          <w:sz w:val="24"/>
          <w:szCs w:val="24"/>
          <w:lang w:val="en-US"/>
        </w:rPr>
        <w:t>standard:</w:t>
      </w:r>
    </w:p>
    <w:p w14:paraId="6A404D74" w14:textId="77777777" w:rsidR="00202DB4" w:rsidRPr="005621F6" w:rsidRDefault="00202DB4" w:rsidP="00202DB4">
      <w:pPr>
        <w:spacing w:after="0" w:line="480" w:lineRule="auto"/>
        <w:ind w:firstLine="709"/>
        <w:jc w:val="both"/>
        <w:rPr>
          <w:rFonts w:ascii="Times New Roman" w:hAnsi="Times New Roman" w:cs="Times New Roman"/>
          <w:sz w:val="24"/>
          <w:szCs w:val="24"/>
          <w:lang w:val="en-US"/>
        </w:rPr>
      </w:pPr>
    </w:p>
    <w:p w14:paraId="3FE84191" w14:textId="77777777" w:rsidR="00202DB4" w:rsidRPr="005621F6" w:rsidRDefault="00202DB4" w:rsidP="00202DB4">
      <w:pPr>
        <w:spacing w:after="0" w:line="480" w:lineRule="auto"/>
        <w:ind w:firstLine="709"/>
        <w:jc w:val="center"/>
        <w:rPr>
          <w:rFonts w:ascii="Times New Roman" w:hAnsi="Times New Roman" w:cs="Times New Roman"/>
          <w:sz w:val="24"/>
          <w:szCs w:val="24"/>
          <w:lang w:val="en-US"/>
        </w:rPr>
      </w:pPr>
      <w:r w:rsidRPr="005621F6">
        <w:rPr>
          <w:rFonts w:ascii="Times New Roman" w:hAnsi="Times New Roman" w:cs="Times New Roman"/>
          <w:sz w:val="24"/>
          <w:szCs w:val="24"/>
        </w:rPr>
        <w:t>δ</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C = (</w:t>
      </w:r>
      <w:proofErr w:type="spellStart"/>
      <w:r w:rsidRPr="005621F6">
        <w:rPr>
          <w:rFonts w:ascii="Times New Roman" w:hAnsi="Times New Roman" w:cs="Times New Roman"/>
          <w:sz w:val="24"/>
          <w:szCs w:val="24"/>
          <w:lang w:val="en-US"/>
        </w:rPr>
        <w:t>R</w:t>
      </w:r>
      <w:r w:rsidRPr="005621F6">
        <w:rPr>
          <w:rFonts w:ascii="Times New Roman" w:hAnsi="Times New Roman" w:cs="Times New Roman"/>
          <w:sz w:val="24"/>
          <w:szCs w:val="24"/>
          <w:vertAlign w:val="subscript"/>
          <w:lang w:val="en-US"/>
        </w:rPr>
        <w:t>sample</w:t>
      </w:r>
      <w:proofErr w:type="spellEnd"/>
      <w:r w:rsidRPr="005621F6">
        <w:rPr>
          <w:rFonts w:ascii="Times New Roman" w:hAnsi="Times New Roman" w:cs="Times New Roman"/>
          <w:sz w:val="24"/>
          <w:szCs w:val="24"/>
          <w:lang w:val="en-US"/>
        </w:rPr>
        <w:t>/</w:t>
      </w:r>
      <w:proofErr w:type="spellStart"/>
      <w:r w:rsidRPr="005621F6">
        <w:rPr>
          <w:rFonts w:ascii="Times New Roman" w:hAnsi="Times New Roman" w:cs="Times New Roman"/>
          <w:sz w:val="24"/>
          <w:szCs w:val="24"/>
          <w:lang w:val="en-US"/>
        </w:rPr>
        <w:t>R</w:t>
      </w:r>
      <w:r w:rsidRPr="005621F6">
        <w:rPr>
          <w:rFonts w:ascii="Times New Roman" w:hAnsi="Times New Roman" w:cs="Times New Roman"/>
          <w:sz w:val="24"/>
          <w:szCs w:val="24"/>
          <w:vertAlign w:val="subscript"/>
          <w:lang w:val="en-US"/>
        </w:rPr>
        <w:t>standard</w:t>
      </w:r>
      <w:proofErr w:type="spellEnd"/>
      <w:r w:rsidRPr="005621F6">
        <w:rPr>
          <w:rFonts w:ascii="Times New Roman" w:hAnsi="Times New Roman" w:cs="Times New Roman"/>
          <w:sz w:val="24"/>
          <w:szCs w:val="24"/>
          <w:lang w:val="en-US"/>
        </w:rPr>
        <w:t xml:space="preserve"> − 1) * 1000</w:t>
      </w:r>
    </w:p>
    <w:p w14:paraId="4C283D21" w14:textId="77777777" w:rsidR="00202DB4" w:rsidRPr="005621F6" w:rsidRDefault="00202DB4" w:rsidP="00202DB4">
      <w:pPr>
        <w:spacing w:after="0" w:line="480" w:lineRule="auto"/>
        <w:ind w:firstLine="709"/>
        <w:jc w:val="both"/>
        <w:rPr>
          <w:rFonts w:ascii="Times New Roman" w:hAnsi="Times New Roman" w:cs="Times New Roman"/>
          <w:sz w:val="24"/>
          <w:szCs w:val="24"/>
          <w:lang w:val="en-US"/>
        </w:rPr>
      </w:pPr>
    </w:p>
    <w:p w14:paraId="3EBDF294" w14:textId="77777777" w:rsidR="00202DB4" w:rsidRDefault="00202DB4" w:rsidP="00202DB4">
      <w:pPr>
        <w:spacing w:after="0" w:line="480" w:lineRule="auto"/>
        <w:ind w:firstLine="709"/>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 xml:space="preserve">Where R is the measured </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C/</w:t>
      </w:r>
      <w:r w:rsidRPr="005621F6">
        <w:rPr>
          <w:rFonts w:ascii="Times New Roman" w:hAnsi="Times New Roman" w:cs="Times New Roman"/>
          <w:sz w:val="24"/>
          <w:szCs w:val="24"/>
          <w:vertAlign w:val="superscript"/>
          <w:lang w:val="en-US"/>
        </w:rPr>
        <w:t>12</w:t>
      </w:r>
      <w:r w:rsidRPr="005621F6">
        <w:rPr>
          <w:rFonts w:ascii="Times New Roman" w:hAnsi="Times New Roman" w:cs="Times New Roman"/>
          <w:sz w:val="24"/>
          <w:szCs w:val="24"/>
          <w:lang w:val="en-US"/>
        </w:rPr>
        <w:t>C isotopic ratio in the sample and the standard</w:t>
      </w:r>
      <w:r>
        <w:rPr>
          <w:rFonts w:ascii="Times New Roman" w:hAnsi="Times New Roman" w:cs="Times New Roman"/>
          <w:sz w:val="24"/>
          <w:szCs w:val="24"/>
          <w:lang w:val="en-US"/>
        </w:rPr>
        <w:t>,</w:t>
      </w:r>
      <w:r w:rsidRPr="005621F6">
        <w:rPr>
          <w:rFonts w:ascii="Times New Roman" w:hAnsi="Times New Roman" w:cs="Times New Roman"/>
          <w:sz w:val="24"/>
          <w:szCs w:val="24"/>
          <w:lang w:val="en-US"/>
        </w:rPr>
        <w:t xml:space="preserve"> and differences in the ratio between standard and sample are reported in parts per thousand or per mil (‰).</w:t>
      </w:r>
    </w:p>
    <w:p w14:paraId="180FFE92" w14:textId="77777777" w:rsidR="00202DB4" w:rsidRDefault="00202DB4" w:rsidP="00202DB4">
      <w:pPr>
        <w:spacing w:after="0" w:line="480" w:lineRule="auto"/>
        <w:ind w:firstLine="709"/>
        <w:jc w:val="both"/>
        <w:rPr>
          <w:rFonts w:ascii="Times New Roman" w:hAnsi="Times New Roman" w:cs="Times New Roman"/>
          <w:sz w:val="24"/>
          <w:szCs w:val="24"/>
          <w:lang w:val="en-US"/>
        </w:rPr>
      </w:pPr>
    </w:p>
    <w:p w14:paraId="38A5E29C" w14:textId="77777777" w:rsidR="00202DB4" w:rsidRPr="005621F6" w:rsidRDefault="00202DB4" w:rsidP="00202DB4">
      <w:pPr>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t>1.5.</w:t>
      </w:r>
      <w:r w:rsidRPr="005621F6">
        <w:rPr>
          <w:rFonts w:ascii="Times New Roman" w:hAnsi="Times New Roman" w:cs="Times New Roman"/>
          <w:b/>
          <w:sz w:val="24"/>
          <w:szCs w:val="24"/>
          <w:lang w:val="en-US"/>
        </w:rPr>
        <w:t xml:space="preserve"> Radiocarbon dating of bulk sediment</w:t>
      </w:r>
    </w:p>
    <w:p w14:paraId="4EF33DA8" w14:textId="77777777" w:rsidR="00202DB4" w:rsidRPr="005621F6" w:rsidRDefault="00202DB4" w:rsidP="00202DB4">
      <w:pPr>
        <w:pStyle w:val="TAMainText"/>
        <w:ind w:firstLine="720"/>
        <w:contextualSpacing/>
        <w:rPr>
          <w:rFonts w:ascii="Times New Roman" w:hAnsi="Times New Roman"/>
          <w:szCs w:val="24"/>
        </w:rPr>
      </w:pPr>
      <w:r w:rsidRPr="005621F6">
        <w:rPr>
          <w:rFonts w:ascii="Times New Roman" w:hAnsi="Times New Roman"/>
          <w:szCs w:val="24"/>
        </w:rPr>
        <w:t xml:space="preserve">The sediment samples from PC31 and PC51 were analyzed by AMS at the Radiocarbon Laboratory of the </w:t>
      </w:r>
      <w:proofErr w:type="spellStart"/>
      <w:r w:rsidRPr="005621F6">
        <w:rPr>
          <w:rFonts w:ascii="Times New Roman" w:hAnsi="Times New Roman"/>
          <w:szCs w:val="24"/>
        </w:rPr>
        <w:t>Fluminense</w:t>
      </w:r>
      <w:proofErr w:type="spellEnd"/>
      <w:r w:rsidRPr="005621F6">
        <w:rPr>
          <w:rFonts w:ascii="Times New Roman" w:hAnsi="Times New Roman"/>
          <w:szCs w:val="24"/>
        </w:rPr>
        <w:t xml:space="preserve"> Federal University (LAC-UFF). All samples were acidified with </w:t>
      </w:r>
      <w:proofErr w:type="spellStart"/>
      <w:r w:rsidRPr="005621F6">
        <w:rPr>
          <w:rFonts w:ascii="Times New Roman" w:hAnsi="Times New Roman"/>
          <w:szCs w:val="24"/>
        </w:rPr>
        <w:t>HCl</w:t>
      </w:r>
      <w:proofErr w:type="spellEnd"/>
      <w:r w:rsidRPr="005621F6">
        <w:rPr>
          <w:rFonts w:ascii="Times New Roman" w:hAnsi="Times New Roman"/>
          <w:szCs w:val="24"/>
        </w:rPr>
        <w:t xml:space="preserve"> to remove carbonates. After adding pre-combusted </w:t>
      </w:r>
      <w:proofErr w:type="spellStart"/>
      <w:r w:rsidRPr="005621F6">
        <w:rPr>
          <w:rFonts w:ascii="Times New Roman" w:hAnsi="Times New Roman"/>
          <w:szCs w:val="24"/>
        </w:rPr>
        <w:t>CuO</w:t>
      </w:r>
      <w:proofErr w:type="spellEnd"/>
      <w:r w:rsidRPr="005621F6">
        <w:rPr>
          <w:rFonts w:ascii="Times New Roman" w:hAnsi="Times New Roman"/>
          <w:szCs w:val="24"/>
        </w:rPr>
        <w:t xml:space="preserve"> (50–100</w:t>
      </w:r>
      <w:r>
        <w:rPr>
          <w:rFonts w:ascii="Times New Roman" w:hAnsi="Times New Roman"/>
          <w:szCs w:val="24"/>
        </w:rPr>
        <w:t> </w:t>
      </w:r>
      <w:r w:rsidRPr="005621F6">
        <w:rPr>
          <w:rFonts w:ascii="Times New Roman" w:hAnsi="Times New Roman"/>
          <w:szCs w:val="24"/>
        </w:rPr>
        <w:t xml:space="preserve">mg) and Ag wire (5 mg), dry samples were placed in quartz tubes, sealed under vacuum and combusted at 900 °C for 3 h in a muffle oven. The gas was purified using dry-ice/ethanol traps in a graphitization line </w:t>
      </w:r>
      <w:r w:rsidRPr="005621F6">
        <w:rPr>
          <w:rFonts w:ascii="Times New Roman" w:hAnsi="Times New Roman"/>
          <w:szCs w:val="24"/>
        </w:rPr>
        <w:fldChar w:fldCharType="begin" w:fldLock="1"/>
      </w:r>
      <w:r w:rsidRPr="005621F6">
        <w:rPr>
          <w:rFonts w:ascii="Times New Roman" w:hAnsi="Times New Roman"/>
          <w:szCs w:val="24"/>
        </w:rPr>
        <w:instrText>ADDIN CSL_CITATION { "citationItems" : [ { "id" : "ITEM-1", "itemData" : { "DOI" : "10.1016/j.nimb.2015.03.081", "ISSN" : "0168583X", "abstract" : "In this paper, we summarize the sample preparation methods currently used at the Radiocarbon Laboratory of the Universidade Federal Fluminense (LAC-UFF) in Brazil. We also report on a series of results with regards to the graphitization protocol. Tests with different temperatures and baking times were performed, and carbon stable isotope ratios of graphite were measured by an EA-IRMS (elemental analyzer coupled with an isotopic ratio mass spectrometer) to infer the completeness of the graphitization reaction. We monitored the muffle furnace temperature using an independent thermocouple and found a -60\u00b0C offset, which may have caused the lower graphitization yields (detected from the large isotopic fractionation on several reference materials targets). At a temperature of 520 \u00b0C, the isotopic fractionation in the graphitization reaction was systematically lower (-5\u2030 in average) and the overall scattering was reduced. As long as isotopic fractionation corrections are made using the online stable isotopes ratios provided by the AMS system, the accuracy of the 14C results should be maintained.", "author" : [ { "dropping-particle" : "", "family" : "Macario", "given" : "Kita D.", "non-dropping-particle" : "", "parse-names" : false, "suffix" : "" }, { "dropping-particle" : "", "family" : "Oliveira", "given" : "Fabiana M.", "non-dropping-particle" : "", "parse-names" : false, "suffix" : "" }, { "dropping-particle" : "", "family" : "Carvalho", "given" : "Carla", "non-dropping-particle" : "", "parse-names" : false, "suffix" : "" }, { "dropping-particle" : "", "family" : "Santos", "given" : "Guaciara M.", "non-dropping-particle" : "", "parse-names" : false, "suffix" : "" }, { "dropping-particle" : "", "family" : "Xu", "given" : "Xiaomei", "non-dropping-particle" : "", "parse-names" : false, "suffix" : "" }, { "dropping-particle" : "", "family" : "Chanca", "given" : "Ingrid S.", "non-dropping-particle" : "", "parse-names" : false, "suffix" : "" }, { "dropping-particle" : "", "family" : "Alves", "given" : "Eduardo Q.", "non-dropping-particle" : "", "parse-names" : false, "suffix" : "" }, { "dropping-particle" : "", "family" : "Jou", "given" : "Renata M.", "non-dropping-particle" : "", "parse-names" : false, "suffix" : "" }, { "dropping-particle" : "", "family" : "Oliveira", "given" : "Maria Isabela", "non-dropping-particle" : "", "parse-names" : false, "suffix" : "" }, { "dropping-particle" : "", "family" : "Pereira", "given" : "Bruna B.", "non-dropping-particle" : "", "parse-names" : false, "suffix" : "" }, { "dropping-particle" : "", "family" : "Moreira", "given" : "Vinicius", "non-dropping-particle" : "", "parse-names" : false, "suffix" : "" }, { "dropping-particle" : "", "family" : "Muniz", "given" : "Marcelo C.", "non-dropping-particle" : "", "parse-names" : false, "suffix" : "" }, { "dropping-particle" : "", "family" : "Linares", "given" : "Roberto", "non-dropping-particle" : "", "parse-names" : false, "suffix" : "" }, { "dropping-particle" : "", "family" : "Gomes", "given" : "Paulo Roberto Silveira", "non-dropping-particle" : "", "parse-names" : false, "suffix" : "" }, { "dropping-particle" : "", "family" : "Anjos", "given" : "Roberto Meigikos", "non-dropping-particle" : "dos", "parse-names" : false, "suffix" : "" }, { "dropping-particle" : "", "family" : "Castro", "given" : "Maikel D.", "non-dropping-particle" : "", "parse-names" : false, "suffix" : "" }, { "dropping-particle" : "", "family" : "Anjos", "given" : "Leandro", "non-dropping-particle" : "dos", "parse-names" : false, "suffix" : "" }, { "dropping-particle" : "", "family" : "Marques", "given" : "Aguinaldo N.", "non-dropping-particle" : "", "parse-names" : false, "suffix" : "" }, { "dropping-particle" : "", "family" : "Rodrigues", "given" : "Luiz Frederico", "non-dropping-particle" : "", "parse-names" : false, "suffix" : "" } ], "container-title" : "Nuclear Instruments and Methods in Physics Research Section B: Beam Interactions with Materials and Atoms", "id" : "ITEM-1", "issued" : { "date-parts" : [ [ "2015", "10" ] ] }, "page" : "402-405", "title" : "Advances in the graphitization protocol at the Radiocarbon Laboratory of the Universidade Federal Fluminense (LAC-UFF) in Brazil", "type" : "article-journal", "volume" : "361" }, "uris" : [ "http://www.mendeley.com/documents/?uuid=82e34dac-61ed-44fc-abdf-1b043032cbbe" ] } ], "mendeley" : { "formattedCitation" : "(Macario et al. 2015)", "plainTextFormattedCitation" : "(Macario et al. 2015)", "previouslyFormattedCitation" : "(Macario et al. 2015)" }, "properties" : {  }, "schema" : "https://github.com/citation-style-language/schema/raw/master/csl-citation.json" }</w:instrText>
      </w:r>
      <w:r w:rsidRPr="005621F6">
        <w:rPr>
          <w:rFonts w:ascii="Times New Roman" w:hAnsi="Times New Roman"/>
          <w:szCs w:val="24"/>
        </w:rPr>
        <w:fldChar w:fldCharType="separate"/>
      </w:r>
      <w:r w:rsidRPr="005621F6">
        <w:rPr>
          <w:rFonts w:ascii="Times New Roman" w:hAnsi="Times New Roman"/>
          <w:noProof/>
          <w:szCs w:val="24"/>
        </w:rPr>
        <w:t xml:space="preserve">(Macario </w:t>
      </w:r>
      <w:r w:rsidRPr="0056604D">
        <w:rPr>
          <w:rFonts w:ascii="Times New Roman" w:hAnsi="Times New Roman"/>
          <w:noProof/>
          <w:szCs w:val="24"/>
        </w:rPr>
        <w:t>et al.</w:t>
      </w:r>
      <w:r w:rsidRPr="005621F6">
        <w:rPr>
          <w:rFonts w:ascii="Times New Roman" w:hAnsi="Times New Roman"/>
          <w:i/>
          <w:noProof/>
          <w:szCs w:val="24"/>
        </w:rPr>
        <w:t xml:space="preserve"> </w:t>
      </w:r>
      <w:r w:rsidRPr="005621F6">
        <w:rPr>
          <w:rFonts w:ascii="Times New Roman" w:hAnsi="Times New Roman"/>
          <w:noProof/>
          <w:szCs w:val="24"/>
        </w:rPr>
        <w:t>2015</w:t>
      </w:r>
      <w:r w:rsidRPr="005621F6">
        <w:rPr>
          <w:rFonts w:ascii="Times New Roman" w:hAnsi="Times New Roman"/>
          <w:i/>
          <w:noProof/>
          <w:szCs w:val="24"/>
        </w:rPr>
        <w:t>)</w:t>
      </w:r>
      <w:r w:rsidRPr="005621F6">
        <w:rPr>
          <w:rFonts w:ascii="Times New Roman" w:hAnsi="Times New Roman"/>
          <w:szCs w:val="24"/>
        </w:rPr>
        <w:fldChar w:fldCharType="end"/>
      </w:r>
      <w:r w:rsidRPr="005621F6">
        <w:rPr>
          <w:rFonts w:ascii="Times New Roman" w:hAnsi="Times New Roman"/>
          <w:szCs w:val="24"/>
        </w:rPr>
        <w:t>. The CO</w:t>
      </w:r>
      <w:r w:rsidRPr="005621F6">
        <w:rPr>
          <w:rFonts w:ascii="Times New Roman" w:hAnsi="Times New Roman"/>
          <w:szCs w:val="24"/>
          <w:vertAlign w:val="subscript"/>
        </w:rPr>
        <w:t xml:space="preserve">2 </w:t>
      </w:r>
      <w:r w:rsidRPr="005621F6">
        <w:rPr>
          <w:rFonts w:ascii="Times New Roman" w:hAnsi="Times New Roman"/>
          <w:szCs w:val="24"/>
        </w:rPr>
        <w:t xml:space="preserve">subsamples for </w:t>
      </w:r>
      <w:r w:rsidRPr="005621F6">
        <w:rPr>
          <w:rFonts w:ascii="Times New Roman" w:hAnsi="Times New Roman"/>
          <w:szCs w:val="24"/>
          <w:vertAlign w:val="superscript"/>
        </w:rPr>
        <w:t>14</w:t>
      </w:r>
      <w:r w:rsidRPr="005621F6">
        <w:rPr>
          <w:rFonts w:ascii="Times New Roman" w:hAnsi="Times New Roman"/>
          <w:szCs w:val="24"/>
        </w:rPr>
        <w:t xml:space="preserve">C analysis were converted to graphite targets using the zinc/titanium hydride method with iron catalyst </w:t>
      </w:r>
      <w:r w:rsidRPr="005621F6">
        <w:rPr>
          <w:rFonts w:ascii="Times New Roman" w:hAnsi="Times New Roman"/>
          <w:szCs w:val="24"/>
        </w:rPr>
        <w:fldChar w:fldCharType="begin" w:fldLock="1"/>
      </w:r>
      <w:r w:rsidRPr="005621F6">
        <w:rPr>
          <w:rFonts w:ascii="Times New Roman" w:hAnsi="Times New Roman"/>
          <w:szCs w:val="24"/>
        </w:rPr>
        <w:instrText>ADDIN CSL_CITATION { "citationItems" : [ { "id" : "ITEM-1", "itemData" : { "DOI" : "10.1016/j.nimb.2007.01.175", "ISBN" : "0168-583X", "ISSN" : "0168583X", "abstract" : "The sealed tube zinc reduction method for converting CO2 to graphite for AMS 14C measurements was originally developed for rapid production of graphite in biomedical tracer experiments. The method was usually thought to have low precision and a high background. We have modified the zinc reduction method originally outlined in Vogel [J.S. Vogel, Radiocarbon 34 (3) (1992) 344] by carefully controlling the amounts of reagents (zinc, titanium hydride and Co or Fe catalyst) and now routinely obtain a precision of 2-3??? and a relatively low background of ???50,000 14C years when analyzing for 14C at the Keck Carbon Cycle AMS facility at UC Irvine. Fractionation of carbon isotopes does occur during graphitization and depends on the graphitization yield, which can be affected by the amounts of reagents used and other conditions. The ??13C of our zinc-reduced graphite is usually lighter by 2-3??? than the CO2 from which it is made, but this is corrected for in our system by simultaneous measurement of 13C/12C along with 14C/12C by the spectrometer. This method is suitable for 14C enriched samples, as well as natural abundance 14C samples, especially those with modern 14C contents. With improved precision and background, we believe that many disciplines can benefit from this technique because of its low cost and rapid production of graphite. ?? 2007 Elsevier B.V. All rights reserved.", "author" : [ { "dropping-particle" : "", "family" : "Xu", "given" : "Xiaomei", "non-dropping-particle" : "", "parse-names" : false, "suffix" : "" }, { "dropping-particle" : "", "family" : "Trumbore", "given" : "Susan E.", "non-dropping-particle" : "", "parse-names" : false, "suffix" : "" }, { "dropping-particle" : "", "family" : "Zheng", "given" : "Shuhui", "non-dropping-particle" : "", "parse-names" : false, "suffix" : "" }, { "dropping-particle" : "", "family" : "Southon", "given" : "John R.", "non-dropping-particle" : "", "parse-names" : false, "suffix" : "" }, { "dropping-particle" : "", "family" : "McDuffee", "given" : "Kelsey E.", "non-dropping-particle" : "", "parse-names" : false, "suffix" : "" }, { "dropping-particle" : "", "family" : "Luttgen", "given" : "Madelyn", "non-dropping-particle" : "", "parse-names" : false, "suffix" : "" }, { "dropping-particle" : "", "family" : "Liu", "given" : "Julia C.", "non-dropping-particle" : "", "parse-names" : false, "suffix" : "" } ], "container-title" : "Nuclear Instruments and Methods in Physics Research, Section B: Beam Interactions with Materials and Atoms", "id" : "ITEM-1", "issue" : "1", "issued" : { "date-parts" : [ [ "2007" ] ] }, "page" : "320-329", "title" : "Modifying a sealed tube zinc reduction method for preparation of AMS graphite targets: Reducing background and attaining high precision", "type" : "article-journal", "volume" : "259" }, "uris" : [ "http://www.mendeley.com/documents/?uuid=8ccbb6eb-7722-467b-a568-f861af2dad5c" ] } ], "mendeley" : { "formattedCitation" : "(Xu et al. 2007)", "plainTextFormattedCitation" : "(Xu et al. 2007)", "previouslyFormattedCitation" : "(Xu et al. 2007)" }, "properties" : {  }, "schema" : "https://github.com/citation-style-language/schema/raw/master/csl-citation.json" }</w:instrText>
      </w:r>
      <w:r w:rsidRPr="005621F6">
        <w:rPr>
          <w:rFonts w:ascii="Times New Roman" w:hAnsi="Times New Roman"/>
          <w:szCs w:val="24"/>
        </w:rPr>
        <w:fldChar w:fldCharType="separate"/>
      </w:r>
      <w:r w:rsidRPr="005621F6">
        <w:rPr>
          <w:rFonts w:ascii="Times New Roman" w:hAnsi="Times New Roman"/>
          <w:noProof/>
          <w:szCs w:val="24"/>
        </w:rPr>
        <w:t>(Xu et al. 2007)</w:t>
      </w:r>
      <w:r w:rsidRPr="005621F6">
        <w:rPr>
          <w:rFonts w:ascii="Times New Roman" w:hAnsi="Times New Roman"/>
          <w:szCs w:val="24"/>
        </w:rPr>
        <w:fldChar w:fldCharType="end"/>
      </w:r>
      <w:r w:rsidRPr="005621F6">
        <w:rPr>
          <w:rFonts w:ascii="Times New Roman" w:hAnsi="Times New Roman"/>
          <w:szCs w:val="24"/>
        </w:rPr>
        <w:t xml:space="preserve">. Individual torch-sealed tubes were heated at 520 °C for 7 h in a muffle oven </w:t>
      </w:r>
      <w:r w:rsidRPr="005621F6">
        <w:rPr>
          <w:rFonts w:ascii="Times New Roman" w:hAnsi="Times New Roman"/>
          <w:szCs w:val="24"/>
        </w:rPr>
        <w:fldChar w:fldCharType="begin" w:fldLock="1"/>
      </w:r>
      <w:r w:rsidRPr="005621F6">
        <w:rPr>
          <w:rFonts w:ascii="Times New Roman" w:hAnsi="Times New Roman"/>
          <w:szCs w:val="24"/>
        </w:rPr>
        <w:instrText>ADDIN CSL_CITATION { "citationItems" : [ { "id" : "ITEM-1", "itemData" : { "DOI" : "10.1016/j.nimb.2015.03.081", "ISSN" : "0168583X", "abstract" : "In this paper, we summarize the sample preparation methods currently used at the Radiocarbon Laboratory of the Universidade Federal Fluminense (LAC-UFF) in Brazil. We also report on a series of results with regards to the graphitization protocol. Tests with different temperatures and baking times were performed, and carbon stable isotope ratios of graphite were measured by an EA-IRMS (elemental analyzer coupled with an isotopic ratio mass spectrometer) to infer the completeness of the graphitization reaction. We monitored the muffle furnace temperature using an independent thermocouple and found a -60\u00b0C offset, which may have caused the lower graphitization yields (detected from the large isotopic fractionation on several reference materials targets). At a temperature of 520 \u00b0C, the isotopic fractionation in the graphitization reaction was systematically lower (-5\u2030 in average) and the overall scattering was reduced. As long as isotopic fractionation corrections are made using the online stable isotopes ratios provided by the AMS system, the accuracy of the 14C results should be maintained.", "author" : [ { "dropping-particle" : "", "family" : "Macario", "given" : "Kita D.", "non-dropping-particle" : "", "parse-names" : false, "suffix" : "" }, { "dropping-particle" : "", "family" : "Oliveira", "given" : "Fabiana M.", "non-dropping-particle" : "", "parse-names" : false, "suffix" : "" }, { "dropping-particle" : "", "family" : "Carvalho", "given" : "Carla", "non-dropping-particle" : "", "parse-names" : false, "suffix" : "" }, { "dropping-particle" : "", "family" : "Santos", "given" : "Guaciara M.", "non-dropping-particle" : "", "parse-names" : false, "suffix" : "" }, { "dropping-particle" : "", "family" : "Xu", "given" : "Xiaomei", "non-dropping-particle" : "", "parse-names" : false, "suffix" : "" }, { "dropping-particle" : "", "family" : "Chanca", "given" : "Ingrid S.", "non-dropping-particle" : "", "parse-names" : false, "suffix" : "" }, { "dropping-particle" : "", "family" : "Alves", "given" : "Eduardo Q.", "non-dropping-particle" : "", "parse-names" : false, "suffix" : "" }, { "dropping-particle" : "", "family" : "Jou", "given" : "Renata M.", "non-dropping-particle" : "", "parse-names" : false, "suffix" : "" }, { "dropping-particle" : "", "family" : "Oliveira", "given" : "Maria Isabela", "non-dropping-particle" : "", "parse-names" : false, "suffix" : "" }, { "dropping-particle" : "", "family" : "Pereira", "given" : "Bruna B.", "non-dropping-particle" : "", "parse-names" : false, "suffix" : "" }, { "dropping-particle" : "", "family" : "Moreira", "given" : "Vinicius", "non-dropping-particle" : "", "parse-names" : false, "suffix" : "" }, { "dropping-particle" : "", "family" : "Muniz", "given" : "Marcelo C.", "non-dropping-particle" : "", "parse-names" : false, "suffix" : "" }, { "dropping-particle" : "", "family" : "Linares", "given" : "Roberto", "non-dropping-particle" : "", "parse-names" : false, "suffix" : "" }, { "dropping-particle" : "", "family" : "Gomes", "given" : "Paulo Roberto Silveira", "non-dropping-particle" : "", "parse-names" : false, "suffix" : "" }, { "dropping-particle" : "", "family" : "Anjos", "given" : "Roberto Meigikos", "non-dropping-particle" : "dos", "parse-names" : false, "suffix" : "" }, { "dropping-particle" : "", "family" : "Castro", "given" : "Maikel D.", "non-dropping-particle" : "", "parse-names" : false, "suffix" : "" }, { "dropping-particle" : "", "family" : "Anjos", "given" : "Leandro", "non-dropping-particle" : "dos", "parse-names" : false, "suffix" : "" }, { "dropping-particle" : "", "family" : "Marques", "given" : "Aguinaldo N.", "non-dropping-particle" : "", "parse-names" : false, "suffix" : "" }, { "dropping-particle" : "", "family" : "Rodrigues", "given" : "Luiz Frederico", "non-dropping-particle" : "", "parse-names" : false, "suffix" : "" } ], "container-title" : "Nuclear Instruments and Methods in Physics Research Section B: Beam Interactions with Materials and Atoms", "id" : "ITEM-1", "issued" : { "date-parts" : [ [ "2015", "10" ] ] }, "page" : "402-405", "title" : "Advances in the graphitization protocol at the Radiocarbon Laboratory of the Universidade Federal Fluminense (LAC-UFF) in Brazil", "type" : "article-journal", "volume" : "361" }, "uris" : [ "http://www.mendeley.com/documents/?uuid=82e34dac-61ed-44fc-abdf-1b043032cbbe" ] } ], "mendeley" : { "formattedCitation" : "(Macario et al. 2015)", "plainTextFormattedCitation" : "(Macario et al. 2015)", "previouslyFormattedCitation" : "(Macario et al. 2015)" }, "properties" : {  }, "schema" : "https://github.com/citation-style-language/schema/raw/master/csl-citation.json" }</w:instrText>
      </w:r>
      <w:r w:rsidRPr="005621F6">
        <w:rPr>
          <w:rFonts w:ascii="Times New Roman" w:hAnsi="Times New Roman"/>
          <w:szCs w:val="24"/>
        </w:rPr>
        <w:fldChar w:fldCharType="separate"/>
      </w:r>
      <w:r w:rsidRPr="005621F6">
        <w:rPr>
          <w:rFonts w:ascii="Times New Roman" w:hAnsi="Times New Roman"/>
          <w:noProof/>
          <w:szCs w:val="24"/>
        </w:rPr>
        <w:t>(Macario et al. 2015)</w:t>
      </w:r>
      <w:r w:rsidRPr="005621F6">
        <w:rPr>
          <w:rFonts w:ascii="Times New Roman" w:hAnsi="Times New Roman"/>
          <w:szCs w:val="24"/>
        </w:rPr>
        <w:fldChar w:fldCharType="end"/>
      </w:r>
      <w:r w:rsidRPr="005621F6">
        <w:rPr>
          <w:rFonts w:ascii="Times New Roman" w:hAnsi="Times New Roman"/>
          <w:szCs w:val="24"/>
        </w:rPr>
        <w:t xml:space="preserve"> and graphitized samples were pressed in </w:t>
      </w:r>
      <w:r w:rsidRPr="005621F6">
        <w:rPr>
          <w:rFonts w:ascii="Times New Roman" w:hAnsi="Times New Roman"/>
          <w:szCs w:val="24"/>
        </w:rPr>
        <w:lastRenderedPageBreak/>
        <w:t>aluminum cathodes to be measured in a NEC 250kV Single Stage Accelerator System (SSAMS).</w:t>
      </w:r>
    </w:p>
    <w:p w14:paraId="64913EB4" w14:textId="77777777" w:rsidR="00202DB4" w:rsidRPr="005621F6" w:rsidRDefault="00202DB4" w:rsidP="00202DB4">
      <w:pPr>
        <w:spacing w:after="0" w:line="480" w:lineRule="auto"/>
        <w:ind w:firstLine="709"/>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 xml:space="preserve">The isotopic fractionation was corrected by measuring the </w:t>
      </w:r>
      <w:r w:rsidRPr="005621F6">
        <w:rPr>
          <w:rFonts w:ascii="Times New Roman" w:hAnsi="Times New Roman" w:cs="Times New Roman"/>
          <w:sz w:val="24"/>
          <w:szCs w:val="24"/>
        </w:rPr>
        <w:t>δ</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 xml:space="preserve">C on-line in the accelerator (Linares et al. 2015). Background was measured using processed graphite, which yielded average </w:t>
      </w:r>
      <w:r w:rsidRPr="005621F6">
        <w:rPr>
          <w:rFonts w:ascii="Times New Roman" w:hAnsi="Times New Roman" w:cs="Times New Roman"/>
          <w:sz w:val="24"/>
          <w:szCs w:val="24"/>
          <w:vertAlign w:val="superscript"/>
          <w:lang w:val="en-US"/>
        </w:rPr>
        <w:t>14</w:t>
      </w:r>
      <w:r w:rsidRPr="005621F6">
        <w:rPr>
          <w:rFonts w:ascii="Times New Roman" w:hAnsi="Times New Roman" w:cs="Times New Roman"/>
          <w:sz w:val="24"/>
          <w:szCs w:val="24"/>
          <w:lang w:val="en-US"/>
        </w:rPr>
        <w:t>C/</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C ratios of 6 × 10</w:t>
      </w:r>
      <w:r w:rsidRPr="005621F6">
        <w:rPr>
          <w:rFonts w:ascii="Times New Roman" w:hAnsi="Times New Roman" w:cs="Times New Roman"/>
          <w:sz w:val="24"/>
          <w:szCs w:val="24"/>
          <w:vertAlign w:val="superscript"/>
          <w:lang w:val="en-US"/>
        </w:rPr>
        <w:t>−13</w:t>
      </w:r>
      <w:r w:rsidRPr="005621F6">
        <w:rPr>
          <w:rFonts w:ascii="Times New Roman" w:hAnsi="Times New Roman" w:cs="Times New Roman"/>
          <w:sz w:val="24"/>
          <w:szCs w:val="24"/>
          <w:lang w:val="en-US"/>
        </w:rPr>
        <w:t>. Results are expressed in conventional radiocarbon ages, percent modern carbon (</w:t>
      </w:r>
      <w:proofErr w:type="spellStart"/>
      <w:r w:rsidRPr="005621F6">
        <w:rPr>
          <w:rFonts w:ascii="Times New Roman" w:hAnsi="Times New Roman" w:cs="Times New Roman"/>
          <w:sz w:val="24"/>
          <w:szCs w:val="24"/>
          <w:lang w:val="en-US"/>
        </w:rPr>
        <w:t>pMC</w:t>
      </w:r>
      <w:proofErr w:type="spellEnd"/>
      <w:r w:rsidRPr="005621F6">
        <w:rPr>
          <w:rFonts w:ascii="Times New Roman" w:hAnsi="Times New Roman" w:cs="Times New Roman"/>
          <w:sz w:val="24"/>
          <w:szCs w:val="24"/>
          <w:lang w:val="en-US"/>
        </w:rPr>
        <w:t xml:space="preserve">) and </w:t>
      </w:r>
      <w:r w:rsidRPr="005621F6">
        <w:rPr>
          <w:rFonts w:ascii="Times New Roman" w:hAnsi="Times New Roman" w:cs="Times New Roman"/>
          <w:sz w:val="24"/>
          <w:szCs w:val="24"/>
        </w:rPr>
        <w:t>Δ</w:t>
      </w:r>
      <w:r w:rsidRPr="005621F6">
        <w:rPr>
          <w:rFonts w:ascii="Times New Roman" w:hAnsi="Times New Roman" w:cs="Times New Roman"/>
          <w:sz w:val="24"/>
          <w:szCs w:val="24"/>
          <w:vertAlign w:val="superscript"/>
          <w:lang w:val="en-US"/>
        </w:rPr>
        <w:t>14</w:t>
      </w:r>
      <w:r w:rsidRPr="005621F6">
        <w:rPr>
          <w:rFonts w:ascii="Times New Roman" w:hAnsi="Times New Roman" w:cs="Times New Roman"/>
          <w:sz w:val="24"/>
          <w:szCs w:val="24"/>
          <w:lang w:val="en-US"/>
        </w:rPr>
        <w:t xml:space="preserve">C according to the definitions in </w:t>
      </w:r>
      <w:proofErr w:type="spellStart"/>
      <w:r w:rsidRPr="005621F6">
        <w:rPr>
          <w:rFonts w:ascii="Times New Roman" w:hAnsi="Times New Roman" w:cs="Times New Roman"/>
          <w:sz w:val="24"/>
          <w:szCs w:val="24"/>
          <w:lang w:val="en-US"/>
        </w:rPr>
        <w:t>Stuiver</w:t>
      </w:r>
      <w:proofErr w:type="spellEnd"/>
      <w:r w:rsidRPr="005621F6">
        <w:rPr>
          <w:rFonts w:ascii="Times New Roman" w:hAnsi="Times New Roman" w:cs="Times New Roman"/>
          <w:sz w:val="24"/>
          <w:szCs w:val="24"/>
          <w:lang w:val="en-US"/>
        </w:rPr>
        <w:t xml:space="preserve"> and Polach 1977.</w:t>
      </w:r>
    </w:p>
    <w:p w14:paraId="331F7614" w14:textId="77777777" w:rsidR="00202DB4" w:rsidRDefault="00202DB4" w:rsidP="00202DB4">
      <w:pPr>
        <w:spacing w:after="0" w:line="480" w:lineRule="auto"/>
        <w:rPr>
          <w:lang w:val="en-US"/>
        </w:rPr>
      </w:pPr>
    </w:p>
    <w:p w14:paraId="5901AC50" w14:textId="77777777" w:rsidR="00202DB4" w:rsidRPr="005621F6" w:rsidRDefault="00202DB4" w:rsidP="00202DB4">
      <w:pPr>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t>1.6.</w:t>
      </w:r>
      <w:r w:rsidRPr="005621F6">
        <w:rPr>
          <w:rFonts w:ascii="Times New Roman" w:hAnsi="Times New Roman" w:cs="Times New Roman"/>
          <w:b/>
          <w:sz w:val="24"/>
          <w:szCs w:val="24"/>
          <w:lang w:val="en-US"/>
        </w:rPr>
        <w:t xml:space="preserve"> Sulfate concentrations in the interstitial water</w:t>
      </w:r>
    </w:p>
    <w:p w14:paraId="303C6B1B" w14:textId="77777777" w:rsidR="00202DB4" w:rsidRPr="005621F6" w:rsidRDefault="00202DB4" w:rsidP="00202DB4">
      <w:pPr>
        <w:spacing w:after="0" w:line="480" w:lineRule="auto"/>
        <w:ind w:left="180" w:firstLine="360"/>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 xml:space="preserve">Sulfate concentrations in the interstitial waters were determined using a </w:t>
      </w:r>
      <w:proofErr w:type="spellStart"/>
      <w:r w:rsidRPr="005621F6">
        <w:rPr>
          <w:rFonts w:ascii="Times New Roman" w:hAnsi="Times New Roman" w:cs="Times New Roman"/>
          <w:sz w:val="24"/>
          <w:szCs w:val="24"/>
          <w:lang w:val="en-US"/>
        </w:rPr>
        <w:t>Dionex</w:t>
      </w:r>
      <w:proofErr w:type="spellEnd"/>
      <w:r w:rsidRPr="005621F6">
        <w:rPr>
          <w:rFonts w:ascii="Times New Roman" w:hAnsi="Times New Roman" w:cs="Times New Roman"/>
          <w:sz w:val="24"/>
          <w:szCs w:val="24"/>
          <w:lang w:val="en-US"/>
        </w:rPr>
        <w:t xml:space="preserve"> (model ICS 5000) ion chromatograph consisting of a pump (ICS-5000 DP-5) and a conductivity detector. The analytical column was an </w:t>
      </w:r>
      <w:proofErr w:type="spellStart"/>
      <w:r w:rsidRPr="005621F6">
        <w:rPr>
          <w:rFonts w:ascii="Times New Roman" w:hAnsi="Times New Roman" w:cs="Times New Roman"/>
          <w:sz w:val="24"/>
          <w:szCs w:val="24"/>
          <w:lang w:val="en-US"/>
        </w:rPr>
        <w:t>IonPac</w:t>
      </w:r>
      <w:proofErr w:type="spellEnd"/>
      <w:r w:rsidRPr="005621F6">
        <w:rPr>
          <w:rFonts w:ascii="Times New Roman" w:hAnsi="Times New Roman" w:cs="Times New Roman"/>
          <w:sz w:val="24"/>
          <w:szCs w:val="24"/>
          <w:lang w:val="en-US"/>
        </w:rPr>
        <w:t xml:space="preserve"> AS 19 hydroxide-selective anion-exchange column (2 × 250 mm) with </w:t>
      </w:r>
      <w:proofErr w:type="spellStart"/>
      <w:r w:rsidRPr="005621F6">
        <w:rPr>
          <w:rFonts w:ascii="Times New Roman" w:hAnsi="Times New Roman" w:cs="Times New Roman"/>
          <w:sz w:val="24"/>
          <w:szCs w:val="24"/>
          <w:lang w:val="en-US"/>
        </w:rPr>
        <w:t>supermacropor</w:t>
      </w:r>
      <w:r>
        <w:rPr>
          <w:rFonts w:ascii="Times New Roman" w:hAnsi="Times New Roman" w:cs="Times New Roman"/>
          <w:sz w:val="24"/>
          <w:szCs w:val="24"/>
          <w:lang w:val="en-US"/>
        </w:rPr>
        <w:t>o</w:t>
      </w:r>
      <w:r w:rsidRPr="005621F6">
        <w:rPr>
          <w:rFonts w:ascii="Times New Roman" w:hAnsi="Times New Roman" w:cs="Times New Roman"/>
          <w:sz w:val="24"/>
          <w:szCs w:val="24"/>
          <w:lang w:val="en-US"/>
        </w:rPr>
        <w:t>us</w:t>
      </w:r>
      <w:proofErr w:type="spellEnd"/>
      <w:r w:rsidRPr="005621F6">
        <w:rPr>
          <w:rFonts w:ascii="Times New Roman" w:hAnsi="Times New Roman" w:cs="Times New Roman"/>
          <w:sz w:val="24"/>
          <w:szCs w:val="24"/>
          <w:lang w:val="en-US"/>
        </w:rPr>
        <w:t xml:space="preserve"> resin. An anion self-regeneration suppressor ASRS 300 2 mm was used to reduce the conductivity of the mobile phase. Samples were diluted using 18 M</w:t>
      </w:r>
      <w:r w:rsidRPr="005621F6">
        <w:rPr>
          <w:rFonts w:ascii="Times New Roman" w:hAnsi="Times New Roman" w:cs="Times New Roman"/>
          <w:sz w:val="24"/>
          <w:szCs w:val="24"/>
        </w:rPr>
        <w:t>Ω</w:t>
      </w:r>
      <w:r w:rsidRPr="005621F6">
        <w:rPr>
          <w:rFonts w:ascii="Times New Roman" w:hAnsi="Times New Roman" w:cs="Times New Roman"/>
          <w:sz w:val="24"/>
          <w:szCs w:val="24"/>
          <w:lang w:val="en-US"/>
        </w:rPr>
        <w:t xml:space="preserve"> water and the standards also were </w:t>
      </w:r>
      <w:r>
        <w:rPr>
          <w:rFonts w:ascii="Times New Roman" w:hAnsi="Times New Roman" w:cs="Times New Roman"/>
          <w:sz w:val="24"/>
          <w:szCs w:val="24"/>
          <w:lang w:val="en-US"/>
        </w:rPr>
        <w:t>prepared</w:t>
      </w:r>
      <w:r w:rsidRPr="005621F6">
        <w:rPr>
          <w:rFonts w:ascii="Times New Roman" w:hAnsi="Times New Roman" w:cs="Times New Roman"/>
          <w:sz w:val="24"/>
          <w:szCs w:val="24"/>
          <w:lang w:val="en-US"/>
        </w:rPr>
        <w:t xml:space="preserve"> from pure reagents and 18 M</w:t>
      </w:r>
      <w:r w:rsidRPr="005621F6">
        <w:rPr>
          <w:rFonts w:ascii="Times New Roman" w:hAnsi="Times New Roman" w:cs="Times New Roman"/>
          <w:sz w:val="24"/>
          <w:szCs w:val="24"/>
        </w:rPr>
        <w:t>Ω</w:t>
      </w:r>
      <w:r w:rsidRPr="005621F6">
        <w:rPr>
          <w:rFonts w:ascii="Times New Roman" w:hAnsi="Times New Roman" w:cs="Times New Roman"/>
          <w:sz w:val="24"/>
          <w:szCs w:val="24"/>
          <w:lang w:val="en-US"/>
        </w:rPr>
        <w:t xml:space="preserve"> water. Standard solutions were measured repeatedly in order to estimate the accuracy and external precision of the measurements.</w:t>
      </w:r>
    </w:p>
    <w:p w14:paraId="18E5AFD2" w14:textId="77777777" w:rsidR="00202DB4" w:rsidRPr="005621F6" w:rsidRDefault="00202DB4" w:rsidP="00202DB4">
      <w:pPr>
        <w:spacing w:after="0" w:line="480" w:lineRule="auto"/>
        <w:ind w:left="180" w:firstLine="360"/>
        <w:jc w:val="both"/>
        <w:rPr>
          <w:rFonts w:ascii="Times New Roman" w:hAnsi="Times New Roman" w:cs="Times New Roman"/>
          <w:sz w:val="24"/>
          <w:szCs w:val="24"/>
          <w:lang w:val="en-US"/>
        </w:rPr>
      </w:pPr>
    </w:p>
    <w:p w14:paraId="3E96C9EE" w14:textId="77777777" w:rsidR="00202DB4" w:rsidRPr="005621F6" w:rsidRDefault="00202DB4" w:rsidP="00202DB4">
      <w:pPr>
        <w:spacing w:after="0"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t>1.7.</w:t>
      </w:r>
      <w:r w:rsidRPr="005621F6">
        <w:rPr>
          <w:rFonts w:ascii="Times New Roman" w:hAnsi="Times New Roman" w:cs="Times New Roman"/>
          <w:b/>
          <w:sz w:val="24"/>
          <w:szCs w:val="24"/>
          <w:lang w:val="en-US"/>
        </w:rPr>
        <w:t xml:space="preserve"> Gas analysis</w:t>
      </w:r>
    </w:p>
    <w:p w14:paraId="39CD839B" w14:textId="77777777" w:rsidR="00202DB4" w:rsidRDefault="00202DB4" w:rsidP="00202DB4">
      <w:pPr>
        <w:spacing w:after="0" w:line="480" w:lineRule="auto"/>
        <w:ind w:left="180" w:firstLine="528"/>
        <w:jc w:val="both"/>
        <w:rPr>
          <w:rFonts w:ascii="Times New Roman" w:hAnsi="Times New Roman" w:cs="Times New Roman"/>
          <w:sz w:val="24"/>
          <w:szCs w:val="24"/>
          <w:lang w:val="en-US"/>
        </w:rPr>
      </w:pPr>
      <w:r w:rsidRPr="005621F6">
        <w:rPr>
          <w:rFonts w:ascii="Times New Roman" w:hAnsi="Times New Roman" w:cs="Times New Roman"/>
          <w:sz w:val="24"/>
          <w:szCs w:val="24"/>
          <w:lang w:val="en-US"/>
        </w:rPr>
        <w:t>A gas chromatograph equipped with a capillary column, VP-Plot Alumina/</w:t>
      </w:r>
      <w:proofErr w:type="spellStart"/>
      <w:r w:rsidRPr="005621F6">
        <w:rPr>
          <w:rFonts w:ascii="Times New Roman" w:hAnsi="Times New Roman" w:cs="Times New Roman"/>
          <w:sz w:val="24"/>
          <w:szCs w:val="24"/>
          <w:lang w:val="en-US"/>
        </w:rPr>
        <w:t>KCl</w:t>
      </w:r>
      <w:proofErr w:type="spellEnd"/>
      <w:r w:rsidRPr="005621F6">
        <w:rPr>
          <w:rFonts w:ascii="Times New Roman" w:hAnsi="Times New Roman" w:cs="Times New Roman"/>
          <w:sz w:val="24"/>
          <w:szCs w:val="24"/>
          <w:lang w:val="en-US"/>
        </w:rPr>
        <w:t>, 30 m ×</w:t>
      </w:r>
      <w:r>
        <w:rPr>
          <w:rFonts w:ascii="Times New Roman" w:hAnsi="Times New Roman" w:cs="Times New Roman"/>
          <w:sz w:val="24"/>
          <w:szCs w:val="24"/>
          <w:lang w:val="en-US"/>
        </w:rPr>
        <w:t> </w:t>
      </w:r>
      <w:r w:rsidRPr="005621F6">
        <w:rPr>
          <w:rFonts w:ascii="Times New Roman" w:hAnsi="Times New Roman" w:cs="Times New Roman"/>
          <w:sz w:val="24"/>
          <w:szCs w:val="24"/>
          <w:lang w:val="en-US"/>
        </w:rPr>
        <w:t xml:space="preserve">0.53 mm, film 10.0 </w:t>
      </w:r>
      <w:r w:rsidRPr="005621F6">
        <w:rPr>
          <w:rFonts w:ascii="Times New Roman" w:hAnsi="Times New Roman" w:cs="Times New Roman"/>
          <w:sz w:val="24"/>
          <w:szCs w:val="24"/>
        </w:rPr>
        <w:t>μ</w:t>
      </w:r>
      <w:r w:rsidRPr="005621F6">
        <w:rPr>
          <w:rFonts w:ascii="Times New Roman" w:hAnsi="Times New Roman" w:cs="Times New Roman"/>
          <w:sz w:val="24"/>
          <w:szCs w:val="24"/>
          <w:lang w:val="en-US"/>
        </w:rPr>
        <w:t>m was used to determine C</w:t>
      </w:r>
      <w:r w:rsidRPr="005621F6">
        <w:rPr>
          <w:rFonts w:ascii="Times New Roman" w:hAnsi="Times New Roman" w:cs="Times New Roman"/>
          <w:sz w:val="24"/>
          <w:szCs w:val="24"/>
          <w:vertAlign w:val="subscript"/>
          <w:lang w:val="en-US"/>
        </w:rPr>
        <w:t>1</w:t>
      </w:r>
      <w:r w:rsidRPr="005621F6">
        <w:rPr>
          <w:rFonts w:ascii="Times New Roman" w:hAnsi="Times New Roman" w:cs="Times New Roman"/>
          <w:sz w:val="24"/>
          <w:szCs w:val="24"/>
          <w:lang w:val="en-US"/>
        </w:rPr>
        <w:t>–C</w:t>
      </w:r>
      <w:r w:rsidRPr="005621F6">
        <w:rPr>
          <w:rFonts w:ascii="Times New Roman" w:hAnsi="Times New Roman" w:cs="Times New Roman"/>
          <w:sz w:val="24"/>
          <w:szCs w:val="24"/>
          <w:vertAlign w:val="subscript"/>
          <w:lang w:val="en-US"/>
        </w:rPr>
        <w:t>5</w:t>
      </w:r>
      <w:r w:rsidRPr="005621F6">
        <w:rPr>
          <w:rFonts w:ascii="Times New Roman" w:hAnsi="Times New Roman" w:cs="Times New Roman"/>
          <w:sz w:val="24"/>
          <w:szCs w:val="24"/>
          <w:lang w:val="en-US"/>
        </w:rPr>
        <w:t xml:space="preserve"> hydrocarbon concentrations in the sediments. The GC-14A </w:t>
      </w:r>
      <w:r>
        <w:rPr>
          <w:rFonts w:ascii="Times New Roman" w:hAnsi="Times New Roman" w:cs="Times New Roman"/>
          <w:sz w:val="24"/>
          <w:szCs w:val="24"/>
          <w:lang w:val="en-US"/>
        </w:rPr>
        <w:t>was</w:t>
      </w:r>
      <w:r w:rsidRPr="005621F6">
        <w:rPr>
          <w:rFonts w:ascii="Times New Roman" w:hAnsi="Times New Roman" w:cs="Times New Roman"/>
          <w:sz w:val="24"/>
          <w:szCs w:val="24"/>
          <w:lang w:val="en-US"/>
        </w:rPr>
        <w:t xml:space="preserve"> configured with a 0.5 mL injection, split 1:7, and a flame ionization detector (FID) for gas detection. Run conditions for the column were 75 °C; ramping at 30 °C</w:t>
      </w:r>
      <w:r>
        <w:rPr>
          <w:rFonts w:ascii="Times New Roman" w:hAnsi="Times New Roman" w:cs="Times New Roman"/>
          <w:sz w:val="24"/>
          <w:szCs w:val="24"/>
          <w:lang w:val="en-US"/>
        </w:rPr>
        <w:t> </w:t>
      </w:r>
      <w:r w:rsidRPr="005621F6">
        <w:rPr>
          <w:rFonts w:ascii="Times New Roman" w:hAnsi="Times New Roman" w:cs="Times New Roman"/>
          <w:sz w:val="24"/>
          <w:szCs w:val="24"/>
          <w:lang w:val="en-US"/>
        </w:rPr>
        <w:t>min</w:t>
      </w:r>
      <w:r w:rsidRPr="00DB5469">
        <w:rPr>
          <w:rFonts w:ascii="Times New Roman" w:hAnsi="Times New Roman" w:cs="Times New Roman"/>
          <w:sz w:val="24"/>
          <w:szCs w:val="24"/>
          <w:vertAlign w:val="superscript"/>
          <w:lang w:val="en-US"/>
        </w:rPr>
        <w:t>–1</w:t>
      </w:r>
      <w:r w:rsidRPr="005621F6">
        <w:rPr>
          <w:rFonts w:ascii="Times New Roman" w:hAnsi="Times New Roman" w:cs="Times New Roman"/>
          <w:sz w:val="24"/>
          <w:szCs w:val="24"/>
          <w:lang w:val="en-US"/>
        </w:rPr>
        <w:t xml:space="preserve"> to 170 °C, and h</w:t>
      </w:r>
      <w:r>
        <w:rPr>
          <w:rFonts w:ascii="Times New Roman" w:hAnsi="Times New Roman" w:cs="Times New Roman"/>
          <w:sz w:val="24"/>
          <w:szCs w:val="24"/>
          <w:lang w:val="en-US"/>
        </w:rPr>
        <w:t>o</w:t>
      </w:r>
      <w:r w:rsidRPr="005621F6">
        <w:rPr>
          <w:rFonts w:ascii="Times New Roman" w:hAnsi="Times New Roman" w:cs="Times New Roman"/>
          <w:sz w:val="24"/>
          <w:szCs w:val="24"/>
          <w:lang w:val="en-US"/>
        </w:rPr>
        <w:t>ld</w:t>
      </w:r>
      <w:r>
        <w:rPr>
          <w:rFonts w:ascii="Times New Roman" w:hAnsi="Times New Roman" w:cs="Times New Roman"/>
          <w:sz w:val="24"/>
          <w:szCs w:val="24"/>
          <w:lang w:val="en-US"/>
        </w:rPr>
        <w:t>ing</w:t>
      </w:r>
      <w:r w:rsidRPr="005621F6">
        <w:rPr>
          <w:rFonts w:ascii="Times New Roman" w:hAnsi="Times New Roman" w:cs="Times New Roman"/>
          <w:sz w:val="24"/>
          <w:szCs w:val="24"/>
          <w:lang w:val="en-US"/>
        </w:rPr>
        <w:t xml:space="preserve"> for 10 min. Helium </w:t>
      </w:r>
      <w:r w:rsidRPr="005621F6">
        <w:rPr>
          <w:rFonts w:ascii="Times New Roman" w:hAnsi="Times New Roman" w:cs="Times New Roman"/>
          <w:sz w:val="24"/>
          <w:szCs w:val="24"/>
          <w:lang w:val="en-US"/>
        </w:rPr>
        <w:lastRenderedPageBreak/>
        <w:t>was used as the carrier gas at a constant volume of 5 mL</w:t>
      </w:r>
      <w:r>
        <w:rPr>
          <w:rFonts w:ascii="Times New Roman" w:hAnsi="Times New Roman" w:cs="Times New Roman"/>
          <w:sz w:val="24"/>
          <w:szCs w:val="24"/>
          <w:lang w:val="en-US"/>
        </w:rPr>
        <w:t> </w:t>
      </w:r>
      <w:r w:rsidRPr="005621F6">
        <w:rPr>
          <w:rFonts w:ascii="Times New Roman" w:hAnsi="Times New Roman" w:cs="Times New Roman"/>
          <w:sz w:val="24"/>
          <w:szCs w:val="24"/>
          <w:lang w:val="en-US"/>
        </w:rPr>
        <w:t>min</w:t>
      </w:r>
      <w:r w:rsidRPr="00DB5469">
        <w:rPr>
          <w:rFonts w:ascii="Times New Roman" w:hAnsi="Times New Roman" w:cs="Times New Roman"/>
          <w:sz w:val="24"/>
          <w:szCs w:val="24"/>
          <w:vertAlign w:val="superscript"/>
          <w:lang w:val="en-US"/>
        </w:rPr>
        <w:t>–1</w:t>
      </w:r>
      <w:r w:rsidRPr="005621F6">
        <w:rPr>
          <w:rFonts w:ascii="Times New Roman" w:hAnsi="Times New Roman" w:cs="Times New Roman"/>
          <w:sz w:val="24"/>
          <w:szCs w:val="24"/>
          <w:lang w:val="en-US"/>
        </w:rPr>
        <w:t>. The injector temperature was 190 °C and the FID temperature was held at 200 °C.</w:t>
      </w:r>
    </w:p>
    <w:p w14:paraId="1C3EAA7A" w14:textId="77777777" w:rsidR="00202DB4" w:rsidRDefault="00202DB4" w:rsidP="00202DB4">
      <w:pPr>
        <w:spacing w:after="0" w:line="480" w:lineRule="auto"/>
        <w:jc w:val="both"/>
        <w:rPr>
          <w:rFonts w:ascii="Times New Roman" w:hAnsi="Times New Roman" w:cs="Times New Roman"/>
          <w:sz w:val="24"/>
          <w:szCs w:val="24"/>
          <w:lang w:val="en-US"/>
        </w:rPr>
      </w:pPr>
    </w:p>
    <w:p w14:paraId="2B1EC3A4" w14:textId="77777777" w:rsidR="00202DB4" w:rsidRPr="0054208D" w:rsidRDefault="00202DB4" w:rsidP="00202DB4">
      <w:pPr>
        <w:spacing w:after="0" w:line="480" w:lineRule="auto"/>
        <w:jc w:val="both"/>
        <w:rPr>
          <w:rFonts w:ascii="Times New Roman" w:hAnsi="Times New Roman" w:cs="Times New Roman"/>
          <w:b/>
          <w:sz w:val="24"/>
          <w:szCs w:val="24"/>
        </w:rPr>
      </w:pPr>
      <w:r w:rsidRPr="0054208D">
        <w:rPr>
          <w:rFonts w:ascii="Times New Roman" w:hAnsi="Times New Roman" w:cs="Times New Roman"/>
          <w:b/>
          <w:sz w:val="24"/>
          <w:szCs w:val="24"/>
        </w:rPr>
        <w:t xml:space="preserve">2. </w:t>
      </w:r>
      <w:proofErr w:type="spellStart"/>
      <w:r w:rsidRPr="0054208D">
        <w:rPr>
          <w:rFonts w:ascii="Times New Roman" w:hAnsi="Times New Roman" w:cs="Times New Roman"/>
          <w:b/>
          <w:sz w:val="24"/>
          <w:szCs w:val="24"/>
        </w:rPr>
        <w:t>References</w:t>
      </w:r>
      <w:proofErr w:type="spellEnd"/>
      <w:r w:rsidRPr="0054208D">
        <w:rPr>
          <w:rFonts w:ascii="Times New Roman" w:hAnsi="Times New Roman" w:cs="Times New Roman"/>
          <w:b/>
          <w:sz w:val="24"/>
          <w:szCs w:val="24"/>
        </w:rPr>
        <w:t xml:space="preserve"> of </w:t>
      </w:r>
      <w:proofErr w:type="spellStart"/>
      <w:r w:rsidRPr="0054208D">
        <w:rPr>
          <w:rFonts w:ascii="Times New Roman" w:hAnsi="Times New Roman" w:cs="Times New Roman"/>
          <w:b/>
          <w:sz w:val="24"/>
          <w:szCs w:val="24"/>
        </w:rPr>
        <w:t>supplemental</w:t>
      </w:r>
      <w:proofErr w:type="spellEnd"/>
      <w:r w:rsidRPr="0054208D">
        <w:rPr>
          <w:rFonts w:ascii="Times New Roman" w:hAnsi="Times New Roman" w:cs="Times New Roman"/>
          <w:b/>
          <w:sz w:val="24"/>
          <w:szCs w:val="24"/>
        </w:rPr>
        <w:t xml:space="preserve"> material</w:t>
      </w:r>
    </w:p>
    <w:p w14:paraId="564442B1" w14:textId="77777777" w:rsidR="00202DB4"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en-US"/>
        </w:rPr>
      </w:pPr>
      <w:r w:rsidRPr="00037A7C">
        <w:rPr>
          <w:rFonts w:ascii="Times New Roman" w:hAnsi="Times New Roman" w:cs="Times New Roman"/>
          <w:noProof/>
          <w:sz w:val="24"/>
          <w:szCs w:val="24"/>
        </w:rPr>
        <w:t xml:space="preserve">Linares R, Macario KD, Santos GM, Carvalho C, dos Santos HC, Gomes PR, Castro MD, Oliveira FM, Alves EQ. 2015. </w:t>
      </w:r>
      <w:r w:rsidRPr="00037A7C">
        <w:rPr>
          <w:rFonts w:ascii="Times New Roman" w:hAnsi="Times New Roman" w:cs="Times New Roman"/>
          <w:noProof/>
          <w:sz w:val="24"/>
          <w:szCs w:val="24"/>
          <w:lang w:val="en-US"/>
        </w:rPr>
        <w:t>Radiocarbon measurements at LAC-UFF: recent performance. Nuclear Instruments and Methods in Physics Research Section B: Beam Interactions with Materials and Atoms, 361:341</w:t>
      </w:r>
      <w:r>
        <w:rPr>
          <w:rFonts w:ascii="Times New Roman" w:hAnsi="Times New Roman" w:cs="Times New Roman"/>
          <w:noProof/>
          <w:sz w:val="24"/>
          <w:szCs w:val="24"/>
          <w:lang w:val="en-US"/>
        </w:rPr>
        <w:t>–</w:t>
      </w:r>
      <w:r w:rsidRPr="00037A7C">
        <w:rPr>
          <w:rFonts w:ascii="Times New Roman" w:hAnsi="Times New Roman" w:cs="Times New Roman"/>
          <w:noProof/>
          <w:sz w:val="24"/>
          <w:szCs w:val="24"/>
          <w:lang w:val="en-US"/>
        </w:rPr>
        <w:t>345. doi.org/10.1016/j.nimb.2015.05.025</w:t>
      </w:r>
    </w:p>
    <w:p w14:paraId="13BF7185" w14:textId="77777777" w:rsidR="00202DB4"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en-US"/>
        </w:rPr>
      </w:pPr>
      <w:r w:rsidRPr="00037A7C">
        <w:rPr>
          <w:rFonts w:ascii="Times New Roman" w:hAnsi="Times New Roman" w:cs="Times New Roman"/>
          <w:noProof/>
          <w:sz w:val="24"/>
          <w:szCs w:val="24"/>
        </w:rPr>
        <w:t xml:space="preserve">Macario KD, Oliveira FM, Carvalho C, Santos GC, Xu X, Chanca IS, Alves EQ, et al. </w:t>
      </w:r>
      <w:r w:rsidRPr="007F1368">
        <w:rPr>
          <w:rFonts w:ascii="Times New Roman" w:hAnsi="Times New Roman" w:cs="Times New Roman"/>
          <w:noProof/>
          <w:sz w:val="24"/>
          <w:szCs w:val="24"/>
        </w:rPr>
        <w:t xml:space="preserve">2015. </w:t>
      </w:r>
      <w:r w:rsidRPr="00037A7C">
        <w:rPr>
          <w:rFonts w:ascii="Times New Roman" w:hAnsi="Times New Roman" w:cs="Times New Roman"/>
          <w:noProof/>
          <w:sz w:val="24"/>
          <w:szCs w:val="24"/>
          <w:lang w:val="en-US"/>
        </w:rPr>
        <w:t xml:space="preserve">Advances in the Graphitization Protocol at the Radiocarbon Laboratory of the Universidade Federal Fluminense (LAC-UFF) in Brazil. </w:t>
      </w:r>
      <w:r w:rsidRPr="00DB5469">
        <w:rPr>
          <w:rFonts w:ascii="Times New Roman" w:hAnsi="Times New Roman" w:cs="Times New Roman"/>
          <w:iCs/>
          <w:noProof/>
          <w:sz w:val="24"/>
          <w:szCs w:val="24"/>
          <w:lang w:val="en-US"/>
        </w:rPr>
        <w:t>Nuclear Instruments and Methods in Physics Research Section B: Beam Interactions with Materials and Atoms</w:t>
      </w:r>
      <w:r w:rsidRPr="00DB5469">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361</w:t>
      </w:r>
      <w:r w:rsidRPr="00037A7C">
        <w:rPr>
          <w:rFonts w:ascii="Times New Roman" w:hAnsi="Times New Roman" w:cs="Times New Roman"/>
          <w:noProof/>
          <w:sz w:val="24"/>
          <w:szCs w:val="24"/>
          <w:lang w:val="en-US"/>
        </w:rPr>
        <w:t>:402–5. doi:10.1016/j.nimb.2015.03.081.</w:t>
      </w:r>
    </w:p>
    <w:p w14:paraId="3272C067" w14:textId="77777777" w:rsidR="00202DB4"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037A7C">
        <w:rPr>
          <w:rFonts w:ascii="Times New Roman" w:hAnsi="Times New Roman" w:cs="Times New Roman"/>
          <w:noProof/>
          <w:sz w:val="24"/>
          <w:szCs w:val="24"/>
          <w:lang w:val="en-US"/>
        </w:rPr>
        <w:t>Manheim FT, Brooks EG, Winters WJ</w:t>
      </w:r>
      <w:r>
        <w:rPr>
          <w:rFonts w:ascii="Times New Roman" w:hAnsi="Times New Roman" w:cs="Times New Roman"/>
          <w:noProof/>
          <w:sz w:val="24"/>
          <w:szCs w:val="24"/>
          <w:lang w:val="en-US"/>
        </w:rPr>
        <w:t>.</w:t>
      </w:r>
      <w:r w:rsidRPr="00037A7C">
        <w:rPr>
          <w:rFonts w:ascii="Times New Roman" w:hAnsi="Times New Roman" w:cs="Times New Roman"/>
          <w:noProof/>
          <w:sz w:val="24"/>
          <w:szCs w:val="24"/>
          <w:lang w:val="en-US"/>
        </w:rPr>
        <w:t xml:space="preserve"> 1994. Description of a hydraulic sediment squeezer. </w:t>
      </w:r>
      <w:r w:rsidRPr="00037A7C">
        <w:rPr>
          <w:rFonts w:ascii="Times New Roman" w:hAnsi="Times New Roman" w:cs="Times New Roman"/>
          <w:noProof/>
          <w:sz w:val="24"/>
          <w:szCs w:val="24"/>
        </w:rPr>
        <w:t>US Geol</w:t>
      </w:r>
      <w:r>
        <w:rPr>
          <w:rFonts w:ascii="Times New Roman" w:hAnsi="Times New Roman" w:cs="Times New Roman"/>
          <w:noProof/>
          <w:sz w:val="24"/>
          <w:szCs w:val="24"/>
        </w:rPr>
        <w:t>ogical</w:t>
      </w:r>
      <w:r w:rsidRPr="00037A7C">
        <w:rPr>
          <w:rFonts w:ascii="Times New Roman" w:hAnsi="Times New Roman" w:cs="Times New Roman"/>
          <w:noProof/>
          <w:sz w:val="24"/>
          <w:szCs w:val="24"/>
        </w:rPr>
        <w:t xml:space="preserve"> Surv</w:t>
      </w:r>
      <w:r>
        <w:rPr>
          <w:rFonts w:ascii="Times New Roman" w:hAnsi="Times New Roman" w:cs="Times New Roman"/>
          <w:noProof/>
          <w:sz w:val="24"/>
          <w:szCs w:val="24"/>
        </w:rPr>
        <w:t>ey</w:t>
      </w:r>
      <w:r w:rsidRPr="00037A7C">
        <w:rPr>
          <w:rFonts w:ascii="Times New Roman" w:hAnsi="Times New Roman" w:cs="Times New Roman"/>
          <w:noProof/>
          <w:sz w:val="24"/>
          <w:szCs w:val="24"/>
        </w:rPr>
        <w:t xml:space="preserve"> Open-File Report 94-0584,39</w:t>
      </w:r>
      <w:r>
        <w:rPr>
          <w:rFonts w:ascii="Times New Roman" w:hAnsi="Times New Roman" w:cs="Times New Roman"/>
          <w:noProof/>
          <w:sz w:val="24"/>
          <w:szCs w:val="24"/>
        </w:rPr>
        <w:t>.</w:t>
      </w:r>
    </w:p>
    <w:p w14:paraId="774BF506" w14:textId="77777777" w:rsidR="00202DB4"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en-US"/>
        </w:rPr>
      </w:pPr>
      <w:r w:rsidRPr="00037A7C">
        <w:rPr>
          <w:rFonts w:ascii="Times New Roman" w:hAnsi="Times New Roman" w:cs="Times New Roman"/>
          <w:noProof/>
          <w:sz w:val="24"/>
          <w:szCs w:val="24"/>
        </w:rPr>
        <w:t xml:space="preserve">Petrobras, Petroleo Brasileiro, S A, Exploracao e Producao, Gerencia de Exploracao, e Gerencia de Sistemas Petroliferos. </w:t>
      </w:r>
      <w:r w:rsidRPr="00037A7C">
        <w:rPr>
          <w:rFonts w:ascii="Times New Roman" w:hAnsi="Times New Roman" w:cs="Times New Roman"/>
          <w:noProof/>
          <w:sz w:val="24"/>
          <w:szCs w:val="24"/>
          <w:lang w:val="en-US"/>
        </w:rPr>
        <w:t xml:space="preserve">2002. Crustal Architecture of South Atlantic Volcanic Margins. </w:t>
      </w:r>
      <w:r w:rsidRPr="00DB5469">
        <w:rPr>
          <w:rFonts w:ascii="Times New Roman" w:hAnsi="Times New Roman" w:cs="Times New Roman"/>
          <w:iCs/>
          <w:noProof/>
          <w:sz w:val="24"/>
          <w:szCs w:val="24"/>
          <w:lang w:val="en-US"/>
        </w:rPr>
        <w:t>Volcanic Rifted Margins</w:t>
      </w:r>
      <w:r w:rsidRPr="00037A7C">
        <w:rPr>
          <w:rFonts w:ascii="Times New Roman" w:hAnsi="Times New Roman" w:cs="Times New Roman"/>
          <w:noProof/>
          <w:sz w:val="24"/>
          <w:szCs w:val="24"/>
          <w:lang w:val="en-US"/>
        </w:rPr>
        <w:t xml:space="preserve"> 362. Geological Society of America</w:t>
      </w:r>
      <w:r>
        <w:rPr>
          <w:rFonts w:ascii="Times New Roman" w:hAnsi="Times New Roman" w:cs="Times New Roman"/>
          <w:noProof/>
          <w:sz w:val="24"/>
          <w:szCs w:val="24"/>
          <w:lang w:val="en-US"/>
        </w:rPr>
        <w:t xml:space="preserve"> </w:t>
      </w:r>
      <w:r w:rsidRPr="00037A7C">
        <w:rPr>
          <w:rFonts w:ascii="Times New Roman" w:hAnsi="Times New Roman" w:cs="Times New Roman"/>
          <w:noProof/>
          <w:sz w:val="24"/>
          <w:szCs w:val="24"/>
          <w:lang w:val="en-US"/>
        </w:rPr>
        <w:t>159.</w:t>
      </w:r>
    </w:p>
    <w:p w14:paraId="3803DD91" w14:textId="77777777" w:rsidR="00202DB4"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en-US"/>
        </w:rPr>
      </w:pPr>
      <w:r w:rsidRPr="00C01DC0">
        <w:rPr>
          <w:rFonts w:ascii="Times New Roman" w:hAnsi="Times New Roman" w:cs="Times New Roman"/>
          <w:noProof/>
          <w:sz w:val="24"/>
          <w:szCs w:val="24"/>
          <w:lang w:val="en-US"/>
        </w:rPr>
        <w:t>Rodrigues LF, Ketzer JM, Lourega RV, Augustin AH, Sbrissa G, Miller D, Heemann R, Viana A, Freire AFM</w:t>
      </w:r>
      <w:r>
        <w:rPr>
          <w:rFonts w:ascii="Times New Roman" w:hAnsi="Times New Roman" w:cs="Times New Roman"/>
          <w:noProof/>
          <w:sz w:val="24"/>
          <w:szCs w:val="24"/>
          <w:lang w:val="en-US"/>
        </w:rPr>
        <w:t>,</w:t>
      </w:r>
      <w:r w:rsidRPr="00C01DC0">
        <w:rPr>
          <w:rFonts w:ascii="Times New Roman" w:hAnsi="Times New Roman" w:cs="Times New Roman"/>
          <w:noProof/>
          <w:sz w:val="24"/>
          <w:szCs w:val="24"/>
          <w:lang w:val="en-US"/>
        </w:rPr>
        <w:t xml:space="preserve"> Morad S. 2017. </w:t>
      </w:r>
      <w:r w:rsidRPr="00037A7C">
        <w:rPr>
          <w:rFonts w:ascii="Times New Roman" w:hAnsi="Times New Roman" w:cs="Times New Roman"/>
          <w:noProof/>
          <w:sz w:val="24"/>
          <w:szCs w:val="24"/>
          <w:lang w:val="en-US"/>
        </w:rPr>
        <w:t xml:space="preserve">The Influence of Methane Fluxes on the Sulfate/methane Interface in Sediments from the Rio Grande Cone Gas Hydrate Province, Southern Brazil. </w:t>
      </w:r>
      <w:r w:rsidRPr="00DB5469">
        <w:rPr>
          <w:rFonts w:ascii="Times New Roman" w:hAnsi="Times New Roman" w:cs="Times New Roman"/>
          <w:iCs/>
          <w:noProof/>
          <w:sz w:val="24"/>
          <w:szCs w:val="24"/>
          <w:lang w:val="en-US"/>
        </w:rPr>
        <w:t>Brazilian Journal of Geology</w:t>
      </w:r>
      <w:r w:rsidRPr="00C01DC0">
        <w:rPr>
          <w:rFonts w:ascii="Times New Roman" w:hAnsi="Times New Roman" w:cs="Times New Roman"/>
          <w:noProof/>
          <w:sz w:val="24"/>
          <w:szCs w:val="24"/>
          <w:lang w:val="en-US"/>
        </w:rPr>
        <w:t xml:space="preserve"> 47(3):369–</w:t>
      </w:r>
      <w:r>
        <w:rPr>
          <w:rFonts w:ascii="Times New Roman" w:hAnsi="Times New Roman" w:cs="Times New Roman"/>
          <w:noProof/>
          <w:sz w:val="24"/>
          <w:szCs w:val="24"/>
          <w:lang w:val="en-US"/>
        </w:rPr>
        <w:t>3</w:t>
      </w:r>
      <w:r w:rsidRPr="00C01DC0">
        <w:rPr>
          <w:rFonts w:ascii="Times New Roman" w:hAnsi="Times New Roman" w:cs="Times New Roman"/>
          <w:noProof/>
          <w:sz w:val="24"/>
          <w:szCs w:val="24"/>
          <w:lang w:val="en-US"/>
        </w:rPr>
        <w:t>81. doi:10.1590/2317-4889201720170027.</w:t>
      </w:r>
    </w:p>
    <w:p w14:paraId="0757DD38" w14:textId="77777777" w:rsidR="00202DB4" w:rsidRPr="00734EFC"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en-US"/>
        </w:rPr>
      </w:pPr>
      <w:r w:rsidRPr="00037A7C">
        <w:rPr>
          <w:rFonts w:ascii="Times New Roman" w:hAnsi="Times New Roman" w:cs="Times New Roman"/>
          <w:noProof/>
          <w:sz w:val="24"/>
          <w:szCs w:val="24"/>
          <w:lang w:val="en-US"/>
        </w:rPr>
        <w:lastRenderedPageBreak/>
        <w:t>Stuiver M</w:t>
      </w:r>
      <w:r>
        <w:rPr>
          <w:rFonts w:ascii="Times New Roman" w:hAnsi="Times New Roman" w:cs="Times New Roman"/>
          <w:noProof/>
          <w:sz w:val="24"/>
          <w:szCs w:val="24"/>
          <w:lang w:val="en-US"/>
        </w:rPr>
        <w:t>,</w:t>
      </w:r>
      <w:r w:rsidRPr="00037A7C">
        <w:rPr>
          <w:rFonts w:ascii="Times New Roman" w:hAnsi="Times New Roman" w:cs="Times New Roman"/>
          <w:noProof/>
          <w:sz w:val="24"/>
          <w:szCs w:val="24"/>
          <w:lang w:val="en-US"/>
        </w:rPr>
        <w:t xml:space="preserve"> Polach HA. 1977. Discussion reporting of 14C data. </w:t>
      </w:r>
      <w:r w:rsidRPr="00734EFC">
        <w:rPr>
          <w:rFonts w:ascii="Times New Roman" w:hAnsi="Times New Roman" w:cs="Times New Roman"/>
          <w:noProof/>
          <w:sz w:val="24"/>
          <w:szCs w:val="24"/>
          <w:lang w:val="en-US"/>
        </w:rPr>
        <w:t>Radiocarbon. 19:355</w:t>
      </w:r>
      <w:r>
        <w:rPr>
          <w:rFonts w:ascii="Times New Roman" w:hAnsi="Times New Roman" w:cs="Times New Roman"/>
          <w:noProof/>
          <w:sz w:val="24"/>
          <w:szCs w:val="24"/>
          <w:lang w:val="en-US"/>
        </w:rPr>
        <w:t>–</w:t>
      </w:r>
      <w:r w:rsidRPr="00734EFC">
        <w:rPr>
          <w:rFonts w:ascii="Times New Roman" w:hAnsi="Times New Roman" w:cs="Times New Roman"/>
          <w:noProof/>
          <w:sz w:val="24"/>
          <w:szCs w:val="24"/>
          <w:lang w:val="en-US"/>
        </w:rPr>
        <w:t>363. doi.org/10.1017/S0033822200003672.</w:t>
      </w:r>
    </w:p>
    <w:p w14:paraId="50CE6324" w14:textId="77777777" w:rsidR="00202DB4" w:rsidRPr="00037A7C" w:rsidRDefault="00202DB4" w:rsidP="00202DB4">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en-US"/>
        </w:rPr>
      </w:pPr>
      <w:r w:rsidRPr="00037A7C">
        <w:rPr>
          <w:rFonts w:ascii="Times New Roman" w:hAnsi="Times New Roman" w:cs="Times New Roman"/>
          <w:noProof/>
          <w:sz w:val="24"/>
          <w:szCs w:val="24"/>
          <w:lang w:val="en-US"/>
        </w:rPr>
        <w:t>Xu X,. Trumbore SE, Zheng S, Southon JR, McDuffee KE, Luttgen M</w:t>
      </w:r>
      <w:r>
        <w:rPr>
          <w:rFonts w:ascii="Times New Roman" w:hAnsi="Times New Roman" w:cs="Times New Roman"/>
          <w:noProof/>
          <w:sz w:val="24"/>
          <w:szCs w:val="24"/>
          <w:lang w:val="en-US"/>
        </w:rPr>
        <w:t>,</w:t>
      </w:r>
      <w:r w:rsidRPr="00037A7C">
        <w:rPr>
          <w:rFonts w:ascii="Times New Roman" w:hAnsi="Times New Roman" w:cs="Times New Roman"/>
          <w:noProof/>
          <w:sz w:val="24"/>
          <w:szCs w:val="24"/>
          <w:lang w:val="en-US"/>
        </w:rPr>
        <w:t xml:space="preserve"> Liu JC. 2007. Modifying a Sealed Tube Zinc Reduction Method for Preparation of AMS Graphite Targets: Reducing Background and Attaining High Precision. </w:t>
      </w:r>
      <w:r w:rsidRPr="00DB5469">
        <w:rPr>
          <w:rFonts w:ascii="Times New Roman" w:hAnsi="Times New Roman" w:cs="Times New Roman"/>
          <w:iCs/>
          <w:noProof/>
          <w:sz w:val="24"/>
          <w:szCs w:val="24"/>
          <w:lang w:val="en-US"/>
        </w:rPr>
        <w:t>Nuclear Instruments and Methods in Physics Research, Section B: Beam Interactions with Materials and Atoms</w:t>
      </w:r>
      <w:r w:rsidRPr="00037A7C">
        <w:rPr>
          <w:rFonts w:ascii="Times New Roman" w:hAnsi="Times New Roman" w:cs="Times New Roman"/>
          <w:noProof/>
          <w:sz w:val="24"/>
          <w:szCs w:val="24"/>
          <w:lang w:val="en-US"/>
        </w:rPr>
        <w:t xml:space="preserve"> 259(1):320–29. doi:10.1016/j.nimb.2007.01.175.</w:t>
      </w:r>
    </w:p>
    <w:p w14:paraId="18BE45F4" w14:textId="77777777" w:rsidR="00202DB4" w:rsidRPr="00FD2761" w:rsidRDefault="00202DB4" w:rsidP="00202DB4">
      <w:pPr>
        <w:rPr>
          <w:lang w:val="en-US"/>
        </w:rPr>
      </w:pPr>
    </w:p>
    <w:p w14:paraId="568E6E5E" w14:textId="77777777" w:rsidR="00BF21D0" w:rsidRDefault="00BF21D0">
      <w:pPr>
        <w:rPr>
          <w:lang w:val="en-US"/>
        </w:rPr>
      </w:pPr>
    </w:p>
    <w:p w14:paraId="312CE5FD" w14:textId="77777777" w:rsidR="00BF21D0" w:rsidRDefault="00BF21D0">
      <w:pPr>
        <w:rPr>
          <w:lang w:val="en-US"/>
        </w:rPr>
      </w:pPr>
    </w:p>
    <w:p w14:paraId="227FEC96" w14:textId="77777777" w:rsidR="00BF21D0" w:rsidRDefault="00BF21D0">
      <w:pPr>
        <w:rPr>
          <w:lang w:val="en-US"/>
        </w:rPr>
      </w:pPr>
    </w:p>
    <w:p w14:paraId="20A3E985" w14:textId="77777777" w:rsidR="00BF21D0" w:rsidRDefault="00BF21D0">
      <w:pPr>
        <w:rPr>
          <w:lang w:val="en-US"/>
        </w:rPr>
      </w:pPr>
    </w:p>
    <w:p w14:paraId="4B42618B" w14:textId="77777777" w:rsidR="00BF21D0" w:rsidRDefault="00BF21D0">
      <w:pPr>
        <w:rPr>
          <w:lang w:val="en-US"/>
        </w:rPr>
      </w:pPr>
    </w:p>
    <w:p w14:paraId="4CA4DD40" w14:textId="77777777" w:rsidR="00BF21D0" w:rsidRDefault="00BF21D0">
      <w:pPr>
        <w:rPr>
          <w:lang w:val="en-US"/>
        </w:rPr>
      </w:pPr>
    </w:p>
    <w:p w14:paraId="6BC8AC3A" w14:textId="77777777" w:rsidR="00BF21D0" w:rsidRDefault="00BF21D0">
      <w:pPr>
        <w:rPr>
          <w:lang w:val="en-US"/>
        </w:rPr>
      </w:pPr>
    </w:p>
    <w:p w14:paraId="0C840DF5" w14:textId="77777777" w:rsidR="00BF21D0" w:rsidRDefault="00BF21D0">
      <w:pPr>
        <w:rPr>
          <w:lang w:val="en-US"/>
        </w:rPr>
      </w:pPr>
    </w:p>
    <w:p w14:paraId="41181E3C" w14:textId="77777777" w:rsidR="00BF21D0" w:rsidRDefault="00BF21D0">
      <w:pPr>
        <w:rPr>
          <w:lang w:val="en-US"/>
        </w:rPr>
      </w:pPr>
    </w:p>
    <w:p w14:paraId="554CC068" w14:textId="77777777" w:rsidR="00BF21D0" w:rsidRDefault="00BF21D0">
      <w:pPr>
        <w:rPr>
          <w:lang w:val="en-US"/>
        </w:rPr>
      </w:pPr>
    </w:p>
    <w:p w14:paraId="7C7E4319" w14:textId="77777777" w:rsidR="00BF21D0" w:rsidRDefault="00BF21D0">
      <w:pPr>
        <w:rPr>
          <w:lang w:val="en-US"/>
        </w:rPr>
      </w:pPr>
    </w:p>
    <w:p w14:paraId="12E116D0" w14:textId="77777777" w:rsidR="00BF21D0" w:rsidRDefault="00BF21D0">
      <w:pPr>
        <w:rPr>
          <w:lang w:val="en-US"/>
        </w:rPr>
      </w:pPr>
    </w:p>
    <w:p w14:paraId="6034DF6F" w14:textId="77777777" w:rsidR="00BF21D0" w:rsidRDefault="00BF21D0">
      <w:pPr>
        <w:rPr>
          <w:lang w:val="en-US"/>
        </w:rPr>
      </w:pPr>
    </w:p>
    <w:p w14:paraId="676C962A" w14:textId="77777777" w:rsidR="00BF21D0" w:rsidRDefault="00BF21D0">
      <w:pPr>
        <w:rPr>
          <w:lang w:val="en-US"/>
        </w:rPr>
      </w:pPr>
    </w:p>
    <w:p w14:paraId="4BC9B83A" w14:textId="77777777" w:rsidR="00BF21D0" w:rsidRDefault="00BF21D0">
      <w:pPr>
        <w:rPr>
          <w:lang w:val="en-US"/>
        </w:rPr>
      </w:pPr>
    </w:p>
    <w:p w14:paraId="14AD6349" w14:textId="77777777" w:rsidR="00BF21D0" w:rsidRDefault="00BF21D0">
      <w:pPr>
        <w:rPr>
          <w:lang w:val="en-US"/>
        </w:rPr>
      </w:pPr>
    </w:p>
    <w:p w14:paraId="5AC6B5AB" w14:textId="77777777" w:rsidR="00BF21D0" w:rsidRDefault="00BF21D0">
      <w:pPr>
        <w:rPr>
          <w:lang w:val="en-US"/>
        </w:rPr>
      </w:pPr>
    </w:p>
    <w:p w14:paraId="14344C46" w14:textId="77777777" w:rsidR="00BF21D0" w:rsidRDefault="00BF21D0">
      <w:pPr>
        <w:rPr>
          <w:lang w:val="en-US"/>
        </w:rPr>
        <w:sectPr w:rsidR="00BF21D0" w:rsidSect="00C91012">
          <w:footerReference w:type="default" r:id="rId8"/>
          <w:pgSz w:w="11906" w:h="16838"/>
          <w:pgMar w:top="1417" w:right="1701" w:bottom="1417" w:left="1701" w:header="720" w:footer="720" w:gutter="0"/>
          <w:lnNumType w:countBy="1" w:restart="continuous"/>
          <w:cols w:space="720"/>
          <w:docGrid w:linePitch="360"/>
        </w:sectPr>
      </w:pPr>
      <w:r>
        <w:rPr>
          <w:lang w:val="en-US"/>
        </w:rPr>
        <w:br w:type="page"/>
      </w:r>
    </w:p>
    <w:tbl>
      <w:tblPr>
        <w:tblStyle w:val="Tabelacomgrade"/>
        <w:tblpPr w:leftFromText="141" w:rightFromText="141" w:vertAnchor="page" w:horzAnchor="margin" w:tblpY="1267"/>
        <w:tblW w:w="15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830"/>
        <w:gridCol w:w="3830"/>
        <w:gridCol w:w="3890"/>
        <w:gridCol w:w="3774"/>
      </w:tblGrid>
      <w:tr w:rsidR="00C56BFF" w:rsidRPr="009872D0" w14:paraId="0F7202C5" w14:textId="77777777" w:rsidTr="0065459E">
        <w:trPr>
          <w:trHeight w:val="346"/>
        </w:trPr>
        <w:tc>
          <w:tcPr>
            <w:tcW w:w="15324" w:type="dxa"/>
            <w:gridSpan w:val="4"/>
          </w:tcPr>
          <w:p w14:paraId="355EC32A" w14:textId="62052089" w:rsidR="00C56BFF" w:rsidRPr="0065459E" w:rsidRDefault="0065459E" w:rsidP="0065459E">
            <w:pPr>
              <w:tabs>
                <w:tab w:val="left" w:pos="8054"/>
              </w:tabs>
              <w:spacing w:line="480" w:lineRule="auto"/>
              <w:jc w:val="both"/>
              <w:rPr>
                <w:rFonts w:ascii="Times New Roman" w:hAnsi="Times New Roman"/>
                <w:b/>
                <w:sz w:val="24"/>
                <w:szCs w:val="24"/>
              </w:rPr>
            </w:pPr>
            <w:r w:rsidRPr="00BD69B3">
              <w:rPr>
                <w:rFonts w:ascii="Times New Roman" w:hAnsi="Times New Roman"/>
                <w:b/>
                <w:sz w:val="24"/>
                <w:szCs w:val="24"/>
              </w:rPr>
              <w:lastRenderedPageBreak/>
              <w:t>3. Figures and table of supplemental material</w:t>
            </w:r>
            <w:r>
              <w:rPr>
                <w:rFonts w:ascii="Times New Roman" w:hAnsi="Times New Roman"/>
                <w:b/>
                <w:sz w:val="24"/>
                <w:szCs w:val="24"/>
              </w:rPr>
              <w:tab/>
            </w:r>
          </w:p>
        </w:tc>
      </w:tr>
      <w:tr w:rsidR="00C56BFF" w:rsidRPr="003009BB" w14:paraId="3C8FF6D3" w14:textId="77777777" w:rsidTr="0065459E">
        <w:trPr>
          <w:trHeight w:val="314"/>
        </w:trPr>
        <w:tc>
          <w:tcPr>
            <w:tcW w:w="3830" w:type="dxa"/>
          </w:tcPr>
          <w:p w14:paraId="23E0F13F" w14:textId="77777777" w:rsidR="00C56BFF" w:rsidRPr="003009BB" w:rsidRDefault="005A35C1" w:rsidP="00C56BFF">
            <w:pPr>
              <w:rPr>
                <w:rFonts w:ascii="Times New Roman" w:hAnsi="Times New Roman"/>
                <w:b/>
                <w:szCs w:val="24"/>
                <w:lang w:val="pt-BR"/>
              </w:rPr>
            </w:pPr>
            <w:r w:rsidRPr="00447A29">
              <w:rPr>
                <w:rFonts w:ascii="Times New Roman" w:hAnsi="Times New Roman"/>
                <w:b/>
                <w:szCs w:val="24"/>
              </w:rPr>
              <w:t xml:space="preserve">            </w:t>
            </w:r>
            <w:r w:rsidR="00C56BFF" w:rsidRPr="003009BB">
              <w:rPr>
                <w:rFonts w:ascii="Times New Roman" w:hAnsi="Times New Roman"/>
                <w:b/>
                <w:szCs w:val="24"/>
                <w:lang w:val="pt-BR"/>
              </w:rPr>
              <w:t>A</w:t>
            </w:r>
          </w:p>
        </w:tc>
        <w:tc>
          <w:tcPr>
            <w:tcW w:w="3830" w:type="dxa"/>
          </w:tcPr>
          <w:p w14:paraId="0793C1C7" w14:textId="77777777" w:rsidR="00C56BFF" w:rsidRPr="003009BB" w:rsidRDefault="005A35C1" w:rsidP="00C56BFF">
            <w:pPr>
              <w:rPr>
                <w:rFonts w:ascii="Times New Roman" w:hAnsi="Times New Roman"/>
                <w:b/>
                <w:szCs w:val="24"/>
                <w:lang w:val="pt-BR"/>
              </w:rPr>
            </w:pPr>
            <w:r>
              <w:rPr>
                <w:rFonts w:ascii="Times New Roman" w:hAnsi="Times New Roman"/>
                <w:b/>
                <w:szCs w:val="24"/>
                <w:lang w:val="pt-BR"/>
              </w:rPr>
              <w:t xml:space="preserve">            </w:t>
            </w:r>
            <w:r w:rsidR="00C56BFF" w:rsidRPr="003009BB">
              <w:rPr>
                <w:rFonts w:ascii="Times New Roman" w:hAnsi="Times New Roman"/>
                <w:b/>
                <w:szCs w:val="24"/>
                <w:lang w:val="pt-BR"/>
              </w:rPr>
              <w:t>B</w:t>
            </w:r>
          </w:p>
        </w:tc>
        <w:tc>
          <w:tcPr>
            <w:tcW w:w="3890" w:type="dxa"/>
          </w:tcPr>
          <w:p w14:paraId="4A7D9222" w14:textId="77777777" w:rsidR="00C56BFF" w:rsidRPr="003009BB" w:rsidRDefault="005A35C1" w:rsidP="00C56BFF">
            <w:pPr>
              <w:rPr>
                <w:rFonts w:ascii="Times New Roman" w:hAnsi="Times New Roman"/>
                <w:b/>
                <w:szCs w:val="24"/>
                <w:lang w:val="pt-BR"/>
              </w:rPr>
            </w:pPr>
            <w:r>
              <w:rPr>
                <w:rFonts w:ascii="Times New Roman" w:hAnsi="Times New Roman"/>
                <w:b/>
                <w:szCs w:val="24"/>
                <w:lang w:val="pt-BR"/>
              </w:rPr>
              <w:t xml:space="preserve">            </w:t>
            </w:r>
            <w:r w:rsidR="00C56BFF" w:rsidRPr="003009BB">
              <w:rPr>
                <w:rFonts w:ascii="Times New Roman" w:hAnsi="Times New Roman"/>
                <w:b/>
                <w:szCs w:val="24"/>
                <w:lang w:val="pt-BR"/>
              </w:rPr>
              <w:t>C</w:t>
            </w:r>
          </w:p>
        </w:tc>
        <w:tc>
          <w:tcPr>
            <w:tcW w:w="3774" w:type="dxa"/>
          </w:tcPr>
          <w:p w14:paraId="4E5C0DF3" w14:textId="77777777" w:rsidR="00C56BFF" w:rsidRPr="003009BB" w:rsidRDefault="005A35C1" w:rsidP="00C56BFF">
            <w:pPr>
              <w:rPr>
                <w:rFonts w:ascii="Times New Roman" w:hAnsi="Times New Roman"/>
                <w:b/>
                <w:szCs w:val="24"/>
                <w:lang w:val="pt-BR"/>
              </w:rPr>
            </w:pPr>
            <w:r>
              <w:rPr>
                <w:rFonts w:ascii="Times New Roman" w:hAnsi="Times New Roman"/>
                <w:b/>
                <w:szCs w:val="24"/>
                <w:lang w:val="pt-BR"/>
              </w:rPr>
              <w:t xml:space="preserve">            </w:t>
            </w:r>
            <w:r w:rsidR="00C56BFF" w:rsidRPr="003009BB">
              <w:rPr>
                <w:rFonts w:ascii="Times New Roman" w:hAnsi="Times New Roman"/>
                <w:b/>
                <w:szCs w:val="24"/>
                <w:lang w:val="pt-BR"/>
              </w:rPr>
              <w:t>D</w:t>
            </w:r>
          </w:p>
        </w:tc>
      </w:tr>
      <w:tr w:rsidR="00C56BFF" w:rsidRPr="003009BB" w14:paraId="01AAA77A" w14:textId="77777777" w:rsidTr="0065459E">
        <w:trPr>
          <w:trHeight w:val="2168"/>
        </w:trPr>
        <w:tc>
          <w:tcPr>
            <w:tcW w:w="3830" w:type="dxa"/>
          </w:tcPr>
          <w:p w14:paraId="79FCC46E" w14:textId="77777777" w:rsidR="00C56BFF" w:rsidRPr="003009BB" w:rsidRDefault="00C56BFF" w:rsidP="00C56BFF">
            <w:pPr>
              <w:rPr>
                <w:lang w:val="pt-BR"/>
              </w:rPr>
            </w:pPr>
            <w:r>
              <w:rPr>
                <w:noProof/>
                <w:lang w:eastAsia="pt-BR"/>
              </w:rPr>
              <w:drawing>
                <wp:inline distT="0" distB="0" distL="0" distR="0" wp14:anchorId="37565EA6" wp14:editId="0779CBEB">
                  <wp:extent cx="2336271" cy="2079624"/>
                  <wp:effectExtent l="0" t="0" r="698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830" w:type="dxa"/>
          </w:tcPr>
          <w:p w14:paraId="7108B09C" w14:textId="77777777" w:rsidR="00C56BFF" w:rsidRPr="003009BB" w:rsidRDefault="00C56BFF" w:rsidP="00C56BFF">
            <w:pPr>
              <w:rPr>
                <w:noProof/>
                <w:lang w:val="pt-BR" w:eastAsia="pt-BR"/>
              </w:rPr>
            </w:pPr>
            <w:r>
              <w:rPr>
                <w:noProof/>
                <w:lang w:eastAsia="pt-BR"/>
              </w:rPr>
              <w:drawing>
                <wp:inline distT="0" distB="0" distL="0" distR="0" wp14:anchorId="6690A007" wp14:editId="55582C72">
                  <wp:extent cx="2330978" cy="2079624"/>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890" w:type="dxa"/>
          </w:tcPr>
          <w:p w14:paraId="756C4C3A" w14:textId="77777777" w:rsidR="00C56BFF" w:rsidRPr="003009BB" w:rsidRDefault="00C56BFF" w:rsidP="00C56BFF">
            <w:pPr>
              <w:rPr>
                <w:noProof/>
                <w:lang w:val="pt-BR" w:eastAsia="pt-BR"/>
              </w:rPr>
            </w:pPr>
            <w:r>
              <w:rPr>
                <w:noProof/>
                <w:lang w:eastAsia="pt-BR"/>
              </w:rPr>
              <w:drawing>
                <wp:inline distT="0" distB="0" distL="0" distR="0" wp14:anchorId="32ADED94" wp14:editId="55800A46">
                  <wp:extent cx="2375166" cy="2095500"/>
                  <wp:effectExtent l="0" t="0" r="63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774" w:type="dxa"/>
          </w:tcPr>
          <w:p w14:paraId="56B53B24" w14:textId="77777777" w:rsidR="00C56BFF" w:rsidRPr="003009BB" w:rsidRDefault="00C56BFF" w:rsidP="00C56BFF">
            <w:pPr>
              <w:rPr>
                <w:noProof/>
                <w:lang w:val="pt-BR" w:eastAsia="pt-BR"/>
              </w:rPr>
            </w:pPr>
            <w:r>
              <w:rPr>
                <w:noProof/>
                <w:lang w:eastAsia="pt-BR"/>
              </w:rPr>
              <w:drawing>
                <wp:inline distT="0" distB="0" distL="0" distR="0" wp14:anchorId="2C171285" wp14:editId="0C2E5229">
                  <wp:extent cx="2266817" cy="2071370"/>
                  <wp:effectExtent l="0" t="0" r="635" b="508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56BFF" w:rsidRPr="003009BB" w14:paraId="7F210CCC" w14:textId="77777777" w:rsidTr="0065459E">
        <w:trPr>
          <w:trHeight w:val="182"/>
        </w:trPr>
        <w:tc>
          <w:tcPr>
            <w:tcW w:w="3830" w:type="dxa"/>
          </w:tcPr>
          <w:p w14:paraId="0AE7AD2B" w14:textId="77777777" w:rsidR="00C56BFF" w:rsidRPr="003009BB" w:rsidRDefault="005A35C1" w:rsidP="00C56BFF">
            <w:pPr>
              <w:rPr>
                <w:b/>
                <w:noProof/>
                <w:lang w:val="pt-BR" w:eastAsia="pt-BR"/>
              </w:rPr>
            </w:pPr>
            <w:r>
              <w:rPr>
                <w:b/>
                <w:noProof/>
                <w:lang w:val="pt-BR" w:eastAsia="pt-BR"/>
              </w:rPr>
              <w:t xml:space="preserve">             </w:t>
            </w:r>
            <w:r w:rsidR="00C56BFF" w:rsidRPr="003009BB">
              <w:rPr>
                <w:b/>
                <w:noProof/>
                <w:lang w:val="pt-BR" w:eastAsia="pt-BR"/>
              </w:rPr>
              <w:t>E</w:t>
            </w:r>
          </w:p>
        </w:tc>
        <w:tc>
          <w:tcPr>
            <w:tcW w:w="3830" w:type="dxa"/>
          </w:tcPr>
          <w:p w14:paraId="74EB06CA" w14:textId="77777777" w:rsidR="00C56BFF" w:rsidRPr="003009BB" w:rsidRDefault="005A35C1" w:rsidP="00C56BFF">
            <w:pPr>
              <w:rPr>
                <w:b/>
                <w:noProof/>
                <w:lang w:val="pt-BR" w:eastAsia="pt-BR"/>
              </w:rPr>
            </w:pPr>
            <w:r>
              <w:rPr>
                <w:b/>
                <w:noProof/>
                <w:lang w:val="pt-BR" w:eastAsia="pt-BR"/>
              </w:rPr>
              <w:t xml:space="preserve">           </w:t>
            </w:r>
            <w:r w:rsidR="00C56BFF" w:rsidRPr="003009BB">
              <w:rPr>
                <w:b/>
                <w:noProof/>
                <w:lang w:val="pt-BR" w:eastAsia="pt-BR"/>
              </w:rPr>
              <w:t>F</w:t>
            </w:r>
          </w:p>
        </w:tc>
        <w:tc>
          <w:tcPr>
            <w:tcW w:w="3890" w:type="dxa"/>
          </w:tcPr>
          <w:p w14:paraId="77705EBE" w14:textId="77777777" w:rsidR="00C56BFF" w:rsidRPr="003009BB" w:rsidRDefault="005A35C1" w:rsidP="00C56BFF">
            <w:pPr>
              <w:rPr>
                <w:b/>
                <w:noProof/>
                <w:lang w:val="pt-BR" w:eastAsia="pt-BR"/>
              </w:rPr>
            </w:pPr>
            <w:r>
              <w:rPr>
                <w:b/>
                <w:noProof/>
                <w:lang w:val="pt-BR" w:eastAsia="pt-BR"/>
              </w:rPr>
              <w:t xml:space="preserve">           </w:t>
            </w:r>
            <w:r w:rsidR="00C56BFF" w:rsidRPr="003009BB">
              <w:rPr>
                <w:b/>
                <w:noProof/>
                <w:lang w:val="pt-BR" w:eastAsia="pt-BR"/>
              </w:rPr>
              <w:t>G</w:t>
            </w:r>
          </w:p>
        </w:tc>
        <w:tc>
          <w:tcPr>
            <w:tcW w:w="3774" w:type="dxa"/>
          </w:tcPr>
          <w:p w14:paraId="2CEF9B2E" w14:textId="77777777" w:rsidR="00C56BFF" w:rsidRPr="003009BB" w:rsidRDefault="005A35C1" w:rsidP="00C56BFF">
            <w:pPr>
              <w:rPr>
                <w:b/>
                <w:noProof/>
                <w:lang w:val="pt-BR" w:eastAsia="pt-BR"/>
              </w:rPr>
            </w:pPr>
            <w:r>
              <w:rPr>
                <w:b/>
                <w:noProof/>
                <w:lang w:val="pt-BR" w:eastAsia="pt-BR"/>
              </w:rPr>
              <w:t xml:space="preserve">            </w:t>
            </w:r>
            <w:r w:rsidR="00C56BFF" w:rsidRPr="003009BB">
              <w:rPr>
                <w:b/>
                <w:noProof/>
                <w:lang w:val="pt-BR" w:eastAsia="pt-BR"/>
              </w:rPr>
              <w:t>H</w:t>
            </w:r>
          </w:p>
        </w:tc>
      </w:tr>
      <w:tr w:rsidR="00C56BFF" w:rsidRPr="003009BB" w14:paraId="03C06F7B" w14:textId="77777777" w:rsidTr="0065459E">
        <w:trPr>
          <w:trHeight w:val="551"/>
        </w:trPr>
        <w:tc>
          <w:tcPr>
            <w:tcW w:w="3830" w:type="dxa"/>
          </w:tcPr>
          <w:p w14:paraId="31F4ED30" w14:textId="77777777" w:rsidR="00C56BFF" w:rsidRPr="003009BB" w:rsidRDefault="00C56BFF" w:rsidP="00C56BFF">
            <w:pPr>
              <w:rPr>
                <w:noProof/>
                <w:lang w:val="pt-BR" w:eastAsia="pt-BR"/>
              </w:rPr>
            </w:pPr>
            <w:r>
              <w:rPr>
                <w:noProof/>
                <w:lang w:eastAsia="pt-BR"/>
              </w:rPr>
              <w:drawing>
                <wp:inline distT="0" distB="0" distL="0" distR="0" wp14:anchorId="68129A33" wp14:editId="2CB29648">
                  <wp:extent cx="2336271" cy="2079624"/>
                  <wp:effectExtent l="0" t="0" r="6985" b="165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830" w:type="dxa"/>
          </w:tcPr>
          <w:p w14:paraId="1C3C26AD" w14:textId="77777777" w:rsidR="00C56BFF" w:rsidRPr="003009BB" w:rsidRDefault="00C56BFF" w:rsidP="00C56BFF">
            <w:pPr>
              <w:rPr>
                <w:noProof/>
                <w:lang w:val="pt-BR" w:eastAsia="pt-BR"/>
              </w:rPr>
            </w:pPr>
            <w:r>
              <w:rPr>
                <w:noProof/>
                <w:lang w:eastAsia="pt-BR"/>
              </w:rPr>
              <w:drawing>
                <wp:inline distT="0" distB="0" distL="0" distR="0" wp14:anchorId="5A3C1661" wp14:editId="4E33795B">
                  <wp:extent cx="2334683" cy="2079624"/>
                  <wp:effectExtent l="0" t="0" r="8890" b="165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890" w:type="dxa"/>
          </w:tcPr>
          <w:p w14:paraId="4AA48553" w14:textId="77777777" w:rsidR="00C56BFF" w:rsidRPr="003009BB" w:rsidRDefault="00C56BFF" w:rsidP="00C56BFF">
            <w:pPr>
              <w:rPr>
                <w:noProof/>
                <w:lang w:val="pt-BR" w:eastAsia="pt-BR"/>
              </w:rPr>
            </w:pPr>
            <w:r>
              <w:rPr>
                <w:noProof/>
                <w:lang w:eastAsia="pt-BR"/>
              </w:rPr>
              <w:drawing>
                <wp:inline distT="0" distB="0" distL="0" distR="0" wp14:anchorId="27C3640A" wp14:editId="0DE18E28">
                  <wp:extent cx="2247900" cy="20574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774" w:type="dxa"/>
          </w:tcPr>
          <w:p w14:paraId="249BB020" w14:textId="77777777" w:rsidR="00C56BFF" w:rsidRPr="003009BB" w:rsidRDefault="00C56BFF" w:rsidP="00C56BFF">
            <w:pPr>
              <w:rPr>
                <w:noProof/>
                <w:lang w:val="pt-BR" w:eastAsia="pt-BR"/>
              </w:rPr>
            </w:pPr>
            <w:r>
              <w:rPr>
                <w:noProof/>
                <w:lang w:eastAsia="pt-BR"/>
              </w:rPr>
              <w:drawing>
                <wp:inline distT="0" distB="0" distL="0" distR="0" wp14:anchorId="211742B0" wp14:editId="14662F95">
                  <wp:extent cx="2307646" cy="207645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65459E" w:rsidRPr="009872D0" w14:paraId="7FF0F5C7" w14:textId="77777777" w:rsidTr="0065459E">
        <w:trPr>
          <w:trHeight w:val="551"/>
        </w:trPr>
        <w:tc>
          <w:tcPr>
            <w:tcW w:w="15324" w:type="dxa"/>
            <w:gridSpan w:val="4"/>
          </w:tcPr>
          <w:p w14:paraId="59146EF1" w14:textId="3DA89415" w:rsidR="0065459E" w:rsidRPr="00133C93" w:rsidRDefault="0065459E" w:rsidP="00133C93">
            <w:pPr>
              <w:spacing w:line="360" w:lineRule="auto"/>
              <w:ind w:left="1095" w:hanging="1095"/>
              <w:rPr>
                <w:rFonts w:ascii="Times New Roman" w:hAnsi="Times New Roman"/>
                <w:b/>
                <w:noProof/>
                <w:sz w:val="24"/>
                <w:szCs w:val="24"/>
                <w:lang w:eastAsia="pt-BR"/>
              </w:rPr>
            </w:pPr>
            <w:r w:rsidRPr="00133C93">
              <w:rPr>
                <w:rFonts w:ascii="Times New Roman" w:hAnsi="Times New Roman"/>
                <w:b/>
                <w:noProof/>
                <w:sz w:val="24"/>
                <w:szCs w:val="24"/>
                <w:lang w:eastAsia="pt-BR"/>
              </w:rPr>
              <w:t xml:space="preserve">Figure S2. </w:t>
            </w:r>
            <w:r w:rsidRPr="00133C93">
              <w:rPr>
                <w:rFonts w:ascii="Times New Roman" w:hAnsi="Times New Roman"/>
                <w:noProof/>
                <w:sz w:val="24"/>
                <w:szCs w:val="24"/>
                <w:lang w:eastAsia="pt-BR"/>
              </w:rPr>
              <w:t>Concentrations of total organic carbon, total nitrogen, methane and sulfate, TOC:TN and TS:TOC atomic ratios, percent of modern carbon (14C) in sediments and δ13C-org from PC31 sample.</w:t>
            </w:r>
          </w:p>
        </w:tc>
      </w:tr>
    </w:tbl>
    <w:p w14:paraId="760FD629" w14:textId="77777777" w:rsidR="0065459E" w:rsidRPr="00133C93" w:rsidRDefault="0065459E" w:rsidP="00133C93">
      <w:pPr>
        <w:pStyle w:val="TAMainText"/>
        <w:spacing w:before="240" w:after="120" w:line="360" w:lineRule="auto"/>
        <w:ind w:firstLine="0"/>
        <w:contextualSpacing/>
        <w:rPr>
          <w:rFonts w:ascii="Times New Roman" w:hAnsi="Times New Roman"/>
          <w:b/>
          <w:szCs w:val="24"/>
        </w:rPr>
      </w:pPr>
    </w:p>
    <w:p w14:paraId="67B80BBD" w14:textId="54F2F3D3" w:rsidR="00BF21D0" w:rsidRDefault="00BF21D0" w:rsidP="00344A7F">
      <w:pPr>
        <w:pStyle w:val="TAMainText"/>
        <w:spacing w:before="240" w:after="120" w:line="360" w:lineRule="auto"/>
        <w:ind w:firstLine="0"/>
        <w:contextualSpacing/>
        <w:rPr>
          <w:rFonts w:ascii="Times New Roman" w:hAnsi="Times New Roman"/>
          <w:szCs w:val="24"/>
        </w:rPr>
      </w:pPr>
    </w:p>
    <w:tbl>
      <w:tblPr>
        <w:tblStyle w:val="Tabelacomgrade"/>
        <w:tblpPr w:leftFromText="141" w:rightFromText="141" w:vertAnchor="page" w:horzAnchor="margin" w:tblpXSpec="center" w:tblpY="931"/>
        <w:tblW w:w="15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830"/>
        <w:gridCol w:w="7"/>
        <w:gridCol w:w="3823"/>
        <w:gridCol w:w="15"/>
        <w:gridCol w:w="3837"/>
        <w:gridCol w:w="8"/>
        <w:gridCol w:w="3830"/>
      </w:tblGrid>
      <w:tr w:rsidR="00BF21D0" w:rsidRPr="00460092" w14:paraId="5BF502BF" w14:textId="77777777" w:rsidTr="00133C93">
        <w:trPr>
          <w:trHeight w:val="371"/>
        </w:trPr>
        <w:tc>
          <w:tcPr>
            <w:tcW w:w="3837" w:type="dxa"/>
            <w:gridSpan w:val="2"/>
            <w:shd w:val="clear" w:color="auto" w:fill="auto"/>
          </w:tcPr>
          <w:p w14:paraId="2FC5369C" w14:textId="77777777" w:rsidR="00BF21D0" w:rsidRPr="00BA3C54" w:rsidRDefault="005A35C1" w:rsidP="0083364B">
            <w:pPr>
              <w:rPr>
                <w:rFonts w:ascii="Times New Roman" w:hAnsi="Times New Roman"/>
                <w:b/>
                <w:szCs w:val="24"/>
              </w:rPr>
            </w:pPr>
            <w:r>
              <w:rPr>
                <w:rFonts w:ascii="Times New Roman" w:hAnsi="Times New Roman"/>
                <w:b/>
                <w:szCs w:val="24"/>
              </w:rPr>
              <w:lastRenderedPageBreak/>
              <w:t xml:space="preserve">              </w:t>
            </w:r>
            <w:r w:rsidR="00BF21D0">
              <w:rPr>
                <w:rFonts w:ascii="Times New Roman" w:hAnsi="Times New Roman"/>
                <w:b/>
                <w:szCs w:val="24"/>
              </w:rPr>
              <w:t>A</w:t>
            </w:r>
          </w:p>
        </w:tc>
        <w:tc>
          <w:tcPr>
            <w:tcW w:w="3838" w:type="dxa"/>
            <w:gridSpan w:val="2"/>
            <w:shd w:val="clear" w:color="auto" w:fill="auto"/>
          </w:tcPr>
          <w:p w14:paraId="3BCCC28F" w14:textId="77777777" w:rsidR="00BF21D0" w:rsidRPr="00BA3C54" w:rsidRDefault="005A35C1" w:rsidP="0083364B">
            <w:pPr>
              <w:rPr>
                <w:rFonts w:ascii="Times New Roman" w:hAnsi="Times New Roman"/>
                <w:b/>
                <w:szCs w:val="24"/>
              </w:rPr>
            </w:pPr>
            <w:r>
              <w:rPr>
                <w:rFonts w:ascii="Times New Roman" w:hAnsi="Times New Roman"/>
                <w:b/>
                <w:szCs w:val="24"/>
              </w:rPr>
              <w:t xml:space="preserve">            </w:t>
            </w:r>
            <w:r w:rsidR="00BF21D0">
              <w:rPr>
                <w:rFonts w:ascii="Times New Roman" w:hAnsi="Times New Roman"/>
                <w:b/>
                <w:szCs w:val="24"/>
              </w:rPr>
              <w:t>B</w:t>
            </w:r>
          </w:p>
        </w:tc>
        <w:tc>
          <w:tcPr>
            <w:tcW w:w="3837" w:type="dxa"/>
            <w:shd w:val="clear" w:color="auto" w:fill="auto"/>
          </w:tcPr>
          <w:p w14:paraId="3950B128" w14:textId="77777777" w:rsidR="00BF21D0" w:rsidRPr="00BA3C54" w:rsidRDefault="005A35C1" w:rsidP="0083364B">
            <w:pPr>
              <w:rPr>
                <w:rFonts w:ascii="Times New Roman" w:hAnsi="Times New Roman"/>
                <w:b/>
                <w:szCs w:val="24"/>
              </w:rPr>
            </w:pPr>
            <w:r>
              <w:rPr>
                <w:rFonts w:ascii="Times New Roman" w:hAnsi="Times New Roman"/>
                <w:b/>
                <w:szCs w:val="24"/>
              </w:rPr>
              <w:t xml:space="preserve">          </w:t>
            </w:r>
            <w:r w:rsidR="00BF21D0">
              <w:rPr>
                <w:rFonts w:ascii="Times New Roman" w:hAnsi="Times New Roman"/>
                <w:b/>
                <w:szCs w:val="24"/>
              </w:rPr>
              <w:t>C</w:t>
            </w:r>
          </w:p>
        </w:tc>
        <w:tc>
          <w:tcPr>
            <w:tcW w:w="3838" w:type="dxa"/>
            <w:gridSpan w:val="2"/>
            <w:shd w:val="clear" w:color="auto" w:fill="auto"/>
          </w:tcPr>
          <w:p w14:paraId="67A910C3" w14:textId="77777777" w:rsidR="00BF21D0" w:rsidRPr="00BA3C54" w:rsidRDefault="005A35C1" w:rsidP="0083364B">
            <w:pPr>
              <w:rPr>
                <w:rFonts w:ascii="Times New Roman" w:hAnsi="Times New Roman"/>
                <w:b/>
                <w:szCs w:val="24"/>
              </w:rPr>
            </w:pPr>
            <w:r>
              <w:rPr>
                <w:rFonts w:ascii="Times New Roman" w:hAnsi="Times New Roman"/>
                <w:b/>
                <w:szCs w:val="24"/>
              </w:rPr>
              <w:t xml:space="preserve">          </w:t>
            </w:r>
            <w:r w:rsidR="00BF21D0">
              <w:rPr>
                <w:rFonts w:ascii="Times New Roman" w:hAnsi="Times New Roman"/>
                <w:b/>
                <w:szCs w:val="24"/>
              </w:rPr>
              <w:t>D</w:t>
            </w:r>
          </w:p>
        </w:tc>
      </w:tr>
      <w:tr w:rsidR="00BF21D0" w14:paraId="20C57420" w14:textId="77777777" w:rsidTr="00133C93">
        <w:trPr>
          <w:trHeight w:val="2239"/>
        </w:trPr>
        <w:tc>
          <w:tcPr>
            <w:tcW w:w="3830" w:type="dxa"/>
            <w:shd w:val="clear" w:color="auto" w:fill="auto"/>
          </w:tcPr>
          <w:p w14:paraId="61774788" w14:textId="77777777" w:rsidR="00BF21D0" w:rsidRDefault="00BF21D0" w:rsidP="0083364B">
            <w:r>
              <w:rPr>
                <w:noProof/>
                <w:lang w:eastAsia="pt-BR"/>
              </w:rPr>
              <w:drawing>
                <wp:inline distT="0" distB="0" distL="0" distR="0" wp14:anchorId="2F3C3235" wp14:editId="335EF53E">
                  <wp:extent cx="2335212" cy="2079624"/>
                  <wp:effectExtent l="0" t="0" r="8255"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830" w:type="dxa"/>
            <w:gridSpan w:val="2"/>
            <w:shd w:val="clear" w:color="auto" w:fill="auto"/>
          </w:tcPr>
          <w:p w14:paraId="380006B2" w14:textId="77777777" w:rsidR="00BF21D0" w:rsidRDefault="00BF21D0" w:rsidP="0083364B">
            <w:pPr>
              <w:rPr>
                <w:noProof/>
                <w:lang w:eastAsia="pt-BR"/>
              </w:rPr>
            </w:pPr>
            <w:r>
              <w:rPr>
                <w:noProof/>
                <w:lang w:eastAsia="pt-BR"/>
              </w:rPr>
              <w:drawing>
                <wp:inline distT="0" distB="0" distL="0" distR="0" wp14:anchorId="5CF32B21" wp14:editId="77CA887F">
                  <wp:extent cx="2336799" cy="2079624"/>
                  <wp:effectExtent l="0" t="0" r="6985"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860" w:type="dxa"/>
            <w:gridSpan w:val="3"/>
            <w:shd w:val="clear" w:color="auto" w:fill="auto"/>
          </w:tcPr>
          <w:p w14:paraId="740DAFC8" w14:textId="77777777" w:rsidR="00BF21D0" w:rsidRDefault="00BF21D0" w:rsidP="0083364B">
            <w:pPr>
              <w:rPr>
                <w:noProof/>
                <w:lang w:eastAsia="pt-BR"/>
              </w:rPr>
            </w:pPr>
            <w:r>
              <w:rPr>
                <w:noProof/>
                <w:lang w:eastAsia="pt-BR"/>
              </w:rPr>
              <w:drawing>
                <wp:inline distT="0" distB="0" distL="0" distR="0" wp14:anchorId="2FE3657A" wp14:editId="41B8BE2E">
                  <wp:extent cx="2362199" cy="2095500"/>
                  <wp:effectExtent l="0" t="0" r="635"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3830" w:type="dxa"/>
            <w:shd w:val="clear" w:color="auto" w:fill="auto"/>
          </w:tcPr>
          <w:p w14:paraId="4C1D72AF" w14:textId="77777777" w:rsidR="00BF21D0" w:rsidRDefault="00BF21D0" w:rsidP="0083364B">
            <w:pPr>
              <w:rPr>
                <w:noProof/>
                <w:lang w:eastAsia="pt-BR"/>
              </w:rPr>
            </w:pPr>
            <w:r>
              <w:rPr>
                <w:noProof/>
                <w:lang w:eastAsia="pt-BR"/>
              </w:rPr>
              <w:drawing>
                <wp:inline distT="0" distB="0" distL="0" distR="0" wp14:anchorId="6764C1C7" wp14:editId="1F6ACBAF">
                  <wp:extent cx="2329961" cy="2088174"/>
                  <wp:effectExtent l="0" t="0" r="13335" b="762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BF21D0" w14:paraId="52CE7FBD" w14:textId="77777777" w:rsidTr="00133C93">
        <w:trPr>
          <w:trHeight w:val="288"/>
        </w:trPr>
        <w:tc>
          <w:tcPr>
            <w:tcW w:w="3830" w:type="dxa"/>
            <w:shd w:val="clear" w:color="auto" w:fill="auto"/>
          </w:tcPr>
          <w:p w14:paraId="5204AD37" w14:textId="77777777" w:rsidR="00BF21D0" w:rsidRPr="00624CF1" w:rsidRDefault="005A35C1" w:rsidP="0083364B">
            <w:pPr>
              <w:rPr>
                <w:b/>
                <w:noProof/>
                <w:lang w:val="pt-BR" w:eastAsia="pt-BR"/>
              </w:rPr>
            </w:pPr>
            <w:r>
              <w:rPr>
                <w:b/>
                <w:noProof/>
                <w:lang w:val="pt-BR" w:eastAsia="pt-BR"/>
              </w:rPr>
              <w:t xml:space="preserve">               </w:t>
            </w:r>
            <w:r w:rsidR="00BF21D0" w:rsidRPr="00624CF1">
              <w:rPr>
                <w:b/>
                <w:noProof/>
                <w:lang w:val="pt-BR" w:eastAsia="pt-BR"/>
              </w:rPr>
              <w:t>E</w:t>
            </w:r>
          </w:p>
        </w:tc>
        <w:tc>
          <w:tcPr>
            <w:tcW w:w="3830" w:type="dxa"/>
            <w:gridSpan w:val="2"/>
            <w:shd w:val="clear" w:color="auto" w:fill="auto"/>
          </w:tcPr>
          <w:p w14:paraId="1875FCA9" w14:textId="77777777" w:rsidR="00BF21D0" w:rsidRPr="00624CF1" w:rsidDel="005D0EF2" w:rsidRDefault="005A35C1" w:rsidP="0083364B">
            <w:pPr>
              <w:rPr>
                <w:b/>
                <w:noProof/>
                <w:lang w:val="pt-BR" w:eastAsia="pt-BR"/>
              </w:rPr>
            </w:pPr>
            <w:r>
              <w:rPr>
                <w:b/>
                <w:noProof/>
                <w:lang w:val="pt-BR" w:eastAsia="pt-BR"/>
              </w:rPr>
              <w:t xml:space="preserve">             </w:t>
            </w:r>
            <w:r w:rsidR="00BF21D0" w:rsidRPr="00624CF1">
              <w:rPr>
                <w:b/>
                <w:noProof/>
                <w:lang w:val="pt-BR" w:eastAsia="pt-BR"/>
              </w:rPr>
              <w:t>F</w:t>
            </w:r>
          </w:p>
        </w:tc>
        <w:tc>
          <w:tcPr>
            <w:tcW w:w="3860" w:type="dxa"/>
            <w:gridSpan w:val="3"/>
            <w:shd w:val="clear" w:color="auto" w:fill="auto"/>
          </w:tcPr>
          <w:p w14:paraId="016AA588" w14:textId="77777777" w:rsidR="00BF21D0" w:rsidRPr="00624CF1" w:rsidRDefault="005A35C1" w:rsidP="0083364B">
            <w:pPr>
              <w:rPr>
                <w:b/>
                <w:noProof/>
                <w:lang w:val="pt-BR" w:eastAsia="pt-BR"/>
              </w:rPr>
            </w:pPr>
            <w:r>
              <w:rPr>
                <w:b/>
                <w:noProof/>
                <w:lang w:val="pt-BR" w:eastAsia="pt-BR"/>
              </w:rPr>
              <w:t xml:space="preserve">          </w:t>
            </w:r>
            <w:r w:rsidR="00BF21D0" w:rsidRPr="00624CF1">
              <w:rPr>
                <w:b/>
                <w:noProof/>
                <w:lang w:val="pt-BR" w:eastAsia="pt-BR"/>
              </w:rPr>
              <w:t>G</w:t>
            </w:r>
            <w:r>
              <w:rPr>
                <w:b/>
                <w:noProof/>
                <w:lang w:val="pt-BR" w:eastAsia="pt-BR"/>
              </w:rPr>
              <w:t xml:space="preserve"> </w:t>
            </w:r>
          </w:p>
        </w:tc>
        <w:tc>
          <w:tcPr>
            <w:tcW w:w="3830" w:type="dxa"/>
            <w:shd w:val="clear" w:color="auto" w:fill="auto"/>
          </w:tcPr>
          <w:p w14:paraId="735D067B" w14:textId="77777777" w:rsidR="00BF21D0" w:rsidRPr="00624CF1" w:rsidRDefault="005A35C1" w:rsidP="0083364B">
            <w:pPr>
              <w:rPr>
                <w:b/>
                <w:noProof/>
                <w:lang w:val="pt-BR" w:eastAsia="pt-BR"/>
              </w:rPr>
            </w:pPr>
            <w:r>
              <w:rPr>
                <w:b/>
                <w:noProof/>
                <w:lang w:val="pt-BR" w:eastAsia="pt-BR"/>
              </w:rPr>
              <w:t xml:space="preserve">         </w:t>
            </w:r>
            <w:r w:rsidR="00BF21D0" w:rsidRPr="00624CF1">
              <w:rPr>
                <w:b/>
                <w:noProof/>
                <w:lang w:val="pt-BR" w:eastAsia="pt-BR"/>
              </w:rPr>
              <w:t>H</w:t>
            </w:r>
          </w:p>
        </w:tc>
      </w:tr>
      <w:tr w:rsidR="00BF21D0" w14:paraId="0081CB62" w14:textId="77777777" w:rsidTr="00133C93">
        <w:trPr>
          <w:trHeight w:val="3021"/>
        </w:trPr>
        <w:tc>
          <w:tcPr>
            <w:tcW w:w="3830" w:type="dxa"/>
            <w:shd w:val="clear" w:color="auto" w:fill="auto"/>
          </w:tcPr>
          <w:p w14:paraId="57075FFB" w14:textId="77777777" w:rsidR="00BF21D0" w:rsidRDefault="00BF21D0" w:rsidP="0083364B">
            <w:r>
              <w:rPr>
                <w:noProof/>
                <w:lang w:eastAsia="pt-BR"/>
              </w:rPr>
              <w:drawing>
                <wp:inline distT="0" distB="0" distL="0" distR="0" wp14:anchorId="5F14AAA0" wp14:editId="36E2A2DA">
                  <wp:extent cx="2339975" cy="2079624"/>
                  <wp:effectExtent l="0" t="0" r="3175" b="1651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830" w:type="dxa"/>
            <w:gridSpan w:val="2"/>
            <w:shd w:val="clear" w:color="auto" w:fill="auto"/>
          </w:tcPr>
          <w:p w14:paraId="50FA16B8" w14:textId="77777777" w:rsidR="00BF21D0" w:rsidRDefault="00BF21D0" w:rsidP="0083364B">
            <w:r>
              <w:rPr>
                <w:noProof/>
                <w:lang w:eastAsia="pt-BR"/>
              </w:rPr>
              <w:drawing>
                <wp:inline distT="0" distB="0" distL="0" distR="0" wp14:anchorId="2F8E6029" wp14:editId="040BCC01">
                  <wp:extent cx="2339975" cy="2079624"/>
                  <wp:effectExtent l="0" t="0" r="3175" b="1651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860" w:type="dxa"/>
            <w:gridSpan w:val="3"/>
            <w:shd w:val="clear" w:color="auto" w:fill="auto"/>
          </w:tcPr>
          <w:p w14:paraId="25467852" w14:textId="77777777" w:rsidR="00BF21D0" w:rsidRDefault="00BF21D0" w:rsidP="0083364B">
            <w:r>
              <w:rPr>
                <w:noProof/>
                <w:lang w:eastAsia="pt-BR"/>
              </w:rPr>
              <w:drawing>
                <wp:inline distT="0" distB="0" distL="0" distR="0" wp14:anchorId="539E044D" wp14:editId="7017D1D1">
                  <wp:extent cx="2333625" cy="20193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3830" w:type="dxa"/>
            <w:shd w:val="clear" w:color="auto" w:fill="auto"/>
          </w:tcPr>
          <w:p w14:paraId="1B82B5B6" w14:textId="77777777" w:rsidR="00BF21D0" w:rsidRDefault="00BF21D0" w:rsidP="0083364B">
            <w:r>
              <w:rPr>
                <w:noProof/>
                <w:lang w:eastAsia="pt-BR"/>
              </w:rPr>
              <w:drawing>
                <wp:inline distT="0" distB="0" distL="0" distR="0" wp14:anchorId="5CD92294" wp14:editId="11107816">
                  <wp:extent cx="2314575" cy="20193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133C93" w:rsidRPr="00AC372B" w14:paraId="65D927C9" w14:textId="77777777" w:rsidTr="00133C93">
        <w:trPr>
          <w:trHeight w:val="620"/>
        </w:trPr>
        <w:tc>
          <w:tcPr>
            <w:tcW w:w="15350" w:type="dxa"/>
            <w:gridSpan w:val="7"/>
            <w:shd w:val="clear" w:color="auto" w:fill="auto"/>
          </w:tcPr>
          <w:p w14:paraId="7D3B4529" w14:textId="3FC4BE63" w:rsidR="00133C93" w:rsidRPr="00133C93" w:rsidRDefault="00133C93" w:rsidP="00133C93">
            <w:pPr>
              <w:spacing w:line="360" w:lineRule="auto"/>
              <w:ind w:left="1185" w:hanging="1185"/>
              <w:jc w:val="both"/>
              <w:rPr>
                <w:noProof/>
                <w:sz w:val="24"/>
                <w:szCs w:val="24"/>
                <w:lang w:eastAsia="pt-BR"/>
              </w:rPr>
            </w:pPr>
            <w:r w:rsidRPr="00133C93">
              <w:rPr>
                <w:rFonts w:ascii="Times New Roman" w:hAnsi="Times New Roman"/>
                <w:b/>
                <w:sz w:val="24"/>
                <w:szCs w:val="24"/>
              </w:rPr>
              <w:t xml:space="preserve">Figure S3. </w:t>
            </w:r>
            <w:r w:rsidRPr="00133C93">
              <w:rPr>
                <w:rFonts w:ascii="Times New Roman" w:hAnsi="Times New Roman"/>
                <w:sz w:val="24"/>
                <w:szCs w:val="24"/>
              </w:rPr>
              <w:t>Concentrations of total organic carbon, total nitrogen, methane and sulfate, TOC:TN and TS:TOC atomic ratios, percent of modern carbon (</w:t>
            </w:r>
            <w:r w:rsidRPr="00133C93">
              <w:rPr>
                <w:rFonts w:ascii="Times New Roman" w:hAnsi="Times New Roman"/>
                <w:sz w:val="24"/>
                <w:szCs w:val="24"/>
                <w:vertAlign w:val="superscript"/>
              </w:rPr>
              <w:t>14</w:t>
            </w:r>
            <w:r w:rsidRPr="00133C93">
              <w:rPr>
                <w:rFonts w:ascii="Times New Roman" w:hAnsi="Times New Roman"/>
                <w:sz w:val="24"/>
                <w:szCs w:val="24"/>
              </w:rPr>
              <w:t>C) in sediments and δ</w:t>
            </w:r>
            <w:r w:rsidRPr="00133C93">
              <w:rPr>
                <w:rFonts w:ascii="Times New Roman" w:hAnsi="Times New Roman"/>
                <w:sz w:val="24"/>
                <w:szCs w:val="24"/>
                <w:vertAlign w:val="superscript"/>
              </w:rPr>
              <w:t>13</w:t>
            </w:r>
            <w:r w:rsidRPr="00133C93">
              <w:rPr>
                <w:rFonts w:ascii="Times New Roman" w:hAnsi="Times New Roman"/>
                <w:sz w:val="24"/>
                <w:szCs w:val="24"/>
              </w:rPr>
              <w:t>C-org from PC51 samples.</w:t>
            </w:r>
          </w:p>
        </w:tc>
      </w:tr>
    </w:tbl>
    <w:p w14:paraId="275398B3" w14:textId="77777777" w:rsidR="00AC372B" w:rsidRDefault="00AC372B" w:rsidP="0065459E">
      <w:pPr>
        <w:pStyle w:val="TAMainText"/>
        <w:spacing w:before="240" w:after="120" w:line="360" w:lineRule="auto"/>
        <w:ind w:firstLine="0"/>
        <w:contextualSpacing/>
        <w:rPr>
          <w:rFonts w:ascii="Times New Roman" w:hAnsi="Times New Roman"/>
          <w:szCs w:val="24"/>
        </w:rPr>
        <w:sectPr w:rsidR="00AC372B" w:rsidSect="009872D0">
          <w:pgSz w:w="16838" w:h="11906" w:orient="landscape"/>
          <w:pgMar w:top="720" w:right="1411" w:bottom="1260" w:left="1411" w:header="720" w:footer="720" w:gutter="0"/>
          <w:cols w:space="720"/>
          <w:docGrid w:linePitch="360"/>
        </w:sectPr>
      </w:pPr>
    </w:p>
    <w:p w14:paraId="2F76EDBB" w14:textId="488B694D" w:rsidR="00BF21D0" w:rsidRDefault="00BF21D0" w:rsidP="0065459E">
      <w:pPr>
        <w:pStyle w:val="TAMainText"/>
        <w:spacing w:before="240" w:after="120" w:line="360" w:lineRule="auto"/>
        <w:ind w:firstLine="0"/>
        <w:contextualSpacing/>
        <w:rPr>
          <w:rFonts w:ascii="Times New Roman" w:hAnsi="Times New Roman"/>
          <w:szCs w:val="24"/>
        </w:rPr>
      </w:pPr>
    </w:p>
    <w:tbl>
      <w:tblPr>
        <w:tblpPr w:leftFromText="141" w:rightFromText="141" w:vertAnchor="page" w:horzAnchor="margin" w:tblpXSpec="center" w:tblpY="1073"/>
        <w:tblW w:w="15026" w:type="dxa"/>
        <w:tblLayout w:type="fixed"/>
        <w:tblCellMar>
          <w:left w:w="70" w:type="dxa"/>
          <w:right w:w="70" w:type="dxa"/>
        </w:tblCellMar>
        <w:tblLook w:val="00A0" w:firstRow="1" w:lastRow="0" w:firstColumn="1" w:lastColumn="0" w:noHBand="0" w:noVBand="0"/>
      </w:tblPr>
      <w:tblGrid>
        <w:gridCol w:w="851"/>
        <w:gridCol w:w="900"/>
        <w:gridCol w:w="943"/>
        <w:gridCol w:w="907"/>
        <w:gridCol w:w="1012"/>
        <w:gridCol w:w="881"/>
        <w:gridCol w:w="845"/>
        <w:gridCol w:w="1046"/>
        <w:gridCol w:w="900"/>
        <w:gridCol w:w="999"/>
        <w:gridCol w:w="679"/>
        <w:gridCol w:w="1287"/>
        <w:gridCol w:w="657"/>
        <w:gridCol w:w="1701"/>
        <w:gridCol w:w="342"/>
        <w:gridCol w:w="1076"/>
      </w:tblGrid>
      <w:tr w:rsidR="009872D0" w:rsidRPr="009872D0" w14:paraId="50FA4191" w14:textId="77777777" w:rsidTr="009872D0">
        <w:trPr>
          <w:trHeight w:val="375"/>
        </w:trPr>
        <w:tc>
          <w:tcPr>
            <w:tcW w:w="13950" w:type="dxa"/>
            <w:gridSpan w:val="15"/>
            <w:tcBorders>
              <w:bottom w:val="single" w:sz="4" w:space="0" w:color="auto"/>
            </w:tcBorders>
          </w:tcPr>
          <w:p w14:paraId="52FAE6C8" w14:textId="77777777" w:rsidR="009872D0" w:rsidRPr="00133C93" w:rsidRDefault="009872D0" w:rsidP="009872D0">
            <w:pPr>
              <w:spacing w:after="0"/>
              <w:rPr>
                <w:rFonts w:ascii="Times New Roman" w:hAnsi="Times New Roman" w:cs="Times New Roman"/>
                <w:b/>
                <w:bCs/>
                <w:color w:val="000000"/>
                <w:sz w:val="24"/>
                <w:szCs w:val="24"/>
                <w:lang w:val="en-US" w:eastAsia="pt-BR"/>
              </w:rPr>
            </w:pPr>
            <w:r w:rsidRPr="00133C93">
              <w:rPr>
                <w:rFonts w:ascii="Times New Roman" w:hAnsi="Times New Roman" w:cs="Times New Roman"/>
                <w:b/>
                <w:bCs/>
                <w:color w:val="000000"/>
                <w:sz w:val="24"/>
                <w:szCs w:val="24"/>
                <w:lang w:val="en-US" w:eastAsia="pt-BR"/>
              </w:rPr>
              <w:t xml:space="preserve">Table 1. </w:t>
            </w:r>
            <w:r w:rsidRPr="00133C93">
              <w:rPr>
                <w:rFonts w:ascii="Times New Roman" w:hAnsi="Times New Roman"/>
                <w:bCs/>
                <w:color w:val="000000"/>
                <w:sz w:val="24"/>
                <w:szCs w:val="24"/>
                <w:lang w:val="en-US" w:eastAsia="pt-BR"/>
              </w:rPr>
              <w:t xml:space="preserve">Results of sediment analysis. </w:t>
            </w:r>
          </w:p>
        </w:tc>
        <w:tc>
          <w:tcPr>
            <w:tcW w:w="1076" w:type="dxa"/>
            <w:tcBorders>
              <w:bottom w:val="single" w:sz="4" w:space="0" w:color="auto"/>
            </w:tcBorders>
          </w:tcPr>
          <w:p w14:paraId="7E745BFF" w14:textId="77777777" w:rsidR="009872D0" w:rsidRPr="00BF21D0" w:rsidRDefault="009872D0" w:rsidP="009872D0">
            <w:pPr>
              <w:spacing w:after="0"/>
              <w:rPr>
                <w:rFonts w:ascii="Times New Roman" w:hAnsi="Times New Roman" w:cs="Times New Roman"/>
                <w:b/>
                <w:bCs/>
                <w:color w:val="000000"/>
                <w:sz w:val="20"/>
                <w:szCs w:val="20"/>
                <w:lang w:val="en-US" w:eastAsia="pt-BR"/>
              </w:rPr>
            </w:pPr>
          </w:p>
        </w:tc>
      </w:tr>
      <w:tr w:rsidR="009872D0" w:rsidRPr="00BF21D0" w14:paraId="7E7A61D8" w14:textId="77777777" w:rsidTr="009872D0">
        <w:trPr>
          <w:trHeight w:val="375"/>
        </w:trPr>
        <w:tc>
          <w:tcPr>
            <w:tcW w:w="851" w:type="dxa"/>
            <w:tcBorders>
              <w:top w:val="single" w:sz="4" w:space="0" w:color="auto"/>
              <w:bottom w:val="single" w:sz="4" w:space="0" w:color="auto"/>
            </w:tcBorders>
          </w:tcPr>
          <w:p w14:paraId="2BB2424D"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LAB </w:t>
            </w:r>
            <w:proofErr w:type="spellStart"/>
            <w:r w:rsidRPr="00BF21D0">
              <w:rPr>
                <w:rFonts w:ascii="Times New Roman" w:hAnsi="Times New Roman" w:cs="Times New Roman"/>
                <w:b/>
                <w:bCs/>
                <w:color w:val="000000"/>
                <w:sz w:val="20"/>
                <w:szCs w:val="20"/>
                <w:lang w:eastAsia="pt-BR"/>
              </w:rPr>
              <w:t>Code</w:t>
            </w:r>
            <w:proofErr w:type="spellEnd"/>
          </w:p>
        </w:tc>
        <w:tc>
          <w:tcPr>
            <w:tcW w:w="900" w:type="dxa"/>
            <w:tcBorders>
              <w:top w:val="single" w:sz="4" w:space="0" w:color="auto"/>
              <w:bottom w:val="single" w:sz="4" w:space="0" w:color="auto"/>
            </w:tcBorders>
            <w:noWrap/>
          </w:tcPr>
          <w:p w14:paraId="70A649A7"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proofErr w:type="spellStart"/>
            <w:r w:rsidRPr="00BF21D0">
              <w:rPr>
                <w:rFonts w:ascii="Times New Roman" w:hAnsi="Times New Roman" w:cs="Times New Roman"/>
                <w:b/>
                <w:bCs/>
                <w:color w:val="000000"/>
                <w:sz w:val="20"/>
                <w:szCs w:val="20"/>
                <w:lang w:eastAsia="pt-BR"/>
              </w:rPr>
              <w:t>Depth</w:t>
            </w:r>
            <w:proofErr w:type="spellEnd"/>
            <w:r w:rsidRPr="00BF21D0">
              <w:rPr>
                <w:rFonts w:ascii="Times New Roman" w:hAnsi="Times New Roman" w:cs="Times New Roman"/>
                <w:b/>
                <w:bCs/>
                <w:color w:val="000000"/>
                <w:sz w:val="20"/>
                <w:szCs w:val="20"/>
                <w:lang w:eastAsia="pt-BR"/>
              </w:rPr>
              <w:t xml:space="preserve"> (</w:t>
            </w:r>
            <w:proofErr w:type="spellStart"/>
            <w:r w:rsidRPr="00BF21D0">
              <w:rPr>
                <w:rFonts w:ascii="Times New Roman" w:hAnsi="Times New Roman" w:cs="Times New Roman"/>
                <w:b/>
                <w:bCs/>
                <w:color w:val="000000"/>
                <w:sz w:val="20"/>
                <w:szCs w:val="20"/>
                <w:lang w:eastAsia="pt-BR"/>
              </w:rPr>
              <w:t>cmbsf</w:t>
            </w:r>
            <w:proofErr w:type="spellEnd"/>
            <w:r w:rsidRPr="00BF21D0">
              <w:rPr>
                <w:rFonts w:ascii="Times New Roman" w:hAnsi="Times New Roman" w:cs="Times New Roman"/>
                <w:b/>
                <w:bCs/>
                <w:color w:val="000000"/>
                <w:sz w:val="20"/>
                <w:szCs w:val="20"/>
                <w:lang w:eastAsia="pt-BR"/>
              </w:rPr>
              <w:t>)</w:t>
            </w:r>
          </w:p>
        </w:tc>
        <w:tc>
          <w:tcPr>
            <w:tcW w:w="943" w:type="dxa"/>
            <w:tcBorders>
              <w:top w:val="single" w:sz="4" w:space="0" w:color="auto"/>
              <w:bottom w:val="single" w:sz="4" w:space="0" w:color="auto"/>
            </w:tcBorders>
            <w:noWrap/>
          </w:tcPr>
          <w:p w14:paraId="36648906"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TC</w:t>
            </w:r>
          </w:p>
          <w:p w14:paraId="49E980AC"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 (% </w:t>
            </w:r>
            <w:r w:rsidRPr="00BF21D0">
              <w:rPr>
                <w:rFonts w:ascii="Times New Roman" w:hAnsi="Times New Roman" w:cs="Times New Roman"/>
                <w:b/>
                <w:bCs/>
                <w:color w:val="000000"/>
                <w:sz w:val="20"/>
                <w:szCs w:val="20"/>
                <w:vertAlign w:val="subscript"/>
                <w:lang w:eastAsia="pt-BR"/>
              </w:rPr>
              <w:t>m/m</w:t>
            </w:r>
            <w:r w:rsidRPr="00BF21D0">
              <w:rPr>
                <w:rFonts w:ascii="Times New Roman" w:hAnsi="Times New Roman" w:cs="Times New Roman"/>
                <w:b/>
                <w:bCs/>
                <w:color w:val="000000"/>
                <w:sz w:val="20"/>
                <w:szCs w:val="20"/>
                <w:lang w:eastAsia="pt-BR"/>
              </w:rPr>
              <w:t>)</w:t>
            </w:r>
          </w:p>
        </w:tc>
        <w:tc>
          <w:tcPr>
            <w:tcW w:w="907" w:type="dxa"/>
            <w:tcBorders>
              <w:top w:val="single" w:sz="4" w:space="0" w:color="auto"/>
              <w:bottom w:val="single" w:sz="4" w:space="0" w:color="auto"/>
            </w:tcBorders>
            <w:noWrap/>
          </w:tcPr>
          <w:p w14:paraId="1DFA29FE"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IC </w:t>
            </w:r>
          </w:p>
          <w:p w14:paraId="2129B125"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 </w:t>
            </w:r>
            <w:r w:rsidRPr="00BF21D0">
              <w:rPr>
                <w:rFonts w:ascii="Times New Roman" w:hAnsi="Times New Roman" w:cs="Times New Roman"/>
                <w:b/>
                <w:bCs/>
                <w:color w:val="000000"/>
                <w:sz w:val="20"/>
                <w:szCs w:val="20"/>
                <w:vertAlign w:val="subscript"/>
                <w:lang w:eastAsia="pt-BR"/>
              </w:rPr>
              <w:t>m/m</w:t>
            </w:r>
            <w:r w:rsidRPr="00BF21D0">
              <w:rPr>
                <w:rFonts w:ascii="Times New Roman" w:hAnsi="Times New Roman" w:cs="Times New Roman"/>
                <w:b/>
                <w:bCs/>
                <w:color w:val="000000"/>
                <w:sz w:val="20"/>
                <w:szCs w:val="20"/>
                <w:lang w:eastAsia="pt-BR"/>
              </w:rPr>
              <w:t>)</w:t>
            </w:r>
          </w:p>
        </w:tc>
        <w:tc>
          <w:tcPr>
            <w:tcW w:w="1012" w:type="dxa"/>
            <w:tcBorders>
              <w:top w:val="single" w:sz="4" w:space="0" w:color="auto"/>
              <w:bottom w:val="single" w:sz="4" w:space="0" w:color="auto"/>
            </w:tcBorders>
            <w:noWrap/>
          </w:tcPr>
          <w:p w14:paraId="577D90F0"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TOC </w:t>
            </w:r>
          </w:p>
          <w:p w14:paraId="072E1F62"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 </w:t>
            </w:r>
            <w:r w:rsidRPr="00BF21D0">
              <w:rPr>
                <w:rFonts w:ascii="Times New Roman" w:hAnsi="Times New Roman" w:cs="Times New Roman"/>
                <w:b/>
                <w:bCs/>
                <w:color w:val="000000"/>
                <w:sz w:val="20"/>
                <w:szCs w:val="20"/>
                <w:vertAlign w:val="subscript"/>
                <w:lang w:eastAsia="pt-BR"/>
              </w:rPr>
              <w:t>m/m</w:t>
            </w:r>
            <w:r w:rsidRPr="00BF21D0">
              <w:rPr>
                <w:rFonts w:ascii="Times New Roman" w:hAnsi="Times New Roman" w:cs="Times New Roman"/>
                <w:b/>
                <w:bCs/>
                <w:color w:val="000000"/>
                <w:sz w:val="20"/>
                <w:szCs w:val="20"/>
                <w:lang w:eastAsia="pt-BR"/>
              </w:rPr>
              <w:t>)</w:t>
            </w:r>
          </w:p>
        </w:tc>
        <w:tc>
          <w:tcPr>
            <w:tcW w:w="881" w:type="dxa"/>
            <w:tcBorders>
              <w:top w:val="single" w:sz="4" w:space="0" w:color="auto"/>
              <w:bottom w:val="single" w:sz="4" w:space="0" w:color="auto"/>
            </w:tcBorders>
            <w:noWrap/>
          </w:tcPr>
          <w:p w14:paraId="0F769E10"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TN </w:t>
            </w:r>
          </w:p>
          <w:p w14:paraId="549A8CC6"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 </w:t>
            </w:r>
            <w:r w:rsidRPr="00BF21D0">
              <w:rPr>
                <w:rFonts w:ascii="Times New Roman" w:hAnsi="Times New Roman" w:cs="Times New Roman"/>
                <w:b/>
                <w:bCs/>
                <w:color w:val="000000"/>
                <w:sz w:val="20"/>
                <w:szCs w:val="20"/>
                <w:vertAlign w:val="subscript"/>
                <w:lang w:eastAsia="pt-BR"/>
              </w:rPr>
              <w:t>m/m</w:t>
            </w:r>
            <w:r w:rsidRPr="00BF21D0">
              <w:rPr>
                <w:rFonts w:ascii="Times New Roman" w:hAnsi="Times New Roman" w:cs="Times New Roman"/>
                <w:b/>
                <w:bCs/>
                <w:color w:val="000000"/>
                <w:sz w:val="20"/>
                <w:szCs w:val="20"/>
                <w:lang w:eastAsia="pt-BR"/>
              </w:rPr>
              <w:t>)</w:t>
            </w:r>
          </w:p>
        </w:tc>
        <w:tc>
          <w:tcPr>
            <w:tcW w:w="845" w:type="dxa"/>
            <w:tcBorders>
              <w:top w:val="single" w:sz="4" w:space="0" w:color="auto"/>
              <w:bottom w:val="single" w:sz="4" w:space="0" w:color="auto"/>
            </w:tcBorders>
            <w:noWrap/>
          </w:tcPr>
          <w:p w14:paraId="48177447"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TS </w:t>
            </w:r>
          </w:p>
          <w:p w14:paraId="46D4944B"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 xml:space="preserve">(% </w:t>
            </w:r>
            <w:r w:rsidRPr="00BF21D0">
              <w:rPr>
                <w:rFonts w:ascii="Times New Roman" w:hAnsi="Times New Roman" w:cs="Times New Roman"/>
                <w:b/>
                <w:bCs/>
                <w:color w:val="000000"/>
                <w:sz w:val="20"/>
                <w:szCs w:val="20"/>
                <w:vertAlign w:val="subscript"/>
                <w:lang w:eastAsia="pt-BR"/>
              </w:rPr>
              <w:t>m/m</w:t>
            </w:r>
            <w:r w:rsidRPr="00BF21D0">
              <w:rPr>
                <w:rFonts w:ascii="Times New Roman" w:hAnsi="Times New Roman" w:cs="Times New Roman"/>
                <w:b/>
                <w:bCs/>
                <w:color w:val="000000"/>
                <w:sz w:val="20"/>
                <w:szCs w:val="20"/>
                <w:lang w:eastAsia="pt-BR"/>
              </w:rPr>
              <w:t>)</w:t>
            </w:r>
          </w:p>
        </w:tc>
        <w:tc>
          <w:tcPr>
            <w:tcW w:w="1046" w:type="dxa"/>
            <w:tcBorders>
              <w:top w:val="single" w:sz="4" w:space="0" w:color="auto"/>
              <w:bottom w:val="single" w:sz="4" w:space="0" w:color="auto"/>
            </w:tcBorders>
            <w:noWrap/>
          </w:tcPr>
          <w:p w14:paraId="6449EC8B"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TOC:TN</w:t>
            </w:r>
          </w:p>
        </w:tc>
        <w:tc>
          <w:tcPr>
            <w:tcW w:w="900" w:type="dxa"/>
            <w:tcBorders>
              <w:top w:val="single" w:sz="4" w:space="0" w:color="auto"/>
              <w:bottom w:val="single" w:sz="4" w:space="0" w:color="auto"/>
            </w:tcBorders>
            <w:noWrap/>
          </w:tcPr>
          <w:p w14:paraId="03046E89"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TS:TOC</w:t>
            </w:r>
          </w:p>
        </w:tc>
        <w:tc>
          <w:tcPr>
            <w:tcW w:w="999" w:type="dxa"/>
            <w:tcBorders>
              <w:top w:val="single" w:sz="4" w:space="0" w:color="auto"/>
              <w:bottom w:val="single" w:sz="4" w:space="0" w:color="auto"/>
            </w:tcBorders>
            <w:noWrap/>
          </w:tcPr>
          <w:p w14:paraId="5C112FAC"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vertAlign w:val="superscript"/>
                <w:lang w:eastAsia="pt-BR"/>
              </w:rPr>
              <w:t>13</w:t>
            </w:r>
            <w:r w:rsidRPr="00BF21D0">
              <w:rPr>
                <w:rFonts w:ascii="Times New Roman" w:hAnsi="Times New Roman" w:cs="Times New Roman"/>
                <w:b/>
                <w:bCs/>
                <w:color w:val="000000"/>
                <w:sz w:val="20"/>
                <w:szCs w:val="20"/>
                <w:lang w:eastAsia="pt-BR"/>
              </w:rPr>
              <w:t xml:space="preserve">C-org </w:t>
            </w:r>
          </w:p>
          <w:p w14:paraId="1A5EB248"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w:t>
            </w:r>
          </w:p>
        </w:tc>
        <w:tc>
          <w:tcPr>
            <w:tcW w:w="679" w:type="dxa"/>
            <w:tcBorders>
              <w:top w:val="single" w:sz="4" w:space="0" w:color="auto"/>
              <w:bottom w:val="single" w:sz="4" w:space="0" w:color="auto"/>
            </w:tcBorders>
            <w:noWrap/>
          </w:tcPr>
          <w:p w14:paraId="3DEA21A3"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proofErr w:type="spellStart"/>
            <w:r w:rsidRPr="00BF21D0">
              <w:rPr>
                <w:rFonts w:ascii="Times New Roman" w:hAnsi="Times New Roman" w:cs="Times New Roman"/>
                <w:b/>
                <w:bCs/>
                <w:color w:val="000000"/>
                <w:sz w:val="20"/>
                <w:szCs w:val="20"/>
                <w:lang w:eastAsia="pt-BR"/>
              </w:rPr>
              <w:t>pMC</w:t>
            </w:r>
            <w:proofErr w:type="spellEnd"/>
          </w:p>
        </w:tc>
        <w:tc>
          <w:tcPr>
            <w:tcW w:w="1287" w:type="dxa"/>
            <w:tcBorders>
              <w:top w:val="single" w:sz="4" w:space="0" w:color="auto"/>
              <w:bottom w:val="single" w:sz="4" w:space="0" w:color="auto"/>
            </w:tcBorders>
            <w:noWrap/>
          </w:tcPr>
          <w:p w14:paraId="5A194DDE"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vertAlign w:val="superscript"/>
                <w:lang w:eastAsia="pt-BR"/>
              </w:rPr>
              <w:t>14</w:t>
            </w:r>
            <w:r w:rsidRPr="00BF21D0">
              <w:rPr>
                <w:rFonts w:ascii="Times New Roman" w:hAnsi="Times New Roman" w:cs="Times New Roman"/>
                <w:b/>
                <w:bCs/>
                <w:color w:val="000000"/>
                <w:sz w:val="20"/>
                <w:szCs w:val="20"/>
                <w:lang w:eastAsia="pt-BR"/>
              </w:rPr>
              <w:t xml:space="preserve">C age </w:t>
            </w:r>
          </w:p>
          <w:p w14:paraId="17CD2DD2"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(BP)</w:t>
            </w:r>
          </w:p>
        </w:tc>
        <w:tc>
          <w:tcPr>
            <w:tcW w:w="657" w:type="dxa"/>
            <w:tcBorders>
              <w:top w:val="single" w:sz="4" w:space="0" w:color="auto"/>
              <w:bottom w:val="single" w:sz="4" w:space="0" w:color="auto"/>
              <w:right w:val="single" w:sz="4" w:space="0" w:color="auto"/>
            </w:tcBorders>
          </w:tcPr>
          <w:p w14:paraId="3563818B"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r w:rsidRPr="00BF21D0">
              <w:rPr>
                <w:rFonts w:ascii="Times New Roman" w:hAnsi="Times New Roman" w:cs="Times New Roman"/>
                <w:b/>
                <w:bCs/>
                <w:color w:val="000000"/>
                <w:sz w:val="20"/>
                <w:szCs w:val="20"/>
                <w:lang w:eastAsia="pt-BR"/>
              </w:rPr>
              <w:t>Δ</w:t>
            </w:r>
            <w:r w:rsidRPr="00BF21D0">
              <w:rPr>
                <w:rFonts w:ascii="Times New Roman" w:hAnsi="Times New Roman" w:cs="Times New Roman"/>
                <w:b/>
                <w:bCs/>
                <w:color w:val="000000"/>
                <w:sz w:val="20"/>
                <w:szCs w:val="20"/>
                <w:vertAlign w:val="superscript"/>
                <w:lang w:eastAsia="pt-BR"/>
              </w:rPr>
              <w:t>14</w:t>
            </w:r>
            <w:r w:rsidRPr="00BF21D0">
              <w:rPr>
                <w:rFonts w:ascii="Times New Roman" w:hAnsi="Times New Roman" w:cs="Times New Roman"/>
                <w:b/>
                <w:bCs/>
                <w:color w:val="000000"/>
                <w:sz w:val="20"/>
                <w:szCs w:val="20"/>
                <w:lang w:eastAsia="pt-BR"/>
              </w:rPr>
              <w:t>C (‰)</w:t>
            </w:r>
          </w:p>
        </w:tc>
        <w:tc>
          <w:tcPr>
            <w:tcW w:w="1701" w:type="dxa"/>
            <w:tcBorders>
              <w:top w:val="single" w:sz="4" w:space="0" w:color="auto"/>
              <w:left w:val="single" w:sz="4" w:space="0" w:color="auto"/>
              <w:bottom w:val="single" w:sz="4" w:space="0" w:color="auto"/>
            </w:tcBorders>
          </w:tcPr>
          <w:p w14:paraId="456D8A70"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proofErr w:type="spellStart"/>
            <w:r w:rsidRPr="00BF21D0">
              <w:rPr>
                <w:rFonts w:ascii="Times New Roman" w:hAnsi="Times New Roman" w:cs="Times New Roman"/>
                <w:b/>
                <w:bCs/>
                <w:color w:val="000000"/>
                <w:sz w:val="20"/>
                <w:szCs w:val="20"/>
                <w:lang w:eastAsia="pt-BR"/>
              </w:rPr>
              <w:t>Biostratigraphic</w:t>
            </w:r>
            <w:proofErr w:type="spellEnd"/>
          </w:p>
          <w:p w14:paraId="1664B578"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proofErr w:type="spellStart"/>
            <w:r w:rsidRPr="00BF21D0">
              <w:rPr>
                <w:rFonts w:ascii="Times New Roman" w:hAnsi="Times New Roman" w:cs="Times New Roman"/>
                <w:b/>
                <w:color w:val="000000"/>
                <w:sz w:val="20"/>
                <w:szCs w:val="20"/>
                <w:lang w:eastAsia="pt-BR"/>
              </w:rPr>
              <w:t>Depth</w:t>
            </w:r>
            <w:proofErr w:type="spellEnd"/>
            <w:r w:rsidRPr="00BF21D0">
              <w:rPr>
                <w:rFonts w:ascii="Times New Roman" w:hAnsi="Times New Roman" w:cs="Times New Roman"/>
                <w:b/>
                <w:color w:val="000000"/>
                <w:sz w:val="20"/>
                <w:szCs w:val="20"/>
                <w:lang w:eastAsia="pt-BR"/>
              </w:rPr>
              <w:t xml:space="preserve"> (cm)</w:t>
            </w:r>
          </w:p>
        </w:tc>
        <w:tc>
          <w:tcPr>
            <w:tcW w:w="1418" w:type="dxa"/>
            <w:gridSpan w:val="2"/>
            <w:tcBorders>
              <w:top w:val="single" w:sz="4" w:space="0" w:color="auto"/>
              <w:bottom w:val="single" w:sz="4" w:space="0" w:color="auto"/>
            </w:tcBorders>
          </w:tcPr>
          <w:p w14:paraId="30927AB6" w14:textId="77777777" w:rsidR="009872D0" w:rsidRPr="00BF21D0" w:rsidRDefault="009872D0" w:rsidP="009872D0">
            <w:pPr>
              <w:spacing w:after="0"/>
              <w:jc w:val="center"/>
              <w:rPr>
                <w:rFonts w:ascii="Times New Roman" w:hAnsi="Times New Roman" w:cs="Times New Roman"/>
                <w:b/>
                <w:bCs/>
                <w:color w:val="000000"/>
                <w:sz w:val="20"/>
                <w:szCs w:val="20"/>
                <w:lang w:eastAsia="pt-BR"/>
              </w:rPr>
            </w:pPr>
            <w:proofErr w:type="spellStart"/>
            <w:r w:rsidRPr="00BF21D0">
              <w:rPr>
                <w:rFonts w:ascii="Times New Roman" w:hAnsi="Times New Roman" w:cs="Times New Roman"/>
                <w:b/>
                <w:color w:val="000000"/>
                <w:sz w:val="20"/>
                <w:szCs w:val="20"/>
                <w:lang w:eastAsia="pt-BR"/>
              </w:rPr>
              <w:t>Epoch</w:t>
            </w:r>
            <w:proofErr w:type="spellEnd"/>
          </w:p>
        </w:tc>
      </w:tr>
      <w:tr w:rsidR="009872D0" w:rsidRPr="00BF21D0" w14:paraId="477DEBA0" w14:textId="77777777" w:rsidTr="009872D0">
        <w:trPr>
          <w:trHeight w:val="300"/>
        </w:trPr>
        <w:tc>
          <w:tcPr>
            <w:tcW w:w="851" w:type="dxa"/>
            <w:tcBorders>
              <w:top w:val="single" w:sz="4" w:space="0" w:color="auto"/>
            </w:tcBorders>
          </w:tcPr>
          <w:p w14:paraId="3808917B" w14:textId="77777777" w:rsidR="009872D0" w:rsidRPr="00BF21D0" w:rsidRDefault="009872D0" w:rsidP="009872D0">
            <w:pPr>
              <w:spacing w:after="0"/>
              <w:jc w:val="center"/>
              <w:rPr>
                <w:rFonts w:ascii="Times New Roman" w:hAnsi="Times New Roman" w:cs="Times New Roman"/>
                <w:b/>
                <w:color w:val="000000"/>
                <w:sz w:val="20"/>
                <w:szCs w:val="20"/>
                <w:lang w:eastAsia="pt-BR"/>
              </w:rPr>
            </w:pPr>
            <w:r w:rsidRPr="00BF21D0">
              <w:rPr>
                <w:rFonts w:ascii="Times New Roman" w:hAnsi="Times New Roman" w:cs="Times New Roman"/>
                <w:b/>
                <w:color w:val="000000"/>
                <w:sz w:val="20"/>
                <w:szCs w:val="20"/>
                <w:lang w:eastAsia="pt-BR"/>
              </w:rPr>
              <w:t>PC51</w:t>
            </w:r>
          </w:p>
        </w:tc>
        <w:tc>
          <w:tcPr>
            <w:tcW w:w="900" w:type="dxa"/>
            <w:tcBorders>
              <w:top w:val="single" w:sz="4" w:space="0" w:color="auto"/>
            </w:tcBorders>
            <w:noWrap/>
          </w:tcPr>
          <w:p w14:paraId="3BC1F8D2" w14:textId="77777777" w:rsidR="009872D0" w:rsidRPr="00BF21D0" w:rsidRDefault="009872D0" w:rsidP="009872D0">
            <w:pPr>
              <w:spacing w:after="0"/>
              <w:jc w:val="center"/>
              <w:rPr>
                <w:rFonts w:ascii="Times New Roman" w:hAnsi="Times New Roman" w:cs="Times New Roman"/>
                <w:b/>
                <w:color w:val="000000"/>
                <w:sz w:val="20"/>
                <w:szCs w:val="20"/>
                <w:lang w:eastAsia="pt-BR"/>
              </w:rPr>
            </w:pPr>
          </w:p>
        </w:tc>
        <w:tc>
          <w:tcPr>
            <w:tcW w:w="943" w:type="dxa"/>
            <w:tcBorders>
              <w:top w:val="single" w:sz="4" w:space="0" w:color="auto"/>
            </w:tcBorders>
            <w:noWrap/>
          </w:tcPr>
          <w:p w14:paraId="1B7361AA"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907" w:type="dxa"/>
            <w:tcBorders>
              <w:top w:val="single" w:sz="4" w:space="0" w:color="auto"/>
            </w:tcBorders>
            <w:noWrap/>
          </w:tcPr>
          <w:p w14:paraId="34767446"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012" w:type="dxa"/>
            <w:tcBorders>
              <w:top w:val="single" w:sz="4" w:space="0" w:color="auto"/>
            </w:tcBorders>
            <w:noWrap/>
          </w:tcPr>
          <w:p w14:paraId="3F578024"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881" w:type="dxa"/>
            <w:tcBorders>
              <w:top w:val="single" w:sz="4" w:space="0" w:color="auto"/>
            </w:tcBorders>
            <w:noWrap/>
          </w:tcPr>
          <w:p w14:paraId="1ADBAF56"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845" w:type="dxa"/>
            <w:tcBorders>
              <w:top w:val="single" w:sz="4" w:space="0" w:color="auto"/>
            </w:tcBorders>
            <w:noWrap/>
          </w:tcPr>
          <w:p w14:paraId="78E229F1"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046" w:type="dxa"/>
            <w:tcBorders>
              <w:top w:val="single" w:sz="4" w:space="0" w:color="auto"/>
            </w:tcBorders>
            <w:noWrap/>
          </w:tcPr>
          <w:p w14:paraId="176FE921"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900" w:type="dxa"/>
            <w:tcBorders>
              <w:top w:val="single" w:sz="4" w:space="0" w:color="auto"/>
            </w:tcBorders>
            <w:noWrap/>
          </w:tcPr>
          <w:p w14:paraId="3B4F6417"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999" w:type="dxa"/>
            <w:tcBorders>
              <w:top w:val="single" w:sz="4" w:space="0" w:color="auto"/>
            </w:tcBorders>
            <w:noWrap/>
          </w:tcPr>
          <w:p w14:paraId="6FBF9CAC"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679" w:type="dxa"/>
            <w:tcBorders>
              <w:top w:val="single" w:sz="4" w:space="0" w:color="auto"/>
            </w:tcBorders>
            <w:noWrap/>
          </w:tcPr>
          <w:p w14:paraId="24EA55EB"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287" w:type="dxa"/>
            <w:tcBorders>
              <w:top w:val="single" w:sz="4" w:space="0" w:color="auto"/>
            </w:tcBorders>
            <w:noWrap/>
          </w:tcPr>
          <w:p w14:paraId="4CEECD58"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657" w:type="dxa"/>
            <w:tcBorders>
              <w:top w:val="single" w:sz="4" w:space="0" w:color="auto"/>
              <w:right w:val="single" w:sz="4" w:space="0" w:color="auto"/>
            </w:tcBorders>
          </w:tcPr>
          <w:p w14:paraId="004892EC"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701" w:type="dxa"/>
            <w:tcBorders>
              <w:top w:val="single" w:sz="4" w:space="0" w:color="auto"/>
              <w:left w:val="single" w:sz="4" w:space="0" w:color="auto"/>
            </w:tcBorders>
          </w:tcPr>
          <w:p w14:paraId="7B391510" w14:textId="77777777" w:rsidR="009872D0" w:rsidRPr="00BF21D0" w:rsidRDefault="009872D0" w:rsidP="009872D0">
            <w:pPr>
              <w:spacing w:after="0"/>
              <w:jc w:val="center"/>
              <w:rPr>
                <w:rFonts w:ascii="Times New Roman" w:hAnsi="Times New Roman" w:cs="Times New Roman"/>
                <w:b/>
                <w:color w:val="000000"/>
                <w:sz w:val="20"/>
                <w:szCs w:val="20"/>
                <w:lang w:eastAsia="pt-BR"/>
              </w:rPr>
            </w:pPr>
          </w:p>
        </w:tc>
        <w:tc>
          <w:tcPr>
            <w:tcW w:w="1418" w:type="dxa"/>
            <w:gridSpan w:val="2"/>
            <w:tcBorders>
              <w:top w:val="single" w:sz="4" w:space="0" w:color="auto"/>
            </w:tcBorders>
          </w:tcPr>
          <w:p w14:paraId="57EA02E5" w14:textId="77777777" w:rsidR="009872D0" w:rsidRPr="00BF21D0" w:rsidRDefault="009872D0" w:rsidP="009872D0">
            <w:pPr>
              <w:spacing w:after="0"/>
              <w:jc w:val="center"/>
              <w:rPr>
                <w:rFonts w:ascii="Times New Roman" w:hAnsi="Times New Roman" w:cs="Times New Roman"/>
                <w:b/>
                <w:color w:val="000000"/>
                <w:sz w:val="20"/>
                <w:szCs w:val="20"/>
                <w:lang w:eastAsia="pt-BR"/>
              </w:rPr>
            </w:pPr>
          </w:p>
        </w:tc>
      </w:tr>
      <w:tr w:rsidR="009872D0" w:rsidRPr="00BF21D0" w14:paraId="1545BF0A" w14:textId="77777777" w:rsidTr="009872D0">
        <w:trPr>
          <w:trHeight w:val="300"/>
        </w:trPr>
        <w:tc>
          <w:tcPr>
            <w:tcW w:w="851" w:type="dxa"/>
          </w:tcPr>
          <w:p w14:paraId="44C52A3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150348</w:t>
            </w:r>
          </w:p>
        </w:tc>
        <w:tc>
          <w:tcPr>
            <w:tcW w:w="900" w:type="dxa"/>
            <w:noWrap/>
          </w:tcPr>
          <w:p w14:paraId="5AF0AE8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12.5</w:t>
            </w:r>
          </w:p>
        </w:tc>
        <w:tc>
          <w:tcPr>
            <w:tcW w:w="943" w:type="dxa"/>
            <w:noWrap/>
          </w:tcPr>
          <w:p w14:paraId="5E64869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1.57</w:t>
            </w:r>
          </w:p>
        </w:tc>
        <w:tc>
          <w:tcPr>
            <w:tcW w:w="907" w:type="dxa"/>
            <w:noWrap/>
          </w:tcPr>
          <w:p w14:paraId="518C8AB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1.12</w:t>
            </w:r>
          </w:p>
        </w:tc>
        <w:tc>
          <w:tcPr>
            <w:tcW w:w="1012" w:type="dxa"/>
            <w:noWrap/>
          </w:tcPr>
          <w:p w14:paraId="17B1DD2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0.44</w:t>
            </w:r>
          </w:p>
        </w:tc>
        <w:tc>
          <w:tcPr>
            <w:tcW w:w="881" w:type="dxa"/>
            <w:noWrap/>
          </w:tcPr>
          <w:p w14:paraId="1D7EF39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845" w:type="dxa"/>
            <w:noWrap/>
          </w:tcPr>
          <w:p w14:paraId="2A54E04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1046" w:type="dxa"/>
            <w:noWrap/>
          </w:tcPr>
          <w:p w14:paraId="152D8CA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8.23</w:t>
            </w:r>
          </w:p>
        </w:tc>
        <w:tc>
          <w:tcPr>
            <w:tcW w:w="900" w:type="dxa"/>
            <w:noWrap/>
          </w:tcPr>
          <w:p w14:paraId="0F7A336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999" w:type="dxa"/>
            <w:noWrap/>
          </w:tcPr>
          <w:p w14:paraId="5E136BA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-22.81</w:t>
            </w:r>
          </w:p>
        </w:tc>
        <w:tc>
          <w:tcPr>
            <w:tcW w:w="679" w:type="dxa"/>
            <w:noWrap/>
          </w:tcPr>
          <w:p w14:paraId="2A15F96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8.93</w:t>
            </w:r>
          </w:p>
        </w:tc>
        <w:tc>
          <w:tcPr>
            <w:tcW w:w="1287" w:type="dxa"/>
            <w:noWrap/>
          </w:tcPr>
          <w:p w14:paraId="280EABE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19400 ± 90</w:t>
            </w:r>
          </w:p>
        </w:tc>
        <w:tc>
          <w:tcPr>
            <w:tcW w:w="657" w:type="dxa"/>
            <w:tcBorders>
              <w:right w:val="single" w:sz="4" w:space="0" w:color="auto"/>
            </w:tcBorders>
          </w:tcPr>
          <w:p w14:paraId="55E6A16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-911</w:t>
            </w:r>
          </w:p>
        </w:tc>
        <w:tc>
          <w:tcPr>
            <w:tcW w:w="1701" w:type="dxa"/>
            <w:tcBorders>
              <w:left w:val="single" w:sz="4" w:space="0" w:color="auto"/>
            </w:tcBorders>
          </w:tcPr>
          <w:p w14:paraId="0BCBB5E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10 </w:t>
            </w:r>
          </w:p>
        </w:tc>
        <w:tc>
          <w:tcPr>
            <w:tcW w:w="1418" w:type="dxa"/>
            <w:gridSpan w:val="2"/>
          </w:tcPr>
          <w:p w14:paraId="210D461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10Ka-Recent*</w:t>
            </w:r>
          </w:p>
        </w:tc>
      </w:tr>
      <w:tr w:rsidR="009872D0" w:rsidRPr="00BF21D0" w14:paraId="5CBE5D04" w14:textId="77777777" w:rsidTr="009872D0">
        <w:trPr>
          <w:trHeight w:val="308"/>
        </w:trPr>
        <w:tc>
          <w:tcPr>
            <w:tcW w:w="851" w:type="dxa"/>
          </w:tcPr>
          <w:p w14:paraId="2FBE935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0" w:type="dxa"/>
            <w:noWrap/>
          </w:tcPr>
          <w:p w14:paraId="3D2726A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43" w:type="dxa"/>
            <w:noWrap/>
          </w:tcPr>
          <w:p w14:paraId="2201C6E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7" w:type="dxa"/>
            <w:noWrap/>
          </w:tcPr>
          <w:p w14:paraId="393872A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012" w:type="dxa"/>
            <w:noWrap/>
          </w:tcPr>
          <w:p w14:paraId="4592FEE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881" w:type="dxa"/>
            <w:noWrap/>
          </w:tcPr>
          <w:p w14:paraId="3349D16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845" w:type="dxa"/>
            <w:noWrap/>
          </w:tcPr>
          <w:p w14:paraId="31F2AB4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046" w:type="dxa"/>
            <w:noWrap/>
          </w:tcPr>
          <w:p w14:paraId="45A1238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0" w:type="dxa"/>
            <w:noWrap/>
          </w:tcPr>
          <w:p w14:paraId="51DD958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99" w:type="dxa"/>
            <w:noWrap/>
          </w:tcPr>
          <w:p w14:paraId="3CBDB2C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679" w:type="dxa"/>
            <w:noWrap/>
          </w:tcPr>
          <w:p w14:paraId="547F931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287" w:type="dxa"/>
            <w:noWrap/>
          </w:tcPr>
          <w:p w14:paraId="3D3AD8A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657" w:type="dxa"/>
            <w:tcBorders>
              <w:right w:val="single" w:sz="4" w:space="0" w:color="auto"/>
            </w:tcBorders>
          </w:tcPr>
          <w:p w14:paraId="1596962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701" w:type="dxa"/>
            <w:tcBorders>
              <w:left w:val="single" w:sz="4" w:space="0" w:color="auto"/>
            </w:tcBorders>
          </w:tcPr>
          <w:p w14:paraId="4D0BFA7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50 </w:t>
            </w:r>
          </w:p>
        </w:tc>
        <w:tc>
          <w:tcPr>
            <w:tcW w:w="1418" w:type="dxa"/>
            <w:gridSpan w:val="2"/>
          </w:tcPr>
          <w:p w14:paraId="5F9470F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10Ka-Recent*</w:t>
            </w:r>
          </w:p>
        </w:tc>
      </w:tr>
      <w:tr w:rsidR="009872D0" w:rsidRPr="00BF21D0" w14:paraId="100CE85D" w14:textId="77777777" w:rsidTr="009872D0">
        <w:trPr>
          <w:trHeight w:val="300"/>
        </w:trPr>
        <w:tc>
          <w:tcPr>
            <w:tcW w:w="851" w:type="dxa"/>
          </w:tcPr>
          <w:p w14:paraId="0E033F8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150349</w:t>
            </w:r>
          </w:p>
        </w:tc>
        <w:tc>
          <w:tcPr>
            <w:tcW w:w="900" w:type="dxa"/>
            <w:noWrap/>
          </w:tcPr>
          <w:p w14:paraId="2DA8755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112.5</w:t>
            </w:r>
          </w:p>
        </w:tc>
        <w:tc>
          <w:tcPr>
            <w:tcW w:w="943" w:type="dxa"/>
            <w:noWrap/>
          </w:tcPr>
          <w:p w14:paraId="32AB0C0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1.51</w:t>
            </w:r>
          </w:p>
        </w:tc>
        <w:tc>
          <w:tcPr>
            <w:tcW w:w="907" w:type="dxa"/>
            <w:noWrap/>
          </w:tcPr>
          <w:p w14:paraId="66FA79C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0.97</w:t>
            </w:r>
          </w:p>
        </w:tc>
        <w:tc>
          <w:tcPr>
            <w:tcW w:w="1012" w:type="dxa"/>
            <w:noWrap/>
          </w:tcPr>
          <w:p w14:paraId="321EE1C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0.54</w:t>
            </w:r>
          </w:p>
        </w:tc>
        <w:tc>
          <w:tcPr>
            <w:tcW w:w="881" w:type="dxa"/>
            <w:noWrap/>
          </w:tcPr>
          <w:p w14:paraId="65C9176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0.09</w:t>
            </w:r>
          </w:p>
        </w:tc>
        <w:tc>
          <w:tcPr>
            <w:tcW w:w="845" w:type="dxa"/>
            <w:noWrap/>
          </w:tcPr>
          <w:p w14:paraId="6E94223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0.38</w:t>
            </w:r>
          </w:p>
        </w:tc>
        <w:tc>
          <w:tcPr>
            <w:tcW w:w="1046" w:type="dxa"/>
            <w:noWrap/>
          </w:tcPr>
          <w:p w14:paraId="43F1504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7.21</w:t>
            </w:r>
          </w:p>
        </w:tc>
        <w:tc>
          <w:tcPr>
            <w:tcW w:w="900" w:type="dxa"/>
            <w:noWrap/>
          </w:tcPr>
          <w:p w14:paraId="1BA090F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0.26</w:t>
            </w:r>
          </w:p>
        </w:tc>
        <w:tc>
          <w:tcPr>
            <w:tcW w:w="999" w:type="dxa"/>
            <w:noWrap/>
          </w:tcPr>
          <w:p w14:paraId="79E6859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-22.63</w:t>
            </w:r>
          </w:p>
        </w:tc>
        <w:tc>
          <w:tcPr>
            <w:tcW w:w="679" w:type="dxa"/>
            <w:noWrap/>
          </w:tcPr>
          <w:p w14:paraId="1BA093C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8.73</w:t>
            </w:r>
          </w:p>
        </w:tc>
        <w:tc>
          <w:tcPr>
            <w:tcW w:w="1287" w:type="dxa"/>
            <w:noWrap/>
          </w:tcPr>
          <w:p w14:paraId="7A51241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19580 ± 80</w:t>
            </w:r>
          </w:p>
        </w:tc>
        <w:tc>
          <w:tcPr>
            <w:tcW w:w="657" w:type="dxa"/>
            <w:tcBorders>
              <w:right w:val="single" w:sz="4" w:space="0" w:color="auto"/>
            </w:tcBorders>
          </w:tcPr>
          <w:p w14:paraId="15E32D9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-913</w:t>
            </w:r>
          </w:p>
        </w:tc>
        <w:tc>
          <w:tcPr>
            <w:tcW w:w="1701" w:type="dxa"/>
            <w:tcBorders>
              <w:left w:val="single" w:sz="4" w:space="0" w:color="auto"/>
            </w:tcBorders>
          </w:tcPr>
          <w:p w14:paraId="47582D5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107 </w:t>
            </w:r>
          </w:p>
        </w:tc>
        <w:tc>
          <w:tcPr>
            <w:tcW w:w="1418" w:type="dxa"/>
            <w:gridSpan w:val="2"/>
          </w:tcPr>
          <w:p w14:paraId="1CD0C47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080448BE" w14:textId="77777777" w:rsidTr="009872D0">
        <w:trPr>
          <w:trHeight w:val="300"/>
        </w:trPr>
        <w:tc>
          <w:tcPr>
            <w:tcW w:w="851" w:type="dxa"/>
          </w:tcPr>
          <w:p w14:paraId="5A3AEBE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0" w:type="dxa"/>
            <w:noWrap/>
          </w:tcPr>
          <w:p w14:paraId="217A19D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43" w:type="dxa"/>
            <w:noWrap/>
          </w:tcPr>
          <w:p w14:paraId="643E747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7" w:type="dxa"/>
            <w:noWrap/>
          </w:tcPr>
          <w:p w14:paraId="4B07FDB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012" w:type="dxa"/>
            <w:noWrap/>
          </w:tcPr>
          <w:p w14:paraId="0C9DE7B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881" w:type="dxa"/>
            <w:noWrap/>
          </w:tcPr>
          <w:p w14:paraId="20CF503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845" w:type="dxa"/>
            <w:noWrap/>
          </w:tcPr>
          <w:p w14:paraId="4C44332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046" w:type="dxa"/>
            <w:noWrap/>
          </w:tcPr>
          <w:p w14:paraId="6F6C3B3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0" w:type="dxa"/>
            <w:noWrap/>
          </w:tcPr>
          <w:p w14:paraId="262855B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99" w:type="dxa"/>
            <w:noWrap/>
          </w:tcPr>
          <w:p w14:paraId="746E2CA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679" w:type="dxa"/>
            <w:noWrap/>
          </w:tcPr>
          <w:p w14:paraId="41B4835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287" w:type="dxa"/>
            <w:noWrap/>
          </w:tcPr>
          <w:p w14:paraId="4520B90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657" w:type="dxa"/>
            <w:tcBorders>
              <w:right w:val="single" w:sz="4" w:space="0" w:color="auto"/>
            </w:tcBorders>
          </w:tcPr>
          <w:p w14:paraId="1367933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701" w:type="dxa"/>
            <w:tcBorders>
              <w:left w:val="single" w:sz="4" w:space="0" w:color="auto"/>
            </w:tcBorders>
          </w:tcPr>
          <w:p w14:paraId="0786A17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159.5  </w:t>
            </w:r>
          </w:p>
        </w:tc>
        <w:tc>
          <w:tcPr>
            <w:tcW w:w="1418" w:type="dxa"/>
            <w:gridSpan w:val="2"/>
          </w:tcPr>
          <w:p w14:paraId="52EDCDF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3CE7852E" w14:textId="77777777" w:rsidTr="009872D0">
        <w:trPr>
          <w:trHeight w:val="300"/>
        </w:trPr>
        <w:tc>
          <w:tcPr>
            <w:tcW w:w="851" w:type="dxa"/>
          </w:tcPr>
          <w:p w14:paraId="27674EB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150350</w:t>
            </w:r>
          </w:p>
        </w:tc>
        <w:tc>
          <w:tcPr>
            <w:tcW w:w="900" w:type="dxa"/>
            <w:noWrap/>
          </w:tcPr>
          <w:p w14:paraId="41442E2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212.5</w:t>
            </w:r>
          </w:p>
        </w:tc>
        <w:tc>
          <w:tcPr>
            <w:tcW w:w="943" w:type="dxa"/>
            <w:noWrap/>
          </w:tcPr>
          <w:p w14:paraId="6FAA8BC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1.87</w:t>
            </w:r>
          </w:p>
        </w:tc>
        <w:tc>
          <w:tcPr>
            <w:tcW w:w="907" w:type="dxa"/>
            <w:noWrap/>
          </w:tcPr>
          <w:p w14:paraId="7CC1C27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1.41</w:t>
            </w:r>
          </w:p>
        </w:tc>
        <w:tc>
          <w:tcPr>
            <w:tcW w:w="1012" w:type="dxa"/>
            <w:noWrap/>
          </w:tcPr>
          <w:p w14:paraId="304F03D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0.46</w:t>
            </w:r>
          </w:p>
        </w:tc>
        <w:tc>
          <w:tcPr>
            <w:tcW w:w="881" w:type="dxa"/>
            <w:noWrap/>
          </w:tcPr>
          <w:p w14:paraId="6253EFA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491DC69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0.55</w:t>
            </w:r>
          </w:p>
        </w:tc>
        <w:tc>
          <w:tcPr>
            <w:tcW w:w="1046" w:type="dxa"/>
            <w:noWrap/>
          </w:tcPr>
          <w:p w14:paraId="165952E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8.18</w:t>
            </w:r>
          </w:p>
        </w:tc>
        <w:tc>
          <w:tcPr>
            <w:tcW w:w="900" w:type="dxa"/>
            <w:noWrap/>
          </w:tcPr>
          <w:p w14:paraId="7BCEF20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0.45</w:t>
            </w:r>
          </w:p>
        </w:tc>
        <w:tc>
          <w:tcPr>
            <w:tcW w:w="999" w:type="dxa"/>
            <w:noWrap/>
          </w:tcPr>
          <w:p w14:paraId="4D2930D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-22.91</w:t>
            </w:r>
          </w:p>
        </w:tc>
        <w:tc>
          <w:tcPr>
            <w:tcW w:w="679" w:type="dxa"/>
            <w:noWrap/>
          </w:tcPr>
          <w:p w14:paraId="4043B10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8.17</w:t>
            </w:r>
          </w:p>
        </w:tc>
        <w:tc>
          <w:tcPr>
            <w:tcW w:w="1287" w:type="dxa"/>
            <w:noWrap/>
          </w:tcPr>
          <w:p w14:paraId="7FEA215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20120 ± 90</w:t>
            </w:r>
          </w:p>
        </w:tc>
        <w:tc>
          <w:tcPr>
            <w:tcW w:w="657" w:type="dxa"/>
            <w:tcBorders>
              <w:right w:val="single" w:sz="4" w:space="0" w:color="auto"/>
            </w:tcBorders>
          </w:tcPr>
          <w:p w14:paraId="540F013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-919</w:t>
            </w:r>
          </w:p>
        </w:tc>
        <w:tc>
          <w:tcPr>
            <w:tcW w:w="1701" w:type="dxa"/>
            <w:tcBorders>
              <w:left w:val="single" w:sz="4" w:space="0" w:color="auto"/>
            </w:tcBorders>
          </w:tcPr>
          <w:p w14:paraId="5EAE94B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207 </w:t>
            </w:r>
          </w:p>
        </w:tc>
        <w:tc>
          <w:tcPr>
            <w:tcW w:w="1418" w:type="dxa"/>
            <w:gridSpan w:val="2"/>
          </w:tcPr>
          <w:p w14:paraId="6A8CF6D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32E1A65C" w14:textId="77777777" w:rsidTr="009872D0">
        <w:trPr>
          <w:trHeight w:val="300"/>
        </w:trPr>
        <w:tc>
          <w:tcPr>
            <w:tcW w:w="851" w:type="dxa"/>
          </w:tcPr>
          <w:p w14:paraId="18ED0A1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150351</w:t>
            </w:r>
          </w:p>
        </w:tc>
        <w:tc>
          <w:tcPr>
            <w:tcW w:w="900" w:type="dxa"/>
            <w:noWrap/>
          </w:tcPr>
          <w:p w14:paraId="58A88F5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260</w:t>
            </w:r>
          </w:p>
        </w:tc>
        <w:tc>
          <w:tcPr>
            <w:tcW w:w="943" w:type="dxa"/>
            <w:noWrap/>
          </w:tcPr>
          <w:p w14:paraId="558FA99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1.75</w:t>
            </w:r>
          </w:p>
        </w:tc>
        <w:tc>
          <w:tcPr>
            <w:tcW w:w="907" w:type="dxa"/>
            <w:noWrap/>
          </w:tcPr>
          <w:p w14:paraId="0368D28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1.30</w:t>
            </w:r>
          </w:p>
        </w:tc>
        <w:tc>
          <w:tcPr>
            <w:tcW w:w="1012" w:type="dxa"/>
            <w:noWrap/>
          </w:tcPr>
          <w:p w14:paraId="676251D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0.45</w:t>
            </w:r>
          </w:p>
        </w:tc>
        <w:tc>
          <w:tcPr>
            <w:tcW w:w="881" w:type="dxa"/>
            <w:noWrap/>
          </w:tcPr>
          <w:p w14:paraId="41EBD25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0EF251B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1.16</w:t>
            </w:r>
          </w:p>
        </w:tc>
        <w:tc>
          <w:tcPr>
            <w:tcW w:w="1046" w:type="dxa"/>
            <w:noWrap/>
          </w:tcPr>
          <w:p w14:paraId="0136A79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7.49</w:t>
            </w:r>
          </w:p>
        </w:tc>
        <w:tc>
          <w:tcPr>
            <w:tcW w:w="900" w:type="dxa"/>
            <w:noWrap/>
          </w:tcPr>
          <w:p w14:paraId="28C7FCD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0.96</w:t>
            </w:r>
          </w:p>
        </w:tc>
        <w:tc>
          <w:tcPr>
            <w:tcW w:w="999" w:type="dxa"/>
            <w:noWrap/>
          </w:tcPr>
          <w:p w14:paraId="1B3C55D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-22.92</w:t>
            </w:r>
          </w:p>
        </w:tc>
        <w:tc>
          <w:tcPr>
            <w:tcW w:w="679" w:type="dxa"/>
            <w:noWrap/>
          </w:tcPr>
          <w:p w14:paraId="74B52CB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7.42</w:t>
            </w:r>
          </w:p>
        </w:tc>
        <w:tc>
          <w:tcPr>
            <w:tcW w:w="1287" w:type="dxa"/>
            <w:noWrap/>
          </w:tcPr>
          <w:p w14:paraId="658185B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20890 ± 100</w:t>
            </w:r>
          </w:p>
        </w:tc>
        <w:tc>
          <w:tcPr>
            <w:tcW w:w="657" w:type="dxa"/>
            <w:tcBorders>
              <w:right w:val="single" w:sz="4" w:space="0" w:color="auto"/>
            </w:tcBorders>
          </w:tcPr>
          <w:p w14:paraId="34F3B13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-926</w:t>
            </w:r>
          </w:p>
        </w:tc>
        <w:tc>
          <w:tcPr>
            <w:tcW w:w="1701" w:type="dxa"/>
            <w:tcBorders>
              <w:left w:val="single" w:sz="4" w:space="0" w:color="auto"/>
            </w:tcBorders>
          </w:tcPr>
          <w:p w14:paraId="03E389B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4B27046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30008142" w14:textId="77777777" w:rsidTr="009872D0">
        <w:trPr>
          <w:trHeight w:val="300"/>
        </w:trPr>
        <w:tc>
          <w:tcPr>
            <w:tcW w:w="851" w:type="dxa"/>
          </w:tcPr>
          <w:p w14:paraId="15B7EC5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150352</w:t>
            </w:r>
          </w:p>
        </w:tc>
        <w:tc>
          <w:tcPr>
            <w:tcW w:w="900" w:type="dxa"/>
            <w:noWrap/>
          </w:tcPr>
          <w:p w14:paraId="4BF1B18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287.5</w:t>
            </w:r>
          </w:p>
        </w:tc>
        <w:tc>
          <w:tcPr>
            <w:tcW w:w="943" w:type="dxa"/>
            <w:noWrap/>
          </w:tcPr>
          <w:p w14:paraId="123524B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1.06</w:t>
            </w:r>
          </w:p>
        </w:tc>
        <w:tc>
          <w:tcPr>
            <w:tcW w:w="907" w:type="dxa"/>
            <w:noWrap/>
          </w:tcPr>
          <w:p w14:paraId="1BCD9C8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0.45</w:t>
            </w:r>
          </w:p>
        </w:tc>
        <w:tc>
          <w:tcPr>
            <w:tcW w:w="1012" w:type="dxa"/>
            <w:noWrap/>
          </w:tcPr>
          <w:p w14:paraId="39FAB50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0.61</w:t>
            </w:r>
          </w:p>
        </w:tc>
        <w:tc>
          <w:tcPr>
            <w:tcW w:w="881" w:type="dxa"/>
            <w:noWrap/>
          </w:tcPr>
          <w:p w14:paraId="6200443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0.10</w:t>
            </w:r>
          </w:p>
        </w:tc>
        <w:tc>
          <w:tcPr>
            <w:tcW w:w="845" w:type="dxa"/>
            <w:noWrap/>
          </w:tcPr>
          <w:p w14:paraId="3F457D9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1.75</w:t>
            </w:r>
          </w:p>
        </w:tc>
        <w:tc>
          <w:tcPr>
            <w:tcW w:w="1046" w:type="dxa"/>
            <w:noWrap/>
          </w:tcPr>
          <w:p w14:paraId="67F00FF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7.12</w:t>
            </w:r>
          </w:p>
        </w:tc>
        <w:tc>
          <w:tcPr>
            <w:tcW w:w="900" w:type="dxa"/>
            <w:noWrap/>
          </w:tcPr>
          <w:p w14:paraId="7FA1C8E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1.08</w:t>
            </w:r>
          </w:p>
        </w:tc>
        <w:tc>
          <w:tcPr>
            <w:tcW w:w="999" w:type="dxa"/>
            <w:noWrap/>
          </w:tcPr>
          <w:p w14:paraId="7CA5330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-23.08</w:t>
            </w:r>
          </w:p>
        </w:tc>
        <w:tc>
          <w:tcPr>
            <w:tcW w:w="679" w:type="dxa"/>
            <w:noWrap/>
          </w:tcPr>
          <w:p w14:paraId="68A2E5E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4.46</w:t>
            </w:r>
          </w:p>
        </w:tc>
        <w:tc>
          <w:tcPr>
            <w:tcW w:w="1287" w:type="dxa"/>
            <w:noWrap/>
          </w:tcPr>
          <w:p w14:paraId="4C5B042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24730 ± 130</w:t>
            </w:r>
          </w:p>
        </w:tc>
        <w:tc>
          <w:tcPr>
            <w:tcW w:w="657" w:type="dxa"/>
            <w:tcBorders>
              <w:right w:val="single" w:sz="4" w:space="0" w:color="auto"/>
            </w:tcBorders>
          </w:tcPr>
          <w:p w14:paraId="5ABBCE5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-954</w:t>
            </w:r>
          </w:p>
        </w:tc>
        <w:tc>
          <w:tcPr>
            <w:tcW w:w="1701" w:type="dxa"/>
            <w:tcBorders>
              <w:left w:val="single" w:sz="4" w:space="0" w:color="auto"/>
            </w:tcBorders>
          </w:tcPr>
          <w:p w14:paraId="71E8E9C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0F5E4EC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17D52E89" w14:textId="77777777" w:rsidTr="009872D0">
        <w:trPr>
          <w:trHeight w:val="300"/>
        </w:trPr>
        <w:tc>
          <w:tcPr>
            <w:tcW w:w="851" w:type="dxa"/>
          </w:tcPr>
          <w:p w14:paraId="1E6B827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150353</w:t>
            </w:r>
          </w:p>
        </w:tc>
        <w:tc>
          <w:tcPr>
            <w:tcW w:w="900" w:type="dxa"/>
            <w:noWrap/>
          </w:tcPr>
          <w:p w14:paraId="1D78DFA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312.5</w:t>
            </w:r>
          </w:p>
        </w:tc>
        <w:tc>
          <w:tcPr>
            <w:tcW w:w="943" w:type="dxa"/>
            <w:noWrap/>
          </w:tcPr>
          <w:p w14:paraId="4127F98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1.28</w:t>
            </w:r>
          </w:p>
        </w:tc>
        <w:tc>
          <w:tcPr>
            <w:tcW w:w="907" w:type="dxa"/>
            <w:noWrap/>
          </w:tcPr>
          <w:p w14:paraId="359BB7C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0.97</w:t>
            </w:r>
          </w:p>
        </w:tc>
        <w:tc>
          <w:tcPr>
            <w:tcW w:w="1012" w:type="dxa"/>
            <w:noWrap/>
          </w:tcPr>
          <w:p w14:paraId="31E65F6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0.31</w:t>
            </w:r>
          </w:p>
        </w:tc>
        <w:tc>
          <w:tcPr>
            <w:tcW w:w="881" w:type="dxa"/>
            <w:noWrap/>
          </w:tcPr>
          <w:p w14:paraId="6DE6D3E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845" w:type="dxa"/>
            <w:noWrap/>
          </w:tcPr>
          <w:p w14:paraId="4B5C047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1.15</w:t>
            </w:r>
          </w:p>
        </w:tc>
        <w:tc>
          <w:tcPr>
            <w:tcW w:w="1046" w:type="dxa"/>
            <w:noWrap/>
          </w:tcPr>
          <w:p w14:paraId="2423D78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5.91</w:t>
            </w:r>
          </w:p>
        </w:tc>
        <w:tc>
          <w:tcPr>
            <w:tcW w:w="900" w:type="dxa"/>
            <w:noWrap/>
          </w:tcPr>
          <w:p w14:paraId="0E10BD9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1.39</w:t>
            </w:r>
          </w:p>
        </w:tc>
        <w:tc>
          <w:tcPr>
            <w:tcW w:w="999" w:type="dxa"/>
            <w:noWrap/>
          </w:tcPr>
          <w:p w14:paraId="33456E3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-22.84</w:t>
            </w:r>
          </w:p>
        </w:tc>
        <w:tc>
          <w:tcPr>
            <w:tcW w:w="679" w:type="dxa"/>
            <w:noWrap/>
          </w:tcPr>
          <w:p w14:paraId="09A22E9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2.67</w:t>
            </w:r>
          </w:p>
        </w:tc>
        <w:tc>
          <w:tcPr>
            <w:tcW w:w="1287" w:type="dxa"/>
            <w:noWrap/>
          </w:tcPr>
          <w:p w14:paraId="2DE12A7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29110 ± 160</w:t>
            </w:r>
          </w:p>
        </w:tc>
        <w:tc>
          <w:tcPr>
            <w:tcW w:w="657" w:type="dxa"/>
            <w:tcBorders>
              <w:right w:val="single" w:sz="4" w:space="0" w:color="auto"/>
            </w:tcBorders>
          </w:tcPr>
          <w:p w14:paraId="322632F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-974</w:t>
            </w:r>
          </w:p>
        </w:tc>
        <w:tc>
          <w:tcPr>
            <w:tcW w:w="1701" w:type="dxa"/>
            <w:tcBorders>
              <w:left w:val="single" w:sz="4" w:space="0" w:color="auto"/>
            </w:tcBorders>
          </w:tcPr>
          <w:p w14:paraId="7E7E794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307</w:t>
            </w:r>
          </w:p>
        </w:tc>
        <w:tc>
          <w:tcPr>
            <w:tcW w:w="1418" w:type="dxa"/>
            <w:gridSpan w:val="2"/>
          </w:tcPr>
          <w:p w14:paraId="5500B96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42ka-15ka***</w:t>
            </w:r>
          </w:p>
        </w:tc>
      </w:tr>
      <w:tr w:rsidR="009872D0" w:rsidRPr="00BF21D0" w14:paraId="4E76EC05" w14:textId="77777777" w:rsidTr="009872D0">
        <w:trPr>
          <w:trHeight w:val="300"/>
        </w:trPr>
        <w:tc>
          <w:tcPr>
            <w:tcW w:w="851" w:type="dxa"/>
          </w:tcPr>
          <w:p w14:paraId="6867054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150354</w:t>
            </w:r>
          </w:p>
        </w:tc>
        <w:tc>
          <w:tcPr>
            <w:tcW w:w="900" w:type="dxa"/>
            <w:noWrap/>
          </w:tcPr>
          <w:p w14:paraId="53414D0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360</w:t>
            </w:r>
          </w:p>
        </w:tc>
        <w:tc>
          <w:tcPr>
            <w:tcW w:w="943" w:type="dxa"/>
            <w:noWrap/>
          </w:tcPr>
          <w:p w14:paraId="0B34EB2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0.94</w:t>
            </w:r>
          </w:p>
        </w:tc>
        <w:tc>
          <w:tcPr>
            <w:tcW w:w="907" w:type="dxa"/>
            <w:noWrap/>
          </w:tcPr>
          <w:p w14:paraId="082DCFF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0.32</w:t>
            </w:r>
          </w:p>
        </w:tc>
        <w:tc>
          <w:tcPr>
            <w:tcW w:w="1012" w:type="dxa"/>
            <w:noWrap/>
          </w:tcPr>
          <w:p w14:paraId="60903BA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0.62</w:t>
            </w:r>
          </w:p>
        </w:tc>
        <w:tc>
          <w:tcPr>
            <w:tcW w:w="881" w:type="dxa"/>
            <w:noWrap/>
          </w:tcPr>
          <w:p w14:paraId="184D585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845" w:type="dxa"/>
            <w:noWrap/>
          </w:tcPr>
          <w:p w14:paraId="6A4330A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1.05</w:t>
            </w:r>
          </w:p>
        </w:tc>
        <w:tc>
          <w:tcPr>
            <w:tcW w:w="1046" w:type="dxa"/>
            <w:noWrap/>
          </w:tcPr>
          <w:p w14:paraId="2EADC30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6.74</w:t>
            </w:r>
          </w:p>
        </w:tc>
        <w:tc>
          <w:tcPr>
            <w:tcW w:w="900" w:type="dxa"/>
            <w:noWrap/>
          </w:tcPr>
          <w:p w14:paraId="5B20511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0.63</w:t>
            </w:r>
          </w:p>
        </w:tc>
        <w:tc>
          <w:tcPr>
            <w:tcW w:w="999" w:type="dxa"/>
            <w:noWrap/>
          </w:tcPr>
          <w:p w14:paraId="01D2CB6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-25.31</w:t>
            </w:r>
          </w:p>
        </w:tc>
        <w:tc>
          <w:tcPr>
            <w:tcW w:w="679" w:type="dxa"/>
            <w:noWrap/>
          </w:tcPr>
          <w:p w14:paraId="0ED0DF5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4.11</w:t>
            </w:r>
          </w:p>
        </w:tc>
        <w:tc>
          <w:tcPr>
            <w:tcW w:w="1287" w:type="dxa"/>
            <w:noWrap/>
          </w:tcPr>
          <w:p w14:paraId="7E13FE2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25640 ± 130</w:t>
            </w:r>
          </w:p>
        </w:tc>
        <w:tc>
          <w:tcPr>
            <w:tcW w:w="657" w:type="dxa"/>
            <w:tcBorders>
              <w:right w:val="single" w:sz="4" w:space="0" w:color="auto"/>
            </w:tcBorders>
          </w:tcPr>
          <w:p w14:paraId="600A9CF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-959</w:t>
            </w:r>
          </w:p>
        </w:tc>
        <w:tc>
          <w:tcPr>
            <w:tcW w:w="1701" w:type="dxa"/>
            <w:tcBorders>
              <w:left w:val="single" w:sz="4" w:space="0" w:color="auto"/>
            </w:tcBorders>
          </w:tcPr>
          <w:p w14:paraId="1235D9B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36ED738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3D2DA94A" w14:textId="77777777" w:rsidTr="009872D0">
        <w:trPr>
          <w:trHeight w:val="300"/>
        </w:trPr>
        <w:tc>
          <w:tcPr>
            <w:tcW w:w="851" w:type="dxa"/>
          </w:tcPr>
          <w:p w14:paraId="4349691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0" w:type="dxa"/>
            <w:noWrap/>
          </w:tcPr>
          <w:p w14:paraId="72505E3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362.5</w:t>
            </w:r>
          </w:p>
        </w:tc>
        <w:tc>
          <w:tcPr>
            <w:tcW w:w="943" w:type="dxa"/>
            <w:noWrap/>
          </w:tcPr>
          <w:p w14:paraId="103AF77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0.99</w:t>
            </w:r>
          </w:p>
        </w:tc>
        <w:tc>
          <w:tcPr>
            <w:tcW w:w="907" w:type="dxa"/>
            <w:noWrap/>
          </w:tcPr>
          <w:p w14:paraId="41344C6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0.45</w:t>
            </w:r>
          </w:p>
        </w:tc>
        <w:tc>
          <w:tcPr>
            <w:tcW w:w="1012" w:type="dxa"/>
            <w:noWrap/>
          </w:tcPr>
          <w:p w14:paraId="0E63B96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0.54</w:t>
            </w:r>
          </w:p>
        </w:tc>
        <w:tc>
          <w:tcPr>
            <w:tcW w:w="881" w:type="dxa"/>
            <w:noWrap/>
          </w:tcPr>
          <w:p w14:paraId="22CD524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845" w:type="dxa"/>
            <w:noWrap/>
          </w:tcPr>
          <w:p w14:paraId="39DB4DA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1.00</w:t>
            </w:r>
          </w:p>
        </w:tc>
        <w:tc>
          <w:tcPr>
            <w:tcW w:w="1046" w:type="dxa"/>
            <w:noWrap/>
          </w:tcPr>
          <w:p w14:paraId="2D3EFF4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5.79</w:t>
            </w:r>
          </w:p>
        </w:tc>
        <w:tc>
          <w:tcPr>
            <w:tcW w:w="900" w:type="dxa"/>
            <w:noWrap/>
          </w:tcPr>
          <w:p w14:paraId="64D3E0B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0.70</w:t>
            </w:r>
          </w:p>
        </w:tc>
        <w:tc>
          <w:tcPr>
            <w:tcW w:w="999" w:type="dxa"/>
            <w:noWrap/>
          </w:tcPr>
          <w:p w14:paraId="2F60C6D7"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679" w:type="dxa"/>
            <w:noWrap/>
          </w:tcPr>
          <w:p w14:paraId="2EB8F156"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1287" w:type="dxa"/>
            <w:noWrap/>
          </w:tcPr>
          <w:p w14:paraId="080F31CF"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657" w:type="dxa"/>
            <w:tcBorders>
              <w:right w:val="single" w:sz="4" w:space="0" w:color="auto"/>
            </w:tcBorders>
          </w:tcPr>
          <w:p w14:paraId="49F68334"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1701" w:type="dxa"/>
            <w:tcBorders>
              <w:left w:val="single" w:sz="4" w:space="0" w:color="auto"/>
            </w:tcBorders>
          </w:tcPr>
          <w:p w14:paraId="111433C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4F13945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721E1F2E" w14:textId="77777777" w:rsidTr="009872D0">
        <w:trPr>
          <w:trHeight w:val="300"/>
        </w:trPr>
        <w:tc>
          <w:tcPr>
            <w:tcW w:w="851" w:type="dxa"/>
          </w:tcPr>
          <w:p w14:paraId="1BC448C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900" w:type="dxa"/>
            <w:noWrap/>
          </w:tcPr>
          <w:p w14:paraId="5428224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387.5</w:t>
            </w:r>
          </w:p>
        </w:tc>
        <w:tc>
          <w:tcPr>
            <w:tcW w:w="943" w:type="dxa"/>
            <w:noWrap/>
          </w:tcPr>
          <w:p w14:paraId="22B6E10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1.13</w:t>
            </w:r>
          </w:p>
        </w:tc>
        <w:tc>
          <w:tcPr>
            <w:tcW w:w="907" w:type="dxa"/>
            <w:noWrap/>
          </w:tcPr>
          <w:p w14:paraId="5CE43D2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0.63</w:t>
            </w:r>
          </w:p>
        </w:tc>
        <w:tc>
          <w:tcPr>
            <w:tcW w:w="1012" w:type="dxa"/>
            <w:noWrap/>
          </w:tcPr>
          <w:p w14:paraId="3B0A2EE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0.51</w:t>
            </w:r>
          </w:p>
        </w:tc>
        <w:tc>
          <w:tcPr>
            <w:tcW w:w="881" w:type="dxa"/>
            <w:noWrap/>
          </w:tcPr>
          <w:p w14:paraId="10B5F67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845" w:type="dxa"/>
            <w:noWrap/>
          </w:tcPr>
          <w:p w14:paraId="2FBCDC9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0.70</w:t>
            </w:r>
          </w:p>
        </w:tc>
        <w:tc>
          <w:tcPr>
            <w:tcW w:w="1046" w:type="dxa"/>
            <w:noWrap/>
          </w:tcPr>
          <w:p w14:paraId="7B6770E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5.17</w:t>
            </w:r>
          </w:p>
        </w:tc>
        <w:tc>
          <w:tcPr>
            <w:tcW w:w="900" w:type="dxa"/>
            <w:noWrap/>
          </w:tcPr>
          <w:p w14:paraId="4A627AB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0.51</w:t>
            </w:r>
          </w:p>
        </w:tc>
        <w:tc>
          <w:tcPr>
            <w:tcW w:w="999" w:type="dxa"/>
            <w:noWrap/>
          </w:tcPr>
          <w:p w14:paraId="3F0BD9E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-25.27</w:t>
            </w:r>
          </w:p>
        </w:tc>
        <w:tc>
          <w:tcPr>
            <w:tcW w:w="679" w:type="dxa"/>
            <w:noWrap/>
          </w:tcPr>
          <w:p w14:paraId="44B3A865"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1287" w:type="dxa"/>
            <w:noWrap/>
          </w:tcPr>
          <w:p w14:paraId="3B5001FC"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657" w:type="dxa"/>
            <w:tcBorders>
              <w:right w:val="single" w:sz="4" w:space="0" w:color="auto"/>
            </w:tcBorders>
          </w:tcPr>
          <w:p w14:paraId="0768EB7B" w14:textId="77777777" w:rsidR="009872D0" w:rsidRPr="00BF21D0" w:rsidRDefault="009872D0" w:rsidP="009872D0">
            <w:pPr>
              <w:spacing w:after="0"/>
              <w:jc w:val="center"/>
              <w:rPr>
                <w:rFonts w:ascii="Times New Roman" w:hAnsi="Times New Roman" w:cs="Times New Roman"/>
                <w:color w:val="000000"/>
                <w:sz w:val="20"/>
                <w:szCs w:val="20"/>
                <w:lang w:eastAsia="pt-BR"/>
              </w:rPr>
            </w:pPr>
            <w:proofErr w:type="spellStart"/>
            <w:r w:rsidRPr="00BF21D0">
              <w:rPr>
                <w:rFonts w:ascii="Times New Roman" w:hAnsi="Times New Roman" w:cs="Times New Roman"/>
                <w:color w:val="000000"/>
                <w:sz w:val="20"/>
                <w:szCs w:val="20"/>
                <w:lang w:eastAsia="pt-BR"/>
              </w:rPr>
              <w:t>nd</w:t>
            </w:r>
            <w:proofErr w:type="spellEnd"/>
          </w:p>
        </w:tc>
        <w:tc>
          <w:tcPr>
            <w:tcW w:w="1701" w:type="dxa"/>
            <w:tcBorders>
              <w:left w:val="single" w:sz="4" w:space="0" w:color="auto"/>
            </w:tcBorders>
          </w:tcPr>
          <w:p w14:paraId="5F1E735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2E3CEB5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5B06013F" w14:textId="77777777" w:rsidTr="009872D0">
        <w:trPr>
          <w:trHeight w:val="300"/>
        </w:trPr>
        <w:tc>
          <w:tcPr>
            <w:tcW w:w="851" w:type="dxa"/>
          </w:tcPr>
          <w:p w14:paraId="089F241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150356</w:t>
            </w:r>
          </w:p>
        </w:tc>
        <w:tc>
          <w:tcPr>
            <w:tcW w:w="900" w:type="dxa"/>
            <w:noWrap/>
          </w:tcPr>
          <w:p w14:paraId="5C38744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412.5</w:t>
            </w:r>
          </w:p>
        </w:tc>
        <w:tc>
          <w:tcPr>
            <w:tcW w:w="943" w:type="dxa"/>
            <w:noWrap/>
          </w:tcPr>
          <w:p w14:paraId="7CD18D2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0.91</w:t>
            </w:r>
          </w:p>
        </w:tc>
        <w:tc>
          <w:tcPr>
            <w:tcW w:w="907" w:type="dxa"/>
            <w:noWrap/>
          </w:tcPr>
          <w:p w14:paraId="0E21D8D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0.37</w:t>
            </w:r>
          </w:p>
        </w:tc>
        <w:tc>
          <w:tcPr>
            <w:tcW w:w="1012" w:type="dxa"/>
            <w:noWrap/>
          </w:tcPr>
          <w:p w14:paraId="438822F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0.54</w:t>
            </w:r>
          </w:p>
        </w:tc>
        <w:tc>
          <w:tcPr>
            <w:tcW w:w="881" w:type="dxa"/>
            <w:noWrap/>
          </w:tcPr>
          <w:p w14:paraId="58B34C4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845" w:type="dxa"/>
            <w:noWrap/>
          </w:tcPr>
          <w:p w14:paraId="7182301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0.52</w:t>
            </w:r>
          </w:p>
        </w:tc>
        <w:tc>
          <w:tcPr>
            <w:tcW w:w="1046" w:type="dxa"/>
            <w:noWrap/>
          </w:tcPr>
          <w:p w14:paraId="2A7C86B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5.54</w:t>
            </w:r>
          </w:p>
        </w:tc>
        <w:tc>
          <w:tcPr>
            <w:tcW w:w="900" w:type="dxa"/>
            <w:noWrap/>
          </w:tcPr>
          <w:p w14:paraId="06495E6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0.36</w:t>
            </w:r>
          </w:p>
        </w:tc>
        <w:tc>
          <w:tcPr>
            <w:tcW w:w="999" w:type="dxa"/>
            <w:noWrap/>
          </w:tcPr>
          <w:p w14:paraId="47B8085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-24.27</w:t>
            </w:r>
          </w:p>
        </w:tc>
        <w:tc>
          <w:tcPr>
            <w:tcW w:w="679" w:type="dxa"/>
            <w:noWrap/>
          </w:tcPr>
          <w:p w14:paraId="7A24A06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3.22</w:t>
            </w:r>
          </w:p>
        </w:tc>
        <w:tc>
          <w:tcPr>
            <w:tcW w:w="1287" w:type="dxa"/>
            <w:noWrap/>
          </w:tcPr>
          <w:p w14:paraId="6A2BB05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27610 ± 160</w:t>
            </w:r>
          </w:p>
        </w:tc>
        <w:tc>
          <w:tcPr>
            <w:tcW w:w="657" w:type="dxa"/>
            <w:tcBorders>
              <w:right w:val="single" w:sz="4" w:space="0" w:color="auto"/>
            </w:tcBorders>
          </w:tcPr>
          <w:p w14:paraId="2918062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-968</w:t>
            </w:r>
          </w:p>
        </w:tc>
        <w:tc>
          <w:tcPr>
            <w:tcW w:w="1701" w:type="dxa"/>
            <w:tcBorders>
              <w:left w:val="single" w:sz="4" w:space="0" w:color="auto"/>
            </w:tcBorders>
          </w:tcPr>
          <w:p w14:paraId="19B0707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20D65EF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26188D98" w14:textId="77777777" w:rsidTr="009872D0">
        <w:trPr>
          <w:trHeight w:val="300"/>
        </w:trPr>
        <w:tc>
          <w:tcPr>
            <w:tcW w:w="851" w:type="dxa"/>
          </w:tcPr>
          <w:p w14:paraId="106AADB9" w14:textId="77777777" w:rsidR="009872D0" w:rsidRPr="00BF21D0" w:rsidRDefault="009872D0" w:rsidP="009872D0">
            <w:pPr>
              <w:spacing w:after="0"/>
              <w:jc w:val="center"/>
              <w:rPr>
                <w:rFonts w:ascii="Times New Roman" w:hAnsi="Times New Roman" w:cs="Times New Roman"/>
                <w:b/>
                <w:bCs/>
                <w:sz w:val="20"/>
                <w:szCs w:val="20"/>
                <w:lang w:eastAsia="pt-BR"/>
              </w:rPr>
            </w:pPr>
            <w:r w:rsidRPr="00BF21D0">
              <w:rPr>
                <w:rFonts w:ascii="Times New Roman" w:hAnsi="Times New Roman" w:cs="Times New Roman"/>
                <w:b/>
                <w:bCs/>
                <w:sz w:val="20"/>
                <w:szCs w:val="20"/>
                <w:lang w:eastAsia="pt-BR"/>
              </w:rPr>
              <w:t>PC31</w:t>
            </w:r>
          </w:p>
        </w:tc>
        <w:tc>
          <w:tcPr>
            <w:tcW w:w="900" w:type="dxa"/>
            <w:noWrap/>
          </w:tcPr>
          <w:p w14:paraId="679751E5" w14:textId="77777777" w:rsidR="009872D0" w:rsidRPr="00BF21D0" w:rsidRDefault="009872D0" w:rsidP="009872D0">
            <w:pPr>
              <w:spacing w:after="0"/>
              <w:jc w:val="center"/>
              <w:rPr>
                <w:rFonts w:ascii="Times New Roman" w:hAnsi="Times New Roman" w:cs="Times New Roman"/>
                <w:b/>
                <w:bCs/>
                <w:sz w:val="20"/>
                <w:szCs w:val="20"/>
                <w:lang w:eastAsia="pt-BR"/>
              </w:rPr>
            </w:pPr>
          </w:p>
        </w:tc>
        <w:tc>
          <w:tcPr>
            <w:tcW w:w="943" w:type="dxa"/>
            <w:noWrap/>
          </w:tcPr>
          <w:p w14:paraId="332DA72B"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907" w:type="dxa"/>
            <w:noWrap/>
          </w:tcPr>
          <w:p w14:paraId="7972E273"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012" w:type="dxa"/>
            <w:noWrap/>
          </w:tcPr>
          <w:p w14:paraId="47666112"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881" w:type="dxa"/>
            <w:noWrap/>
          </w:tcPr>
          <w:p w14:paraId="3DA6BCCA"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845" w:type="dxa"/>
            <w:noWrap/>
          </w:tcPr>
          <w:p w14:paraId="40A575A3"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046" w:type="dxa"/>
            <w:noWrap/>
          </w:tcPr>
          <w:p w14:paraId="269EC968"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900" w:type="dxa"/>
            <w:noWrap/>
          </w:tcPr>
          <w:p w14:paraId="34A1506E"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999" w:type="dxa"/>
            <w:noWrap/>
          </w:tcPr>
          <w:p w14:paraId="2B9767E6"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679" w:type="dxa"/>
            <w:noWrap/>
          </w:tcPr>
          <w:p w14:paraId="6A79B785"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287" w:type="dxa"/>
            <w:noWrap/>
          </w:tcPr>
          <w:p w14:paraId="5A8268C5"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657" w:type="dxa"/>
            <w:tcBorders>
              <w:right w:val="single" w:sz="4" w:space="0" w:color="auto"/>
            </w:tcBorders>
          </w:tcPr>
          <w:p w14:paraId="57FA2648"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701" w:type="dxa"/>
            <w:tcBorders>
              <w:left w:val="single" w:sz="4" w:space="0" w:color="auto"/>
            </w:tcBorders>
          </w:tcPr>
          <w:p w14:paraId="329B7465"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c>
          <w:tcPr>
            <w:tcW w:w="1418" w:type="dxa"/>
            <w:gridSpan w:val="2"/>
          </w:tcPr>
          <w:p w14:paraId="10CD112C" w14:textId="77777777" w:rsidR="009872D0" w:rsidRPr="00BF21D0" w:rsidRDefault="009872D0" w:rsidP="009872D0">
            <w:pPr>
              <w:spacing w:after="0"/>
              <w:jc w:val="center"/>
              <w:rPr>
                <w:rFonts w:ascii="Times New Roman" w:hAnsi="Times New Roman" w:cs="Times New Roman"/>
                <w:color w:val="000000"/>
                <w:sz w:val="20"/>
                <w:szCs w:val="20"/>
                <w:lang w:eastAsia="pt-BR"/>
              </w:rPr>
            </w:pPr>
          </w:p>
        </w:tc>
      </w:tr>
      <w:tr w:rsidR="009872D0" w:rsidRPr="00BF21D0" w14:paraId="253CEE45" w14:textId="77777777" w:rsidTr="009872D0">
        <w:trPr>
          <w:trHeight w:val="300"/>
        </w:trPr>
        <w:tc>
          <w:tcPr>
            <w:tcW w:w="851" w:type="dxa"/>
          </w:tcPr>
          <w:p w14:paraId="16FCB41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150037</w:t>
            </w:r>
          </w:p>
        </w:tc>
        <w:tc>
          <w:tcPr>
            <w:tcW w:w="900" w:type="dxa"/>
            <w:noWrap/>
          </w:tcPr>
          <w:p w14:paraId="7794E4B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w:t>
            </w:r>
          </w:p>
        </w:tc>
        <w:tc>
          <w:tcPr>
            <w:tcW w:w="943" w:type="dxa"/>
            <w:noWrap/>
          </w:tcPr>
          <w:p w14:paraId="26161F1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0.50</w:t>
            </w:r>
          </w:p>
        </w:tc>
        <w:tc>
          <w:tcPr>
            <w:tcW w:w="907" w:type="dxa"/>
            <w:noWrap/>
          </w:tcPr>
          <w:p w14:paraId="39B35F3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0.04</w:t>
            </w:r>
          </w:p>
        </w:tc>
        <w:tc>
          <w:tcPr>
            <w:tcW w:w="1012" w:type="dxa"/>
            <w:noWrap/>
          </w:tcPr>
          <w:p w14:paraId="3159959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0.46</w:t>
            </w:r>
          </w:p>
        </w:tc>
        <w:tc>
          <w:tcPr>
            <w:tcW w:w="881" w:type="dxa"/>
            <w:noWrap/>
          </w:tcPr>
          <w:p w14:paraId="54CD2B1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845" w:type="dxa"/>
            <w:noWrap/>
          </w:tcPr>
          <w:p w14:paraId="5DFB95C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1046" w:type="dxa"/>
            <w:noWrap/>
          </w:tcPr>
          <w:p w14:paraId="17AEE85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9.63</w:t>
            </w:r>
          </w:p>
        </w:tc>
        <w:tc>
          <w:tcPr>
            <w:tcW w:w="900" w:type="dxa"/>
            <w:noWrap/>
          </w:tcPr>
          <w:p w14:paraId="2C14FA2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0.09</w:t>
            </w:r>
          </w:p>
        </w:tc>
        <w:tc>
          <w:tcPr>
            <w:tcW w:w="999" w:type="dxa"/>
            <w:noWrap/>
          </w:tcPr>
          <w:p w14:paraId="3BCE414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-18.59</w:t>
            </w:r>
          </w:p>
        </w:tc>
        <w:tc>
          <w:tcPr>
            <w:tcW w:w="679" w:type="dxa"/>
            <w:noWrap/>
          </w:tcPr>
          <w:p w14:paraId="72AB0BB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11.00</w:t>
            </w:r>
          </w:p>
        </w:tc>
        <w:tc>
          <w:tcPr>
            <w:tcW w:w="1287" w:type="dxa"/>
            <w:noWrap/>
          </w:tcPr>
          <w:p w14:paraId="26ED844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17730 ± 90</w:t>
            </w:r>
          </w:p>
        </w:tc>
        <w:tc>
          <w:tcPr>
            <w:tcW w:w="657" w:type="dxa"/>
            <w:tcBorders>
              <w:right w:val="single" w:sz="4" w:space="0" w:color="auto"/>
            </w:tcBorders>
          </w:tcPr>
          <w:p w14:paraId="00F7BFE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-891</w:t>
            </w:r>
          </w:p>
        </w:tc>
        <w:tc>
          <w:tcPr>
            <w:tcW w:w="1701" w:type="dxa"/>
            <w:tcBorders>
              <w:left w:val="single" w:sz="4" w:space="0" w:color="auto"/>
            </w:tcBorders>
          </w:tcPr>
          <w:p w14:paraId="3B89D84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6 </w:t>
            </w:r>
          </w:p>
        </w:tc>
        <w:tc>
          <w:tcPr>
            <w:tcW w:w="1418" w:type="dxa"/>
            <w:gridSpan w:val="2"/>
          </w:tcPr>
          <w:p w14:paraId="323B3A6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584EC8B1" w14:textId="77777777" w:rsidTr="009872D0">
        <w:trPr>
          <w:trHeight w:val="300"/>
        </w:trPr>
        <w:tc>
          <w:tcPr>
            <w:tcW w:w="851" w:type="dxa"/>
          </w:tcPr>
          <w:p w14:paraId="2D8D86E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150186</w:t>
            </w:r>
          </w:p>
        </w:tc>
        <w:tc>
          <w:tcPr>
            <w:tcW w:w="900" w:type="dxa"/>
            <w:noWrap/>
          </w:tcPr>
          <w:p w14:paraId="297D7B2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56</w:t>
            </w:r>
          </w:p>
        </w:tc>
        <w:tc>
          <w:tcPr>
            <w:tcW w:w="943" w:type="dxa"/>
            <w:noWrap/>
          </w:tcPr>
          <w:p w14:paraId="4DEB41B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0.80</w:t>
            </w:r>
          </w:p>
        </w:tc>
        <w:tc>
          <w:tcPr>
            <w:tcW w:w="907" w:type="dxa"/>
            <w:noWrap/>
          </w:tcPr>
          <w:p w14:paraId="5544F78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0.19</w:t>
            </w:r>
          </w:p>
        </w:tc>
        <w:tc>
          <w:tcPr>
            <w:tcW w:w="1012" w:type="dxa"/>
            <w:noWrap/>
          </w:tcPr>
          <w:p w14:paraId="51D9AF8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0.61</w:t>
            </w:r>
          </w:p>
        </w:tc>
        <w:tc>
          <w:tcPr>
            <w:tcW w:w="881" w:type="dxa"/>
            <w:noWrap/>
          </w:tcPr>
          <w:p w14:paraId="273040B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0.08</w:t>
            </w:r>
          </w:p>
        </w:tc>
        <w:tc>
          <w:tcPr>
            <w:tcW w:w="845" w:type="dxa"/>
            <w:noWrap/>
          </w:tcPr>
          <w:p w14:paraId="013052F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0.04</w:t>
            </w:r>
          </w:p>
        </w:tc>
        <w:tc>
          <w:tcPr>
            <w:tcW w:w="1046" w:type="dxa"/>
            <w:noWrap/>
          </w:tcPr>
          <w:p w14:paraId="35EB084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9.36</w:t>
            </w:r>
          </w:p>
        </w:tc>
        <w:tc>
          <w:tcPr>
            <w:tcW w:w="900" w:type="dxa"/>
            <w:noWrap/>
          </w:tcPr>
          <w:p w14:paraId="14A930A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999" w:type="dxa"/>
            <w:noWrap/>
          </w:tcPr>
          <w:p w14:paraId="39BC906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-21.79</w:t>
            </w:r>
          </w:p>
        </w:tc>
        <w:tc>
          <w:tcPr>
            <w:tcW w:w="679" w:type="dxa"/>
            <w:noWrap/>
          </w:tcPr>
          <w:p w14:paraId="11FD4E9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16.81</w:t>
            </w:r>
          </w:p>
        </w:tc>
        <w:tc>
          <w:tcPr>
            <w:tcW w:w="1287" w:type="dxa"/>
            <w:noWrap/>
          </w:tcPr>
          <w:p w14:paraId="3DBC91A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14320 ± 70</w:t>
            </w:r>
          </w:p>
        </w:tc>
        <w:tc>
          <w:tcPr>
            <w:tcW w:w="657" w:type="dxa"/>
            <w:tcBorders>
              <w:right w:val="single" w:sz="4" w:space="0" w:color="auto"/>
            </w:tcBorders>
          </w:tcPr>
          <w:p w14:paraId="062D9B1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-833</w:t>
            </w:r>
          </w:p>
        </w:tc>
        <w:tc>
          <w:tcPr>
            <w:tcW w:w="1701" w:type="dxa"/>
            <w:tcBorders>
              <w:left w:val="single" w:sz="4" w:space="0" w:color="auto"/>
            </w:tcBorders>
          </w:tcPr>
          <w:p w14:paraId="1EA3F49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58 </w:t>
            </w:r>
          </w:p>
        </w:tc>
        <w:tc>
          <w:tcPr>
            <w:tcW w:w="1418" w:type="dxa"/>
            <w:gridSpan w:val="2"/>
          </w:tcPr>
          <w:p w14:paraId="12EAE48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21F9811F" w14:textId="77777777" w:rsidTr="009872D0">
        <w:trPr>
          <w:trHeight w:val="300"/>
        </w:trPr>
        <w:tc>
          <w:tcPr>
            <w:tcW w:w="851" w:type="dxa"/>
          </w:tcPr>
          <w:p w14:paraId="6176157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150109</w:t>
            </w:r>
          </w:p>
        </w:tc>
        <w:tc>
          <w:tcPr>
            <w:tcW w:w="900" w:type="dxa"/>
            <w:noWrap/>
          </w:tcPr>
          <w:p w14:paraId="0A22C7B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108</w:t>
            </w:r>
          </w:p>
        </w:tc>
        <w:tc>
          <w:tcPr>
            <w:tcW w:w="943" w:type="dxa"/>
            <w:noWrap/>
          </w:tcPr>
          <w:p w14:paraId="735525A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0.70</w:t>
            </w:r>
          </w:p>
        </w:tc>
        <w:tc>
          <w:tcPr>
            <w:tcW w:w="907" w:type="dxa"/>
            <w:noWrap/>
          </w:tcPr>
          <w:p w14:paraId="2493486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1012" w:type="dxa"/>
            <w:noWrap/>
          </w:tcPr>
          <w:p w14:paraId="414D2FE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0.58</w:t>
            </w:r>
          </w:p>
        </w:tc>
        <w:tc>
          <w:tcPr>
            <w:tcW w:w="881" w:type="dxa"/>
            <w:noWrap/>
          </w:tcPr>
          <w:p w14:paraId="4934336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72A5830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0.08</w:t>
            </w:r>
          </w:p>
        </w:tc>
        <w:tc>
          <w:tcPr>
            <w:tcW w:w="1046" w:type="dxa"/>
            <w:noWrap/>
          </w:tcPr>
          <w:p w14:paraId="52A0D11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9.48</w:t>
            </w:r>
          </w:p>
        </w:tc>
        <w:tc>
          <w:tcPr>
            <w:tcW w:w="900" w:type="dxa"/>
            <w:noWrap/>
          </w:tcPr>
          <w:p w14:paraId="7E81B9D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0.05</w:t>
            </w:r>
          </w:p>
        </w:tc>
        <w:tc>
          <w:tcPr>
            <w:tcW w:w="999" w:type="dxa"/>
            <w:noWrap/>
          </w:tcPr>
          <w:p w14:paraId="51C260B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-20.96</w:t>
            </w:r>
          </w:p>
        </w:tc>
        <w:tc>
          <w:tcPr>
            <w:tcW w:w="679" w:type="dxa"/>
            <w:noWrap/>
          </w:tcPr>
          <w:p w14:paraId="2904312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5.90</w:t>
            </w:r>
          </w:p>
        </w:tc>
        <w:tc>
          <w:tcPr>
            <w:tcW w:w="1287" w:type="dxa"/>
            <w:noWrap/>
          </w:tcPr>
          <w:p w14:paraId="20DE909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22730 ± 240</w:t>
            </w:r>
          </w:p>
        </w:tc>
        <w:tc>
          <w:tcPr>
            <w:tcW w:w="657" w:type="dxa"/>
            <w:tcBorders>
              <w:right w:val="single" w:sz="4" w:space="0" w:color="auto"/>
            </w:tcBorders>
          </w:tcPr>
          <w:p w14:paraId="155EC30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-941</w:t>
            </w:r>
          </w:p>
        </w:tc>
        <w:tc>
          <w:tcPr>
            <w:tcW w:w="1701" w:type="dxa"/>
            <w:tcBorders>
              <w:left w:val="single" w:sz="4" w:space="0" w:color="auto"/>
            </w:tcBorders>
          </w:tcPr>
          <w:p w14:paraId="6F6BF3B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106 </w:t>
            </w:r>
          </w:p>
        </w:tc>
        <w:tc>
          <w:tcPr>
            <w:tcW w:w="1418" w:type="dxa"/>
            <w:gridSpan w:val="2"/>
          </w:tcPr>
          <w:p w14:paraId="1B72E64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74F47A9C" w14:textId="77777777" w:rsidTr="009872D0">
        <w:trPr>
          <w:trHeight w:val="300"/>
        </w:trPr>
        <w:tc>
          <w:tcPr>
            <w:tcW w:w="851" w:type="dxa"/>
          </w:tcPr>
          <w:p w14:paraId="7BDB4CB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150189</w:t>
            </w:r>
          </w:p>
        </w:tc>
        <w:tc>
          <w:tcPr>
            <w:tcW w:w="900" w:type="dxa"/>
            <w:noWrap/>
          </w:tcPr>
          <w:p w14:paraId="271BDDA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182</w:t>
            </w:r>
          </w:p>
        </w:tc>
        <w:tc>
          <w:tcPr>
            <w:tcW w:w="943" w:type="dxa"/>
            <w:noWrap/>
          </w:tcPr>
          <w:p w14:paraId="731243C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0.49</w:t>
            </w:r>
          </w:p>
        </w:tc>
        <w:tc>
          <w:tcPr>
            <w:tcW w:w="907" w:type="dxa"/>
            <w:noWrap/>
          </w:tcPr>
          <w:p w14:paraId="1EBEFE6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0.02</w:t>
            </w:r>
          </w:p>
        </w:tc>
        <w:tc>
          <w:tcPr>
            <w:tcW w:w="1012" w:type="dxa"/>
            <w:noWrap/>
          </w:tcPr>
          <w:p w14:paraId="2032E92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0.47</w:t>
            </w:r>
          </w:p>
        </w:tc>
        <w:tc>
          <w:tcPr>
            <w:tcW w:w="881" w:type="dxa"/>
            <w:noWrap/>
          </w:tcPr>
          <w:p w14:paraId="5C280D7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845" w:type="dxa"/>
            <w:noWrap/>
          </w:tcPr>
          <w:p w14:paraId="07991E7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0.04</w:t>
            </w:r>
          </w:p>
        </w:tc>
        <w:tc>
          <w:tcPr>
            <w:tcW w:w="1046" w:type="dxa"/>
            <w:noWrap/>
          </w:tcPr>
          <w:p w14:paraId="18338B3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8.96</w:t>
            </w:r>
          </w:p>
        </w:tc>
        <w:tc>
          <w:tcPr>
            <w:tcW w:w="900" w:type="dxa"/>
            <w:noWrap/>
          </w:tcPr>
          <w:p w14:paraId="0C705C6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999" w:type="dxa"/>
            <w:noWrap/>
          </w:tcPr>
          <w:p w14:paraId="4D94ACD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-19.68</w:t>
            </w:r>
          </w:p>
        </w:tc>
        <w:tc>
          <w:tcPr>
            <w:tcW w:w="679" w:type="dxa"/>
            <w:noWrap/>
          </w:tcPr>
          <w:p w14:paraId="5BB75F0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18.66</w:t>
            </w:r>
          </w:p>
        </w:tc>
        <w:tc>
          <w:tcPr>
            <w:tcW w:w="1287" w:type="dxa"/>
            <w:noWrap/>
          </w:tcPr>
          <w:p w14:paraId="24C5DF8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13490 ± 60</w:t>
            </w:r>
          </w:p>
        </w:tc>
        <w:tc>
          <w:tcPr>
            <w:tcW w:w="657" w:type="dxa"/>
            <w:tcBorders>
              <w:right w:val="single" w:sz="4" w:space="0" w:color="auto"/>
            </w:tcBorders>
          </w:tcPr>
          <w:p w14:paraId="561DBA5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-815</w:t>
            </w:r>
          </w:p>
        </w:tc>
        <w:tc>
          <w:tcPr>
            <w:tcW w:w="1701" w:type="dxa"/>
            <w:tcBorders>
              <w:left w:val="single" w:sz="4" w:space="0" w:color="auto"/>
            </w:tcBorders>
          </w:tcPr>
          <w:p w14:paraId="4D81F26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160 </w:t>
            </w:r>
          </w:p>
        </w:tc>
        <w:tc>
          <w:tcPr>
            <w:tcW w:w="1418" w:type="dxa"/>
            <w:gridSpan w:val="2"/>
          </w:tcPr>
          <w:p w14:paraId="0D3CEA4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25661405" w14:textId="77777777" w:rsidTr="009872D0">
        <w:trPr>
          <w:trHeight w:val="300"/>
        </w:trPr>
        <w:tc>
          <w:tcPr>
            <w:tcW w:w="851" w:type="dxa"/>
          </w:tcPr>
          <w:p w14:paraId="6210A43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150190</w:t>
            </w:r>
          </w:p>
        </w:tc>
        <w:tc>
          <w:tcPr>
            <w:tcW w:w="900" w:type="dxa"/>
            <w:noWrap/>
          </w:tcPr>
          <w:p w14:paraId="3377A67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208</w:t>
            </w:r>
          </w:p>
        </w:tc>
        <w:tc>
          <w:tcPr>
            <w:tcW w:w="943" w:type="dxa"/>
            <w:noWrap/>
          </w:tcPr>
          <w:p w14:paraId="103A2C0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0.59</w:t>
            </w:r>
          </w:p>
        </w:tc>
        <w:tc>
          <w:tcPr>
            <w:tcW w:w="907" w:type="dxa"/>
            <w:noWrap/>
          </w:tcPr>
          <w:p w14:paraId="22B8BC2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0.01</w:t>
            </w:r>
          </w:p>
        </w:tc>
        <w:tc>
          <w:tcPr>
            <w:tcW w:w="1012" w:type="dxa"/>
            <w:noWrap/>
          </w:tcPr>
          <w:p w14:paraId="2415E37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0.58</w:t>
            </w:r>
          </w:p>
        </w:tc>
        <w:tc>
          <w:tcPr>
            <w:tcW w:w="881" w:type="dxa"/>
            <w:noWrap/>
          </w:tcPr>
          <w:p w14:paraId="76C3AC1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0.08</w:t>
            </w:r>
          </w:p>
        </w:tc>
        <w:tc>
          <w:tcPr>
            <w:tcW w:w="845" w:type="dxa"/>
            <w:noWrap/>
          </w:tcPr>
          <w:p w14:paraId="4BADA4C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0.12</w:t>
            </w:r>
          </w:p>
        </w:tc>
        <w:tc>
          <w:tcPr>
            <w:tcW w:w="1046" w:type="dxa"/>
            <w:noWrap/>
          </w:tcPr>
          <w:p w14:paraId="5F96552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8.51</w:t>
            </w:r>
          </w:p>
        </w:tc>
        <w:tc>
          <w:tcPr>
            <w:tcW w:w="900" w:type="dxa"/>
            <w:noWrap/>
          </w:tcPr>
          <w:p w14:paraId="254DBF9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999" w:type="dxa"/>
            <w:noWrap/>
          </w:tcPr>
          <w:p w14:paraId="32BBD87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-19.79</w:t>
            </w:r>
          </w:p>
        </w:tc>
        <w:tc>
          <w:tcPr>
            <w:tcW w:w="679" w:type="dxa"/>
            <w:noWrap/>
          </w:tcPr>
          <w:p w14:paraId="6B6B906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19.07</w:t>
            </w:r>
          </w:p>
        </w:tc>
        <w:tc>
          <w:tcPr>
            <w:tcW w:w="1287" w:type="dxa"/>
            <w:noWrap/>
          </w:tcPr>
          <w:p w14:paraId="188F134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13310 ± 70</w:t>
            </w:r>
          </w:p>
        </w:tc>
        <w:tc>
          <w:tcPr>
            <w:tcW w:w="657" w:type="dxa"/>
            <w:tcBorders>
              <w:right w:val="single" w:sz="4" w:space="0" w:color="auto"/>
            </w:tcBorders>
          </w:tcPr>
          <w:p w14:paraId="43E3B1F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-811</w:t>
            </w:r>
          </w:p>
        </w:tc>
        <w:tc>
          <w:tcPr>
            <w:tcW w:w="1701" w:type="dxa"/>
            <w:tcBorders>
              <w:left w:val="single" w:sz="4" w:space="0" w:color="auto"/>
            </w:tcBorders>
          </w:tcPr>
          <w:p w14:paraId="112EE71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4F63093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1B7EC94B" w14:textId="77777777" w:rsidTr="009872D0">
        <w:trPr>
          <w:trHeight w:val="300"/>
        </w:trPr>
        <w:tc>
          <w:tcPr>
            <w:tcW w:w="851" w:type="dxa"/>
          </w:tcPr>
          <w:p w14:paraId="581AD9C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150191</w:t>
            </w:r>
          </w:p>
        </w:tc>
        <w:tc>
          <w:tcPr>
            <w:tcW w:w="900" w:type="dxa"/>
            <w:noWrap/>
          </w:tcPr>
          <w:p w14:paraId="1920CE6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258</w:t>
            </w:r>
          </w:p>
        </w:tc>
        <w:tc>
          <w:tcPr>
            <w:tcW w:w="943" w:type="dxa"/>
            <w:noWrap/>
          </w:tcPr>
          <w:p w14:paraId="1A9C1B7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0.57</w:t>
            </w:r>
          </w:p>
        </w:tc>
        <w:tc>
          <w:tcPr>
            <w:tcW w:w="907" w:type="dxa"/>
            <w:noWrap/>
          </w:tcPr>
          <w:p w14:paraId="71D6855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0.04</w:t>
            </w:r>
          </w:p>
        </w:tc>
        <w:tc>
          <w:tcPr>
            <w:tcW w:w="1012" w:type="dxa"/>
            <w:noWrap/>
          </w:tcPr>
          <w:p w14:paraId="4DC61DA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0.53</w:t>
            </w:r>
          </w:p>
        </w:tc>
        <w:tc>
          <w:tcPr>
            <w:tcW w:w="881" w:type="dxa"/>
            <w:noWrap/>
          </w:tcPr>
          <w:p w14:paraId="446CF27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0.08</w:t>
            </w:r>
          </w:p>
        </w:tc>
        <w:tc>
          <w:tcPr>
            <w:tcW w:w="845" w:type="dxa"/>
            <w:noWrap/>
          </w:tcPr>
          <w:p w14:paraId="229F057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0.04</w:t>
            </w:r>
          </w:p>
        </w:tc>
        <w:tc>
          <w:tcPr>
            <w:tcW w:w="1046" w:type="dxa"/>
            <w:noWrap/>
          </w:tcPr>
          <w:p w14:paraId="49A27E1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7.35</w:t>
            </w:r>
          </w:p>
        </w:tc>
        <w:tc>
          <w:tcPr>
            <w:tcW w:w="900" w:type="dxa"/>
            <w:noWrap/>
          </w:tcPr>
          <w:p w14:paraId="79CB8DC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999" w:type="dxa"/>
            <w:noWrap/>
          </w:tcPr>
          <w:p w14:paraId="110B9E5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-20.59</w:t>
            </w:r>
          </w:p>
        </w:tc>
        <w:tc>
          <w:tcPr>
            <w:tcW w:w="679" w:type="dxa"/>
            <w:noWrap/>
          </w:tcPr>
          <w:p w14:paraId="05C6DB6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2.06</w:t>
            </w:r>
          </w:p>
        </w:tc>
        <w:tc>
          <w:tcPr>
            <w:tcW w:w="1287" w:type="dxa"/>
            <w:noWrap/>
          </w:tcPr>
          <w:p w14:paraId="38DBF02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31170 ± 190</w:t>
            </w:r>
          </w:p>
        </w:tc>
        <w:tc>
          <w:tcPr>
            <w:tcW w:w="657" w:type="dxa"/>
            <w:tcBorders>
              <w:right w:val="single" w:sz="4" w:space="0" w:color="auto"/>
            </w:tcBorders>
          </w:tcPr>
          <w:p w14:paraId="6899246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-980</w:t>
            </w:r>
          </w:p>
        </w:tc>
        <w:tc>
          <w:tcPr>
            <w:tcW w:w="1701" w:type="dxa"/>
            <w:tcBorders>
              <w:left w:val="single" w:sz="4" w:space="0" w:color="auto"/>
            </w:tcBorders>
          </w:tcPr>
          <w:p w14:paraId="561605D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25E9F59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39422AE8" w14:textId="77777777" w:rsidTr="009872D0">
        <w:trPr>
          <w:trHeight w:val="300"/>
        </w:trPr>
        <w:tc>
          <w:tcPr>
            <w:tcW w:w="851" w:type="dxa"/>
          </w:tcPr>
          <w:p w14:paraId="69FD014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150192</w:t>
            </w:r>
          </w:p>
        </w:tc>
        <w:tc>
          <w:tcPr>
            <w:tcW w:w="900" w:type="dxa"/>
            <w:noWrap/>
          </w:tcPr>
          <w:p w14:paraId="2A2637F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282</w:t>
            </w:r>
          </w:p>
        </w:tc>
        <w:tc>
          <w:tcPr>
            <w:tcW w:w="943" w:type="dxa"/>
            <w:noWrap/>
          </w:tcPr>
          <w:p w14:paraId="173DC34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0.57</w:t>
            </w:r>
          </w:p>
        </w:tc>
        <w:tc>
          <w:tcPr>
            <w:tcW w:w="907" w:type="dxa"/>
            <w:noWrap/>
          </w:tcPr>
          <w:p w14:paraId="3779CF7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0.04</w:t>
            </w:r>
          </w:p>
        </w:tc>
        <w:tc>
          <w:tcPr>
            <w:tcW w:w="1012" w:type="dxa"/>
            <w:noWrap/>
          </w:tcPr>
          <w:p w14:paraId="5717E88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0.53</w:t>
            </w:r>
          </w:p>
        </w:tc>
        <w:tc>
          <w:tcPr>
            <w:tcW w:w="881" w:type="dxa"/>
            <w:noWrap/>
          </w:tcPr>
          <w:p w14:paraId="4B418CD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845" w:type="dxa"/>
            <w:noWrap/>
          </w:tcPr>
          <w:p w14:paraId="2CC5EF1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0.13</w:t>
            </w:r>
          </w:p>
        </w:tc>
        <w:tc>
          <w:tcPr>
            <w:tcW w:w="1046" w:type="dxa"/>
            <w:noWrap/>
          </w:tcPr>
          <w:p w14:paraId="407272B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10.19</w:t>
            </w:r>
          </w:p>
        </w:tc>
        <w:tc>
          <w:tcPr>
            <w:tcW w:w="900" w:type="dxa"/>
            <w:noWrap/>
          </w:tcPr>
          <w:p w14:paraId="01A8A2A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0.09</w:t>
            </w:r>
          </w:p>
        </w:tc>
        <w:tc>
          <w:tcPr>
            <w:tcW w:w="999" w:type="dxa"/>
            <w:noWrap/>
          </w:tcPr>
          <w:p w14:paraId="3D74293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-21.20</w:t>
            </w:r>
          </w:p>
        </w:tc>
        <w:tc>
          <w:tcPr>
            <w:tcW w:w="679" w:type="dxa"/>
            <w:noWrap/>
          </w:tcPr>
          <w:p w14:paraId="2C5E39A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2.72</w:t>
            </w:r>
          </w:p>
        </w:tc>
        <w:tc>
          <w:tcPr>
            <w:tcW w:w="1287" w:type="dxa"/>
            <w:noWrap/>
          </w:tcPr>
          <w:p w14:paraId="35D6F86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28930 ± 190</w:t>
            </w:r>
          </w:p>
        </w:tc>
        <w:tc>
          <w:tcPr>
            <w:tcW w:w="657" w:type="dxa"/>
            <w:tcBorders>
              <w:right w:val="single" w:sz="4" w:space="0" w:color="auto"/>
            </w:tcBorders>
          </w:tcPr>
          <w:p w14:paraId="1304C33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-973</w:t>
            </w:r>
          </w:p>
        </w:tc>
        <w:tc>
          <w:tcPr>
            <w:tcW w:w="1701" w:type="dxa"/>
            <w:tcBorders>
              <w:left w:val="single" w:sz="4" w:space="0" w:color="auto"/>
            </w:tcBorders>
          </w:tcPr>
          <w:p w14:paraId="38C0E99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260 </w:t>
            </w:r>
          </w:p>
        </w:tc>
        <w:tc>
          <w:tcPr>
            <w:tcW w:w="1418" w:type="dxa"/>
            <w:gridSpan w:val="2"/>
          </w:tcPr>
          <w:p w14:paraId="5BCF42C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35DCF9D4" w14:textId="77777777" w:rsidTr="009872D0">
        <w:trPr>
          <w:trHeight w:val="300"/>
        </w:trPr>
        <w:tc>
          <w:tcPr>
            <w:tcW w:w="851" w:type="dxa"/>
          </w:tcPr>
          <w:p w14:paraId="3A74D2D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150110</w:t>
            </w:r>
          </w:p>
        </w:tc>
        <w:tc>
          <w:tcPr>
            <w:tcW w:w="900" w:type="dxa"/>
            <w:noWrap/>
          </w:tcPr>
          <w:p w14:paraId="2ECA0DD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308</w:t>
            </w:r>
          </w:p>
        </w:tc>
        <w:tc>
          <w:tcPr>
            <w:tcW w:w="943" w:type="dxa"/>
            <w:noWrap/>
          </w:tcPr>
          <w:p w14:paraId="1881319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0.60</w:t>
            </w:r>
          </w:p>
        </w:tc>
        <w:tc>
          <w:tcPr>
            <w:tcW w:w="907" w:type="dxa"/>
            <w:noWrap/>
          </w:tcPr>
          <w:p w14:paraId="2F57605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0.09</w:t>
            </w:r>
          </w:p>
        </w:tc>
        <w:tc>
          <w:tcPr>
            <w:tcW w:w="1012" w:type="dxa"/>
            <w:noWrap/>
          </w:tcPr>
          <w:p w14:paraId="4616D8B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0.51</w:t>
            </w:r>
          </w:p>
        </w:tc>
        <w:tc>
          <w:tcPr>
            <w:tcW w:w="881" w:type="dxa"/>
            <w:noWrap/>
          </w:tcPr>
          <w:p w14:paraId="7583F34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0.08</w:t>
            </w:r>
          </w:p>
        </w:tc>
        <w:tc>
          <w:tcPr>
            <w:tcW w:w="845" w:type="dxa"/>
            <w:noWrap/>
          </w:tcPr>
          <w:p w14:paraId="62183FE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0.05</w:t>
            </w:r>
          </w:p>
        </w:tc>
        <w:tc>
          <w:tcPr>
            <w:tcW w:w="1046" w:type="dxa"/>
            <w:noWrap/>
          </w:tcPr>
          <w:p w14:paraId="5759918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7.57</w:t>
            </w:r>
          </w:p>
        </w:tc>
        <w:tc>
          <w:tcPr>
            <w:tcW w:w="900" w:type="dxa"/>
            <w:noWrap/>
          </w:tcPr>
          <w:p w14:paraId="2231FDB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999" w:type="dxa"/>
            <w:noWrap/>
          </w:tcPr>
          <w:p w14:paraId="72DECBA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-20.89</w:t>
            </w:r>
          </w:p>
        </w:tc>
        <w:tc>
          <w:tcPr>
            <w:tcW w:w="679" w:type="dxa"/>
            <w:noWrap/>
          </w:tcPr>
          <w:p w14:paraId="68381A7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5.18</w:t>
            </w:r>
          </w:p>
        </w:tc>
        <w:tc>
          <w:tcPr>
            <w:tcW w:w="1287" w:type="dxa"/>
            <w:noWrap/>
          </w:tcPr>
          <w:p w14:paraId="4B5C1BA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23780 ± 270</w:t>
            </w:r>
          </w:p>
        </w:tc>
        <w:tc>
          <w:tcPr>
            <w:tcW w:w="657" w:type="dxa"/>
            <w:tcBorders>
              <w:right w:val="single" w:sz="4" w:space="0" w:color="auto"/>
            </w:tcBorders>
          </w:tcPr>
          <w:p w14:paraId="279E8A8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-949</w:t>
            </w:r>
          </w:p>
        </w:tc>
        <w:tc>
          <w:tcPr>
            <w:tcW w:w="1701" w:type="dxa"/>
            <w:tcBorders>
              <w:left w:val="single" w:sz="4" w:space="0" w:color="auto"/>
            </w:tcBorders>
          </w:tcPr>
          <w:p w14:paraId="083505E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306 </w:t>
            </w:r>
          </w:p>
        </w:tc>
        <w:tc>
          <w:tcPr>
            <w:tcW w:w="1418" w:type="dxa"/>
            <w:gridSpan w:val="2"/>
          </w:tcPr>
          <w:p w14:paraId="752F625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15ka-10ka **</w:t>
            </w:r>
          </w:p>
        </w:tc>
      </w:tr>
      <w:tr w:rsidR="009872D0" w:rsidRPr="00BF21D0" w14:paraId="66DA17CB" w14:textId="77777777" w:rsidTr="009872D0">
        <w:trPr>
          <w:trHeight w:val="300"/>
        </w:trPr>
        <w:tc>
          <w:tcPr>
            <w:tcW w:w="851" w:type="dxa"/>
          </w:tcPr>
          <w:p w14:paraId="7968F97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150193</w:t>
            </w:r>
          </w:p>
        </w:tc>
        <w:tc>
          <w:tcPr>
            <w:tcW w:w="900" w:type="dxa"/>
            <w:noWrap/>
          </w:tcPr>
          <w:p w14:paraId="4B37B7C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358</w:t>
            </w:r>
          </w:p>
        </w:tc>
        <w:tc>
          <w:tcPr>
            <w:tcW w:w="943" w:type="dxa"/>
            <w:noWrap/>
          </w:tcPr>
          <w:p w14:paraId="3391397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0.56</w:t>
            </w:r>
          </w:p>
        </w:tc>
        <w:tc>
          <w:tcPr>
            <w:tcW w:w="907" w:type="dxa"/>
            <w:noWrap/>
          </w:tcPr>
          <w:p w14:paraId="65562F3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1012" w:type="dxa"/>
            <w:noWrap/>
          </w:tcPr>
          <w:p w14:paraId="365F536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0.52</w:t>
            </w:r>
          </w:p>
        </w:tc>
        <w:tc>
          <w:tcPr>
            <w:tcW w:w="881" w:type="dxa"/>
            <w:noWrap/>
          </w:tcPr>
          <w:p w14:paraId="020ECC1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0.09</w:t>
            </w:r>
          </w:p>
        </w:tc>
        <w:tc>
          <w:tcPr>
            <w:tcW w:w="845" w:type="dxa"/>
            <w:noWrap/>
          </w:tcPr>
          <w:p w14:paraId="0CB8610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1046" w:type="dxa"/>
            <w:noWrap/>
          </w:tcPr>
          <w:p w14:paraId="186E244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6.96</w:t>
            </w:r>
          </w:p>
        </w:tc>
        <w:tc>
          <w:tcPr>
            <w:tcW w:w="900" w:type="dxa"/>
            <w:noWrap/>
          </w:tcPr>
          <w:p w14:paraId="5471A79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999" w:type="dxa"/>
            <w:noWrap/>
          </w:tcPr>
          <w:p w14:paraId="27385D6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-21.72</w:t>
            </w:r>
          </w:p>
        </w:tc>
        <w:tc>
          <w:tcPr>
            <w:tcW w:w="679" w:type="dxa"/>
            <w:noWrap/>
          </w:tcPr>
          <w:p w14:paraId="3865453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3.07</w:t>
            </w:r>
          </w:p>
        </w:tc>
        <w:tc>
          <w:tcPr>
            <w:tcW w:w="1287" w:type="dxa"/>
            <w:noWrap/>
          </w:tcPr>
          <w:p w14:paraId="201E0DC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27990 ± 140</w:t>
            </w:r>
          </w:p>
        </w:tc>
        <w:tc>
          <w:tcPr>
            <w:tcW w:w="657" w:type="dxa"/>
            <w:tcBorders>
              <w:right w:val="single" w:sz="4" w:space="0" w:color="auto"/>
            </w:tcBorders>
          </w:tcPr>
          <w:p w14:paraId="3C0446B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-970</w:t>
            </w:r>
          </w:p>
        </w:tc>
        <w:tc>
          <w:tcPr>
            <w:tcW w:w="1701" w:type="dxa"/>
            <w:tcBorders>
              <w:left w:val="single" w:sz="4" w:space="0" w:color="auto"/>
            </w:tcBorders>
          </w:tcPr>
          <w:p w14:paraId="0B1AB5A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360 </w:t>
            </w:r>
          </w:p>
        </w:tc>
        <w:tc>
          <w:tcPr>
            <w:tcW w:w="1418" w:type="dxa"/>
            <w:gridSpan w:val="2"/>
          </w:tcPr>
          <w:p w14:paraId="1AB6835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42ka-15ka***</w:t>
            </w:r>
          </w:p>
        </w:tc>
      </w:tr>
      <w:tr w:rsidR="009872D0" w:rsidRPr="00BF21D0" w14:paraId="3EAEF2C0" w14:textId="77777777" w:rsidTr="009872D0">
        <w:trPr>
          <w:trHeight w:val="300"/>
        </w:trPr>
        <w:tc>
          <w:tcPr>
            <w:tcW w:w="851" w:type="dxa"/>
          </w:tcPr>
          <w:p w14:paraId="57CFA98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150194</w:t>
            </w:r>
          </w:p>
        </w:tc>
        <w:tc>
          <w:tcPr>
            <w:tcW w:w="900" w:type="dxa"/>
            <w:noWrap/>
          </w:tcPr>
          <w:p w14:paraId="54A67CC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382</w:t>
            </w:r>
          </w:p>
        </w:tc>
        <w:tc>
          <w:tcPr>
            <w:tcW w:w="943" w:type="dxa"/>
            <w:noWrap/>
          </w:tcPr>
          <w:p w14:paraId="120D99A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0.58</w:t>
            </w:r>
          </w:p>
        </w:tc>
        <w:tc>
          <w:tcPr>
            <w:tcW w:w="907" w:type="dxa"/>
            <w:noWrap/>
          </w:tcPr>
          <w:p w14:paraId="2ECBD6A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0.05</w:t>
            </w:r>
          </w:p>
        </w:tc>
        <w:tc>
          <w:tcPr>
            <w:tcW w:w="1012" w:type="dxa"/>
            <w:noWrap/>
          </w:tcPr>
          <w:p w14:paraId="5CF6E01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0.53</w:t>
            </w:r>
          </w:p>
        </w:tc>
        <w:tc>
          <w:tcPr>
            <w:tcW w:w="881" w:type="dxa"/>
            <w:noWrap/>
          </w:tcPr>
          <w:p w14:paraId="05FEE1B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1E26E94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0.05</w:t>
            </w:r>
          </w:p>
        </w:tc>
        <w:tc>
          <w:tcPr>
            <w:tcW w:w="1046" w:type="dxa"/>
            <w:noWrap/>
          </w:tcPr>
          <w:p w14:paraId="55D0058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8.55</w:t>
            </w:r>
          </w:p>
        </w:tc>
        <w:tc>
          <w:tcPr>
            <w:tcW w:w="900" w:type="dxa"/>
            <w:noWrap/>
          </w:tcPr>
          <w:p w14:paraId="287224B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0.03</w:t>
            </w:r>
          </w:p>
        </w:tc>
        <w:tc>
          <w:tcPr>
            <w:tcW w:w="999" w:type="dxa"/>
            <w:noWrap/>
          </w:tcPr>
          <w:p w14:paraId="3DF6DA7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-20.45</w:t>
            </w:r>
          </w:p>
        </w:tc>
        <w:tc>
          <w:tcPr>
            <w:tcW w:w="679" w:type="dxa"/>
            <w:noWrap/>
          </w:tcPr>
          <w:p w14:paraId="4228EA1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2.83</w:t>
            </w:r>
          </w:p>
        </w:tc>
        <w:tc>
          <w:tcPr>
            <w:tcW w:w="1287" w:type="dxa"/>
            <w:noWrap/>
          </w:tcPr>
          <w:p w14:paraId="36A957C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28650 ± 200</w:t>
            </w:r>
          </w:p>
        </w:tc>
        <w:tc>
          <w:tcPr>
            <w:tcW w:w="657" w:type="dxa"/>
            <w:tcBorders>
              <w:right w:val="single" w:sz="4" w:space="0" w:color="auto"/>
            </w:tcBorders>
          </w:tcPr>
          <w:p w14:paraId="1999954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-972</w:t>
            </w:r>
          </w:p>
        </w:tc>
        <w:tc>
          <w:tcPr>
            <w:tcW w:w="1701" w:type="dxa"/>
            <w:tcBorders>
              <w:left w:val="single" w:sz="4" w:space="0" w:color="auto"/>
            </w:tcBorders>
          </w:tcPr>
          <w:p w14:paraId="3400CE2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1DF0EC89" w14:textId="77777777" w:rsidR="009872D0" w:rsidRPr="00BF21D0" w:rsidRDefault="009872D0" w:rsidP="009872D0">
            <w:pPr>
              <w:spacing w:after="0"/>
              <w:ind w:left="-492" w:firstLine="492"/>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0C67B921" w14:textId="77777777" w:rsidTr="009872D0">
        <w:trPr>
          <w:trHeight w:val="300"/>
        </w:trPr>
        <w:tc>
          <w:tcPr>
            <w:tcW w:w="851" w:type="dxa"/>
          </w:tcPr>
          <w:p w14:paraId="58A3855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150346</w:t>
            </w:r>
          </w:p>
        </w:tc>
        <w:tc>
          <w:tcPr>
            <w:tcW w:w="900" w:type="dxa"/>
            <w:noWrap/>
          </w:tcPr>
          <w:p w14:paraId="143E5EE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408</w:t>
            </w:r>
          </w:p>
        </w:tc>
        <w:tc>
          <w:tcPr>
            <w:tcW w:w="943" w:type="dxa"/>
            <w:noWrap/>
          </w:tcPr>
          <w:p w14:paraId="37CB7BA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0.60</w:t>
            </w:r>
          </w:p>
        </w:tc>
        <w:tc>
          <w:tcPr>
            <w:tcW w:w="907" w:type="dxa"/>
            <w:noWrap/>
          </w:tcPr>
          <w:p w14:paraId="145407F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0.10</w:t>
            </w:r>
          </w:p>
        </w:tc>
        <w:tc>
          <w:tcPr>
            <w:tcW w:w="1012" w:type="dxa"/>
            <w:noWrap/>
          </w:tcPr>
          <w:p w14:paraId="76C36FF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0.50</w:t>
            </w:r>
          </w:p>
        </w:tc>
        <w:tc>
          <w:tcPr>
            <w:tcW w:w="881" w:type="dxa"/>
            <w:noWrap/>
          </w:tcPr>
          <w:p w14:paraId="42AA542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1B6A5F4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1046" w:type="dxa"/>
            <w:noWrap/>
          </w:tcPr>
          <w:p w14:paraId="5AD56F0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7.84</w:t>
            </w:r>
          </w:p>
        </w:tc>
        <w:tc>
          <w:tcPr>
            <w:tcW w:w="900" w:type="dxa"/>
            <w:noWrap/>
          </w:tcPr>
          <w:p w14:paraId="4911F3C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999" w:type="dxa"/>
            <w:noWrap/>
          </w:tcPr>
          <w:p w14:paraId="50C2F48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-20.20</w:t>
            </w:r>
          </w:p>
        </w:tc>
        <w:tc>
          <w:tcPr>
            <w:tcW w:w="679" w:type="dxa"/>
            <w:noWrap/>
          </w:tcPr>
          <w:p w14:paraId="622B14C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2.84</w:t>
            </w:r>
          </w:p>
        </w:tc>
        <w:tc>
          <w:tcPr>
            <w:tcW w:w="1287" w:type="dxa"/>
            <w:noWrap/>
          </w:tcPr>
          <w:p w14:paraId="29C9630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28620 ± 160</w:t>
            </w:r>
          </w:p>
        </w:tc>
        <w:tc>
          <w:tcPr>
            <w:tcW w:w="657" w:type="dxa"/>
            <w:tcBorders>
              <w:right w:val="single" w:sz="4" w:space="0" w:color="auto"/>
            </w:tcBorders>
          </w:tcPr>
          <w:p w14:paraId="2DE7B3C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-972</w:t>
            </w:r>
          </w:p>
        </w:tc>
        <w:tc>
          <w:tcPr>
            <w:tcW w:w="1701" w:type="dxa"/>
            <w:tcBorders>
              <w:left w:val="single" w:sz="4" w:space="0" w:color="auto"/>
            </w:tcBorders>
          </w:tcPr>
          <w:p w14:paraId="2CE84BF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406 </w:t>
            </w:r>
          </w:p>
        </w:tc>
        <w:tc>
          <w:tcPr>
            <w:tcW w:w="1418" w:type="dxa"/>
            <w:gridSpan w:val="2"/>
          </w:tcPr>
          <w:p w14:paraId="66B6C31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42ka-15ka***</w:t>
            </w:r>
          </w:p>
        </w:tc>
      </w:tr>
      <w:tr w:rsidR="009872D0" w:rsidRPr="00BF21D0" w14:paraId="0031C194" w14:textId="77777777" w:rsidTr="009872D0">
        <w:trPr>
          <w:trHeight w:val="300"/>
        </w:trPr>
        <w:tc>
          <w:tcPr>
            <w:tcW w:w="851" w:type="dxa"/>
          </w:tcPr>
          <w:p w14:paraId="0235E40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150347</w:t>
            </w:r>
          </w:p>
        </w:tc>
        <w:tc>
          <w:tcPr>
            <w:tcW w:w="900" w:type="dxa"/>
            <w:noWrap/>
          </w:tcPr>
          <w:p w14:paraId="687AC85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458</w:t>
            </w:r>
          </w:p>
        </w:tc>
        <w:tc>
          <w:tcPr>
            <w:tcW w:w="943" w:type="dxa"/>
            <w:noWrap/>
          </w:tcPr>
          <w:p w14:paraId="4964E15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0.59</w:t>
            </w:r>
          </w:p>
        </w:tc>
        <w:tc>
          <w:tcPr>
            <w:tcW w:w="907" w:type="dxa"/>
            <w:noWrap/>
          </w:tcPr>
          <w:p w14:paraId="3E24A8E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1012" w:type="dxa"/>
            <w:noWrap/>
          </w:tcPr>
          <w:p w14:paraId="1F6FB26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0.53</w:t>
            </w:r>
          </w:p>
        </w:tc>
        <w:tc>
          <w:tcPr>
            <w:tcW w:w="881" w:type="dxa"/>
            <w:noWrap/>
          </w:tcPr>
          <w:p w14:paraId="1B1B09A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774D4FE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1046" w:type="dxa"/>
            <w:noWrap/>
          </w:tcPr>
          <w:p w14:paraId="6BFE8E9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9.24</w:t>
            </w:r>
          </w:p>
        </w:tc>
        <w:tc>
          <w:tcPr>
            <w:tcW w:w="900" w:type="dxa"/>
            <w:noWrap/>
          </w:tcPr>
          <w:p w14:paraId="1FB1B3B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999" w:type="dxa"/>
            <w:noWrap/>
          </w:tcPr>
          <w:p w14:paraId="7F4934F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-20.61</w:t>
            </w:r>
          </w:p>
        </w:tc>
        <w:tc>
          <w:tcPr>
            <w:tcW w:w="679" w:type="dxa"/>
            <w:noWrap/>
          </w:tcPr>
          <w:p w14:paraId="3683049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2.15</w:t>
            </w:r>
          </w:p>
        </w:tc>
        <w:tc>
          <w:tcPr>
            <w:tcW w:w="1287" w:type="dxa"/>
            <w:noWrap/>
          </w:tcPr>
          <w:p w14:paraId="5B53C25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30830 ± 290</w:t>
            </w:r>
          </w:p>
        </w:tc>
        <w:tc>
          <w:tcPr>
            <w:tcW w:w="657" w:type="dxa"/>
            <w:tcBorders>
              <w:right w:val="single" w:sz="4" w:space="0" w:color="auto"/>
            </w:tcBorders>
          </w:tcPr>
          <w:p w14:paraId="375340E6"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-979</w:t>
            </w:r>
          </w:p>
        </w:tc>
        <w:tc>
          <w:tcPr>
            <w:tcW w:w="1701" w:type="dxa"/>
            <w:tcBorders>
              <w:left w:val="single" w:sz="4" w:space="0" w:color="auto"/>
            </w:tcBorders>
          </w:tcPr>
          <w:p w14:paraId="0FED815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460 </w:t>
            </w:r>
          </w:p>
        </w:tc>
        <w:tc>
          <w:tcPr>
            <w:tcW w:w="1418" w:type="dxa"/>
            <w:gridSpan w:val="2"/>
          </w:tcPr>
          <w:p w14:paraId="25887D0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42ka-15ka***</w:t>
            </w:r>
          </w:p>
        </w:tc>
      </w:tr>
      <w:tr w:rsidR="009872D0" w:rsidRPr="00BF21D0" w14:paraId="16F55CEF" w14:textId="77777777" w:rsidTr="009872D0">
        <w:trPr>
          <w:trHeight w:val="300"/>
        </w:trPr>
        <w:tc>
          <w:tcPr>
            <w:tcW w:w="851" w:type="dxa"/>
          </w:tcPr>
          <w:p w14:paraId="0FDBEF2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150038</w:t>
            </w:r>
          </w:p>
        </w:tc>
        <w:tc>
          <w:tcPr>
            <w:tcW w:w="900" w:type="dxa"/>
            <w:noWrap/>
          </w:tcPr>
          <w:p w14:paraId="03739C32"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482</w:t>
            </w:r>
          </w:p>
        </w:tc>
        <w:tc>
          <w:tcPr>
            <w:tcW w:w="943" w:type="dxa"/>
            <w:noWrap/>
          </w:tcPr>
          <w:p w14:paraId="053BDBE7"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0.57</w:t>
            </w:r>
          </w:p>
        </w:tc>
        <w:tc>
          <w:tcPr>
            <w:tcW w:w="907" w:type="dxa"/>
            <w:noWrap/>
          </w:tcPr>
          <w:p w14:paraId="646FD94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0.06</w:t>
            </w:r>
          </w:p>
        </w:tc>
        <w:tc>
          <w:tcPr>
            <w:tcW w:w="1012" w:type="dxa"/>
            <w:noWrap/>
          </w:tcPr>
          <w:p w14:paraId="31EE88A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0.51</w:t>
            </w:r>
          </w:p>
        </w:tc>
        <w:tc>
          <w:tcPr>
            <w:tcW w:w="881" w:type="dxa"/>
            <w:noWrap/>
          </w:tcPr>
          <w:p w14:paraId="26FE671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0.07</w:t>
            </w:r>
          </w:p>
        </w:tc>
        <w:tc>
          <w:tcPr>
            <w:tcW w:w="845" w:type="dxa"/>
            <w:noWrap/>
          </w:tcPr>
          <w:p w14:paraId="08C6663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0.17</w:t>
            </w:r>
          </w:p>
        </w:tc>
        <w:tc>
          <w:tcPr>
            <w:tcW w:w="1046" w:type="dxa"/>
            <w:noWrap/>
          </w:tcPr>
          <w:p w14:paraId="3E4C9CBB"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8.79</w:t>
            </w:r>
          </w:p>
        </w:tc>
        <w:tc>
          <w:tcPr>
            <w:tcW w:w="900" w:type="dxa"/>
            <w:noWrap/>
          </w:tcPr>
          <w:p w14:paraId="1C258DB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0.13</w:t>
            </w:r>
          </w:p>
        </w:tc>
        <w:tc>
          <w:tcPr>
            <w:tcW w:w="999" w:type="dxa"/>
            <w:noWrap/>
          </w:tcPr>
          <w:p w14:paraId="67BAB93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-19.82</w:t>
            </w:r>
          </w:p>
        </w:tc>
        <w:tc>
          <w:tcPr>
            <w:tcW w:w="679" w:type="dxa"/>
            <w:noWrap/>
          </w:tcPr>
          <w:p w14:paraId="01613A7F"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4.40</w:t>
            </w:r>
          </w:p>
        </w:tc>
        <w:tc>
          <w:tcPr>
            <w:tcW w:w="1287" w:type="dxa"/>
            <w:noWrap/>
          </w:tcPr>
          <w:p w14:paraId="0A0DCBB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25100 ± 150</w:t>
            </w:r>
          </w:p>
        </w:tc>
        <w:tc>
          <w:tcPr>
            <w:tcW w:w="657" w:type="dxa"/>
            <w:tcBorders>
              <w:right w:val="single" w:sz="4" w:space="0" w:color="auto"/>
            </w:tcBorders>
          </w:tcPr>
          <w:p w14:paraId="4E4DF4F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-956</w:t>
            </w:r>
          </w:p>
        </w:tc>
        <w:tc>
          <w:tcPr>
            <w:tcW w:w="1701" w:type="dxa"/>
            <w:tcBorders>
              <w:left w:val="single" w:sz="4" w:space="0" w:color="auto"/>
            </w:tcBorders>
          </w:tcPr>
          <w:p w14:paraId="1FBA9A6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c>
          <w:tcPr>
            <w:tcW w:w="1418" w:type="dxa"/>
            <w:gridSpan w:val="2"/>
          </w:tcPr>
          <w:p w14:paraId="54C14EB5"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w:t>
            </w:r>
          </w:p>
        </w:tc>
      </w:tr>
      <w:tr w:rsidR="009872D0" w:rsidRPr="00BF21D0" w14:paraId="53B6E67C" w14:textId="77777777" w:rsidTr="009872D0">
        <w:trPr>
          <w:trHeight w:val="300"/>
        </w:trPr>
        <w:tc>
          <w:tcPr>
            <w:tcW w:w="851" w:type="dxa"/>
            <w:tcBorders>
              <w:bottom w:val="single" w:sz="4" w:space="0" w:color="auto"/>
            </w:tcBorders>
          </w:tcPr>
          <w:p w14:paraId="5DFAF4D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150195</w:t>
            </w:r>
          </w:p>
        </w:tc>
        <w:tc>
          <w:tcPr>
            <w:tcW w:w="900" w:type="dxa"/>
            <w:tcBorders>
              <w:bottom w:val="single" w:sz="4" w:space="0" w:color="auto"/>
            </w:tcBorders>
            <w:noWrap/>
          </w:tcPr>
          <w:p w14:paraId="7F90E3C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528</w:t>
            </w:r>
          </w:p>
        </w:tc>
        <w:tc>
          <w:tcPr>
            <w:tcW w:w="943" w:type="dxa"/>
            <w:tcBorders>
              <w:bottom w:val="single" w:sz="4" w:space="0" w:color="auto"/>
            </w:tcBorders>
            <w:noWrap/>
          </w:tcPr>
          <w:p w14:paraId="747E4DA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0.64</w:t>
            </w:r>
          </w:p>
        </w:tc>
        <w:tc>
          <w:tcPr>
            <w:tcW w:w="907" w:type="dxa"/>
            <w:tcBorders>
              <w:bottom w:val="single" w:sz="4" w:space="0" w:color="auto"/>
            </w:tcBorders>
            <w:noWrap/>
          </w:tcPr>
          <w:p w14:paraId="2C7631A0"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0.11</w:t>
            </w:r>
          </w:p>
        </w:tc>
        <w:tc>
          <w:tcPr>
            <w:tcW w:w="1012" w:type="dxa"/>
            <w:tcBorders>
              <w:bottom w:val="single" w:sz="4" w:space="0" w:color="auto"/>
            </w:tcBorders>
            <w:noWrap/>
          </w:tcPr>
          <w:p w14:paraId="4D5A89E3"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0.53</w:t>
            </w:r>
          </w:p>
        </w:tc>
        <w:tc>
          <w:tcPr>
            <w:tcW w:w="881" w:type="dxa"/>
            <w:tcBorders>
              <w:bottom w:val="single" w:sz="4" w:space="0" w:color="auto"/>
            </w:tcBorders>
            <w:noWrap/>
          </w:tcPr>
          <w:p w14:paraId="25689D3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0.08</w:t>
            </w:r>
          </w:p>
        </w:tc>
        <w:tc>
          <w:tcPr>
            <w:tcW w:w="845" w:type="dxa"/>
            <w:tcBorders>
              <w:bottom w:val="single" w:sz="4" w:space="0" w:color="auto"/>
            </w:tcBorders>
            <w:noWrap/>
          </w:tcPr>
          <w:p w14:paraId="3964E37C"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1046" w:type="dxa"/>
            <w:tcBorders>
              <w:bottom w:val="single" w:sz="4" w:space="0" w:color="auto"/>
            </w:tcBorders>
            <w:noWrap/>
          </w:tcPr>
          <w:p w14:paraId="6E77D9F8"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7.94</w:t>
            </w:r>
          </w:p>
        </w:tc>
        <w:tc>
          <w:tcPr>
            <w:tcW w:w="900" w:type="dxa"/>
            <w:tcBorders>
              <w:bottom w:val="single" w:sz="4" w:space="0" w:color="auto"/>
            </w:tcBorders>
            <w:noWrap/>
          </w:tcPr>
          <w:p w14:paraId="06F1FBB4"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0.00</w:t>
            </w:r>
          </w:p>
        </w:tc>
        <w:tc>
          <w:tcPr>
            <w:tcW w:w="999" w:type="dxa"/>
            <w:tcBorders>
              <w:bottom w:val="single" w:sz="4" w:space="0" w:color="auto"/>
            </w:tcBorders>
            <w:noWrap/>
          </w:tcPr>
          <w:p w14:paraId="0C51DE91"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-21.42</w:t>
            </w:r>
          </w:p>
        </w:tc>
        <w:tc>
          <w:tcPr>
            <w:tcW w:w="679" w:type="dxa"/>
            <w:tcBorders>
              <w:bottom w:val="single" w:sz="4" w:space="0" w:color="auto"/>
            </w:tcBorders>
            <w:noWrap/>
          </w:tcPr>
          <w:p w14:paraId="3BD420AA"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3.87</w:t>
            </w:r>
          </w:p>
        </w:tc>
        <w:tc>
          <w:tcPr>
            <w:tcW w:w="1287" w:type="dxa"/>
            <w:tcBorders>
              <w:bottom w:val="single" w:sz="4" w:space="0" w:color="auto"/>
            </w:tcBorders>
            <w:noWrap/>
          </w:tcPr>
          <w:p w14:paraId="53F5F83E"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26130 ± 150</w:t>
            </w:r>
          </w:p>
        </w:tc>
        <w:tc>
          <w:tcPr>
            <w:tcW w:w="657" w:type="dxa"/>
            <w:tcBorders>
              <w:bottom w:val="single" w:sz="4" w:space="0" w:color="auto"/>
              <w:right w:val="single" w:sz="4" w:space="0" w:color="auto"/>
            </w:tcBorders>
          </w:tcPr>
          <w:p w14:paraId="1E413E3D"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-962</w:t>
            </w:r>
          </w:p>
        </w:tc>
        <w:tc>
          <w:tcPr>
            <w:tcW w:w="1701" w:type="dxa"/>
            <w:tcBorders>
              <w:left w:val="single" w:sz="4" w:space="0" w:color="auto"/>
              <w:bottom w:val="single" w:sz="4" w:space="0" w:color="auto"/>
            </w:tcBorders>
          </w:tcPr>
          <w:p w14:paraId="47FD6A3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 xml:space="preserve">531 </w:t>
            </w:r>
          </w:p>
        </w:tc>
        <w:tc>
          <w:tcPr>
            <w:tcW w:w="1418" w:type="dxa"/>
            <w:gridSpan w:val="2"/>
            <w:tcBorders>
              <w:bottom w:val="single" w:sz="4" w:space="0" w:color="auto"/>
            </w:tcBorders>
          </w:tcPr>
          <w:p w14:paraId="5FE0F229" w14:textId="77777777" w:rsidR="009872D0" w:rsidRPr="00BF21D0" w:rsidRDefault="009872D0" w:rsidP="009872D0">
            <w:pPr>
              <w:spacing w:after="0"/>
              <w:jc w:val="center"/>
              <w:rPr>
                <w:rFonts w:ascii="Times New Roman" w:hAnsi="Times New Roman" w:cs="Times New Roman"/>
                <w:color w:val="000000"/>
                <w:sz w:val="20"/>
                <w:szCs w:val="20"/>
                <w:lang w:eastAsia="pt-BR"/>
              </w:rPr>
            </w:pPr>
            <w:r w:rsidRPr="00BF21D0">
              <w:rPr>
                <w:rFonts w:ascii="Times New Roman" w:hAnsi="Times New Roman" w:cs="Times New Roman"/>
                <w:color w:val="000000"/>
                <w:sz w:val="20"/>
                <w:szCs w:val="20"/>
                <w:lang w:eastAsia="pt-BR"/>
              </w:rPr>
              <w:t>42ka-15ka***</w:t>
            </w:r>
          </w:p>
        </w:tc>
      </w:tr>
    </w:tbl>
    <w:p w14:paraId="2C8BB817" w14:textId="752248A0" w:rsidR="00BF21D0" w:rsidRPr="00447A29" w:rsidRDefault="00BD69B3" w:rsidP="00B97CFD">
      <w:pPr>
        <w:rPr>
          <w:rFonts w:ascii="Times New Roman" w:hAnsi="Times New Roman"/>
          <w:sz w:val="20"/>
          <w:lang w:val="en-US"/>
        </w:rPr>
      </w:pPr>
      <w:bookmarkStart w:id="0" w:name="_GoBack"/>
      <w:bookmarkEnd w:id="0"/>
      <w:r w:rsidRPr="00BD69B3">
        <w:rPr>
          <w:rFonts w:ascii="Times New Roman" w:hAnsi="Times New Roman"/>
          <w:sz w:val="20"/>
          <w:lang w:val="en-US"/>
        </w:rPr>
        <w:t xml:space="preserve">* </w:t>
      </w:r>
      <w:r w:rsidRPr="00BD69B3">
        <w:rPr>
          <w:rFonts w:ascii="Times New Roman" w:hAnsi="Times New Roman"/>
          <w:color w:val="000000"/>
          <w:sz w:val="20"/>
          <w:lang w:val="en-US" w:eastAsia="pt-BR"/>
        </w:rPr>
        <w:t>Holocene</w:t>
      </w:r>
      <w:r w:rsidRPr="00BD69B3">
        <w:rPr>
          <w:rFonts w:ascii="Times New Roman" w:hAnsi="Times New Roman"/>
          <w:sz w:val="20"/>
          <w:lang w:val="en-US"/>
        </w:rPr>
        <w:t xml:space="preserve"> (10Ka-Recent); ** </w:t>
      </w:r>
      <w:r w:rsidRPr="00BD69B3">
        <w:rPr>
          <w:rFonts w:ascii="Times New Roman" w:hAnsi="Times New Roman"/>
          <w:color w:val="000000"/>
          <w:sz w:val="20"/>
          <w:lang w:val="en-US" w:eastAsia="pt-BR"/>
        </w:rPr>
        <w:t>Pleistocene</w:t>
      </w:r>
      <w:r w:rsidRPr="00BD69B3">
        <w:rPr>
          <w:rFonts w:ascii="Times New Roman" w:hAnsi="Times New Roman"/>
          <w:sz w:val="20"/>
          <w:lang w:val="en-US"/>
        </w:rPr>
        <w:t xml:space="preserve"> (15ka-10ka); ***</w:t>
      </w:r>
      <w:r w:rsidRPr="00BD69B3">
        <w:rPr>
          <w:rFonts w:ascii="Times New Roman" w:hAnsi="Times New Roman"/>
          <w:color w:val="000000"/>
          <w:sz w:val="20"/>
          <w:lang w:val="en-US" w:eastAsia="pt-BR"/>
        </w:rPr>
        <w:t xml:space="preserve"> Pleistocene</w:t>
      </w:r>
      <w:r w:rsidRPr="00BD69B3">
        <w:rPr>
          <w:rFonts w:ascii="Times New Roman" w:hAnsi="Times New Roman"/>
          <w:sz w:val="20"/>
          <w:lang w:val="en-US"/>
        </w:rPr>
        <w:t xml:space="preserve"> (42ka-15ka). </w:t>
      </w:r>
      <w:proofErr w:type="spellStart"/>
      <w:proofErr w:type="gramStart"/>
      <w:r w:rsidRPr="00BD69B3">
        <w:rPr>
          <w:rFonts w:ascii="Times New Roman" w:hAnsi="Times New Roman"/>
          <w:sz w:val="20"/>
          <w:lang w:val="en-US"/>
        </w:rPr>
        <w:t>ka</w:t>
      </w:r>
      <w:proofErr w:type="spellEnd"/>
      <w:proofErr w:type="gramEnd"/>
      <w:r w:rsidRPr="00BD69B3">
        <w:rPr>
          <w:rFonts w:ascii="Times New Roman" w:hAnsi="Times New Roman"/>
          <w:sz w:val="20"/>
          <w:lang w:val="en-US"/>
        </w:rPr>
        <w:t xml:space="preserve"> = one thousand years; </w:t>
      </w:r>
      <w:proofErr w:type="spellStart"/>
      <w:r w:rsidRPr="00BD69B3">
        <w:rPr>
          <w:rFonts w:ascii="Times New Roman" w:hAnsi="Times New Roman"/>
          <w:sz w:val="20"/>
          <w:lang w:val="en-US"/>
        </w:rPr>
        <w:t>nd</w:t>
      </w:r>
      <w:proofErr w:type="spellEnd"/>
      <w:r w:rsidRPr="00BD69B3">
        <w:rPr>
          <w:rFonts w:ascii="Times New Roman" w:hAnsi="Times New Roman"/>
          <w:sz w:val="20"/>
          <w:lang w:val="en-US"/>
        </w:rPr>
        <w:t xml:space="preserve"> = not determined.</w:t>
      </w:r>
    </w:p>
    <w:sectPr w:rsidR="00BF21D0" w:rsidRPr="00447A29" w:rsidSect="009872D0">
      <w:pgSz w:w="16838" w:h="11906" w:orient="landscape"/>
      <w:pgMar w:top="720" w:right="1411" w:bottom="1260"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6315" w14:textId="77777777" w:rsidR="00190FCC" w:rsidRDefault="00190FCC" w:rsidP="001C647C">
      <w:pPr>
        <w:spacing w:after="0" w:line="240" w:lineRule="auto"/>
      </w:pPr>
      <w:r>
        <w:separator/>
      </w:r>
    </w:p>
  </w:endnote>
  <w:endnote w:type="continuationSeparator" w:id="0">
    <w:p w14:paraId="07339F6E" w14:textId="77777777" w:rsidR="00190FCC" w:rsidRDefault="00190FCC" w:rsidP="001C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177797"/>
      <w:docPartObj>
        <w:docPartGallery w:val="Page Numbers (Bottom of Page)"/>
        <w:docPartUnique/>
      </w:docPartObj>
    </w:sdtPr>
    <w:sdtEndPr/>
    <w:sdtContent>
      <w:p w14:paraId="01991AD5" w14:textId="77777777" w:rsidR="001C647C" w:rsidRDefault="001C647C">
        <w:pPr>
          <w:pStyle w:val="Rodap"/>
          <w:jc w:val="right"/>
        </w:pPr>
        <w:r>
          <w:fldChar w:fldCharType="begin"/>
        </w:r>
        <w:r>
          <w:instrText>PAGE   \* MERGEFORMAT</w:instrText>
        </w:r>
        <w:r>
          <w:fldChar w:fldCharType="separate"/>
        </w:r>
        <w:r w:rsidR="00FB29EF">
          <w:rPr>
            <w:noProof/>
          </w:rPr>
          <w:t>11</w:t>
        </w:r>
        <w:r>
          <w:fldChar w:fldCharType="end"/>
        </w:r>
      </w:p>
    </w:sdtContent>
  </w:sdt>
  <w:p w14:paraId="69A6FDE5" w14:textId="77777777" w:rsidR="001C647C" w:rsidRDefault="001C64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2CF8" w14:textId="77777777" w:rsidR="00190FCC" w:rsidRDefault="00190FCC" w:rsidP="001C647C">
      <w:pPr>
        <w:spacing w:after="0" w:line="240" w:lineRule="auto"/>
      </w:pPr>
      <w:r>
        <w:separator/>
      </w:r>
    </w:p>
  </w:footnote>
  <w:footnote w:type="continuationSeparator" w:id="0">
    <w:p w14:paraId="793C2446" w14:textId="77777777" w:rsidR="00190FCC" w:rsidRDefault="00190FCC" w:rsidP="001C6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649C0"/>
    <w:multiLevelType w:val="hybridMultilevel"/>
    <w:tmpl w:val="3CBC5A82"/>
    <w:lvl w:ilvl="0" w:tplc="1D521426">
      <w:numFmt w:val="bullet"/>
      <w:lvlText w:val="*"/>
      <w:lvlJc w:val="left"/>
      <w:pPr>
        <w:ind w:left="720" w:hanging="360"/>
      </w:pPr>
      <w:rPr>
        <w:rFonts w:ascii="Times" w:eastAsia="Times New Roman" w:hAnsi="Time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B4"/>
    <w:rsid w:val="00133C93"/>
    <w:rsid w:val="00190FCC"/>
    <w:rsid w:val="001C647C"/>
    <w:rsid w:val="00202DB4"/>
    <w:rsid w:val="002B6EBB"/>
    <w:rsid w:val="002F06D5"/>
    <w:rsid w:val="00344A7F"/>
    <w:rsid w:val="00365C43"/>
    <w:rsid w:val="00447A29"/>
    <w:rsid w:val="005A35C1"/>
    <w:rsid w:val="00626DE7"/>
    <w:rsid w:val="0065459E"/>
    <w:rsid w:val="00741007"/>
    <w:rsid w:val="00951567"/>
    <w:rsid w:val="0097101F"/>
    <w:rsid w:val="009872D0"/>
    <w:rsid w:val="00A8398F"/>
    <w:rsid w:val="00AC372B"/>
    <w:rsid w:val="00AD5420"/>
    <w:rsid w:val="00B05ED7"/>
    <w:rsid w:val="00B830EA"/>
    <w:rsid w:val="00B97CFD"/>
    <w:rsid w:val="00BD69B3"/>
    <w:rsid w:val="00BF21D0"/>
    <w:rsid w:val="00C56BFF"/>
    <w:rsid w:val="00C76EEB"/>
    <w:rsid w:val="00C91012"/>
    <w:rsid w:val="00CE536F"/>
    <w:rsid w:val="00CF4870"/>
    <w:rsid w:val="00F41518"/>
    <w:rsid w:val="00FB29EF"/>
    <w:rsid w:val="00FF0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32DC"/>
  <w15:chartTrackingRefBased/>
  <w15:docId w15:val="{18C5CF02-13DE-43BC-824F-96B76E82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MainText">
    <w:name w:val="TA_Main_Text"/>
    <w:basedOn w:val="Normal"/>
    <w:rsid w:val="00202DB4"/>
    <w:pPr>
      <w:spacing w:after="0" w:line="480" w:lineRule="auto"/>
      <w:ind w:firstLine="202"/>
      <w:jc w:val="both"/>
    </w:pPr>
    <w:rPr>
      <w:rFonts w:ascii="Times" w:eastAsia="Times New Roman" w:hAnsi="Times" w:cs="Times New Roman"/>
      <w:sz w:val="24"/>
      <w:szCs w:val="20"/>
      <w:lang w:val="en-US"/>
    </w:rPr>
  </w:style>
  <w:style w:type="paragraph" w:customStyle="1" w:styleId="xxmsonormal">
    <w:name w:val="x_xmsonormal"/>
    <w:basedOn w:val="Normal"/>
    <w:rsid w:val="00202DB4"/>
    <w:pPr>
      <w:spacing w:after="0" w:line="240" w:lineRule="auto"/>
    </w:pPr>
    <w:rPr>
      <w:rFonts w:ascii="Times New Roman" w:hAnsi="Times New Roman" w:cs="Times New Roman"/>
      <w:sz w:val="24"/>
      <w:szCs w:val="24"/>
      <w:lang w:eastAsia="pt-BR"/>
    </w:rPr>
  </w:style>
  <w:style w:type="table" w:styleId="Tabelacomgrade">
    <w:name w:val="Table Grid"/>
    <w:basedOn w:val="Tabelanormal"/>
    <w:uiPriority w:val="39"/>
    <w:rsid w:val="00BF21D0"/>
    <w:pPr>
      <w:spacing w:after="0" w:line="240" w:lineRule="auto"/>
    </w:pPr>
    <w:rPr>
      <w:rFonts w:ascii="New York" w:eastAsia="Times New Roma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BF21D0"/>
    <w:pPr>
      <w:spacing w:after="200" w:line="240" w:lineRule="auto"/>
      <w:ind w:left="720"/>
      <w:contextualSpacing/>
      <w:jc w:val="both"/>
    </w:pPr>
    <w:rPr>
      <w:rFonts w:ascii="Times" w:eastAsia="Times New Roman" w:hAnsi="Times" w:cs="Times New Roman"/>
      <w:sz w:val="24"/>
      <w:szCs w:val="20"/>
      <w:lang w:val="en-US"/>
    </w:rPr>
  </w:style>
  <w:style w:type="character" w:styleId="Nmerodelinha">
    <w:name w:val="line number"/>
    <w:basedOn w:val="Fontepargpadro"/>
    <w:uiPriority w:val="99"/>
    <w:semiHidden/>
    <w:unhideWhenUsed/>
    <w:rsid w:val="00C91012"/>
  </w:style>
  <w:style w:type="paragraph" w:styleId="Cabealho">
    <w:name w:val="header"/>
    <w:basedOn w:val="Normal"/>
    <w:link w:val="CabealhoChar"/>
    <w:uiPriority w:val="99"/>
    <w:unhideWhenUsed/>
    <w:rsid w:val="001C64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647C"/>
  </w:style>
  <w:style w:type="paragraph" w:styleId="Rodap">
    <w:name w:val="footer"/>
    <w:basedOn w:val="Normal"/>
    <w:link w:val="RodapChar"/>
    <w:uiPriority w:val="99"/>
    <w:unhideWhenUsed/>
    <w:rsid w:val="001C647C"/>
    <w:pPr>
      <w:tabs>
        <w:tab w:val="center" w:pos="4252"/>
        <w:tab w:val="right" w:pos="8504"/>
      </w:tabs>
      <w:spacing w:after="0" w:line="240" w:lineRule="auto"/>
    </w:pPr>
  </w:style>
  <w:style w:type="character" w:customStyle="1" w:styleId="RodapChar">
    <w:name w:val="Rodapé Char"/>
    <w:basedOn w:val="Fontepargpadro"/>
    <w:link w:val="Rodap"/>
    <w:uiPriority w:val="99"/>
    <w:rsid w:val="001C647C"/>
  </w:style>
  <w:style w:type="paragraph" w:styleId="Textodebalo">
    <w:name w:val="Balloon Text"/>
    <w:basedOn w:val="Normal"/>
    <w:link w:val="TextodebaloChar"/>
    <w:uiPriority w:val="99"/>
    <w:semiHidden/>
    <w:unhideWhenUsed/>
    <w:rsid w:val="00365C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5C43"/>
    <w:rPr>
      <w:rFonts w:ascii="Segoe UI" w:hAnsi="Segoe UI" w:cs="Segoe UI"/>
      <w:sz w:val="18"/>
      <w:szCs w:val="18"/>
    </w:rPr>
  </w:style>
  <w:style w:type="character" w:styleId="Refdecomentrio">
    <w:name w:val="annotation reference"/>
    <w:basedOn w:val="Fontepargpadro"/>
    <w:uiPriority w:val="99"/>
    <w:semiHidden/>
    <w:unhideWhenUsed/>
    <w:rsid w:val="00365C43"/>
    <w:rPr>
      <w:sz w:val="16"/>
      <w:szCs w:val="16"/>
    </w:rPr>
  </w:style>
  <w:style w:type="paragraph" w:styleId="Textodecomentrio">
    <w:name w:val="annotation text"/>
    <w:basedOn w:val="Normal"/>
    <w:link w:val="TextodecomentrioChar"/>
    <w:uiPriority w:val="99"/>
    <w:semiHidden/>
    <w:unhideWhenUsed/>
    <w:rsid w:val="00365C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5C43"/>
    <w:rPr>
      <w:sz w:val="20"/>
      <w:szCs w:val="20"/>
    </w:rPr>
  </w:style>
  <w:style w:type="paragraph" w:styleId="Assuntodocomentrio">
    <w:name w:val="annotation subject"/>
    <w:basedOn w:val="Textodecomentrio"/>
    <w:next w:val="Textodecomentrio"/>
    <w:link w:val="AssuntodocomentrioChar"/>
    <w:uiPriority w:val="99"/>
    <w:semiHidden/>
    <w:unhideWhenUsed/>
    <w:rsid w:val="00365C43"/>
    <w:rPr>
      <w:b/>
      <w:bCs/>
    </w:rPr>
  </w:style>
  <w:style w:type="character" w:customStyle="1" w:styleId="AssuntodocomentrioChar">
    <w:name w:val="Assunto do comentário Char"/>
    <w:basedOn w:val="TextodecomentrioChar"/>
    <w:link w:val="Assuntodocomentrio"/>
    <w:uiPriority w:val="99"/>
    <w:semiHidden/>
    <w:rsid w:val="00365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13C_or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14Cx13C.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083594\Desktop\Frederico\CEPAC\Hidratos\MR%2011\An&#225;lises%20em%20terra\gases\dados%20isojar%20-%20CEPAC.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083594\Desktop\Frederico\CEPAC\Hidratos\MR%2011\An&#225;lises%20em%20terra\cations%20e%20&#226;nions\cations%20e%20an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13C_or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083594\Desktop\Frederico\CEPAC\Hidratos\MR%2011\An&#225;lises%20em%20terra\gases\dados%20isojar%20-%20CEPA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083594\Desktop\Frederico\CEPAC\Hidratos\MR%2011\An&#225;lises%20em%20terra\cations%20e%20&#226;nions\cations%20e%20anion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083594\Desktop\Projetos%20em%20Andamento\Projeto_UFF\Experimental\an&#225;lise%20element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83484288043714"/>
          <c:w val="0.65258703378343197"/>
          <c:h val="0.688109129914045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PC31MR11!$Q$4:$Q$17</c:f>
              <c:numCache>
                <c:formatCode>General</c:formatCode>
                <c:ptCount val="14"/>
                <c:pt idx="0">
                  <c:v>0.46074500000000002</c:v>
                </c:pt>
                <c:pt idx="1">
                  <c:v>0.61492000000000002</c:v>
                </c:pt>
                <c:pt idx="2">
                  <c:v>0.58457999999999999</c:v>
                </c:pt>
                <c:pt idx="3">
                  <c:v>0.47290500000000002</c:v>
                </c:pt>
                <c:pt idx="4">
                  <c:v>0.58335999999999999</c:v>
                </c:pt>
                <c:pt idx="5">
                  <c:v>0.53090999999999999</c:v>
                </c:pt>
                <c:pt idx="6">
                  <c:v>0.53160499999999999</c:v>
                </c:pt>
                <c:pt idx="7">
                  <c:v>0.50948499999999997</c:v>
                </c:pt>
                <c:pt idx="8">
                  <c:v>0.52408999999999994</c:v>
                </c:pt>
                <c:pt idx="9">
                  <c:v>0.52790000000000004</c:v>
                </c:pt>
                <c:pt idx="10">
                  <c:v>0.50316000000000005</c:v>
                </c:pt>
                <c:pt idx="11">
                  <c:v>0.528945</c:v>
                </c:pt>
                <c:pt idx="12">
                  <c:v>0.509355</c:v>
                </c:pt>
                <c:pt idx="13">
                  <c:v>0.52886500000000003</c:v>
                </c:pt>
              </c:numCache>
            </c:numRef>
          </c:xVal>
          <c:yVal>
            <c:numRef>
              <c:f>PC31MR11!$B$4:$B$17</c:f>
              <c:numCache>
                <c:formatCode>General</c:formatCode>
                <c:ptCount val="14"/>
                <c:pt idx="0">
                  <c:v>8</c:v>
                </c:pt>
                <c:pt idx="1">
                  <c:v>56</c:v>
                </c:pt>
                <c:pt idx="2">
                  <c:v>108</c:v>
                </c:pt>
                <c:pt idx="3">
                  <c:v>182</c:v>
                </c:pt>
                <c:pt idx="4">
                  <c:v>208</c:v>
                </c:pt>
                <c:pt idx="5">
                  <c:v>258</c:v>
                </c:pt>
                <c:pt idx="6">
                  <c:v>282</c:v>
                </c:pt>
                <c:pt idx="7">
                  <c:v>308</c:v>
                </c:pt>
                <c:pt idx="8">
                  <c:v>358</c:v>
                </c:pt>
                <c:pt idx="9">
                  <c:v>382</c:v>
                </c:pt>
                <c:pt idx="10">
                  <c:v>408</c:v>
                </c:pt>
                <c:pt idx="11">
                  <c:v>458</c:v>
                </c:pt>
                <c:pt idx="12">
                  <c:v>482</c:v>
                </c:pt>
                <c:pt idx="13">
                  <c:v>528</c:v>
                </c:pt>
              </c:numCache>
            </c:numRef>
          </c:yVal>
          <c:smooth val="0"/>
        </c:ser>
        <c:dLbls>
          <c:showLegendKey val="0"/>
          <c:showVal val="0"/>
          <c:showCatName val="0"/>
          <c:showSerName val="0"/>
          <c:showPercent val="0"/>
          <c:showBubbleSize val="0"/>
        </c:dLbls>
        <c:axId val="260234712"/>
        <c:axId val="260235104"/>
      </c:scatterChart>
      <c:valAx>
        <c:axId val="260234712"/>
        <c:scaling>
          <c:orientation val="minMax"/>
          <c:max val="1"/>
        </c:scaling>
        <c:delete val="0"/>
        <c:axPos val="t"/>
        <c:title>
          <c:tx>
            <c:rich>
              <a:bodyPr/>
              <a:lstStyle/>
              <a:p>
                <a:pPr>
                  <a:defRPr/>
                </a:pPr>
                <a:r>
                  <a:rPr lang="en-US"/>
                  <a:t>TOC (%) m/m</a:t>
                </a:r>
              </a:p>
            </c:rich>
          </c:tx>
          <c:layout>
            <c:manualLayout>
              <c:xMode val="edge"/>
              <c:yMode val="edge"/>
              <c:x val="0.43164733626527901"/>
              <c:y val="1.4354517932087699E-2"/>
            </c:manualLayout>
          </c:layout>
          <c:overlay val="0"/>
        </c:title>
        <c:numFmt formatCode="0.0" sourceLinked="0"/>
        <c:majorTickMark val="out"/>
        <c:minorTickMark val="none"/>
        <c:tickLblPos val="nextTo"/>
        <c:crossAx val="260235104"/>
        <c:crosses val="autoZero"/>
        <c:crossBetween val="midCat"/>
        <c:majorUnit val="0.2"/>
      </c:valAx>
      <c:valAx>
        <c:axId val="260235104"/>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702"/>
            </c:manualLayout>
          </c:layout>
          <c:overlay val="0"/>
        </c:title>
        <c:numFmt formatCode="General" sourceLinked="1"/>
        <c:majorTickMark val="out"/>
        <c:minorTickMark val="none"/>
        <c:tickLblPos val="nextTo"/>
        <c:crossAx val="260234712"/>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95701723003774"/>
          <c:w val="0.65258703378343197"/>
          <c:h val="0.694217800910164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PC51MR11!$M$4:$M$13</c:f>
              <c:numCache>
                <c:formatCode>General</c:formatCode>
                <c:ptCount val="10"/>
                <c:pt idx="0">
                  <c:v>6.2570000000000001E-2</c:v>
                </c:pt>
                <c:pt idx="1">
                  <c:v>8.7239999999999998E-2</c:v>
                </c:pt>
                <c:pt idx="2">
                  <c:v>6.5579999999999999E-2</c:v>
                </c:pt>
                <c:pt idx="3">
                  <c:v>7.0165000000000005E-2</c:v>
                </c:pt>
                <c:pt idx="4">
                  <c:v>9.9909999999999999E-2</c:v>
                </c:pt>
                <c:pt idx="5">
                  <c:v>6.1270499999999999E-2</c:v>
                </c:pt>
                <c:pt idx="6">
                  <c:v>0.10799</c:v>
                </c:pt>
                <c:pt idx="7">
                  <c:v>0.108945</c:v>
                </c:pt>
                <c:pt idx="8">
                  <c:v>0.11472</c:v>
                </c:pt>
                <c:pt idx="9">
                  <c:v>0.11322</c:v>
                </c:pt>
              </c:numCache>
            </c:numRef>
          </c:xVal>
          <c:yVal>
            <c:numRef>
              <c:f>PC51MR11!$B$4:$B$13</c:f>
              <c:numCache>
                <c:formatCode>General</c:formatCode>
                <c:ptCount val="10"/>
                <c:pt idx="0">
                  <c:v>12.5</c:v>
                </c:pt>
                <c:pt idx="1">
                  <c:v>112.5</c:v>
                </c:pt>
                <c:pt idx="2">
                  <c:v>212.5</c:v>
                </c:pt>
                <c:pt idx="3">
                  <c:v>260</c:v>
                </c:pt>
                <c:pt idx="4">
                  <c:v>287.5</c:v>
                </c:pt>
                <c:pt idx="5">
                  <c:v>312.5</c:v>
                </c:pt>
                <c:pt idx="6">
                  <c:v>360</c:v>
                </c:pt>
                <c:pt idx="7">
                  <c:v>362.5</c:v>
                </c:pt>
                <c:pt idx="8">
                  <c:v>387.5</c:v>
                </c:pt>
                <c:pt idx="9">
                  <c:v>412.5</c:v>
                </c:pt>
              </c:numCache>
            </c:numRef>
          </c:yVal>
          <c:smooth val="0"/>
        </c:ser>
        <c:dLbls>
          <c:showLegendKey val="0"/>
          <c:showVal val="0"/>
          <c:showCatName val="0"/>
          <c:showSerName val="0"/>
          <c:showPercent val="0"/>
          <c:showBubbleSize val="0"/>
        </c:dLbls>
        <c:axId val="258046912"/>
        <c:axId val="258047304"/>
      </c:scatterChart>
      <c:valAx>
        <c:axId val="258046912"/>
        <c:scaling>
          <c:orientation val="minMax"/>
          <c:max val="0.2"/>
        </c:scaling>
        <c:delete val="0"/>
        <c:axPos val="t"/>
        <c:title>
          <c:tx>
            <c:rich>
              <a:bodyPr/>
              <a:lstStyle/>
              <a:p>
                <a:pPr>
                  <a:defRPr/>
                </a:pPr>
                <a:r>
                  <a:rPr lang="en-US"/>
                  <a:t>TN (%) m/m</a:t>
                </a:r>
              </a:p>
            </c:rich>
          </c:tx>
          <c:layout>
            <c:manualLayout>
              <c:xMode val="edge"/>
              <c:yMode val="edge"/>
              <c:x val="0.43164733626527901"/>
              <c:y val="1.4354517932087699E-2"/>
            </c:manualLayout>
          </c:layout>
          <c:overlay val="0"/>
        </c:title>
        <c:numFmt formatCode="0.00" sourceLinked="0"/>
        <c:majorTickMark val="out"/>
        <c:minorTickMark val="none"/>
        <c:tickLblPos val="nextTo"/>
        <c:crossAx val="258047304"/>
        <c:crosses val="autoZero"/>
        <c:crossBetween val="midCat"/>
        <c:majorUnit val="0.05"/>
      </c:valAx>
      <c:valAx>
        <c:axId val="258047304"/>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702"/>
            </c:manualLayout>
          </c:layout>
          <c:overlay val="0"/>
        </c:title>
        <c:numFmt formatCode="General" sourceLinked="1"/>
        <c:majorTickMark val="out"/>
        <c:minorTickMark val="none"/>
        <c:tickLblPos val="nextTo"/>
        <c:crossAx val="258046912"/>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2171995707014"/>
          <c:y val="0.17086375566690501"/>
          <c:w val="0.626363026213549"/>
          <c:h val="0.69949033643521796"/>
        </c:manualLayout>
      </c:layout>
      <c:scatterChart>
        <c:scatterStyle val="lineMarker"/>
        <c:varyColors val="0"/>
        <c:ser>
          <c:idx val="0"/>
          <c:order val="0"/>
          <c:spPr>
            <a:ln w="28575">
              <a:noFill/>
            </a:ln>
          </c:spPr>
          <c:marker>
            <c:symbol val="circle"/>
            <c:size val="5"/>
            <c:spPr>
              <a:solidFill>
                <a:sysClr val="windowText" lastClr="000000"/>
              </a:solidFill>
              <a:ln>
                <a:solidFill>
                  <a:sysClr val="windowText" lastClr="000000"/>
                </a:solidFill>
              </a:ln>
            </c:spPr>
          </c:marker>
          <c:xVal>
            <c:numRef>
              <c:f>'PC51'!$G$3:$G$38</c:f>
              <c:numCache>
                <c:formatCode>General</c:formatCode>
                <c:ptCount val="36"/>
                <c:pt idx="0">
                  <c:v>-22.80875</c:v>
                </c:pt>
                <c:pt idx="4">
                  <c:v>-22.6265</c:v>
                </c:pt>
                <c:pt idx="8">
                  <c:v>-22.91274999999991</c:v>
                </c:pt>
                <c:pt idx="12">
                  <c:v>-22.92374999999992</c:v>
                </c:pt>
                <c:pt idx="16">
                  <c:v>-23.08074999999991</c:v>
                </c:pt>
                <c:pt idx="20">
                  <c:v>-22.835250000000009</c:v>
                </c:pt>
                <c:pt idx="24">
                  <c:v>-24.7303</c:v>
                </c:pt>
                <c:pt idx="28">
                  <c:v>-24.551300000000001</c:v>
                </c:pt>
                <c:pt idx="32">
                  <c:v>-24.299499999999981</c:v>
                </c:pt>
              </c:numCache>
            </c:numRef>
          </c:xVal>
          <c:yVal>
            <c:numRef>
              <c:f>'PC51'!$A$4:$A$37</c:f>
              <c:numCache>
                <c:formatCode>General</c:formatCode>
                <c:ptCount val="34"/>
                <c:pt idx="0">
                  <c:v>12.5</c:v>
                </c:pt>
                <c:pt idx="4">
                  <c:v>112.5</c:v>
                </c:pt>
                <c:pt idx="8">
                  <c:v>212.5</c:v>
                </c:pt>
                <c:pt idx="12">
                  <c:v>260</c:v>
                </c:pt>
                <c:pt idx="16">
                  <c:v>287.5</c:v>
                </c:pt>
                <c:pt idx="20">
                  <c:v>312.5</c:v>
                </c:pt>
                <c:pt idx="24">
                  <c:v>360</c:v>
                </c:pt>
                <c:pt idx="28">
                  <c:v>387.5</c:v>
                </c:pt>
                <c:pt idx="32">
                  <c:v>412.5</c:v>
                </c:pt>
              </c:numCache>
            </c:numRef>
          </c:yVal>
          <c:smooth val="0"/>
        </c:ser>
        <c:dLbls>
          <c:showLegendKey val="0"/>
          <c:showVal val="0"/>
          <c:showCatName val="0"/>
          <c:showSerName val="0"/>
          <c:showPercent val="0"/>
          <c:showBubbleSize val="0"/>
        </c:dLbls>
        <c:axId val="258048088"/>
        <c:axId val="258048480"/>
      </c:scatterChart>
      <c:valAx>
        <c:axId val="258048088"/>
        <c:scaling>
          <c:orientation val="minMax"/>
          <c:max val="-17"/>
          <c:min val="-27"/>
        </c:scaling>
        <c:delete val="0"/>
        <c:axPos val="t"/>
        <c:title>
          <c:tx>
            <c:rich>
              <a:bodyPr/>
              <a:lstStyle/>
              <a:p>
                <a:pPr>
                  <a:defRPr/>
                </a:pPr>
                <a:r>
                  <a:rPr lang="el-GR"/>
                  <a:t>δ</a:t>
                </a:r>
                <a:r>
                  <a:rPr lang="pt-BR" baseline="30000"/>
                  <a:t>13</a:t>
                </a:r>
                <a:r>
                  <a:rPr lang="pt-BR"/>
                  <a:t>C-org (</a:t>
                </a:r>
                <a:r>
                  <a:rPr lang="pt-BR">
                    <a:latin typeface="Times New Roman" panose="02020603050405020304" pitchFamily="18" charset="0"/>
                    <a:cs typeface="Times New Roman" panose="02020603050405020304" pitchFamily="18" charset="0"/>
                  </a:rPr>
                  <a:t>‰)</a:t>
                </a:r>
                <a:endParaRPr lang="pt-BR"/>
              </a:p>
            </c:rich>
          </c:tx>
          <c:overlay val="0"/>
        </c:title>
        <c:numFmt formatCode="General" sourceLinked="1"/>
        <c:majorTickMark val="out"/>
        <c:minorTickMark val="out"/>
        <c:tickLblPos val="nextTo"/>
        <c:crossAx val="258048480"/>
        <c:crosses val="autoZero"/>
        <c:crossBetween val="midCat"/>
        <c:majorUnit val="2"/>
        <c:minorUnit val="1"/>
      </c:valAx>
      <c:valAx>
        <c:axId val="258048480"/>
        <c:scaling>
          <c:orientation val="maxMin"/>
          <c:max val="600"/>
          <c:min val="0"/>
        </c:scaling>
        <c:delete val="0"/>
        <c:axPos val="l"/>
        <c:title>
          <c:tx>
            <c:rich>
              <a:bodyPr rot="-5400000" vert="horz"/>
              <a:lstStyle/>
              <a:p>
                <a:pPr>
                  <a:defRPr/>
                </a:pPr>
                <a:r>
                  <a:rPr lang="en-US"/>
                  <a:t>cmbsf</a:t>
                </a:r>
              </a:p>
            </c:rich>
          </c:tx>
          <c:overlay val="0"/>
        </c:title>
        <c:numFmt formatCode="General" sourceLinked="1"/>
        <c:majorTickMark val="out"/>
        <c:minorTickMark val="none"/>
        <c:tickLblPos val="nextTo"/>
        <c:crossAx val="258048088"/>
        <c:crossesAt val="-27"/>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00755168761799"/>
          <c:y val="0.17382657541399599"/>
          <c:w val="0.67409691117938897"/>
          <c:h val="0.68022686385175801"/>
        </c:manualLayout>
      </c:layout>
      <c:scatterChart>
        <c:scatterStyle val="lineMarker"/>
        <c:varyColors val="0"/>
        <c:ser>
          <c:idx val="0"/>
          <c:order val="0"/>
          <c:tx>
            <c:v>pMC</c:v>
          </c:tx>
          <c:spPr>
            <a:ln w="28575">
              <a:noFill/>
            </a:ln>
          </c:spPr>
          <c:marker>
            <c:symbol val="circle"/>
            <c:size val="5"/>
            <c:spPr>
              <a:solidFill>
                <a:schemeClr val="tx1"/>
              </a:solidFill>
              <a:ln>
                <a:solidFill>
                  <a:schemeClr val="tx1"/>
                </a:solidFill>
              </a:ln>
            </c:spPr>
          </c:marker>
          <c:xVal>
            <c:numRef>
              <c:f>'PC51'!$F$15:$F$23</c:f>
              <c:numCache>
                <c:formatCode>General</c:formatCode>
                <c:ptCount val="9"/>
                <c:pt idx="0">
                  <c:v>8.9330000000000016</c:v>
                </c:pt>
                <c:pt idx="1">
                  <c:v>8.7339999999999982</c:v>
                </c:pt>
                <c:pt idx="2">
                  <c:v>8.1710000000000012</c:v>
                </c:pt>
                <c:pt idx="3">
                  <c:v>7.42</c:v>
                </c:pt>
                <c:pt idx="4">
                  <c:v>4.46</c:v>
                </c:pt>
                <c:pt idx="5">
                  <c:v>2.6680000000000001</c:v>
                </c:pt>
                <c:pt idx="6">
                  <c:v>4.1119999999999974</c:v>
                </c:pt>
                <c:pt idx="8">
                  <c:v>3.2160000000000002</c:v>
                </c:pt>
              </c:numCache>
            </c:numRef>
          </c:xVal>
          <c:yVal>
            <c:numRef>
              <c:f>'PC51'!$G$15:$G$23</c:f>
              <c:numCache>
                <c:formatCode>General</c:formatCode>
                <c:ptCount val="9"/>
                <c:pt idx="0">
                  <c:v>12.5</c:v>
                </c:pt>
                <c:pt idx="1">
                  <c:v>112.5</c:v>
                </c:pt>
                <c:pt idx="2">
                  <c:v>212.5</c:v>
                </c:pt>
                <c:pt idx="3">
                  <c:v>260</c:v>
                </c:pt>
                <c:pt idx="4">
                  <c:v>287.5</c:v>
                </c:pt>
                <c:pt idx="5">
                  <c:v>312.5</c:v>
                </c:pt>
                <c:pt idx="6">
                  <c:v>360</c:v>
                </c:pt>
                <c:pt idx="7">
                  <c:v>387.5</c:v>
                </c:pt>
                <c:pt idx="8">
                  <c:v>412.5</c:v>
                </c:pt>
              </c:numCache>
            </c:numRef>
          </c:yVal>
          <c:smooth val="0"/>
        </c:ser>
        <c:dLbls>
          <c:showLegendKey val="0"/>
          <c:showVal val="0"/>
          <c:showCatName val="0"/>
          <c:showSerName val="0"/>
          <c:showPercent val="0"/>
          <c:showBubbleSize val="0"/>
        </c:dLbls>
        <c:axId val="258049656"/>
        <c:axId val="258050048"/>
      </c:scatterChart>
      <c:valAx>
        <c:axId val="258049656"/>
        <c:scaling>
          <c:orientation val="minMax"/>
        </c:scaling>
        <c:delete val="0"/>
        <c:axPos val="t"/>
        <c:title>
          <c:tx>
            <c:rich>
              <a:bodyPr/>
              <a:lstStyle/>
              <a:p>
                <a:pPr>
                  <a:defRPr/>
                </a:pPr>
                <a:r>
                  <a:rPr lang="en-US"/>
                  <a:t>pMC</a:t>
                </a:r>
              </a:p>
            </c:rich>
          </c:tx>
          <c:layout>
            <c:manualLayout>
              <c:xMode val="edge"/>
              <c:yMode val="edge"/>
              <c:x val="0.46445283848098701"/>
              <c:y val="1.00120966930917E-2"/>
            </c:manualLayout>
          </c:layout>
          <c:overlay val="0"/>
        </c:title>
        <c:numFmt formatCode="General" sourceLinked="1"/>
        <c:majorTickMark val="out"/>
        <c:minorTickMark val="none"/>
        <c:tickLblPos val="nextTo"/>
        <c:crossAx val="258050048"/>
        <c:crosses val="autoZero"/>
        <c:crossBetween val="midCat"/>
        <c:majorUnit val="2"/>
      </c:valAx>
      <c:valAx>
        <c:axId val="258050048"/>
        <c:scaling>
          <c:orientation val="maxMin"/>
          <c:max val="600"/>
        </c:scaling>
        <c:delete val="0"/>
        <c:axPos val="l"/>
        <c:title>
          <c:tx>
            <c:rich>
              <a:bodyPr rot="-5400000" vert="horz"/>
              <a:lstStyle/>
              <a:p>
                <a:pPr>
                  <a:defRPr/>
                </a:pPr>
                <a:r>
                  <a:rPr lang="en-US"/>
                  <a:t>cmbsf</a:t>
                </a:r>
              </a:p>
            </c:rich>
          </c:tx>
          <c:layout>
            <c:manualLayout>
              <c:xMode val="edge"/>
              <c:yMode val="edge"/>
              <c:x val="1.7027323633313999E-2"/>
              <c:y val="0.414480306717735"/>
            </c:manualLayout>
          </c:layout>
          <c:overlay val="0"/>
        </c:title>
        <c:numFmt formatCode="General" sourceLinked="1"/>
        <c:majorTickMark val="out"/>
        <c:minorTickMark val="none"/>
        <c:tickLblPos val="nextTo"/>
        <c:crossAx val="258049656"/>
        <c:crosses val="autoZero"/>
        <c:crossBetween val="midCat"/>
      </c:valAx>
    </c:plotArea>
    <c:plotVisOnly val="1"/>
    <c:dispBlanksAs val="gap"/>
    <c:showDLblsOverMax val="0"/>
  </c:chart>
  <c:spPr>
    <a:ln>
      <a:noFill/>
    </a:ln>
  </c:spPr>
  <c:txPr>
    <a:bodyPr/>
    <a:lstStyle/>
    <a:p>
      <a:pPr>
        <a:defRPr sz="800" b="1">
          <a:latin typeface="Arial" pitchFamily="34" charset="0"/>
          <a:cs typeface="Arial" pitchFamily="34" charset="0"/>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95701723003774"/>
          <c:w val="0.65258703378343197"/>
          <c:h val="0.694217800910164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PC51MR11!$S$4:$S$13</c:f>
              <c:numCache>
                <c:formatCode>0.00</c:formatCode>
                <c:ptCount val="10"/>
                <c:pt idx="0">
                  <c:v>8.2295961856054554</c:v>
                </c:pt>
                <c:pt idx="1">
                  <c:v>7.2094891487085437</c:v>
                </c:pt>
                <c:pt idx="2">
                  <c:v>8.181877096675807</c:v>
                </c:pt>
                <c:pt idx="3">
                  <c:v>7.4945010570322266</c:v>
                </c:pt>
                <c:pt idx="4">
                  <c:v>7.11910719647683</c:v>
                </c:pt>
                <c:pt idx="5">
                  <c:v>5.9145823302676854</c:v>
                </c:pt>
                <c:pt idx="6">
                  <c:v>6.7439037565206661</c:v>
                </c:pt>
                <c:pt idx="7">
                  <c:v>5.7906588951611697</c:v>
                </c:pt>
                <c:pt idx="8">
                  <c:v>5.1722527312877729</c:v>
                </c:pt>
                <c:pt idx="9">
                  <c:v>5.5350718365424258</c:v>
                </c:pt>
              </c:numCache>
            </c:numRef>
          </c:xVal>
          <c:yVal>
            <c:numRef>
              <c:f>PC51MR11!$B$4:$B$13</c:f>
              <c:numCache>
                <c:formatCode>General</c:formatCode>
                <c:ptCount val="10"/>
                <c:pt idx="0">
                  <c:v>12.5</c:v>
                </c:pt>
                <c:pt idx="1">
                  <c:v>112.5</c:v>
                </c:pt>
                <c:pt idx="2">
                  <c:v>212.5</c:v>
                </c:pt>
                <c:pt idx="3">
                  <c:v>260</c:v>
                </c:pt>
                <c:pt idx="4">
                  <c:v>287.5</c:v>
                </c:pt>
                <c:pt idx="5">
                  <c:v>312.5</c:v>
                </c:pt>
                <c:pt idx="6">
                  <c:v>360</c:v>
                </c:pt>
                <c:pt idx="7">
                  <c:v>362.5</c:v>
                </c:pt>
                <c:pt idx="8">
                  <c:v>387.5</c:v>
                </c:pt>
                <c:pt idx="9">
                  <c:v>412.5</c:v>
                </c:pt>
              </c:numCache>
            </c:numRef>
          </c:yVal>
          <c:smooth val="0"/>
        </c:ser>
        <c:dLbls>
          <c:showLegendKey val="0"/>
          <c:showVal val="0"/>
          <c:showCatName val="0"/>
          <c:showSerName val="0"/>
          <c:showPercent val="0"/>
          <c:showBubbleSize val="0"/>
        </c:dLbls>
        <c:axId val="258050832"/>
        <c:axId val="258051224"/>
      </c:scatterChart>
      <c:valAx>
        <c:axId val="258050832"/>
        <c:scaling>
          <c:orientation val="minMax"/>
        </c:scaling>
        <c:delete val="0"/>
        <c:axPos val="t"/>
        <c:title>
          <c:tx>
            <c:rich>
              <a:bodyPr/>
              <a:lstStyle/>
              <a:p>
                <a:pPr>
                  <a:defRPr/>
                </a:pPr>
                <a:r>
                  <a:rPr lang="en-US"/>
                  <a:t>TOC:TN</a:t>
                </a:r>
              </a:p>
            </c:rich>
          </c:tx>
          <c:layout>
            <c:manualLayout>
              <c:xMode val="edge"/>
              <c:yMode val="edge"/>
              <c:x val="0.46961335665234599"/>
              <c:y val="1.43544588738916E-2"/>
            </c:manualLayout>
          </c:layout>
          <c:overlay val="0"/>
        </c:title>
        <c:numFmt formatCode="0" sourceLinked="0"/>
        <c:majorTickMark val="out"/>
        <c:minorTickMark val="none"/>
        <c:tickLblPos val="nextTo"/>
        <c:crossAx val="258051224"/>
        <c:crosses val="autoZero"/>
        <c:crossBetween val="midCat"/>
        <c:majorUnit val="2"/>
      </c:valAx>
      <c:valAx>
        <c:axId val="258051224"/>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602"/>
            </c:manualLayout>
          </c:layout>
          <c:overlay val="0"/>
        </c:title>
        <c:numFmt formatCode="General" sourceLinked="1"/>
        <c:majorTickMark val="out"/>
        <c:minorTickMark val="none"/>
        <c:tickLblPos val="nextTo"/>
        <c:crossAx val="258050832"/>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95701723003774"/>
          <c:w val="0.65258703378343197"/>
          <c:h val="0.694217800910164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PC51MR11!$U$4:$U$13</c:f>
              <c:numCache>
                <c:formatCode>0.000</c:formatCode>
                <c:ptCount val="10"/>
                <c:pt idx="0">
                  <c:v>2.5454697359328399E-2</c:v>
                </c:pt>
                <c:pt idx="1">
                  <c:v>0.26294274770220999</c:v>
                </c:pt>
                <c:pt idx="2">
                  <c:v>0.448362740941261</c:v>
                </c:pt>
                <c:pt idx="3">
                  <c:v>0.96418587624520202</c:v>
                </c:pt>
                <c:pt idx="4">
                  <c:v>1.0764196437358531</c:v>
                </c:pt>
                <c:pt idx="5">
                  <c:v>1.3925196261020321</c:v>
                </c:pt>
                <c:pt idx="6">
                  <c:v>0.62869952822254405</c:v>
                </c:pt>
                <c:pt idx="7">
                  <c:v>0.69563006250693504</c:v>
                </c:pt>
                <c:pt idx="8">
                  <c:v>0.51437292934456702</c:v>
                </c:pt>
                <c:pt idx="9">
                  <c:v>0.36319125764444199</c:v>
                </c:pt>
              </c:numCache>
            </c:numRef>
          </c:xVal>
          <c:yVal>
            <c:numRef>
              <c:f>PC51MR11!$B$4:$B$13</c:f>
              <c:numCache>
                <c:formatCode>General</c:formatCode>
                <c:ptCount val="10"/>
                <c:pt idx="0">
                  <c:v>12.5</c:v>
                </c:pt>
                <c:pt idx="1">
                  <c:v>112.5</c:v>
                </c:pt>
                <c:pt idx="2">
                  <c:v>212.5</c:v>
                </c:pt>
                <c:pt idx="3">
                  <c:v>260</c:v>
                </c:pt>
                <c:pt idx="4">
                  <c:v>287.5</c:v>
                </c:pt>
                <c:pt idx="5">
                  <c:v>312.5</c:v>
                </c:pt>
                <c:pt idx="6">
                  <c:v>360</c:v>
                </c:pt>
                <c:pt idx="7">
                  <c:v>362.5</c:v>
                </c:pt>
                <c:pt idx="8">
                  <c:v>387.5</c:v>
                </c:pt>
                <c:pt idx="9">
                  <c:v>412.5</c:v>
                </c:pt>
              </c:numCache>
            </c:numRef>
          </c:yVal>
          <c:smooth val="0"/>
        </c:ser>
        <c:dLbls>
          <c:showLegendKey val="0"/>
          <c:showVal val="0"/>
          <c:showCatName val="0"/>
          <c:showSerName val="0"/>
          <c:showPercent val="0"/>
          <c:showBubbleSize val="0"/>
        </c:dLbls>
        <c:axId val="258052008"/>
        <c:axId val="258052400"/>
      </c:scatterChart>
      <c:valAx>
        <c:axId val="258052008"/>
        <c:scaling>
          <c:orientation val="minMax"/>
        </c:scaling>
        <c:delete val="0"/>
        <c:axPos val="t"/>
        <c:title>
          <c:tx>
            <c:rich>
              <a:bodyPr/>
              <a:lstStyle/>
              <a:p>
                <a:pPr>
                  <a:defRPr/>
                </a:pPr>
                <a:r>
                  <a:rPr lang="en-US"/>
                  <a:t>TS/TOC</a:t>
                </a:r>
              </a:p>
            </c:rich>
          </c:tx>
          <c:layout>
            <c:manualLayout>
              <c:xMode val="edge"/>
              <c:yMode val="edge"/>
              <c:x val="0.46961335665234599"/>
              <c:y val="1.43544588738915E-2"/>
            </c:manualLayout>
          </c:layout>
          <c:overlay val="0"/>
        </c:title>
        <c:numFmt formatCode="0.0" sourceLinked="0"/>
        <c:majorTickMark val="out"/>
        <c:minorTickMark val="none"/>
        <c:tickLblPos val="nextTo"/>
        <c:crossAx val="258052400"/>
        <c:crosses val="autoZero"/>
        <c:crossBetween val="midCat"/>
        <c:majorUnit val="0.5"/>
      </c:valAx>
      <c:valAx>
        <c:axId val="258052400"/>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702"/>
            </c:manualLayout>
          </c:layout>
          <c:overlay val="0"/>
        </c:title>
        <c:numFmt formatCode="General" sourceLinked="1"/>
        <c:majorTickMark val="out"/>
        <c:minorTickMark val="none"/>
        <c:tickLblPos val="nextTo"/>
        <c:crossAx val="258052008"/>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24623707750799"/>
          <c:y val="0.19990873299928399"/>
          <c:w val="0.63512132412019895"/>
          <c:h val="0.69364232879980903"/>
        </c:manualLayout>
      </c:layout>
      <c:scatterChart>
        <c:scatterStyle val="lineMarker"/>
        <c:varyColors val="0"/>
        <c:ser>
          <c:idx val="0"/>
          <c:order val="0"/>
          <c:tx>
            <c:v>Metano</c:v>
          </c:tx>
          <c:spPr>
            <a:ln w="28575">
              <a:noFill/>
            </a:ln>
          </c:spPr>
          <c:marker>
            <c:symbol val="circle"/>
            <c:size val="5"/>
            <c:spPr>
              <a:solidFill>
                <a:schemeClr val="tx1"/>
              </a:solidFill>
              <a:ln>
                <a:solidFill>
                  <a:schemeClr val="tx1"/>
                </a:solidFill>
              </a:ln>
            </c:spPr>
          </c:marker>
          <c:xVal>
            <c:numRef>
              <c:f>'PROFUNDIDADExCONCENTRAÇÃO CH4'!$C$339:$C$343</c:f>
              <c:numCache>
                <c:formatCode>General</c:formatCode>
                <c:ptCount val="5"/>
                <c:pt idx="0">
                  <c:v>127.86</c:v>
                </c:pt>
                <c:pt idx="1">
                  <c:v>904.07</c:v>
                </c:pt>
                <c:pt idx="2">
                  <c:v>1616.88</c:v>
                </c:pt>
                <c:pt idx="3">
                  <c:v>26145.22</c:v>
                </c:pt>
                <c:pt idx="4">
                  <c:v>13187.69</c:v>
                </c:pt>
              </c:numCache>
            </c:numRef>
          </c:xVal>
          <c:yVal>
            <c:numRef>
              <c:f>'PROFUNDIDADExCONCENTRAÇÃO CH4'!$B$339:$B$343</c:f>
              <c:numCache>
                <c:formatCode>General</c:formatCode>
                <c:ptCount val="5"/>
                <c:pt idx="0">
                  <c:v>97</c:v>
                </c:pt>
                <c:pt idx="1">
                  <c:v>197</c:v>
                </c:pt>
                <c:pt idx="2">
                  <c:v>297</c:v>
                </c:pt>
                <c:pt idx="3">
                  <c:v>397</c:v>
                </c:pt>
                <c:pt idx="4">
                  <c:v>397</c:v>
                </c:pt>
              </c:numCache>
            </c:numRef>
          </c:yVal>
          <c:smooth val="0"/>
        </c:ser>
        <c:dLbls>
          <c:showLegendKey val="0"/>
          <c:showVal val="0"/>
          <c:showCatName val="0"/>
          <c:showSerName val="0"/>
          <c:showPercent val="0"/>
          <c:showBubbleSize val="0"/>
        </c:dLbls>
        <c:axId val="258052792"/>
        <c:axId val="258053184"/>
      </c:scatterChart>
      <c:valAx>
        <c:axId val="258052792"/>
        <c:scaling>
          <c:orientation val="minMax"/>
        </c:scaling>
        <c:delete val="0"/>
        <c:axPos val="t"/>
        <c:title>
          <c:tx>
            <c:rich>
              <a:bodyPr/>
              <a:lstStyle/>
              <a:p>
                <a:pPr>
                  <a:defRPr/>
                </a:pPr>
                <a:r>
                  <a:rPr lang="pt-BR"/>
                  <a:t>Methane (ppm</a:t>
                </a:r>
                <a:r>
                  <a:rPr lang="pt-BR" baseline="-25000"/>
                  <a:t>v/v</a:t>
                </a:r>
                <a:r>
                  <a:rPr lang="pt-BR"/>
                  <a:t>)</a:t>
                </a:r>
              </a:p>
            </c:rich>
          </c:tx>
          <c:layout>
            <c:manualLayout>
              <c:xMode val="edge"/>
              <c:yMode val="edge"/>
              <c:x val="0.38951416787187298"/>
              <c:y val="1.53228346456693E-2"/>
            </c:manualLayout>
          </c:layout>
          <c:overlay val="0"/>
        </c:title>
        <c:numFmt formatCode="General" sourceLinked="1"/>
        <c:majorTickMark val="out"/>
        <c:minorTickMark val="none"/>
        <c:tickLblPos val="nextTo"/>
        <c:spPr>
          <a:ln/>
        </c:spPr>
        <c:txPr>
          <a:bodyPr rot="0" vert="horz"/>
          <a:lstStyle/>
          <a:p>
            <a:pPr>
              <a:defRPr/>
            </a:pPr>
            <a:endParaRPr lang="pt-BR"/>
          </a:p>
        </c:txPr>
        <c:crossAx val="258053184"/>
        <c:crosses val="autoZero"/>
        <c:crossBetween val="midCat"/>
      </c:valAx>
      <c:valAx>
        <c:axId val="258053184"/>
        <c:scaling>
          <c:orientation val="maxMin"/>
          <c:max val="600"/>
        </c:scaling>
        <c:delete val="0"/>
        <c:axPos val="l"/>
        <c:title>
          <c:tx>
            <c:rich>
              <a:bodyPr/>
              <a:lstStyle/>
              <a:p>
                <a:pPr>
                  <a:defRPr/>
                </a:pPr>
                <a:r>
                  <a:rPr lang="en-US"/>
                  <a:t>Depth (cmbsf)</a:t>
                </a:r>
              </a:p>
            </c:rich>
          </c:tx>
          <c:layout>
            <c:manualLayout>
              <c:xMode val="edge"/>
              <c:yMode val="edge"/>
              <c:x val="4.5962826075311998E-2"/>
              <c:y val="0.32045717012646102"/>
            </c:manualLayout>
          </c:layout>
          <c:overlay val="0"/>
        </c:title>
        <c:numFmt formatCode="General" sourceLinked="1"/>
        <c:majorTickMark val="out"/>
        <c:minorTickMark val="none"/>
        <c:tickLblPos val="nextTo"/>
        <c:spPr>
          <a:ln/>
        </c:spPr>
        <c:crossAx val="258052792"/>
        <c:crosses val="autoZero"/>
        <c:crossBetween val="midCat"/>
      </c:valAx>
    </c:plotArea>
    <c:plotVisOnly val="1"/>
    <c:dispBlanksAs val="gap"/>
    <c:showDLblsOverMax val="0"/>
  </c:chart>
  <c:spPr>
    <a:ln>
      <a:noFill/>
    </a:ln>
  </c:spPr>
  <c:txPr>
    <a:bodyPr/>
    <a:lstStyle/>
    <a:p>
      <a:pPr>
        <a:defRPr sz="800" b="1">
          <a:latin typeface="Arial" panose="020B0604020202020204" pitchFamily="34" charset="0"/>
          <a:cs typeface="Arial" panose="020B0604020202020204" pitchFamily="34" charset="0"/>
        </a:defRPr>
      </a:pPr>
      <a:endParaRPr lang="pt-B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50659408314701"/>
          <c:y val="0.19581715181529899"/>
          <c:w val="0.64430273376321801"/>
          <c:h val="0.70161874562059801"/>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 51'!$R$3:$R$10</c:f>
              <c:numCache>
                <c:formatCode>General</c:formatCode>
                <c:ptCount val="8"/>
                <c:pt idx="0">
                  <c:v>3211</c:v>
                </c:pt>
                <c:pt idx="1">
                  <c:v>3143</c:v>
                </c:pt>
                <c:pt idx="2">
                  <c:v>2739</c:v>
                </c:pt>
                <c:pt idx="3">
                  <c:v>2252</c:v>
                </c:pt>
                <c:pt idx="4">
                  <c:v>1588</c:v>
                </c:pt>
                <c:pt idx="5">
                  <c:v>528</c:v>
                </c:pt>
                <c:pt idx="6">
                  <c:v>310</c:v>
                </c:pt>
                <c:pt idx="7">
                  <c:v>279</c:v>
                </c:pt>
              </c:numCache>
            </c:numRef>
          </c:xVal>
          <c:yVal>
            <c:numRef>
              <c:f>'PC 51'!$B$3:$B$10</c:f>
              <c:numCache>
                <c:formatCode>General</c:formatCode>
                <c:ptCount val="8"/>
                <c:pt idx="0">
                  <c:v>20</c:v>
                </c:pt>
                <c:pt idx="1">
                  <c:v>60</c:v>
                </c:pt>
                <c:pt idx="2">
                  <c:v>117</c:v>
                </c:pt>
                <c:pt idx="3">
                  <c:v>167</c:v>
                </c:pt>
                <c:pt idx="4">
                  <c:v>217</c:v>
                </c:pt>
                <c:pt idx="5">
                  <c:v>267</c:v>
                </c:pt>
                <c:pt idx="6">
                  <c:v>317</c:v>
                </c:pt>
                <c:pt idx="7">
                  <c:v>372</c:v>
                </c:pt>
              </c:numCache>
            </c:numRef>
          </c:yVal>
          <c:smooth val="0"/>
        </c:ser>
        <c:dLbls>
          <c:showLegendKey val="0"/>
          <c:showVal val="0"/>
          <c:showCatName val="0"/>
          <c:showSerName val="0"/>
          <c:showPercent val="0"/>
          <c:showBubbleSize val="0"/>
        </c:dLbls>
        <c:axId val="258127320"/>
        <c:axId val="258127712"/>
      </c:scatterChart>
      <c:valAx>
        <c:axId val="258127320"/>
        <c:scaling>
          <c:orientation val="minMax"/>
        </c:scaling>
        <c:delete val="0"/>
        <c:axPos val="t"/>
        <c:title>
          <c:tx>
            <c:rich>
              <a:bodyPr/>
              <a:lstStyle/>
              <a:p>
                <a:pPr>
                  <a:defRPr/>
                </a:pPr>
                <a:r>
                  <a:rPr lang="en-US"/>
                  <a:t>Sulfate (mg L</a:t>
                </a:r>
                <a:r>
                  <a:rPr lang="en-US" baseline="30000"/>
                  <a:t>-1</a:t>
                </a:r>
                <a:r>
                  <a:rPr lang="en-US"/>
                  <a:t>)</a:t>
                </a:r>
              </a:p>
            </c:rich>
          </c:tx>
          <c:layout>
            <c:manualLayout>
              <c:xMode val="edge"/>
              <c:yMode val="edge"/>
              <c:x val="0.420066218786873"/>
              <c:y val="2.4390243902439001E-2"/>
            </c:manualLayout>
          </c:layout>
          <c:overlay val="0"/>
        </c:title>
        <c:numFmt formatCode="General" sourceLinked="1"/>
        <c:majorTickMark val="out"/>
        <c:minorTickMark val="none"/>
        <c:tickLblPos val="nextTo"/>
        <c:crossAx val="258127712"/>
        <c:crosses val="autoZero"/>
        <c:crossBetween val="midCat"/>
        <c:majorUnit val="1000"/>
      </c:valAx>
      <c:valAx>
        <c:axId val="258127712"/>
        <c:scaling>
          <c:orientation val="maxMin"/>
          <c:max val="600"/>
        </c:scaling>
        <c:delete val="0"/>
        <c:axPos val="l"/>
        <c:title>
          <c:tx>
            <c:rich>
              <a:bodyPr rot="-5400000" vert="horz"/>
              <a:lstStyle/>
              <a:p>
                <a:pPr>
                  <a:defRPr/>
                </a:pPr>
                <a:r>
                  <a:rPr lang="en-US"/>
                  <a:t>Depth (cmbsf)</a:t>
                </a:r>
              </a:p>
            </c:rich>
          </c:tx>
          <c:overlay val="0"/>
        </c:title>
        <c:numFmt formatCode="General" sourceLinked="1"/>
        <c:majorTickMark val="out"/>
        <c:minorTickMark val="none"/>
        <c:tickLblPos val="nextTo"/>
        <c:crossAx val="258127320"/>
        <c:crosses val="autoZero"/>
        <c:crossBetween val="midCat"/>
      </c:valAx>
    </c:plotArea>
    <c:plotVisOnly val="1"/>
    <c:dispBlanksAs val="gap"/>
    <c:showDLblsOverMax val="0"/>
  </c:chart>
  <c:spPr>
    <a:ln>
      <a:noFill/>
    </a:ln>
  </c:spPr>
  <c:txPr>
    <a:bodyPr/>
    <a:lstStyle/>
    <a:p>
      <a:pPr>
        <a:defRPr sz="800" b="1">
          <a:latin typeface="Arial"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20181049451897301"/>
          <c:w val="0.65258703378343197"/>
          <c:h val="0.66367418794703203"/>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PC31MR11!$M$4:$M$17</c:f>
              <c:numCache>
                <c:formatCode>General</c:formatCode>
                <c:ptCount val="14"/>
                <c:pt idx="0">
                  <c:v>5.5840000000000001E-2</c:v>
                </c:pt>
                <c:pt idx="1">
                  <c:v>7.6615000000000003E-2</c:v>
                </c:pt>
                <c:pt idx="2">
                  <c:v>7.1965000000000001E-2</c:v>
                </c:pt>
                <c:pt idx="3">
                  <c:v>6.1580000000000003E-2</c:v>
                </c:pt>
                <c:pt idx="4">
                  <c:v>7.9954999999999998E-2</c:v>
                </c:pt>
                <c:pt idx="5">
                  <c:v>8.4309999999999996E-2</c:v>
                </c:pt>
                <c:pt idx="6">
                  <c:v>6.0865000000000002E-2</c:v>
                </c:pt>
                <c:pt idx="7">
                  <c:v>7.8479999999999994E-2</c:v>
                </c:pt>
                <c:pt idx="8">
                  <c:v>8.7870000000000004E-2</c:v>
                </c:pt>
                <c:pt idx="9">
                  <c:v>7.2044999999999998E-2</c:v>
                </c:pt>
                <c:pt idx="10">
                  <c:v>7.4884999999999993E-2</c:v>
                </c:pt>
                <c:pt idx="11">
                  <c:v>6.6780000000000006E-2</c:v>
                </c:pt>
                <c:pt idx="12">
                  <c:v>6.7614999999999995E-2</c:v>
                </c:pt>
                <c:pt idx="13">
                  <c:v>7.7719999999999997E-2</c:v>
                </c:pt>
              </c:numCache>
            </c:numRef>
          </c:xVal>
          <c:yVal>
            <c:numRef>
              <c:f>PC31MR11!$B$4:$B$17</c:f>
              <c:numCache>
                <c:formatCode>General</c:formatCode>
                <c:ptCount val="14"/>
                <c:pt idx="0">
                  <c:v>8</c:v>
                </c:pt>
                <c:pt idx="1">
                  <c:v>56</c:v>
                </c:pt>
                <c:pt idx="2">
                  <c:v>108</c:v>
                </c:pt>
                <c:pt idx="3">
                  <c:v>182</c:v>
                </c:pt>
                <c:pt idx="4">
                  <c:v>208</c:v>
                </c:pt>
                <c:pt idx="5">
                  <c:v>258</c:v>
                </c:pt>
                <c:pt idx="6">
                  <c:v>282</c:v>
                </c:pt>
                <c:pt idx="7">
                  <c:v>308</c:v>
                </c:pt>
                <c:pt idx="8">
                  <c:v>358</c:v>
                </c:pt>
                <c:pt idx="9">
                  <c:v>382</c:v>
                </c:pt>
                <c:pt idx="10">
                  <c:v>408</c:v>
                </c:pt>
                <c:pt idx="11">
                  <c:v>458</c:v>
                </c:pt>
                <c:pt idx="12">
                  <c:v>482</c:v>
                </c:pt>
                <c:pt idx="13">
                  <c:v>528</c:v>
                </c:pt>
              </c:numCache>
            </c:numRef>
          </c:yVal>
          <c:smooth val="0"/>
        </c:ser>
        <c:dLbls>
          <c:showLegendKey val="0"/>
          <c:showVal val="0"/>
          <c:showCatName val="0"/>
          <c:showSerName val="0"/>
          <c:showPercent val="0"/>
          <c:showBubbleSize val="0"/>
        </c:dLbls>
        <c:axId val="260235888"/>
        <c:axId val="258324936"/>
      </c:scatterChart>
      <c:valAx>
        <c:axId val="260235888"/>
        <c:scaling>
          <c:orientation val="minMax"/>
          <c:max val="0.2"/>
        </c:scaling>
        <c:delete val="0"/>
        <c:axPos val="t"/>
        <c:title>
          <c:tx>
            <c:rich>
              <a:bodyPr/>
              <a:lstStyle/>
              <a:p>
                <a:pPr>
                  <a:defRPr/>
                </a:pPr>
                <a:r>
                  <a:rPr lang="en-US"/>
                  <a:t>TN (%) m/m</a:t>
                </a:r>
              </a:p>
            </c:rich>
          </c:tx>
          <c:layout>
            <c:manualLayout>
              <c:xMode val="edge"/>
              <c:yMode val="edge"/>
              <c:x val="0.43164733626527901"/>
              <c:y val="1.4354517932087699E-2"/>
            </c:manualLayout>
          </c:layout>
          <c:overlay val="0"/>
        </c:title>
        <c:numFmt formatCode="0.00" sourceLinked="0"/>
        <c:majorTickMark val="out"/>
        <c:minorTickMark val="none"/>
        <c:tickLblPos val="nextTo"/>
        <c:crossAx val="258324936"/>
        <c:crosses val="autoZero"/>
        <c:crossBetween val="midCat"/>
        <c:majorUnit val="0.05"/>
      </c:valAx>
      <c:valAx>
        <c:axId val="258324936"/>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802"/>
            </c:manualLayout>
          </c:layout>
          <c:overlay val="0"/>
        </c:title>
        <c:numFmt formatCode="General" sourceLinked="1"/>
        <c:majorTickMark val="out"/>
        <c:minorTickMark val="none"/>
        <c:tickLblPos val="nextTo"/>
        <c:crossAx val="260235888"/>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7752009242411"/>
          <c:y val="0.165373419231687"/>
          <c:w val="0.62228916795323597"/>
          <c:h val="0.69976568837986197"/>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'PC31'!$K$2:$K$79</c:f>
              <c:numCache>
                <c:formatCode>General</c:formatCode>
                <c:ptCount val="78"/>
                <c:pt idx="0">
                  <c:v>-18.594000000000001</c:v>
                </c:pt>
                <c:pt idx="4">
                  <c:v>-21.793333333333241</c:v>
                </c:pt>
                <c:pt idx="8">
                  <c:v>-20.96239999999991</c:v>
                </c:pt>
                <c:pt idx="13">
                  <c:v>-21.5</c:v>
                </c:pt>
                <c:pt idx="16">
                  <c:v>-19.68225</c:v>
                </c:pt>
                <c:pt idx="21">
                  <c:v>-19.79099999999999</c:v>
                </c:pt>
                <c:pt idx="24">
                  <c:v>-20.5868</c:v>
                </c:pt>
                <c:pt idx="29">
                  <c:v>-21.199249999999999</c:v>
                </c:pt>
                <c:pt idx="33">
                  <c:v>-20.88666666666667</c:v>
                </c:pt>
                <c:pt idx="39">
                  <c:v>-21.724166666666669</c:v>
                </c:pt>
                <c:pt idx="45">
                  <c:v>-20.454833333333319</c:v>
                </c:pt>
                <c:pt idx="51">
                  <c:v>-20.198399999999999</c:v>
                </c:pt>
                <c:pt idx="56">
                  <c:v>-20.605</c:v>
                </c:pt>
                <c:pt idx="63">
                  <c:v>-19.823333333333242</c:v>
                </c:pt>
                <c:pt idx="70">
                  <c:v>-21.421166666666661</c:v>
                </c:pt>
              </c:numCache>
            </c:numRef>
          </c:xVal>
          <c:yVal>
            <c:numRef>
              <c:f>'PC31'!$I$2:$I$71</c:f>
              <c:numCache>
                <c:formatCode>General</c:formatCode>
                <c:ptCount val="70"/>
                <c:pt idx="0">
                  <c:v>8</c:v>
                </c:pt>
                <c:pt idx="4">
                  <c:v>56</c:v>
                </c:pt>
                <c:pt idx="8">
                  <c:v>108</c:v>
                </c:pt>
                <c:pt idx="16">
                  <c:v>182</c:v>
                </c:pt>
                <c:pt idx="21">
                  <c:v>208</c:v>
                </c:pt>
                <c:pt idx="24">
                  <c:v>258</c:v>
                </c:pt>
                <c:pt idx="29">
                  <c:v>282</c:v>
                </c:pt>
                <c:pt idx="33">
                  <c:v>308</c:v>
                </c:pt>
                <c:pt idx="39">
                  <c:v>358</c:v>
                </c:pt>
                <c:pt idx="45">
                  <c:v>382</c:v>
                </c:pt>
                <c:pt idx="51">
                  <c:v>408</c:v>
                </c:pt>
                <c:pt idx="56">
                  <c:v>458</c:v>
                </c:pt>
                <c:pt idx="63">
                  <c:v>482</c:v>
                </c:pt>
              </c:numCache>
            </c:numRef>
          </c:yVal>
          <c:smooth val="0"/>
        </c:ser>
        <c:dLbls>
          <c:showLegendKey val="0"/>
          <c:showVal val="0"/>
          <c:showCatName val="0"/>
          <c:showSerName val="0"/>
          <c:showPercent val="0"/>
          <c:showBubbleSize val="0"/>
        </c:dLbls>
        <c:axId val="258325720"/>
        <c:axId val="258326112"/>
      </c:scatterChart>
      <c:valAx>
        <c:axId val="258325720"/>
        <c:scaling>
          <c:orientation val="minMax"/>
          <c:max val="-17"/>
          <c:min val="-27"/>
        </c:scaling>
        <c:delete val="0"/>
        <c:axPos val="t"/>
        <c:title>
          <c:tx>
            <c:rich>
              <a:bodyPr/>
              <a:lstStyle/>
              <a:p>
                <a:pPr>
                  <a:defRPr/>
                </a:pPr>
                <a:r>
                  <a:rPr lang="el-GR"/>
                  <a:t>δ</a:t>
                </a:r>
                <a:r>
                  <a:rPr lang="el-GR" baseline="30000"/>
                  <a:t>13</a:t>
                </a:r>
                <a:r>
                  <a:rPr lang="en-US"/>
                  <a:t>C-org (</a:t>
                </a:r>
                <a:r>
                  <a:rPr lang="en-US">
                    <a:latin typeface="Calibri" panose="020F0502020204030204" pitchFamily="34" charset="0"/>
                  </a:rPr>
                  <a:t>‰)</a:t>
                </a:r>
                <a:endParaRPr lang="en-US"/>
              </a:p>
            </c:rich>
          </c:tx>
          <c:overlay val="0"/>
        </c:title>
        <c:numFmt formatCode="General" sourceLinked="1"/>
        <c:majorTickMark val="out"/>
        <c:minorTickMark val="out"/>
        <c:tickLblPos val="nextTo"/>
        <c:txPr>
          <a:bodyPr/>
          <a:lstStyle/>
          <a:p>
            <a:pPr>
              <a:defRPr sz="800">
                <a:latin typeface="Arial" panose="020B0604020202020204" pitchFamily="34" charset="0"/>
                <a:cs typeface="Arial" panose="020B0604020202020204" pitchFamily="34" charset="0"/>
              </a:defRPr>
            </a:pPr>
            <a:endParaRPr lang="pt-BR"/>
          </a:p>
        </c:txPr>
        <c:crossAx val="258326112"/>
        <c:crosses val="autoZero"/>
        <c:crossBetween val="midCat"/>
        <c:majorUnit val="2"/>
        <c:minorUnit val="1"/>
      </c:valAx>
      <c:valAx>
        <c:axId val="258326112"/>
        <c:scaling>
          <c:orientation val="maxMin"/>
          <c:max val="600"/>
          <c:min val="0"/>
        </c:scaling>
        <c:delete val="0"/>
        <c:axPos val="l"/>
        <c:title>
          <c:tx>
            <c:rich>
              <a:bodyPr rot="-5400000" vert="horz"/>
              <a:lstStyle/>
              <a:p>
                <a:pPr>
                  <a:defRPr/>
                </a:pPr>
                <a:r>
                  <a:rPr lang="en-US"/>
                  <a:t>cmbsf</a:t>
                </a:r>
              </a:p>
            </c:rich>
          </c:tx>
          <c:overlay val="0"/>
        </c:title>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pt-BR"/>
          </a:p>
        </c:txPr>
        <c:crossAx val="258325720"/>
        <c:crossesAt val="-27"/>
        <c:crossBetween val="midCat"/>
        <c:majorUnit val="100"/>
      </c:valAx>
    </c:plotArea>
    <c:plotVisOnly val="1"/>
    <c:dispBlanksAs val="gap"/>
    <c:showDLblsOverMax val="0"/>
  </c:chart>
  <c:spPr>
    <a:ln>
      <a:noFill/>
    </a:ln>
  </c:spPr>
  <c:txPr>
    <a:bodyPr/>
    <a:lstStyle/>
    <a:p>
      <a:pPr>
        <a:defRPr b="1"/>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00755168761799"/>
          <c:y val="0.19335126027701499"/>
          <c:w val="0.67409691117938997"/>
          <c:h val="0.66070185432829498"/>
        </c:manualLayout>
      </c:layout>
      <c:scatterChart>
        <c:scatterStyle val="lineMarker"/>
        <c:varyColors val="0"/>
        <c:ser>
          <c:idx val="0"/>
          <c:order val="0"/>
          <c:tx>
            <c:v>pMC</c:v>
          </c:tx>
          <c:spPr>
            <a:ln w="28575">
              <a:noFill/>
            </a:ln>
          </c:spPr>
          <c:marker>
            <c:symbol val="circle"/>
            <c:size val="5"/>
            <c:spPr>
              <a:solidFill>
                <a:schemeClr val="tx1"/>
              </a:solidFill>
              <a:ln>
                <a:solidFill>
                  <a:schemeClr val="tx1"/>
                </a:solidFill>
              </a:ln>
            </c:spPr>
          </c:marker>
          <c:xVal>
            <c:numRef>
              <c:f>[2]PC31!$M$24:$M$39</c:f>
              <c:numCache>
                <c:formatCode>General</c:formatCode>
                <c:ptCount val="16"/>
                <c:pt idx="0">
                  <c:v>10.996</c:v>
                </c:pt>
                <c:pt idx="1">
                  <c:v>16.809999999999999</c:v>
                </c:pt>
                <c:pt idx="3">
                  <c:v>5.9020000000000001</c:v>
                </c:pt>
                <c:pt idx="4">
                  <c:v>7.63</c:v>
                </c:pt>
                <c:pt idx="5">
                  <c:v>18.66</c:v>
                </c:pt>
                <c:pt idx="6">
                  <c:v>19.07</c:v>
                </c:pt>
                <c:pt idx="7">
                  <c:v>2.06</c:v>
                </c:pt>
                <c:pt idx="8">
                  <c:v>2.72</c:v>
                </c:pt>
                <c:pt idx="9">
                  <c:v>5.1819999999999986</c:v>
                </c:pt>
                <c:pt idx="10">
                  <c:v>3.07</c:v>
                </c:pt>
                <c:pt idx="11">
                  <c:v>2.83</c:v>
                </c:pt>
                <c:pt idx="12">
                  <c:v>2.8349999999999991</c:v>
                </c:pt>
                <c:pt idx="13">
                  <c:v>2.1539999999999999</c:v>
                </c:pt>
                <c:pt idx="14">
                  <c:v>4.3959999999999946</c:v>
                </c:pt>
                <c:pt idx="15">
                  <c:v>3.87</c:v>
                </c:pt>
              </c:numCache>
            </c:numRef>
          </c:xVal>
          <c:yVal>
            <c:numRef>
              <c:f>[2]PC31!$N$24:$N$39</c:f>
              <c:numCache>
                <c:formatCode>General</c:formatCode>
                <c:ptCount val="16"/>
                <c:pt idx="0">
                  <c:v>8</c:v>
                </c:pt>
                <c:pt idx="1">
                  <c:v>56</c:v>
                </c:pt>
                <c:pt idx="3">
                  <c:v>108</c:v>
                </c:pt>
                <c:pt idx="5">
                  <c:v>182</c:v>
                </c:pt>
                <c:pt idx="6">
                  <c:v>208</c:v>
                </c:pt>
                <c:pt idx="7">
                  <c:v>258</c:v>
                </c:pt>
                <c:pt idx="8">
                  <c:v>282</c:v>
                </c:pt>
                <c:pt idx="9">
                  <c:v>308</c:v>
                </c:pt>
                <c:pt idx="10">
                  <c:v>358</c:v>
                </c:pt>
                <c:pt idx="11">
                  <c:v>382</c:v>
                </c:pt>
                <c:pt idx="12">
                  <c:v>408</c:v>
                </c:pt>
                <c:pt idx="14">
                  <c:v>482</c:v>
                </c:pt>
                <c:pt idx="15">
                  <c:v>528</c:v>
                </c:pt>
              </c:numCache>
            </c:numRef>
          </c:yVal>
          <c:smooth val="0"/>
        </c:ser>
        <c:dLbls>
          <c:showLegendKey val="0"/>
          <c:showVal val="0"/>
          <c:showCatName val="0"/>
          <c:showSerName val="0"/>
          <c:showPercent val="0"/>
          <c:showBubbleSize val="0"/>
        </c:dLbls>
        <c:axId val="258326896"/>
        <c:axId val="258327288"/>
      </c:scatterChart>
      <c:valAx>
        <c:axId val="258326896"/>
        <c:scaling>
          <c:orientation val="minMax"/>
        </c:scaling>
        <c:delete val="0"/>
        <c:axPos val="t"/>
        <c:title>
          <c:tx>
            <c:rich>
              <a:bodyPr/>
              <a:lstStyle/>
              <a:p>
                <a:pPr>
                  <a:defRPr/>
                </a:pPr>
                <a:r>
                  <a:rPr lang="en-US"/>
                  <a:t>pMC</a:t>
                </a:r>
              </a:p>
            </c:rich>
          </c:tx>
          <c:layout>
            <c:manualLayout>
              <c:xMode val="edge"/>
              <c:yMode val="edge"/>
              <c:x val="0.47535453604901601"/>
              <c:y val="5.5768543770530398E-3"/>
            </c:manualLayout>
          </c:layout>
          <c:overlay val="0"/>
        </c:title>
        <c:numFmt formatCode="General" sourceLinked="1"/>
        <c:majorTickMark val="out"/>
        <c:minorTickMark val="none"/>
        <c:tickLblPos val="nextTo"/>
        <c:crossAx val="258327288"/>
        <c:crosses val="autoZero"/>
        <c:crossBetween val="midCat"/>
        <c:majorUnit val="4"/>
      </c:valAx>
      <c:valAx>
        <c:axId val="258327288"/>
        <c:scaling>
          <c:orientation val="maxMin"/>
        </c:scaling>
        <c:delete val="0"/>
        <c:axPos val="l"/>
        <c:title>
          <c:tx>
            <c:rich>
              <a:bodyPr rot="-5400000" vert="horz"/>
              <a:lstStyle/>
              <a:p>
                <a:pPr>
                  <a:defRPr/>
                </a:pPr>
                <a:r>
                  <a:rPr lang="en-US"/>
                  <a:t>cmbsf</a:t>
                </a:r>
              </a:p>
            </c:rich>
          </c:tx>
          <c:layout>
            <c:manualLayout>
              <c:xMode val="edge"/>
              <c:yMode val="edge"/>
              <c:x val="2.25575372303887E-2"/>
              <c:y val="0.41207342624559401"/>
            </c:manualLayout>
          </c:layout>
          <c:overlay val="0"/>
        </c:title>
        <c:numFmt formatCode="General" sourceLinked="1"/>
        <c:majorTickMark val="out"/>
        <c:minorTickMark val="none"/>
        <c:tickLblPos val="nextTo"/>
        <c:crossAx val="258326896"/>
        <c:crosses val="autoZero"/>
        <c:crossBetween val="midCat"/>
      </c:valAx>
    </c:plotArea>
    <c:plotVisOnly val="1"/>
    <c:dispBlanksAs val="gap"/>
    <c:showDLblsOverMax val="0"/>
  </c:chart>
  <c:spPr>
    <a:ln w="12700">
      <a:noFill/>
    </a:ln>
  </c:spPr>
  <c:txPr>
    <a:bodyPr/>
    <a:lstStyle/>
    <a:p>
      <a:pPr>
        <a:defRPr sz="800" b="1">
          <a:latin typeface="Arial" pitchFamily="34" charset="0"/>
          <a:cs typeface="Arial" pitchFamily="34"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95701723003774"/>
          <c:w val="0.65258703378343197"/>
          <c:h val="0.694217800910164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PC31MR11!$S$4:$S$17</c:f>
              <c:numCache>
                <c:formatCode>0.00</c:formatCode>
                <c:ptCount val="14"/>
                <c:pt idx="0">
                  <c:v>9.6263580468003642</c:v>
                </c:pt>
                <c:pt idx="1">
                  <c:v>9.3637886401705472</c:v>
                </c:pt>
                <c:pt idx="2">
                  <c:v>9.4769679705412404</c:v>
                </c:pt>
                <c:pt idx="3">
                  <c:v>8.9594430009743498</c:v>
                </c:pt>
                <c:pt idx="4">
                  <c:v>8.5121214016217408</c:v>
                </c:pt>
                <c:pt idx="5">
                  <c:v>7.3466374095599569</c:v>
                </c:pt>
                <c:pt idx="6">
                  <c:v>10.189860072838799</c:v>
                </c:pt>
                <c:pt idx="7">
                  <c:v>7.573893560992186</c:v>
                </c:pt>
                <c:pt idx="8">
                  <c:v>6.9584423959637398</c:v>
                </c:pt>
                <c:pt idx="9">
                  <c:v>8.5485923149883192</c:v>
                </c:pt>
                <c:pt idx="10">
                  <c:v>7.8389530613607477</c:v>
                </c:pt>
                <c:pt idx="11">
                  <c:v>9.2408280922431558</c:v>
                </c:pt>
                <c:pt idx="12">
                  <c:v>8.7886933372772305</c:v>
                </c:pt>
                <c:pt idx="13">
                  <c:v>7.9388724481043029</c:v>
                </c:pt>
              </c:numCache>
            </c:numRef>
          </c:xVal>
          <c:yVal>
            <c:numRef>
              <c:f>PC31MR11!$B$4:$B$17</c:f>
              <c:numCache>
                <c:formatCode>General</c:formatCode>
                <c:ptCount val="14"/>
                <c:pt idx="0">
                  <c:v>8</c:v>
                </c:pt>
                <c:pt idx="1">
                  <c:v>56</c:v>
                </c:pt>
                <c:pt idx="2">
                  <c:v>108</c:v>
                </c:pt>
                <c:pt idx="3">
                  <c:v>182</c:v>
                </c:pt>
                <c:pt idx="4">
                  <c:v>208</c:v>
                </c:pt>
                <c:pt idx="5">
                  <c:v>258</c:v>
                </c:pt>
                <c:pt idx="6">
                  <c:v>282</c:v>
                </c:pt>
                <c:pt idx="7">
                  <c:v>308</c:v>
                </c:pt>
                <c:pt idx="8">
                  <c:v>358</c:v>
                </c:pt>
                <c:pt idx="9">
                  <c:v>382</c:v>
                </c:pt>
                <c:pt idx="10">
                  <c:v>408</c:v>
                </c:pt>
                <c:pt idx="11">
                  <c:v>458</c:v>
                </c:pt>
                <c:pt idx="12">
                  <c:v>482</c:v>
                </c:pt>
                <c:pt idx="13">
                  <c:v>528</c:v>
                </c:pt>
              </c:numCache>
            </c:numRef>
          </c:yVal>
          <c:smooth val="0"/>
        </c:ser>
        <c:dLbls>
          <c:showLegendKey val="0"/>
          <c:showVal val="0"/>
          <c:showCatName val="0"/>
          <c:showSerName val="0"/>
          <c:showPercent val="0"/>
          <c:showBubbleSize val="0"/>
        </c:dLbls>
        <c:axId val="258328072"/>
        <c:axId val="258328464"/>
      </c:scatterChart>
      <c:valAx>
        <c:axId val="258328072"/>
        <c:scaling>
          <c:orientation val="minMax"/>
        </c:scaling>
        <c:delete val="0"/>
        <c:axPos val="t"/>
        <c:title>
          <c:tx>
            <c:rich>
              <a:bodyPr/>
              <a:lstStyle/>
              <a:p>
                <a:pPr>
                  <a:defRPr/>
                </a:pPr>
                <a:r>
                  <a:rPr lang="en-US"/>
                  <a:t>TOC:TN</a:t>
                </a:r>
              </a:p>
            </c:rich>
          </c:tx>
          <c:layout>
            <c:manualLayout>
              <c:xMode val="edge"/>
              <c:yMode val="edge"/>
              <c:x val="0.46961335665234599"/>
              <c:y val="1.43544588738915E-2"/>
            </c:manualLayout>
          </c:layout>
          <c:overlay val="0"/>
        </c:title>
        <c:numFmt formatCode="0" sourceLinked="0"/>
        <c:majorTickMark val="out"/>
        <c:minorTickMark val="none"/>
        <c:tickLblPos val="nextTo"/>
        <c:crossAx val="258328464"/>
        <c:crosses val="autoZero"/>
        <c:crossBetween val="midCat"/>
        <c:majorUnit val="2"/>
      </c:valAx>
      <c:valAx>
        <c:axId val="258328464"/>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702"/>
            </c:manualLayout>
          </c:layout>
          <c:overlay val="0"/>
        </c:title>
        <c:numFmt formatCode="General" sourceLinked="1"/>
        <c:majorTickMark val="out"/>
        <c:minorTickMark val="none"/>
        <c:tickLblPos val="nextTo"/>
        <c:crossAx val="258328072"/>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95701723003774"/>
          <c:w val="0.65258703378343197"/>
          <c:h val="0.694217800910164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PC31MR11!$U$4:$U$17</c:f>
              <c:numCache>
                <c:formatCode>0.000</c:formatCode>
                <c:ptCount val="14"/>
                <c:pt idx="0">
                  <c:v>9.1743941876743104E-2</c:v>
                </c:pt>
                <c:pt idx="1">
                  <c:v>2.6304641254146902E-2</c:v>
                </c:pt>
                <c:pt idx="2">
                  <c:v>4.9769064969721902E-2</c:v>
                </c:pt>
                <c:pt idx="3">
                  <c:v>3.3340470073270498E-2</c:v>
                </c:pt>
                <c:pt idx="4">
                  <c:v>7.48637205156336E-2</c:v>
                </c:pt>
                <c:pt idx="5">
                  <c:v>3.0235350624399599E-2</c:v>
                </c:pt>
                <c:pt idx="6">
                  <c:v>9.0042183576151499E-2</c:v>
                </c:pt>
                <c:pt idx="7">
                  <c:v>3.4211017007370198E-2</c:v>
                </c:pt>
                <c:pt idx="8">
                  <c:v>0</c:v>
                </c:pt>
                <c:pt idx="9">
                  <c:v>3.3629593673044099E-2</c:v>
                </c:pt>
                <c:pt idx="10">
                  <c:v>0</c:v>
                </c:pt>
                <c:pt idx="11">
                  <c:v>0</c:v>
                </c:pt>
                <c:pt idx="12">
                  <c:v>0.12741113761521899</c:v>
                </c:pt>
                <c:pt idx="13">
                  <c:v>0</c:v>
                </c:pt>
              </c:numCache>
            </c:numRef>
          </c:xVal>
          <c:yVal>
            <c:numRef>
              <c:f>PC31MR11!$B$4:$B$17</c:f>
              <c:numCache>
                <c:formatCode>General</c:formatCode>
                <c:ptCount val="14"/>
                <c:pt idx="0">
                  <c:v>8</c:v>
                </c:pt>
                <c:pt idx="1">
                  <c:v>56</c:v>
                </c:pt>
                <c:pt idx="2">
                  <c:v>108</c:v>
                </c:pt>
                <c:pt idx="3">
                  <c:v>182</c:v>
                </c:pt>
                <c:pt idx="4">
                  <c:v>208</c:v>
                </c:pt>
                <c:pt idx="5">
                  <c:v>258</c:v>
                </c:pt>
                <c:pt idx="6">
                  <c:v>282</c:v>
                </c:pt>
                <c:pt idx="7">
                  <c:v>308</c:v>
                </c:pt>
                <c:pt idx="8">
                  <c:v>358</c:v>
                </c:pt>
                <c:pt idx="9">
                  <c:v>382</c:v>
                </c:pt>
                <c:pt idx="10">
                  <c:v>408</c:v>
                </c:pt>
                <c:pt idx="11">
                  <c:v>458</c:v>
                </c:pt>
                <c:pt idx="12">
                  <c:v>482</c:v>
                </c:pt>
                <c:pt idx="13">
                  <c:v>528</c:v>
                </c:pt>
              </c:numCache>
            </c:numRef>
          </c:yVal>
          <c:smooth val="0"/>
        </c:ser>
        <c:dLbls>
          <c:showLegendKey val="0"/>
          <c:showVal val="0"/>
          <c:showCatName val="0"/>
          <c:showSerName val="0"/>
          <c:showPercent val="0"/>
          <c:showBubbleSize val="0"/>
        </c:dLbls>
        <c:axId val="258329248"/>
        <c:axId val="258329640"/>
      </c:scatterChart>
      <c:valAx>
        <c:axId val="258329248"/>
        <c:scaling>
          <c:orientation val="minMax"/>
          <c:max val="1.5"/>
          <c:min val="0"/>
        </c:scaling>
        <c:delete val="0"/>
        <c:axPos val="t"/>
        <c:title>
          <c:tx>
            <c:rich>
              <a:bodyPr/>
              <a:lstStyle/>
              <a:p>
                <a:pPr>
                  <a:defRPr/>
                </a:pPr>
                <a:r>
                  <a:rPr lang="en-US"/>
                  <a:t>TS:TOC</a:t>
                </a:r>
              </a:p>
            </c:rich>
          </c:tx>
          <c:layout>
            <c:manualLayout>
              <c:xMode val="edge"/>
              <c:yMode val="edge"/>
              <c:x val="0.46961335665234599"/>
              <c:y val="1.43544588738915E-2"/>
            </c:manualLayout>
          </c:layout>
          <c:overlay val="0"/>
        </c:title>
        <c:numFmt formatCode="0.0" sourceLinked="0"/>
        <c:majorTickMark val="out"/>
        <c:minorTickMark val="none"/>
        <c:tickLblPos val="nextTo"/>
        <c:crossAx val="258329640"/>
        <c:crosses val="autoZero"/>
        <c:crossBetween val="midCat"/>
        <c:majorUnit val="0.5"/>
      </c:valAx>
      <c:valAx>
        <c:axId val="258329640"/>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702"/>
            </c:manualLayout>
          </c:layout>
          <c:overlay val="0"/>
        </c:title>
        <c:numFmt formatCode="General" sourceLinked="1"/>
        <c:majorTickMark val="out"/>
        <c:minorTickMark val="none"/>
        <c:tickLblPos val="nextTo"/>
        <c:crossAx val="258329248"/>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846879309578"/>
          <c:y val="0.18584767181879999"/>
          <c:w val="0.70124160327416696"/>
          <c:h val="0.70409546028968595"/>
        </c:manualLayout>
      </c:layout>
      <c:scatterChart>
        <c:scatterStyle val="lineMarker"/>
        <c:varyColors val="0"/>
        <c:ser>
          <c:idx val="0"/>
          <c:order val="0"/>
          <c:tx>
            <c:v>Metano</c:v>
          </c:tx>
          <c:spPr>
            <a:ln w="28575">
              <a:noFill/>
            </a:ln>
          </c:spPr>
          <c:marker>
            <c:symbol val="circle"/>
            <c:size val="5"/>
            <c:spPr>
              <a:solidFill>
                <a:schemeClr val="tx1"/>
              </a:solidFill>
              <a:ln>
                <a:solidFill>
                  <a:schemeClr val="tx1"/>
                </a:solidFill>
              </a:ln>
            </c:spPr>
          </c:marker>
          <c:xVal>
            <c:numRef>
              <c:f>'PROFUNDIDADExCONCENTRAÇÃO CH4'!$D$2:$D$7</c:f>
              <c:numCache>
                <c:formatCode>General</c:formatCode>
                <c:ptCount val="6"/>
                <c:pt idx="0">
                  <c:v>1.77</c:v>
                </c:pt>
                <c:pt idx="1">
                  <c:v>4.13</c:v>
                </c:pt>
                <c:pt idx="2">
                  <c:v>3.74</c:v>
                </c:pt>
                <c:pt idx="3">
                  <c:v>7.8</c:v>
                </c:pt>
                <c:pt idx="5">
                  <c:v>8.75</c:v>
                </c:pt>
              </c:numCache>
            </c:numRef>
          </c:xVal>
          <c:yVal>
            <c:numRef>
              <c:f>'PROFUNDIDADExCONCENTRAÇÃO CH4'!$B$2:$B$7</c:f>
              <c:numCache>
                <c:formatCode>General</c:formatCode>
                <c:ptCount val="6"/>
                <c:pt idx="0">
                  <c:v>100</c:v>
                </c:pt>
                <c:pt idx="1">
                  <c:v>200</c:v>
                </c:pt>
                <c:pt idx="2">
                  <c:v>300</c:v>
                </c:pt>
                <c:pt idx="3">
                  <c:v>400</c:v>
                </c:pt>
                <c:pt idx="4">
                  <c:v>500</c:v>
                </c:pt>
                <c:pt idx="5">
                  <c:v>543</c:v>
                </c:pt>
              </c:numCache>
            </c:numRef>
          </c:yVal>
          <c:smooth val="0"/>
        </c:ser>
        <c:dLbls>
          <c:showLegendKey val="0"/>
          <c:showVal val="0"/>
          <c:showCatName val="0"/>
          <c:showSerName val="0"/>
          <c:showPercent val="0"/>
          <c:showBubbleSize val="0"/>
        </c:dLbls>
        <c:axId val="258330424"/>
        <c:axId val="258330816"/>
      </c:scatterChart>
      <c:valAx>
        <c:axId val="258330424"/>
        <c:scaling>
          <c:orientation val="minMax"/>
        </c:scaling>
        <c:delete val="0"/>
        <c:axPos val="t"/>
        <c:title>
          <c:tx>
            <c:rich>
              <a:bodyPr/>
              <a:lstStyle/>
              <a:p>
                <a:pPr>
                  <a:defRPr/>
                </a:pPr>
                <a:r>
                  <a:rPr lang="pt-BR"/>
                  <a:t>Methane (ppm</a:t>
                </a:r>
                <a:r>
                  <a:rPr lang="pt-BR" baseline="-25000"/>
                  <a:t>v/v</a:t>
                </a:r>
                <a:r>
                  <a:rPr lang="pt-BR"/>
                  <a:t>)</a:t>
                </a:r>
              </a:p>
            </c:rich>
          </c:tx>
          <c:overlay val="0"/>
        </c:title>
        <c:numFmt formatCode="General" sourceLinked="1"/>
        <c:majorTickMark val="out"/>
        <c:minorTickMark val="none"/>
        <c:tickLblPos val="nextTo"/>
        <c:spPr>
          <a:ln/>
        </c:spPr>
        <c:txPr>
          <a:bodyPr rot="0" vert="horz"/>
          <a:lstStyle/>
          <a:p>
            <a:pPr>
              <a:defRPr/>
            </a:pPr>
            <a:endParaRPr lang="pt-BR"/>
          </a:p>
        </c:txPr>
        <c:crossAx val="258330816"/>
        <c:crosses val="autoZero"/>
        <c:crossBetween val="midCat"/>
      </c:valAx>
      <c:valAx>
        <c:axId val="258330816"/>
        <c:scaling>
          <c:orientation val="maxMin"/>
        </c:scaling>
        <c:delete val="0"/>
        <c:axPos val="l"/>
        <c:title>
          <c:tx>
            <c:rich>
              <a:bodyPr/>
              <a:lstStyle/>
              <a:p>
                <a:pPr>
                  <a:defRPr/>
                </a:pPr>
                <a:r>
                  <a:rPr lang="en-US"/>
                  <a:t>Depth (cmbsf)</a:t>
                </a:r>
              </a:p>
            </c:rich>
          </c:tx>
          <c:layout>
            <c:manualLayout>
              <c:xMode val="edge"/>
              <c:yMode val="edge"/>
              <c:x val="2.0297611103696801E-2"/>
              <c:y val="0.33673957421988898"/>
            </c:manualLayout>
          </c:layout>
          <c:overlay val="0"/>
        </c:title>
        <c:numFmt formatCode="General" sourceLinked="1"/>
        <c:majorTickMark val="out"/>
        <c:minorTickMark val="none"/>
        <c:tickLblPos val="nextTo"/>
        <c:spPr>
          <a:ln/>
        </c:spPr>
        <c:crossAx val="258330424"/>
        <c:crosses val="autoZero"/>
        <c:crossBetween val="midCat"/>
      </c:valAx>
    </c:plotArea>
    <c:plotVisOnly val="1"/>
    <c:dispBlanksAs val="gap"/>
    <c:showDLblsOverMax val="0"/>
  </c:chart>
  <c:spPr>
    <a:ln>
      <a:noFill/>
    </a:ln>
  </c:spPr>
  <c:txPr>
    <a:bodyPr/>
    <a:lstStyle/>
    <a:p>
      <a:pPr>
        <a:defRPr sz="800" b="1">
          <a:latin typeface="Arial" panose="020B0604020202020204" pitchFamily="34" charset="0"/>
          <a:cs typeface="Arial" panose="020B0604020202020204" pitchFamily="34"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030768109484899"/>
          <c:y val="0.18861036865804601"/>
          <c:w val="0.69076666049181601"/>
          <c:h val="0.73553853933395896"/>
        </c:manualLayout>
      </c:layout>
      <c:scatterChart>
        <c:scatterStyle val="lineMarker"/>
        <c:varyColors val="0"/>
        <c:ser>
          <c:idx val="0"/>
          <c:order val="0"/>
          <c:spPr>
            <a:ln w="28575">
              <a:noFill/>
            </a:ln>
          </c:spPr>
          <c:marker>
            <c:symbol val="circle"/>
            <c:size val="6"/>
            <c:spPr>
              <a:solidFill>
                <a:schemeClr val="tx1"/>
              </a:solidFill>
              <a:ln>
                <a:solidFill>
                  <a:schemeClr val="tx1"/>
                </a:solidFill>
              </a:ln>
            </c:spPr>
          </c:marker>
          <c:xVal>
            <c:numRef>
              <c:f>'PC 31'!$Z$17:$Z$27</c:f>
              <c:numCache>
                <c:formatCode>General</c:formatCode>
                <c:ptCount val="11"/>
                <c:pt idx="0">
                  <c:v>2305</c:v>
                </c:pt>
                <c:pt idx="2">
                  <c:v>1531</c:v>
                </c:pt>
                <c:pt idx="4">
                  <c:v>973</c:v>
                </c:pt>
                <c:pt idx="6">
                  <c:v>620</c:v>
                </c:pt>
                <c:pt idx="8">
                  <c:v>609</c:v>
                </c:pt>
                <c:pt idx="9">
                  <c:v>605</c:v>
                </c:pt>
                <c:pt idx="10">
                  <c:v>613</c:v>
                </c:pt>
              </c:numCache>
            </c:numRef>
          </c:xVal>
          <c:yVal>
            <c:numRef>
              <c:f>'PC 31'!$B$3:$B$13</c:f>
              <c:numCache>
                <c:formatCode>General</c:formatCode>
                <c:ptCount val="11"/>
                <c:pt idx="0">
                  <c:v>20</c:v>
                </c:pt>
                <c:pt idx="1">
                  <c:v>70</c:v>
                </c:pt>
                <c:pt idx="2">
                  <c:v>122</c:v>
                </c:pt>
                <c:pt idx="3">
                  <c:v>172</c:v>
                </c:pt>
                <c:pt idx="4">
                  <c:v>222</c:v>
                </c:pt>
                <c:pt idx="5">
                  <c:v>272</c:v>
                </c:pt>
                <c:pt idx="6">
                  <c:v>322</c:v>
                </c:pt>
                <c:pt idx="7">
                  <c:v>372</c:v>
                </c:pt>
                <c:pt idx="8">
                  <c:v>422</c:v>
                </c:pt>
                <c:pt idx="9">
                  <c:v>472</c:v>
                </c:pt>
                <c:pt idx="10">
                  <c:v>520</c:v>
                </c:pt>
              </c:numCache>
            </c:numRef>
          </c:yVal>
          <c:smooth val="0"/>
        </c:ser>
        <c:dLbls>
          <c:showLegendKey val="0"/>
          <c:showVal val="0"/>
          <c:showCatName val="0"/>
          <c:showSerName val="0"/>
          <c:showPercent val="0"/>
          <c:showBubbleSize val="0"/>
        </c:dLbls>
        <c:axId val="258331600"/>
        <c:axId val="258331992"/>
      </c:scatterChart>
      <c:valAx>
        <c:axId val="258331600"/>
        <c:scaling>
          <c:orientation val="minMax"/>
          <c:max val="4000"/>
        </c:scaling>
        <c:delete val="0"/>
        <c:axPos val="t"/>
        <c:title>
          <c:tx>
            <c:rich>
              <a:bodyPr/>
              <a:lstStyle/>
              <a:p>
                <a:pPr>
                  <a:defRPr/>
                </a:pPr>
                <a:r>
                  <a:rPr lang="en-US"/>
                  <a:t>Sulfate  (mg L</a:t>
                </a:r>
                <a:r>
                  <a:rPr lang="en-US" baseline="30000"/>
                  <a:t>-1</a:t>
                </a:r>
                <a:r>
                  <a:rPr lang="en-US" baseline="0"/>
                  <a:t>)</a:t>
                </a:r>
              </a:p>
            </c:rich>
          </c:tx>
          <c:overlay val="0"/>
        </c:title>
        <c:numFmt formatCode="General" sourceLinked="1"/>
        <c:majorTickMark val="out"/>
        <c:minorTickMark val="none"/>
        <c:tickLblPos val="nextTo"/>
        <c:crossAx val="258331992"/>
        <c:crosses val="autoZero"/>
        <c:crossBetween val="midCat"/>
        <c:majorUnit val="1000"/>
      </c:valAx>
      <c:valAx>
        <c:axId val="258331992"/>
        <c:scaling>
          <c:orientation val="maxMin"/>
        </c:scaling>
        <c:delete val="0"/>
        <c:axPos val="l"/>
        <c:title>
          <c:tx>
            <c:rich>
              <a:bodyPr rot="-5400000" vert="horz"/>
              <a:lstStyle/>
              <a:p>
                <a:pPr>
                  <a:defRPr/>
                </a:pPr>
                <a:r>
                  <a:rPr lang="en-US"/>
                  <a:t>Depth (cmbsf)</a:t>
                </a:r>
              </a:p>
            </c:rich>
          </c:tx>
          <c:layout>
            <c:manualLayout>
              <c:xMode val="edge"/>
              <c:yMode val="edge"/>
              <c:x val="2.22220872528089E-2"/>
              <c:y val="0.34032459245346602"/>
            </c:manualLayout>
          </c:layout>
          <c:overlay val="0"/>
        </c:title>
        <c:numFmt formatCode="General" sourceLinked="1"/>
        <c:majorTickMark val="out"/>
        <c:minorTickMark val="none"/>
        <c:tickLblPos val="nextTo"/>
        <c:crossAx val="258331600"/>
        <c:crosses val="autoZero"/>
        <c:crossBetween val="midCat"/>
      </c:valAx>
    </c:plotArea>
    <c:plotVisOnly val="1"/>
    <c:dispBlanksAs val="gap"/>
    <c:showDLblsOverMax val="0"/>
  </c:chart>
  <c:spPr>
    <a:ln>
      <a:noFill/>
    </a:ln>
  </c:spPr>
  <c:txPr>
    <a:bodyPr/>
    <a:lstStyle/>
    <a:p>
      <a:pPr>
        <a:defRPr sz="800" b="1">
          <a:latin typeface="Arial" panose="020B0604020202020204" pitchFamily="34" charset="0"/>
          <a:cs typeface="Arial" panose="020B0604020202020204" pitchFamily="34"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85781029927899"/>
          <c:y val="0.195701723003774"/>
          <c:w val="0.65258703378343197"/>
          <c:h val="0.69421780091016405"/>
        </c:manualLayout>
      </c:layout>
      <c:scatterChart>
        <c:scatterStyle val="lineMarker"/>
        <c:varyColors val="0"/>
        <c:ser>
          <c:idx val="0"/>
          <c:order val="0"/>
          <c:spPr>
            <a:ln w="28575">
              <a:noFill/>
            </a:ln>
          </c:spPr>
          <c:marker>
            <c:symbol val="circle"/>
            <c:size val="5"/>
            <c:spPr>
              <a:solidFill>
                <a:schemeClr val="tx1"/>
              </a:solidFill>
              <a:ln>
                <a:solidFill>
                  <a:schemeClr val="tx1"/>
                </a:solidFill>
              </a:ln>
            </c:spPr>
          </c:marker>
          <c:xVal>
            <c:numRef>
              <c:f>PC51MR11!$Q$4:$Q$13</c:f>
              <c:numCache>
                <c:formatCode>General</c:formatCode>
                <c:ptCount val="10"/>
                <c:pt idx="0">
                  <c:v>0.44136500000000001</c:v>
                </c:pt>
                <c:pt idx="1">
                  <c:v>0.53910499999999995</c:v>
                </c:pt>
                <c:pt idx="2">
                  <c:v>0.45991500000000002</c:v>
                </c:pt>
                <c:pt idx="3">
                  <c:v>0.45073000000000002</c:v>
                </c:pt>
                <c:pt idx="4">
                  <c:v>0.60965999999999998</c:v>
                </c:pt>
                <c:pt idx="5">
                  <c:v>0.31061949999999999</c:v>
                </c:pt>
                <c:pt idx="6">
                  <c:v>0.62423499999999998</c:v>
                </c:pt>
                <c:pt idx="7">
                  <c:v>0.54074</c:v>
                </c:pt>
                <c:pt idx="8">
                  <c:v>0.50859500000000002</c:v>
                </c:pt>
                <c:pt idx="9">
                  <c:v>0.53715500000000005</c:v>
                </c:pt>
              </c:numCache>
            </c:numRef>
          </c:xVal>
          <c:yVal>
            <c:numRef>
              <c:f>PC51MR11!$B$4:$B$13</c:f>
              <c:numCache>
                <c:formatCode>General</c:formatCode>
                <c:ptCount val="10"/>
                <c:pt idx="0">
                  <c:v>12.5</c:v>
                </c:pt>
                <c:pt idx="1">
                  <c:v>112.5</c:v>
                </c:pt>
                <c:pt idx="2">
                  <c:v>212.5</c:v>
                </c:pt>
                <c:pt idx="3">
                  <c:v>260</c:v>
                </c:pt>
                <c:pt idx="4">
                  <c:v>287.5</c:v>
                </c:pt>
                <c:pt idx="5">
                  <c:v>312.5</c:v>
                </c:pt>
                <c:pt idx="6">
                  <c:v>360</c:v>
                </c:pt>
                <c:pt idx="7">
                  <c:v>362.5</c:v>
                </c:pt>
                <c:pt idx="8">
                  <c:v>387.5</c:v>
                </c:pt>
                <c:pt idx="9">
                  <c:v>412.5</c:v>
                </c:pt>
              </c:numCache>
            </c:numRef>
          </c:yVal>
          <c:smooth val="0"/>
        </c:ser>
        <c:dLbls>
          <c:showLegendKey val="0"/>
          <c:showVal val="0"/>
          <c:showCatName val="0"/>
          <c:showSerName val="0"/>
          <c:showPercent val="0"/>
          <c:showBubbleSize val="0"/>
        </c:dLbls>
        <c:axId val="258045736"/>
        <c:axId val="258046128"/>
      </c:scatterChart>
      <c:valAx>
        <c:axId val="258045736"/>
        <c:scaling>
          <c:orientation val="minMax"/>
          <c:max val="1"/>
        </c:scaling>
        <c:delete val="0"/>
        <c:axPos val="t"/>
        <c:title>
          <c:tx>
            <c:rich>
              <a:bodyPr/>
              <a:lstStyle/>
              <a:p>
                <a:pPr>
                  <a:defRPr/>
                </a:pPr>
                <a:r>
                  <a:rPr lang="en-US"/>
                  <a:t>TOC (%) m/m</a:t>
                </a:r>
              </a:p>
            </c:rich>
          </c:tx>
          <c:layout>
            <c:manualLayout>
              <c:xMode val="edge"/>
              <c:yMode val="edge"/>
              <c:x val="0.43164733626527901"/>
              <c:y val="1.4354517932087699E-2"/>
            </c:manualLayout>
          </c:layout>
          <c:overlay val="0"/>
        </c:title>
        <c:numFmt formatCode="0.0" sourceLinked="0"/>
        <c:majorTickMark val="out"/>
        <c:minorTickMark val="none"/>
        <c:tickLblPos val="nextTo"/>
        <c:crossAx val="258046128"/>
        <c:crosses val="autoZero"/>
        <c:crossBetween val="midCat"/>
        <c:majorUnit val="0.2"/>
      </c:valAx>
      <c:valAx>
        <c:axId val="258046128"/>
        <c:scaling>
          <c:orientation val="maxMin"/>
          <c:max val="600"/>
        </c:scaling>
        <c:delete val="0"/>
        <c:axPos val="l"/>
        <c:title>
          <c:tx>
            <c:rich>
              <a:bodyPr rot="-5400000" vert="horz"/>
              <a:lstStyle/>
              <a:p>
                <a:pPr>
                  <a:defRPr/>
                </a:pPr>
                <a:r>
                  <a:rPr lang="en-US"/>
                  <a:t>Depth (cmbsf)</a:t>
                </a:r>
              </a:p>
            </c:rich>
          </c:tx>
          <c:layout>
            <c:manualLayout>
              <c:xMode val="edge"/>
              <c:yMode val="edge"/>
              <c:x val="2.5664287908948299E-2"/>
              <c:y val="0.35953888116926702"/>
            </c:manualLayout>
          </c:layout>
          <c:overlay val="0"/>
        </c:title>
        <c:numFmt formatCode="General" sourceLinked="1"/>
        <c:majorTickMark val="out"/>
        <c:minorTickMark val="none"/>
        <c:tickLblPos val="nextTo"/>
        <c:crossAx val="258045736"/>
        <c:crosses val="autoZero"/>
        <c:crossBetween val="midCat"/>
        <c:majorUnit val="100"/>
      </c:valAx>
    </c:plotArea>
    <c:plotVisOnly val="1"/>
    <c:dispBlanksAs val="gap"/>
    <c:showDLblsOverMax val="0"/>
  </c:chart>
  <c:spPr>
    <a:ln>
      <a:noFill/>
    </a:ln>
  </c:spPr>
  <c:txPr>
    <a:bodyPr/>
    <a:lstStyle/>
    <a:p>
      <a:pPr>
        <a:defRPr sz="900" b="1">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4191</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Frederico Rodrigues</dc:creator>
  <cp:keywords/>
  <dc:description/>
  <cp:lastModifiedBy>Luiz Frederico Rodrigues</cp:lastModifiedBy>
  <cp:revision>7</cp:revision>
  <cp:lastPrinted>2019-07-08T14:18:00Z</cp:lastPrinted>
  <dcterms:created xsi:type="dcterms:W3CDTF">2019-07-08T15:57:00Z</dcterms:created>
  <dcterms:modified xsi:type="dcterms:W3CDTF">2019-07-08T16:20:00Z</dcterms:modified>
</cp:coreProperties>
</file>