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F743" w14:textId="77777777" w:rsidR="00A42FF5" w:rsidRPr="00A42FF5" w:rsidRDefault="00A42FF5" w:rsidP="00217566">
      <w:pPr>
        <w:spacing w:line="480" w:lineRule="auto"/>
        <w:rPr>
          <w:lang w:val="en-US"/>
        </w:rPr>
      </w:pPr>
      <w:r w:rsidRPr="00A42FF5">
        <w:rPr>
          <w:lang w:val="en-US"/>
        </w:rPr>
        <w:t>Appendix A</w:t>
      </w:r>
    </w:p>
    <w:p w14:paraId="1214AD45" w14:textId="5B7B3983" w:rsidR="00A42FF5" w:rsidRDefault="001360F2" w:rsidP="00217566">
      <w:pPr>
        <w:spacing w:line="480" w:lineRule="auto"/>
      </w:pPr>
      <w:r>
        <w:rPr>
          <w:lang w:val="en-US"/>
        </w:rPr>
        <w:t>Sowed acreage, harvested acreage</w:t>
      </w:r>
      <w:r w:rsidR="00382DEE">
        <w:rPr>
          <w:lang w:val="en-US"/>
        </w:rPr>
        <w:t xml:space="preserve">, production weight and yield </w:t>
      </w:r>
      <w:r w:rsidR="00A42FF5" w:rsidRPr="00A42FF5">
        <w:rPr>
          <w:lang w:val="en-US"/>
        </w:rPr>
        <w:t>of</w:t>
      </w:r>
      <w:r w:rsidR="00382DEE">
        <w:rPr>
          <w:lang w:val="en-US"/>
        </w:rPr>
        <w:t xml:space="preserve"> the two most important crops in San Luis province. </w:t>
      </w:r>
      <w:proofErr w:type="spellStart"/>
      <w:r w:rsidR="00382DEE" w:rsidRPr="001360F2">
        <w:t>M</w:t>
      </w:r>
      <w:r w:rsidR="00A42FF5" w:rsidRPr="001360F2">
        <w:t>aize</w:t>
      </w:r>
      <w:proofErr w:type="spellEnd"/>
      <w:r w:rsidR="00A42FF5" w:rsidRPr="001360F2">
        <w:t xml:space="preserve"> (</w:t>
      </w:r>
      <w:proofErr w:type="spellStart"/>
      <w:r w:rsidR="00A42FF5" w:rsidRPr="001360F2">
        <w:t>filled</w:t>
      </w:r>
      <w:proofErr w:type="spellEnd"/>
      <w:r w:rsidR="00A42FF5" w:rsidRPr="001360F2">
        <w:t xml:space="preserve"> </w:t>
      </w:r>
      <w:proofErr w:type="spellStart"/>
      <w:r w:rsidR="00A42FF5" w:rsidRPr="001360F2">
        <w:t>circles</w:t>
      </w:r>
      <w:proofErr w:type="spellEnd"/>
      <w:r w:rsidR="00A42FF5" w:rsidRPr="001360F2">
        <w:t xml:space="preserve">) and </w:t>
      </w:r>
      <w:proofErr w:type="spellStart"/>
      <w:r w:rsidR="00A42FF5" w:rsidRPr="001360F2">
        <w:t>soybean</w:t>
      </w:r>
      <w:proofErr w:type="spellEnd"/>
      <w:r w:rsidR="00A42FF5" w:rsidRPr="001360F2">
        <w:t xml:space="preserve"> (open </w:t>
      </w:r>
      <w:proofErr w:type="spellStart"/>
      <w:r w:rsidR="00A42FF5" w:rsidRPr="001360F2">
        <w:t>circles</w:t>
      </w:r>
      <w:proofErr w:type="spellEnd"/>
      <w:r w:rsidR="00A42FF5" w:rsidRPr="001360F2">
        <w:t>)</w:t>
      </w:r>
      <w:r w:rsidR="00382DEE" w:rsidRPr="001360F2">
        <w:t xml:space="preserve">. </w:t>
      </w:r>
      <w:r w:rsidR="00382DEE" w:rsidRPr="00382DEE">
        <w:t xml:space="preserve">Data </w:t>
      </w:r>
      <w:proofErr w:type="spellStart"/>
      <w:r w:rsidR="00382DEE" w:rsidRPr="00382DEE">
        <w:t>source</w:t>
      </w:r>
      <w:proofErr w:type="spellEnd"/>
      <w:r w:rsidR="00382DEE" w:rsidRPr="00382DEE">
        <w:t>: Sistema Integr</w:t>
      </w:r>
      <w:r w:rsidR="00382DEE">
        <w:t>ado de Información Agropecuaria</w:t>
      </w:r>
      <w:r w:rsidR="00382DEE" w:rsidRPr="00382DEE">
        <w:t>, Programa de Servicio</w:t>
      </w:r>
      <w:r w:rsidR="00382DEE">
        <w:t>s Agrícolas Provinciales</w:t>
      </w:r>
      <w:r w:rsidR="00382DEE" w:rsidRPr="00382DEE">
        <w:t>, Ministe</w:t>
      </w:r>
      <w:r w:rsidR="00382DEE">
        <w:t xml:space="preserve">rio de Agricultura, Ganadería y </w:t>
      </w:r>
      <w:r w:rsidR="00382DEE" w:rsidRPr="00382DEE">
        <w:t>Pesca</w:t>
      </w:r>
      <w:r w:rsidR="00382DEE">
        <w:t xml:space="preserve"> </w:t>
      </w:r>
      <w:r w:rsidR="00500A98">
        <w:t>(</w:t>
      </w:r>
      <w:r w:rsidR="00382DEE" w:rsidRPr="00382DEE">
        <w:t>http://www.siia.gov.ar/_apps/siia/estimaciones/estima2.php</w:t>
      </w:r>
      <w:r w:rsidR="00500A98">
        <w:t>).</w:t>
      </w:r>
    </w:p>
    <w:p w14:paraId="5AFE6CA1" w14:textId="1DB286D0" w:rsidR="002E175B" w:rsidRPr="00382DEE" w:rsidRDefault="002E175B">
      <w:r>
        <w:rPr>
          <w:noProof/>
          <w:lang w:eastAsia="es-AR"/>
        </w:rPr>
        <w:drawing>
          <wp:inline distT="0" distB="0" distL="0" distR="0" wp14:anchorId="42B25786" wp14:editId="25F023AD">
            <wp:extent cx="5612130" cy="2498090"/>
            <wp:effectExtent l="0" t="0" r="762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E47E112" w14:textId="4037474E" w:rsidR="002B26CA" w:rsidRDefault="002E175B">
      <w:r>
        <w:rPr>
          <w:noProof/>
          <w:lang w:eastAsia="es-AR"/>
        </w:rPr>
        <w:drawing>
          <wp:inline distT="0" distB="0" distL="0" distR="0" wp14:anchorId="23B75ED8" wp14:editId="59918849">
            <wp:extent cx="5612130" cy="2671445"/>
            <wp:effectExtent l="0" t="0" r="762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92416F" w14:textId="0DDCAB7D" w:rsidR="00A42FF5" w:rsidRDefault="002E175B">
      <w:r>
        <w:rPr>
          <w:noProof/>
          <w:lang w:eastAsia="es-AR"/>
        </w:rPr>
        <w:lastRenderedPageBreak/>
        <w:drawing>
          <wp:inline distT="0" distB="0" distL="0" distR="0" wp14:anchorId="65AB9CDF" wp14:editId="355E51D9">
            <wp:extent cx="5612130" cy="2680970"/>
            <wp:effectExtent l="0" t="0" r="7620" b="508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E52D9F" w14:textId="500712BA" w:rsidR="00A42FF5" w:rsidRDefault="002E175B">
      <w:r>
        <w:rPr>
          <w:noProof/>
          <w:lang w:eastAsia="es-AR"/>
        </w:rPr>
        <w:drawing>
          <wp:inline distT="0" distB="0" distL="0" distR="0" wp14:anchorId="3A665086" wp14:editId="09C244F7">
            <wp:extent cx="5612130" cy="2637790"/>
            <wp:effectExtent l="0" t="0" r="762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B63D00" w14:textId="77777777" w:rsidR="00B23D7D" w:rsidRDefault="00B23D7D">
      <w:r>
        <w:br w:type="page"/>
      </w:r>
    </w:p>
    <w:p w14:paraId="6F4F10C6" w14:textId="77777777" w:rsidR="00B23D7D" w:rsidRDefault="00B23D7D">
      <w:pPr>
        <w:sectPr w:rsidR="00B23D7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286095" w14:textId="6B99943F" w:rsidR="006B77FE" w:rsidRPr="005216D9" w:rsidRDefault="00C97F43" w:rsidP="006B77FE">
      <w:pPr>
        <w:rPr>
          <w:lang w:val="en-US"/>
        </w:rPr>
      </w:pPr>
      <w:r>
        <w:rPr>
          <w:lang w:val="en-US"/>
        </w:rPr>
        <w:lastRenderedPageBreak/>
        <w:t>Appendix B</w:t>
      </w:r>
    </w:p>
    <w:p w14:paraId="470E0773" w14:textId="77777777" w:rsidR="006B77FE" w:rsidRPr="005216D9" w:rsidRDefault="006B77FE" w:rsidP="006B77FE">
      <w:pPr>
        <w:rPr>
          <w:lang w:val="en-US"/>
        </w:rPr>
      </w:pPr>
    </w:p>
    <w:p w14:paraId="0040A005" w14:textId="77777777" w:rsidR="006B77FE" w:rsidRPr="005216D9" w:rsidRDefault="006B77FE" w:rsidP="006B77FE">
      <w:pPr>
        <w:rPr>
          <w:lang w:val="en-US"/>
        </w:rPr>
      </w:pPr>
      <w:r w:rsidRPr="005216D9">
        <w:rPr>
          <w:lang w:val="en-US"/>
        </w:rPr>
        <w:t>a)</w:t>
      </w:r>
    </w:p>
    <w:p w14:paraId="4A47A01B" w14:textId="77777777" w:rsidR="006B77FE" w:rsidRDefault="006B77FE" w:rsidP="006B77FE">
      <w:r>
        <w:rPr>
          <w:noProof/>
          <w:lang w:eastAsia="es-AR"/>
        </w:rPr>
        <w:drawing>
          <wp:inline distT="0" distB="0" distL="0" distR="0" wp14:anchorId="2F4F3D5F" wp14:editId="0DF23BD5">
            <wp:extent cx="5612130" cy="2197735"/>
            <wp:effectExtent l="0" t="0" r="762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D5FFCE" w14:textId="77777777" w:rsidR="006B77FE" w:rsidRPr="00CF34E1" w:rsidRDefault="006B77FE" w:rsidP="006B77FE">
      <w:r w:rsidRPr="00CF34E1">
        <w:t>b)</w:t>
      </w:r>
    </w:p>
    <w:p w14:paraId="04C35B74" w14:textId="77777777" w:rsidR="006B77FE" w:rsidRDefault="006B77FE" w:rsidP="006B77FE">
      <w:r>
        <w:rPr>
          <w:noProof/>
          <w:lang w:eastAsia="es-AR"/>
        </w:rPr>
        <w:drawing>
          <wp:inline distT="0" distB="0" distL="0" distR="0" wp14:anchorId="20EE1773" wp14:editId="69064BAD">
            <wp:extent cx="5612130" cy="2614930"/>
            <wp:effectExtent l="0" t="0" r="7620" b="1397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982DE8" w14:textId="77777777" w:rsidR="006B77FE" w:rsidRDefault="006B77FE" w:rsidP="006B77FE"/>
    <w:p w14:paraId="4A260309" w14:textId="5C3CD66E" w:rsidR="006B77FE" w:rsidRPr="00CF34E1" w:rsidRDefault="006B77FE" w:rsidP="00217566">
      <w:pPr>
        <w:spacing w:line="480" w:lineRule="auto"/>
        <w:rPr>
          <w:lang w:val="en-US"/>
        </w:rPr>
      </w:pPr>
      <w:r w:rsidRPr="005D5064">
        <w:rPr>
          <w:lang w:val="en-US"/>
        </w:rPr>
        <w:t xml:space="preserve">Precipitations and </w:t>
      </w:r>
      <w:proofErr w:type="spellStart"/>
      <w:r w:rsidRPr="005D5064">
        <w:rPr>
          <w:lang w:val="en-US"/>
        </w:rPr>
        <w:t>temp</w:t>
      </w:r>
      <w:r w:rsidR="00315DF5">
        <w:rPr>
          <w:lang w:val="en-US"/>
        </w:rPr>
        <w:t>eratura</w:t>
      </w:r>
      <w:proofErr w:type="spellEnd"/>
      <w:r w:rsidR="00315DF5">
        <w:rPr>
          <w:lang w:val="en-US"/>
        </w:rPr>
        <w:t xml:space="preserve"> of the semiarid Espinal</w:t>
      </w:r>
      <w:r w:rsidRPr="005D5064">
        <w:rPr>
          <w:lang w:val="en-US"/>
        </w:rPr>
        <w:t xml:space="preserve">. </w:t>
      </w:r>
      <w:r>
        <w:rPr>
          <w:lang w:val="en-US"/>
        </w:rPr>
        <w:t xml:space="preserve">a) </w:t>
      </w:r>
      <w:r w:rsidRPr="005D5064">
        <w:rPr>
          <w:lang w:val="en-US"/>
        </w:rPr>
        <w:t>Mean precipitations ± Standard error since 1906 to 2015</w:t>
      </w:r>
      <w:r>
        <w:rPr>
          <w:lang w:val="en-US"/>
        </w:rPr>
        <w:t>, b) Mean temperature ± Standard error since 1968 to 2015</w:t>
      </w:r>
    </w:p>
    <w:p w14:paraId="3A42AE60" w14:textId="77777777" w:rsidR="006B77FE" w:rsidRPr="006B77FE" w:rsidRDefault="006B77FE" w:rsidP="00B23D7D">
      <w:pPr>
        <w:rPr>
          <w:lang w:val="en-US"/>
        </w:rPr>
      </w:pPr>
    </w:p>
    <w:sectPr w:rsidR="006B77FE" w:rsidRPr="006B77FE" w:rsidSect="006B77F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23C8"/>
    <w:multiLevelType w:val="hybridMultilevel"/>
    <w:tmpl w:val="70DAEF38"/>
    <w:lvl w:ilvl="0" w:tplc="618214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5"/>
    <w:rsid w:val="000866E0"/>
    <w:rsid w:val="001354B7"/>
    <w:rsid w:val="001360F2"/>
    <w:rsid w:val="001E7550"/>
    <w:rsid w:val="00202B88"/>
    <w:rsid w:val="00217566"/>
    <w:rsid w:val="002354B4"/>
    <w:rsid w:val="002700F7"/>
    <w:rsid w:val="00283584"/>
    <w:rsid w:val="002B26CA"/>
    <w:rsid w:val="002E175B"/>
    <w:rsid w:val="00315DF5"/>
    <w:rsid w:val="00365A7C"/>
    <w:rsid w:val="00376C0C"/>
    <w:rsid w:val="00382DEE"/>
    <w:rsid w:val="004119FC"/>
    <w:rsid w:val="00413EA6"/>
    <w:rsid w:val="004B4A28"/>
    <w:rsid w:val="00500A98"/>
    <w:rsid w:val="005216D9"/>
    <w:rsid w:val="005E79B9"/>
    <w:rsid w:val="00694CC3"/>
    <w:rsid w:val="006B77FE"/>
    <w:rsid w:val="00767308"/>
    <w:rsid w:val="00793E0E"/>
    <w:rsid w:val="007E00D8"/>
    <w:rsid w:val="007E3E1B"/>
    <w:rsid w:val="007E76C8"/>
    <w:rsid w:val="00857910"/>
    <w:rsid w:val="008A4E76"/>
    <w:rsid w:val="008D533D"/>
    <w:rsid w:val="0092539A"/>
    <w:rsid w:val="00930116"/>
    <w:rsid w:val="00962AB9"/>
    <w:rsid w:val="009C1E25"/>
    <w:rsid w:val="009E50F2"/>
    <w:rsid w:val="00A02427"/>
    <w:rsid w:val="00A42FF5"/>
    <w:rsid w:val="00A716D4"/>
    <w:rsid w:val="00B162C8"/>
    <w:rsid w:val="00B23D7D"/>
    <w:rsid w:val="00B63239"/>
    <w:rsid w:val="00B72B30"/>
    <w:rsid w:val="00B91086"/>
    <w:rsid w:val="00C93E22"/>
    <w:rsid w:val="00C97F43"/>
    <w:rsid w:val="00CE1D13"/>
    <w:rsid w:val="00D03784"/>
    <w:rsid w:val="00E2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03AB6"/>
  <w15:chartTrackingRefBased/>
  <w15:docId w15:val="{9D1B6DC1-E7E2-4039-A1AF-452F755A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D7D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23D7D"/>
    <w:rPr>
      <w:color w:val="0563C1"/>
      <w:u w:val="single"/>
    </w:rPr>
  </w:style>
  <w:style w:type="paragraph" w:customStyle="1" w:styleId="font5">
    <w:name w:val="font5"/>
    <w:basedOn w:val="Normal"/>
    <w:rsid w:val="00B23D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es-AR"/>
    </w:rPr>
  </w:style>
  <w:style w:type="paragraph" w:customStyle="1" w:styleId="xl65">
    <w:name w:val="xl65"/>
    <w:basedOn w:val="Normal"/>
    <w:rsid w:val="00B2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66">
    <w:name w:val="xl66"/>
    <w:basedOn w:val="Normal"/>
    <w:rsid w:val="00B23D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67">
    <w:name w:val="xl67"/>
    <w:basedOn w:val="Normal"/>
    <w:rsid w:val="00B23D7D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68">
    <w:name w:val="xl68"/>
    <w:basedOn w:val="Normal"/>
    <w:rsid w:val="00B23D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AR"/>
    </w:rPr>
  </w:style>
  <w:style w:type="paragraph" w:customStyle="1" w:styleId="xl69">
    <w:name w:val="xl69"/>
    <w:basedOn w:val="Normal"/>
    <w:rsid w:val="00B23D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0">
    <w:name w:val="xl70"/>
    <w:basedOn w:val="Normal"/>
    <w:rsid w:val="00B23D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AR"/>
    </w:rPr>
  </w:style>
  <w:style w:type="paragraph" w:customStyle="1" w:styleId="xl71">
    <w:name w:val="xl71"/>
    <w:basedOn w:val="Normal"/>
    <w:rsid w:val="00B23D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2">
    <w:name w:val="xl72"/>
    <w:basedOn w:val="Normal"/>
    <w:rsid w:val="00B23D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3">
    <w:name w:val="xl73"/>
    <w:basedOn w:val="Normal"/>
    <w:rsid w:val="00B23D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4">
    <w:name w:val="xl74"/>
    <w:basedOn w:val="Normal"/>
    <w:rsid w:val="00B23D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5">
    <w:name w:val="xl75"/>
    <w:basedOn w:val="Normal"/>
    <w:rsid w:val="00B23D7D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AR"/>
    </w:rPr>
  </w:style>
  <w:style w:type="paragraph" w:customStyle="1" w:styleId="xl76">
    <w:name w:val="xl76"/>
    <w:basedOn w:val="Normal"/>
    <w:rsid w:val="00B23D7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7">
    <w:name w:val="xl77"/>
    <w:basedOn w:val="Normal"/>
    <w:rsid w:val="00B23D7D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8">
    <w:name w:val="xl78"/>
    <w:basedOn w:val="Normal"/>
    <w:rsid w:val="00B23D7D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9">
    <w:name w:val="xl79"/>
    <w:basedOn w:val="Normal"/>
    <w:rsid w:val="00B23D7D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0">
    <w:name w:val="xl80"/>
    <w:basedOn w:val="Normal"/>
    <w:rsid w:val="00B23D7D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1">
    <w:name w:val="xl81"/>
    <w:basedOn w:val="Normal"/>
    <w:rsid w:val="00B23D7D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2">
    <w:name w:val="xl82"/>
    <w:basedOn w:val="Normal"/>
    <w:rsid w:val="00B23D7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3">
    <w:name w:val="xl83"/>
    <w:basedOn w:val="Normal"/>
    <w:rsid w:val="00B23D7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styleId="Prrafodelista">
    <w:name w:val="List Paragraph"/>
    <w:basedOn w:val="Normal"/>
    <w:uiPriority w:val="34"/>
    <w:qFormat/>
    <w:rsid w:val="00B23D7D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3D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3D7D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3D7D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D7D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B4A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uth\Art&#237;culos\Rauber%20et%20al%20weeds%20communities\An&#225;lisis%20y%20biblio\cultivo-cosech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uth\Art&#237;culos\Rauber%20et%20al%20weeds%20communities\An&#225;lisis%20y%20biblio\cultivo-cosech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uth\Art&#237;culos\Rauber%20et%20al%20weeds%20communities\An&#225;lisis%20y%20biblio\cultivo-cosech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'SIIA_Estimaciones_2015-05-21 12'!$B$1</c:f>
              <c:strCache>
                <c:ptCount val="1"/>
                <c:pt idx="0">
                  <c:v> MAIZ SEMBRADO (ha)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12'!$B$24:$B$46</c:f>
              <c:numCache>
                <c:formatCode>General</c:formatCode>
                <c:ptCount val="23"/>
                <c:pt idx="0">
                  <c:v>70000</c:v>
                </c:pt>
                <c:pt idx="1">
                  <c:v>50000</c:v>
                </c:pt>
                <c:pt idx="2">
                  <c:v>60000</c:v>
                </c:pt>
                <c:pt idx="3">
                  <c:v>78000</c:v>
                </c:pt>
                <c:pt idx="4">
                  <c:v>78000</c:v>
                </c:pt>
                <c:pt idx="5">
                  <c:v>78000</c:v>
                </c:pt>
                <c:pt idx="6">
                  <c:v>50000</c:v>
                </c:pt>
                <c:pt idx="7">
                  <c:v>50000</c:v>
                </c:pt>
                <c:pt idx="8">
                  <c:v>57000</c:v>
                </c:pt>
                <c:pt idx="9">
                  <c:v>57000</c:v>
                </c:pt>
                <c:pt idx="10">
                  <c:v>57000</c:v>
                </c:pt>
                <c:pt idx="11">
                  <c:v>57000</c:v>
                </c:pt>
                <c:pt idx="12">
                  <c:v>100000</c:v>
                </c:pt>
                <c:pt idx="13">
                  <c:v>80000</c:v>
                </c:pt>
                <c:pt idx="14">
                  <c:v>57000</c:v>
                </c:pt>
                <c:pt idx="15">
                  <c:v>65200</c:v>
                </c:pt>
                <c:pt idx="16">
                  <c:v>113600</c:v>
                </c:pt>
                <c:pt idx="17">
                  <c:v>86200</c:v>
                </c:pt>
                <c:pt idx="18">
                  <c:v>82300</c:v>
                </c:pt>
                <c:pt idx="19">
                  <c:v>140000</c:v>
                </c:pt>
                <c:pt idx="20">
                  <c:v>155000</c:v>
                </c:pt>
                <c:pt idx="21">
                  <c:v>348480</c:v>
                </c:pt>
                <c:pt idx="22">
                  <c:v>209950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'SIIA_Estimaciones_2015-05-21 12'!$C$1</c:f>
              <c:strCache>
                <c:ptCount val="1"/>
                <c:pt idx="0">
                  <c:v>SOJA SEMBRADO (ha)</c:v>
                </c:pt>
              </c:strCache>
            </c:strRef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12'!$C$24:$C$46</c:f>
              <c:numCache>
                <c:formatCode>General</c:formatCode>
                <c:ptCount val="23"/>
                <c:pt idx="7">
                  <c:v>3500</c:v>
                </c:pt>
                <c:pt idx="8">
                  <c:v>8000</c:v>
                </c:pt>
                <c:pt idx="9">
                  <c:v>10000</c:v>
                </c:pt>
                <c:pt idx="10">
                  <c:v>14000</c:v>
                </c:pt>
                <c:pt idx="11">
                  <c:v>25000</c:v>
                </c:pt>
                <c:pt idx="12">
                  <c:v>35000</c:v>
                </c:pt>
                <c:pt idx="13">
                  <c:v>25246</c:v>
                </c:pt>
                <c:pt idx="14">
                  <c:v>50000</c:v>
                </c:pt>
                <c:pt idx="15">
                  <c:v>83000</c:v>
                </c:pt>
                <c:pt idx="16">
                  <c:v>105000</c:v>
                </c:pt>
                <c:pt idx="17">
                  <c:v>125000</c:v>
                </c:pt>
                <c:pt idx="18">
                  <c:v>155000</c:v>
                </c:pt>
                <c:pt idx="19">
                  <c:v>171400</c:v>
                </c:pt>
                <c:pt idx="20">
                  <c:v>170700</c:v>
                </c:pt>
                <c:pt idx="21">
                  <c:v>398790</c:v>
                </c:pt>
                <c:pt idx="22">
                  <c:v>354730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496088"/>
        <c:axId val="242496480"/>
      </c:lineChart>
      <c:catAx>
        <c:axId val="242496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93088666596334413"/>
              <c:y val="0.915348681430705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42496480"/>
        <c:crosses val="autoZero"/>
        <c:auto val="1"/>
        <c:lblAlgn val="ctr"/>
        <c:lblOffset val="100"/>
        <c:noMultiLvlLbl val="0"/>
      </c:catAx>
      <c:valAx>
        <c:axId val="2424964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Sowed acreage (ha)</a:t>
                </a:r>
              </a:p>
            </c:rich>
          </c:tx>
          <c:layout>
            <c:manualLayout>
              <c:xMode val="edge"/>
              <c:yMode val="edge"/>
              <c:x val="1.3536145984188033E-2"/>
              <c:y val="3.688156473267694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42496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12'!$D$24:$D$46</c:f>
              <c:numCache>
                <c:formatCode>General</c:formatCode>
                <c:ptCount val="23"/>
                <c:pt idx="0">
                  <c:v>52500</c:v>
                </c:pt>
                <c:pt idx="1">
                  <c:v>50000</c:v>
                </c:pt>
                <c:pt idx="2">
                  <c:v>57000</c:v>
                </c:pt>
                <c:pt idx="3">
                  <c:v>42000</c:v>
                </c:pt>
                <c:pt idx="4">
                  <c:v>39000</c:v>
                </c:pt>
                <c:pt idx="5">
                  <c:v>39000</c:v>
                </c:pt>
                <c:pt idx="6">
                  <c:v>48500</c:v>
                </c:pt>
                <c:pt idx="7">
                  <c:v>37500</c:v>
                </c:pt>
                <c:pt idx="8">
                  <c:v>57000</c:v>
                </c:pt>
                <c:pt idx="9">
                  <c:v>51300</c:v>
                </c:pt>
                <c:pt idx="10">
                  <c:v>57000</c:v>
                </c:pt>
                <c:pt idx="11">
                  <c:v>57000</c:v>
                </c:pt>
                <c:pt idx="12">
                  <c:v>65000</c:v>
                </c:pt>
                <c:pt idx="13">
                  <c:v>80000</c:v>
                </c:pt>
                <c:pt idx="14">
                  <c:v>42000</c:v>
                </c:pt>
                <c:pt idx="15">
                  <c:v>40000</c:v>
                </c:pt>
                <c:pt idx="16">
                  <c:v>73600</c:v>
                </c:pt>
                <c:pt idx="17">
                  <c:v>65200</c:v>
                </c:pt>
                <c:pt idx="18">
                  <c:v>63500</c:v>
                </c:pt>
                <c:pt idx="19">
                  <c:v>116250</c:v>
                </c:pt>
                <c:pt idx="20">
                  <c:v>118030</c:v>
                </c:pt>
                <c:pt idx="21">
                  <c:v>323880</c:v>
                </c:pt>
                <c:pt idx="22">
                  <c:v>152940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'SIIA_Estimaciones_2015-05-21 12'!$E$1</c:f>
              <c:strCache>
                <c:ptCount val="1"/>
                <c:pt idx="0">
                  <c:v>SOJA COSECHADO (ha)</c:v>
                </c:pt>
              </c:strCache>
            </c:strRef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12'!$E$24:$E$46</c:f>
              <c:numCache>
                <c:formatCode>General</c:formatCode>
                <c:ptCount val="23"/>
                <c:pt idx="7">
                  <c:v>3500</c:v>
                </c:pt>
                <c:pt idx="8">
                  <c:v>8000</c:v>
                </c:pt>
                <c:pt idx="9">
                  <c:v>9000</c:v>
                </c:pt>
                <c:pt idx="10">
                  <c:v>14000</c:v>
                </c:pt>
                <c:pt idx="11">
                  <c:v>25000</c:v>
                </c:pt>
                <c:pt idx="12">
                  <c:v>35000</c:v>
                </c:pt>
                <c:pt idx="13">
                  <c:v>25246</c:v>
                </c:pt>
                <c:pt idx="14">
                  <c:v>42000</c:v>
                </c:pt>
                <c:pt idx="15">
                  <c:v>79900</c:v>
                </c:pt>
                <c:pt idx="16">
                  <c:v>105000</c:v>
                </c:pt>
                <c:pt idx="17">
                  <c:v>125000</c:v>
                </c:pt>
                <c:pt idx="18">
                  <c:v>155000</c:v>
                </c:pt>
                <c:pt idx="19">
                  <c:v>171400</c:v>
                </c:pt>
                <c:pt idx="20">
                  <c:v>170700</c:v>
                </c:pt>
                <c:pt idx="21">
                  <c:v>394090</c:v>
                </c:pt>
                <c:pt idx="22">
                  <c:v>354730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905808"/>
        <c:axId val="242495304"/>
      </c:lineChart>
      <c:catAx>
        <c:axId val="251905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93524493901529815"/>
              <c:y val="0.917774824177096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42495304"/>
        <c:crosses val="autoZero"/>
        <c:auto val="1"/>
        <c:lblAlgn val="ctr"/>
        <c:lblOffset val="100"/>
        <c:noMultiLvlLbl val="0"/>
      </c:catAx>
      <c:valAx>
        <c:axId val="2424953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AR"/>
                  <a:t>Harvested acreage (ha)</a:t>
                </a:r>
              </a:p>
            </c:rich>
          </c:tx>
          <c:layout>
            <c:manualLayout>
              <c:xMode val="edge"/>
              <c:yMode val="edge"/>
              <c:x val="9.702849594498561E-3"/>
              <c:y val="2.598993249545346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5190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12'!$F$24:$F$46</c:f>
              <c:numCache>
                <c:formatCode>General</c:formatCode>
                <c:ptCount val="23"/>
                <c:pt idx="0">
                  <c:v>73500</c:v>
                </c:pt>
                <c:pt idx="1">
                  <c:v>90000</c:v>
                </c:pt>
                <c:pt idx="2">
                  <c:v>79800</c:v>
                </c:pt>
                <c:pt idx="3">
                  <c:v>46200</c:v>
                </c:pt>
                <c:pt idx="4">
                  <c:v>46900</c:v>
                </c:pt>
                <c:pt idx="5">
                  <c:v>35100</c:v>
                </c:pt>
                <c:pt idx="6">
                  <c:v>101900</c:v>
                </c:pt>
                <c:pt idx="7">
                  <c:v>101600</c:v>
                </c:pt>
                <c:pt idx="8">
                  <c:v>210900</c:v>
                </c:pt>
                <c:pt idx="9">
                  <c:v>179550</c:v>
                </c:pt>
                <c:pt idx="10">
                  <c:v>296400</c:v>
                </c:pt>
                <c:pt idx="11">
                  <c:v>199500</c:v>
                </c:pt>
                <c:pt idx="12">
                  <c:v>260000</c:v>
                </c:pt>
                <c:pt idx="13">
                  <c:v>392000</c:v>
                </c:pt>
                <c:pt idx="14">
                  <c:v>126000</c:v>
                </c:pt>
                <c:pt idx="15">
                  <c:v>193300</c:v>
                </c:pt>
                <c:pt idx="16">
                  <c:v>253760</c:v>
                </c:pt>
                <c:pt idx="17">
                  <c:v>326000</c:v>
                </c:pt>
                <c:pt idx="18">
                  <c:v>329430</c:v>
                </c:pt>
                <c:pt idx="19">
                  <c:v>618610</c:v>
                </c:pt>
                <c:pt idx="20">
                  <c:v>485590</c:v>
                </c:pt>
                <c:pt idx="21">
                  <c:v>1437600</c:v>
                </c:pt>
                <c:pt idx="22">
                  <c:v>848760</c:v>
                </c:pt>
              </c:numCache>
            </c:numRef>
          </c:val>
          <c:smooth val="0"/>
        </c:ser>
        <c:ser>
          <c:idx val="1"/>
          <c:order val="1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12'!$G$24:$G$46</c:f>
              <c:numCache>
                <c:formatCode>General</c:formatCode>
                <c:ptCount val="23"/>
                <c:pt idx="7">
                  <c:v>4200</c:v>
                </c:pt>
                <c:pt idx="8">
                  <c:v>12800</c:v>
                </c:pt>
                <c:pt idx="9">
                  <c:v>10800</c:v>
                </c:pt>
                <c:pt idx="10">
                  <c:v>40600</c:v>
                </c:pt>
                <c:pt idx="11">
                  <c:v>45000</c:v>
                </c:pt>
                <c:pt idx="12">
                  <c:v>57750</c:v>
                </c:pt>
                <c:pt idx="13">
                  <c:v>51290</c:v>
                </c:pt>
                <c:pt idx="14">
                  <c:v>48781</c:v>
                </c:pt>
                <c:pt idx="15">
                  <c:v>176020</c:v>
                </c:pt>
                <c:pt idx="16">
                  <c:v>257950</c:v>
                </c:pt>
                <c:pt idx="17">
                  <c:v>295900</c:v>
                </c:pt>
                <c:pt idx="18">
                  <c:v>268300</c:v>
                </c:pt>
                <c:pt idx="19">
                  <c:v>402420</c:v>
                </c:pt>
                <c:pt idx="20">
                  <c:v>296890</c:v>
                </c:pt>
                <c:pt idx="21">
                  <c:v>678444</c:v>
                </c:pt>
                <c:pt idx="22">
                  <c:v>848815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497656"/>
        <c:axId val="242498048"/>
      </c:lineChart>
      <c:catAx>
        <c:axId val="242497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93165688797697965"/>
              <c:y val="0.926626384606431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42498048"/>
        <c:crosses val="autoZero"/>
        <c:auto val="1"/>
        <c:lblAlgn val="ctr"/>
        <c:lblOffset val="100"/>
        <c:noMultiLvlLbl val="0"/>
      </c:catAx>
      <c:valAx>
        <c:axId val="2424980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Production (tn)</a:t>
                </a:r>
              </a:p>
            </c:rich>
          </c:tx>
          <c:layout>
            <c:manualLayout>
              <c:xMode val="edge"/>
              <c:yMode val="edge"/>
              <c:x val="1.3355141959538335E-2"/>
              <c:y val="2.664467350560654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42497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12'!$H$24:$H$46</c:f>
              <c:numCache>
                <c:formatCode>General</c:formatCode>
                <c:ptCount val="23"/>
                <c:pt idx="0">
                  <c:v>1400</c:v>
                </c:pt>
                <c:pt idx="1">
                  <c:v>1800</c:v>
                </c:pt>
                <c:pt idx="2">
                  <c:v>1400</c:v>
                </c:pt>
                <c:pt idx="3">
                  <c:v>1100</c:v>
                </c:pt>
                <c:pt idx="4">
                  <c:v>1203</c:v>
                </c:pt>
                <c:pt idx="5">
                  <c:v>900</c:v>
                </c:pt>
                <c:pt idx="6">
                  <c:v>2101</c:v>
                </c:pt>
                <c:pt idx="7">
                  <c:v>2709</c:v>
                </c:pt>
                <c:pt idx="8">
                  <c:v>3700</c:v>
                </c:pt>
                <c:pt idx="9">
                  <c:v>3500</c:v>
                </c:pt>
                <c:pt idx="10">
                  <c:v>5200</c:v>
                </c:pt>
                <c:pt idx="11">
                  <c:v>3500</c:v>
                </c:pt>
                <c:pt idx="12">
                  <c:v>4000</c:v>
                </c:pt>
                <c:pt idx="13">
                  <c:v>4900</c:v>
                </c:pt>
                <c:pt idx="14">
                  <c:v>3000</c:v>
                </c:pt>
                <c:pt idx="15">
                  <c:v>4833</c:v>
                </c:pt>
                <c:pt idx="16">
                  <c:v>3448</c:v>
                </c:pt>
                <c:pt idx="17">
                  <c:v>5000</c:v>
                </c:pt>
                <c:pt idx="18">
                  <c:v>5188</c:v>
                </c:pt>
                <c:pt idx="19">
                  <c:v>5321</c:v>
                </c:pt>
                <c:pt idx="20">
                  <c:v>4114</c:v>
                </c:pt>
                <c:pt idx="21">
                  <c:v>4439</c:v>
                </c:pt>
                <c:pt idx="22">
                  <c:v>5550</c:v>
                </c:pt>
              </c:numCache>
            </c:numRef>
          </c:val>
          <c:smooth val="0"/>
        </c:ser>
        <c:ser>
          <c:idx val="1"/>
          <c:order val="1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'SIIA_Estimaciones_2015-05-21 12'!$A$24:$A$46</c:f>
              <c:strCache>
                <c:ptCount val="23"/>
                <c:pt idx="0">
                  <c:v>1991/92</c:v>
                </c:pt>
                <c:pt idx="1">
                  <c:v>1992/93</c:v>
                </c:pt>
                <c:pt idx="2">
                  <c:v>1993/94</c:v>
                </c:pt>
                <c:pt idx="3">
                  <c:v>1994/95</c:v>
                </c:pt>
                <c:pt idx="4">
                  <c:v>1995/96</c:v>
                </c:pt>
                <c:pt idx="5">
                  <c:v>1996/97</c:v>
                </c:pt>
                <c:pt idx="6">
                  <c:v>1997/98</c:v>
                </c:pt>
                <c:pt idx="7">
                  <c:v>1998/99</c:v>
                </c:pt>
                <c:pt idx="8">
                  <c:v>1999/00</c:v>
                </c:pt>
                <c:pt idx="9">
                  <c:v>2000/01</c:v>
                </c:pt>
                <c:pt idx="10">
                  <c:v>2001/02</c:v>
                </c:pt>
                <c:pt idx="11">
                  <c:v>2002/03</c:v>
                </c:pt>
                <c:pt idx="12">
                  <c:v>2003/04</c:v>
                </c:pt>
                <c:pt idx="13">
                  <c:v>2004/05</c:v>
                </c:pt>
                <c:pt idx="14">
                  <c:v>2005/06</c:v>
                </c:pt>
                <c:pt idx="15">
                  <c:v>2006/07</c:v>
                </c:pt>
                <c:pt idx="16">
                  <c:v>2007/08</c:v>
                </c:pt>
                <c:pt idx="17">
                  <c:v>2008/09</c:v>
                </c:pt>
                <c:pt idx="18">
                  <c:v>2009/10</c:v>
                </c:pt>
                <c:pt idx="19">
                  <c:v>2010/11</c:v>
                </c:pt>
                <c:pt idx="20">
                  <c:v>2011/12</c:v>
                </c:pt>
                <c:pt idx="21">
                  <c:v>2012/13</c:v>
                </c:pt>
                <c:pt idx="22">
                  <c:v>2013/14</c:v>
                </c:pt>
              </c:strCache>
            </c:strRef>
          </c:cat>
          <c:val>
            <c:numRef>
              <c:f>'SIIA_Estimaciones_2015-05-21 12'!$I$24:$I$46</c:f>
              <c:numCache>
                <c:formatCode>General</c:formatCode>
                <c:ptCount val="23"/>
                <c:pt idx="7">
                  <c:v>1200</c:v>
                </c:pt>
                <c:pt idx="8">
                  <c:v>1600</c:v>
                </c:pt>
                <c:pt idx="9">
                  <c:v>1200</c:v>
                </c:pt>
                <c:pt idx="10">
                  <c:v>2900</c:v>
                </c:pt>
                <c:pt idx="11">
                  <c:v>1800</c:v>
                </c:pt>
                <c:pt idx="12">
                  <c:v>1650</c:v>
                </c:pt>
                <c:pt idx="13">
                  <c:v>2032</c:v>
                </c:pt>
                <c:pt idx="14">
                  <c:v>1161</c:v>
                </c:pt>
                <c:pt idx="15">
                  <c:v>2203</c:v>
                </c:pt>
                <c:pt idx="16">
                  <c:v>2457</c:v>
                </c:pt>
                <c:pt idx="17">
                  <c:v>2367</c:v>
                </c:pt>
                <c:pt idx="18">
                  <c:v>1731</c:v>
                </c:pt>
                <c:pt idx="19">
                  <c:v>2348</c:v>
                </c:pt>
                <c:pt idx="20">
                  <c:v>1739</c:v>
                </c:pt>
                <c:pt idx="21">
                  <c:v>1722</c:v>
                </c:pt>
                <c:pt idx="22">
                  <c:v>2393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844120"/>
        <c:axId val="243123656"/>
      </c:lineChart>
      <c:catAx>
        <c:axId val="157844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94080778631934026"/>
              <c:y val="0.9201547140591361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43123656"/>
        <c:crosses val="autoZero"/>
        <c:auto val="1"/>
        <c:lblAlgn val="ctr"/>
        <c:lblOffset val="100"/>
        <c:noMultiLvlLbl val="0"/>
      </c:catAx>
      <c:valAx>
        <c:axId val="2431236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Yield (kg/ha)</a:t>
                </a:r>
              </a:p>
            </c:rich>
          </c:tx>
          <c:layout>
            <c:manualLayout>
              <c:xMode val="edge"/>
              <c:yMode val="edge"/>
              <c:x val="1.2937131145328296E-2"/>
              <c:y val="3.131480398749585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57844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522545362944178E-2"/>
          <c:y val="5.7971014492753624E-2"/>
          <c:w val="0.87877363626760274"/>
          <c:h val="0.81977197514342326"/>
        </c:manualLayout>
      </c:layout>
      <c:lineChart>
        <c:grouping val="standard"/>
        <c:varyColors val="0"/>
        <c:ser>
          <c:idx val="0"/>
          <c:order val="0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Hoja1!$C$8:$C$19</c:f>
                <c:numCache>
                  <c:formatCode>General</c:formatCode>
                  <c:ptCount val="12"/>
                  <c:pt idx="0">
                    <c:v>1.95</c:v>
                  </c:pt>
                  <c:pt idx="1">
                    <c:v>1.73</c:v>
                  </c:pt>
                  <c:pt idx="2">
                    <c:v>2.5499999999999998</c:v>
                  </c:pt>
                  <c:pt idx="3">
                    <c:v>4.1100000000000003</c:v>
                  </c:pt>
                  <c:pt idx="4">
                    <c:v>4.5599999999999996</c:v>
                  </c:pt>
                  <c:pt idx="5">
                    <c:v>5.29</c:v>
                  </c:pt>
                  <c:pt idx="6">
                    <c:v>4.22</c:v>
                  </c:pt>
                  <c:pt idx="7">
                    <c:v>4.99</c:v>
                  </c:pt>
                  <c:pt idx="8">
                    <c:v>4.8499999999999996</c:v>
                  </c:pt>
                  <c:pt idx="9">
                    <c:v>3.42</c:v>
                  </c:pt>
                  <c:pt idx="10">
                    <c:v>2.5499999999999998</c:v>
                  </c:pt>
                  <c:pt idx="11">
                    <c:v>1.46</c:v>
                  </c:pt>
                </c:numCache>
              </c:numRef>
            </c:plus>
            <c:minus>
              <c:numRef>
                <c:f>Hoja1!$C$8:$C$19</c:f>
                <c:numCache>
                  <c:formatCode>General</c:formatCode>
                  <c:ptCount val="12"/>
                  <c:pt idx="0">
                    <c:v>1.95</c:v>
                  </c:pt>
                  <c:pt idx="1">
                    <c:v>1.73</c:v>
                  </c:pt>
                  <c:pt idx="2">
                    <c:v>2.5499999999999998</c:v>
                  </c:pt>
                  <c:pt idx="3">
                    <c:v>4.1100000000000003</c:v>
                  </c:pt>
                  <c:pt idx="4">
                    <c:v>4.5599999999999996</c:v>
                  </c:pt>
                  <c:pt idx="5">
                    <c:v>5.29</c:v>
                  </c:pt>
                  <c:pt idx="6">
                    <c:v>4.22</c:v>
                  </c:pt>
                  <c:pt idx="7">
                    <c:v>4.99</c:v>
                  </c:pt>
                  <c:pt idx="8">
                    <c:v>4.8499999999999996</c:v>
                  </c:pt>
                  <c:pt idx="9">
                    <c:v>3.42</c:v>
                  </c:pt>
                  <c:pt idx="10">
                    <c:v>2.5499999999999998</c:v>
                  </c:pt>
                  <c:pt idx="11">
                    <c:v>1.46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Hoja1!$A$8:$A$19</c:f>
              <c:strCache>
                <c:ptCount val="12"/>
                <c:pt idx="0">
                  <c:v>J</c:v>
                </c:pt>
                <c:pt idx="1">
                  <c:v>A</c:v>
                </c:pt>
                <c:pt idx="2">
                  <c:v>S</c:v>
                </c:pt>
                <c:pt idx="3">
                  <c:v>O</c:v>
                </c:pt>
                <c:pt idx="4">
                  <c:v>N</c:v>
                </c:pt>
                <c:pt idx="5">
                  <c:v>D</c:v>
                </c:pt>
                <c:pt idx="6">
                  <c:v>J</c:v>
                </c:pt>
                <c:pt idx="7">
                  <c:v>F</c:v>
                </c:pt>
                <c:pt idx="8">
                  <c:v>M</c:v>
                </c:pt>
                <c:pt idx="9">
                  <c:v>A</c:v>
                </c:pt>
                <c:pt idx="10">
                  <c:v>M</c:v>
                </c:pt>
                <c:pt idx="11">
                  <c:v>J</c:v>
                </c:pt>
              </c:strCache>
            </c:strRef>
          </c:cat>
          <c:val>
            <c:numRef>
              <c:f>Hoja1!$B$8:$B$19</c:f>
              <c:numCache>
                <c:formatCode>General</c:formatCode>
                <c:ptCount val="12"/>
                <c:pt idx="0">
                  <c:v>11.06</c:v>
                </c:pt>
                <c:pt idx="1">
                  <c:v>13.69</c:v>
                </c:pt>
                <c:pt idx="2">
                  <c:v>27.55</c:v>
                </c:pt>
                <c:pt idx="3">
                  <c:v>58.94</c:v>
                </c:pt>
                <c:pt idx="4">
                  <c:v>77.05</c:v>
                </c:pt>
                <c:pt idx="5">
                  <c:v>92.97</c:v>
                </c:pt>
                <c:pt idx="6">
                  <c:v>96.76</c:v>
                </c:pt>
                <c:pt idx="7">
                  <c:v>78.5</c:v>
                </c:pt>
                <c:pt idx="8">
                  <c:v>77.37</c:v>
                </c:pt>
                <c:pt idx="9">
                  <c:v>45.84</c:v>
                </c:pt>
                <c:pt idx="10">
                  <c:v>21.59</c:v>
                </c:pt>
                <c:pt idx="11">
                  <c:v>10.36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320376"/>
        <c:axId val="251320768"/>
      </c:lineChart>
      <c:catAx>
        <c:axId val="251320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51320768"/>
        <c:crossesAt val="0"/>
        <c:auto val="1"/>
        <c:lblAlgn val="ctr"/>
        <c:lblOffset val="100"/>
        <c:noMultiLvlLbl val="0"/>
      </c:catAx>
      <c:valAx>
        <c:axId val="251320768"/>
        <c:scaling>
          <c:orientation val="minMax"/>
          <c:max val="11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Precipitations</a:t>
                </a:r>
                <a:r>
                  <a:rPr lang="en-US" baseline="0"/>
                  <a:t> (</a:t>
                </a:r>
                <a:r>
                  <a:rPr lang="en-US"/>
                  <a:t>mm)</a:t>
                </a:r>
              </a:p>
            </c:rich>
          </c:tx>
          <c:layout>
            <c:manualLayout>
              <c:xMode val="edge"/>
              <c:yMode val="edge"/>
              <c:x val="1.0319917440660475E-2"/>
              <c:y val="3.049184069382631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5132037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522545362944178E-2"/>
          <c:y val="5.7971014492753624E-2"/>
          <c:w val="0.87877363626760274"/>
          <c:h val="0.81977197514342326"/>
        </c:manualLayout>
      </c:layout>
      <c:lineChart>
        <c:grouping val="standard"/>
        <c:varyColors val="0"/>
        <c:ser>
          <c:idx val="0"/>
          <c:order val="0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bg1"/>
              </a:solidFill>
              <a:ln w="317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Hoja1!$C$25:$C$36</c:f>
                <c:numCache>
                  <c:formatCode>General</c:formatCode>
                  <c:ptCount val="12"/>
                  <c:pt idx="0">
                    <c:v>0.24</c:v>
                  </c:pt>
                  <c:pt idx="1">
                    <c:v>0.2</c:v>
                  </c:pt>
                  <c:pt idx="2">
                    <c:v>0.23</c:v>
                  </c:pt>
                  <c:pt idx="3">
                    <c:v>0.24</c:v>
                  </c:pt>
                  <c:pt idx="4">
                    <c:v>0.25</c:v>
                  </c:pt>
                  <c:pt idx="5">
                    <c:v>0.26</c:v>
                  </c:pt>
                  <c:pt idx="6">
                    <c:v>0.22</c:v>
                  </c:pt>
                  <c:pt idx="7">
                    <c:v>0.24</c:v>
                  </c:pt>
                  <c:pt idx="8">
                    <c:v>0.2</c:v>
                  </c:pt>
                  <c:pt idx="9">
                    <c:v>0.21</c:v>
                  </c:pt>
                  <c:pt idx="10">
                    <c:v>0.22</c:v>
                  </c:pt>
                  <c:pt idx="11">
                    <c:v>0.21</c:v>
                  </c:pt>
                </c:numCache>
              </c:numRef>
            </c:plus>
            <c:minus>
              <c:numRef>
                <c:f>Hoja1!$C$25:$C$36</c:f>
                <c:numCache>
                  <c:formatCode>General</c:formatCode>
                  <c:ptCount val="12"/>
                  <c:pt idx="0">
                    <c:v>0.24</c:v>
                  </c:pt>
                  <c:pt idx="1">
                    <c:v>0.2</c:v>
                  </c:pt>
                  <c:pt idx="2">
                    <c:v>0.23</c:v>
                  </c:pt>
                  <c:pt idx="3">
                    <c:v>0.24</c:v>
                  </c:pt>
                  <c:pt idx="4">
                    <c:v>0.25</c:v>
                  </c:pt>
                  <c:pt idx="5">
                    <c:v>0.26</c:v>
                  </c:pt>
                  <c:pt idx="6">
                    <c:v>0.22</c:v>
                  </c:pt>
                  <c:pt idx="7">
                    <c:v>0.24</c:v>
                  </c:pt>
                  <c:pt idx="8">
                    <c:v>0.2</c:v>
                  </c:pt>
                  <c:pt idx="9">
                    <c:v>0.21</c:v>
                  </c:pt>
                  <c:pt idx="10">
                    <c:v>0.22</c:v>
                  </c:pt>
                  <c:pt idx="11">
                    <c:v>0.21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Hoja1!$A$8:$A$19</c:f>
              <c:strCache>
                <c:ptCount val="12"/>
                <c:pt idx="0">
                  <c:v>J</c:v>
                </c:pt>
                <c:pt idx="1">
                  <c:v>A</c:v>
                </c:pt>
                <c:pt idx="2">
                  <c:v>S</c:v>
                </c:pt>
                <c:pt idx="3">
                  <c:v>O</c:v>
                </c:pt>
                <c:pt idx="4">
                  <c:v>N</c:v>
                </c:pt>
                <c:pt idx="5">
                  <c:v>D</c:v>
                </c:pt>
                <c:pt idx="6">
                  <c:v>J</c:v>
                </c:pt>
                <c:pt idx="7">
                  <c:v>F</c:v>
                </c:pt>
                <c:pt idx="8">
                  <c:v>M</c:v>
                </c:pt>
                <c:pt idx="9">
                  <c:v>A</c:v>
                </c:pt>
                <c:pt idx="10">
                  <c:v>M</c:v>
                </c:pt>
                <c:pt idx="11">
                  <c:v>J</c:v>
                </c:pt>
              </c:strCache>
            </c:strRef>
          </c:cat>
          <c:val>
            <c:numRef>
              <c:f>Hoja1!$B$25:$B$36</c:f>
              <c:numCache>
                <c:formatCode>General</c:formatCode>
                <c:ptCount val="12"/>
                <c:pt idx="0">
                  <c:v>7.8</c:v>
                </c:pt>
                <c:pt idx="1">
                  <c:v>10.16</c:v>
                </c:pt>
                <c:pt idx="2">
                  <c:v>13.35</c:v>
                </c:pt>
                <c:pt idx="3">
                  <c:v>17.22</c:v>
                </c:pt>
                <c:pt idx="4">
                  <c:v>20.010000000000002</c:v>
                </c:pt>
                <c:pt idx="5">
                  <c:v>22.46</c:v>
                </c:pt>
                <c:pt idx="6">
                  <c:v>22.92</c:v>
                </c:pt>
                <c:pt idx="7">
                  <c:v>21.78</c:v>
                </c:pt>
                <c:pt idx="8">
                  <c:v>19.62</c:v>
                </c:pt>
                <c:pt idx="9">
                  <c:v>15.77</c:v>
                </c:pt>
                <c:pt idx="10">
                  <c:v>11.82</c:v>
                </c:pt>
                <c:pt idx="11">
                  <c:v>8.33</c:v>
                </c:pt>
              </c:numCache>
            </c:numRef>
          </c:val>
          <c:smooth val="0"/>
        </c:ser>
        <c:ser>
          <c:idx val="1"/>
          <c:order val="1"/>
          <c:spPr>
            <a:ln w="3175" cap="rnd">
              <a:solidFill>
                <a:schemeClr val="tx1">
                  <a:alpha val="96000"/>
                </a:schemeClr>
              </a:solidFill>
              <a:round/>
            </a:ln>
            <a:effectLst/>
          </c:spPr>
          <c:marker>
            <c:symbol val="circle"/>
            <c:size val="2"/>
            <c:spPr>
              <a:noFill/>
              <a:ln w="0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Hoja1!$F$25:$F$36</c:f>
                <c:numCache>
                  <c:formatCode>General</c:formatCode>
                  <c:ptCount val="12"/>
                  <c:pt idx="0">
                    <c:v>0.31</c:v>
                  </c:pt>
                  <c:pt idx="1">
                    <c:v>0.26</c:v>
                  </c:pt>
                  <c:pt idx="2">
                    <c:v>0.28999999999999998</c:v>
                  </c:pt>
                  <c:pt idx="3">
                    <c:v>0.19</c:v>
                  </c:pt>
                  <c:pt idx="4">
                    <c:v>0.23</c:v>
                  </c:pt>
                  <c:pt idx="5">
                    <c:v>0.23</c:v>
                  </c:pt>
                  <c:pt idx="6">
                    <c:v>0.14000000000000001</c:v>
                  </c:pt>
                  <c:pt idx="7">
                    <c:v>0.15</c:v>
                  </c:pt>
                  <c:pt idx="8">
                    <c:v>0.24</c:v>
                  </c:pt>
                  <c:pt idx="9">
                    <c:v>0.24</c:v>
                  </c:pt>
                  <c:pt idx="10">
                    <c:v>0.27</c:v>
                  </c:pt>
                  <c:pt idx="11">
                    <c:v>0.28000000000000003</c:v>
                  </c:pt>
                </c:numCache>
              </c:numRef>
            </c:plus>
            <c:minus>
              <c:numRef>
                <c:f>Hoja1!$F$25:$F$36</c:f>
                <c:numCache>
                  <c:formatCode>General</c:formatCode>
                  <c:ptCount val="12"/>
                  <c:pt idx="0">
                    <c:v>0.31</c:v>
                  </c:pt>
                  <c:pt idx="1">
                    <c:v>0.26</c:v>
                  </c:pt>
                  <c:pt idx="2">
                    <c:v>0.28999999999999998</c:v>
                  </c:pt>
                  <c:pt idx="3">
                    <c:v>0.19</c:v>
                  </c:pt>
                  <c:pt idx="4">
                    <c:v>0.23</c:v>
                  </c:pt>
                  <c:pt idx="5">
                    <c:v>0.23</c:v>
                  </c:pt>
                  <c:pt idx="6">
                    <c:v>0.14000000000000001</c:v>
                  </c:pt>
                  <c:pt idx="7">
                    <c:v>0.15</c:v>
                  </c:pt>
                  <c:pt idx="8">
                    <c:v>0.24</c:v>
                  </c:pt>
                  <c:pt idx="9">
                    <c:v>0.24</c:v>
                  </c:pt>
                  <c:pt idx="10">
                    <c:v>0.27</c:v>
                  </c:pt>
                  <c:pt idx="11">
                    <c:v>0.28000000000000003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Hoja1!$E$25:$E$36</c:f>
              <c:numCache>
                <c:formatCode>General</c:formatCode>
                <c:ptCount val="12"/>
                <c:pt idx="0">
                  <c:v>-0.67</c:v>
                </c:pt>
                <c:pt idx="1">
                  <c:v>0.77</c:v>
                </c:pt>
                <c:pt idx="2">
                  <c:v>3.96</c:v>
                </c:pt>
                <c:pt idx="3">
                  <c:v>8.06</c:v>
                </c:pt>
                <c:pt idx="4">
                  <c:v>11.19</c:v>
                </c:pt>
                <c:pt idx="5">
                  <c:v>13.89</c:v>
                </c:pt>
                <c:pt idx="6">
                  <c:v>14.95</c:v>
                </c:pt>
                <c:pt idx="7">
                  <c:v>13.92</c:v>
                </c:pt>
                <c:pt idx="8">
                  <c:v>12.05</c:v>
                </c:pt>
                <c:pt idx="9">
                  <c:v>7.8</c:v>
                </c:pt>
                <c:pt idx="10">
                  <c:v>3.77</c:v>
                </c:pt>
                <c:pt idx="11">
                  <c:v>0.06</c:v>
                </c:pt>
              </c:numCache>
            </c:numRef>
          </c:val>
          <c:smooth val="0"/>
        </c:ser>
        <c:ser>
          <c:idx val="2"/>
          <c:order val="2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tx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Hoja1!$H$25:$H$36</c:f>
                <c:numCache>
                  <c:formatCode>General</c:formatCode>
                  <c:ptCount val="12"/>
                  <c:pt idx="0">
                    <c:v>0.25</c:v>
                  </c:pt>
                  <c:pt idx="1">
                    <c:v>0.26</c:v>
                  </c:pt>
                  <c:pt idx="2">
                    <c:v>0.25</c:v>
                  </c:pt>
                  <c:pt idx="3">
                    <c:v>0.23</c:v>
                  </c:pt>
                  <c:pt idx="4">
                    <c:v>0.28999999999999998</c:v>
                  </c:pt>
                  <c:pt idx="5">
                    <c:v>0.28000000000000003</c:v>
                  </c:pt>
                  <c:pt idx="6">
                    <c:v>0.24</c:v>
                  </c:pt>
                  <c:pt idx="7">
                    <c:v>0.28999999999999998</c:v>
                  </c:pt>
                  <c:pt idx="8">
                    <c:v>0.2</c:v>
                  </c:pt>
                  <c:pt idx="9">
                    <c:v>0.28000000000000003</c:v>
                  </c:pt>
                  <c:pt idx="10">
                    <c:v>0.22</c:v>
                  </c:pt>
                  <c:pt idx="11">
                    <c:v>0.25</c:v>
                  </c:pt>
                </c:numCache>
              </c:numRef>
            </c:plus>
            <c:minus>
              <c:numRef>
                <c:f>Hoja1!$H$25:$H$36</c:f>
                <c:numCache>
                  <c:formatCode>General</c:formatCode>
                  <c:ptCount val="12"/>
                  <c:pt idx="0">
                    <c:v>0.25</c:v>
                  </c:pt>
                  <c:pt idx="1">
                    <c:v>0.26</c:v>
                  </c:pt>
                  <c:pt idx="2">
                    <c:v>0.25</c:v>
                  </c:pt>
                  <c:pt idx="3">
                    <c:v>0.23</c:v>
                  </c:pt>
                  <c:pt idx="4">
                    <c:v>0.28999999999999998</c:v>
                  </c:pt>
                  <c:pt idx="5">
                    <c:v>0.28000000000000003</c:v>
                  </c:pt>
                  <c:pt idx="6">
                    <c:v>0.24</c:v>
                  </c:pt>
                  <c:pt idx="7">
                    <c:v>0.28999999999999998</c:v>
                  </c:pt>
                  <c:pt idx="8">
                    <c:v>0.2</c:v>
                  </c:pt>
                  <c:pt idx="9">
                    <c:v>0.28000000000000003</c:v>
                  </c:pt>
                  <c:pt idx="10">
                    <c:v>0.22</c:v>
                  </c:pt>
                  <c:pt idx="11">
                    <c:v>0.25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Hoja1!$G$25:$G$36</c:f>
              <c:numCache>
                <c:formatCode>General</c:formatCode>
                <c:ptCount val="12"/>
                <c:pt idx="0">
                  <c:v>16.940000000000001</c:v>
                </c:pt>
                <c:pt idx="1">
                  <c:v>19.11</c:v>
                </c:pt>
                <c:pt idx="2">
                  <c:v>21.56</c:v>
                </c:pt>
                <c:pt idx="3">
                  <c:v>24.53</c:v>
                </c:pt>
                <c:pt idx="4">
                  <c:v>26.75</c:v>
                </c:pt>
                <c:pt idx="5">
                  <c:v>29.71</c:v>
                </c:pt>
                <c:pt idx="6">
                  <c:v>30.26</c:v>
                </c:pt>
                <c:pt idx="7">
                  <c:v>28.28</c:v>
                </c:pt>
                <c:pt idx="8">
                  <c:v>26.96</c:v>
                </c:pt>
                <c:pt idx="9">
                  <c:v>23.32</c:v>
                </c:pt>
                <c:pt idx="10">
                  <c:v>20.29</c:v>
                </c:pt>
                <c:pt idx="11">
                  <c:v>16.78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321552"/>
        <c:axId val="251321944"/>
      </c:lineChart>
      <c:catAx>
        <c:axId val="25132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51321944"/>
        <c:crossesAt val="0"/>
        <c:auto val="1"/>
        <c:lblAlgn val="ctr"/>
        <c:lblOffset val="100"/>
        <c:noMultiLvlLbl val="0"/>
      </c:catAx>
      <c:valAx>
        <c:axId val="251321944"/>
        <c:scaling>
          <c:orientation val="minMax"/>
          <c:max val="35"/>
          <c:min val="-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mean</a:t>
                </a:r>
                <a:r>
                  <a:rPr lang="en-US" baseline="0"/>
                  <a:t> temperature</a:t>
                </a:r>
                <a:r>
                  <a:rPr lang="en-US"/>
                  <a:t> (°C)</a:t>
                </a:r>
              </a:p>
            </c:rich>
          </c:tx>
          <c:layout>
            <c:manualLayout>
              <c:xMode val="edge"/>
              <c:yMode val="edge"/>
              <c:x val="1.0319917440660475E-2"/>
              <c:y val="3.049184069382631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25132155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Bibiana Rauber</dc:creator>
  <cp:keywords/>
  <dc:description/>
  <cp:lastModifiedBy>Ruth Bibiana Rauber</cp:lastModifiedBy>
  <cp:revision>7</cp:revision>
  <dcterms:created xsi:type="dcterms:W3CDTF">2017-02-13T13:00:00Z</dcterms:created>
  <dcterms:modified xsi:type="dcterms:W3CDTF">2017-07-31T19:00:00Z</dcterms:modified>
</cp:coreProperties>
</file>