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9EEB" w14:textId="77777777" w:rsidR="00B81673" w:rsidRDefault="00B81673" w:rsidP="00B81673">
      <w:pPr>
        <w:widowControl/>
        <w:spacing w:beforeLines="100" w:before="312" w:afterLines="100" w:after="3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8593923"/>
      <w:r>
        <w:rPr>
          <w:rFonts w:ascii="Times New Roman" w:hAnsi="Times New Roman" w:cs="Times New Roman"/>
          <w:b/>
          <w:bCs/>
          <w:sz w:val="32"/>
          <w:szCs w:val="32"/>
        </w:rPr>
        <w:t>Supplementary Tables and Figures</w:t>
      </w:r>
    </w:p>
    <w:bookmarkEnd w:id="0"/>
    <w:p w14:paraId="78A99C99" w14:textId="27C547C8" w:rsidR="00B81673" w:rsidRDefault="00B81673" w:rsidP="00B8167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Table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1. 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>Primer sequences of genes used for quantitative RT-PCR verification.</w:t>
      </w:r>
    </w:p>
    <w:tbl>
      <w:tblPr>
        <w:tblStyle w:val="a3"/>
        <w:tblpPr w:leftFromText="180" w:rightFromText="180" w:vertAnchor="text" w:horzAnchor="page" w:tblpXSpec="center" w:tblpY="208"/>
        <w:tblOverlap w:val="never"/>
        <w:tblW w:w="83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2"/>
        <w:gridCol w:w="3303"/>
        <w:gridCol w:w="3355"/>
      </w:tblGrid>
      <w:tr w:rsidR="00B81673" w14:paraId="3D2F92CE" w14:textId="77777777" w:rsidTr="00B81673">
        <w:trPr>
          <w:trHeight w:val="371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983C2" w14:textId="77777777" w:rsidR="00B81673" w:rsidRDefault="00B81673">
            <w:pPr>
              <w:widowControl/>
              <w:jc w:val="center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eastAsia="TimesNewRomanPS-BoldMT"/>
                <w:bCs/>
                <w:color w:val="000000"/>
                <w:szCs w:val="21"/>
                <w:lang w:bidi="ar"/>
              </w:rPr>
              <w:t>Seq ID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06BCA" w14:textId="77777777" w:rsidR="00B81673" w:rsidRDefault="00B81673">
            <w:pPr>
              <w:widowControl/>
              <w:jc w:val="center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eastAsia="TimesNewRomanPS-BoldMT"/>
                <w:bCs/>
                <w:color w:val="000000"/>
                <w:szCs w:val="21"/>
                <w:lang w:bidi="ar"/>
              </w:rPr>
              <w:t>Forward Primer (5’</w:t>
            </w:r>
            <w:r>
              <w:rPr>
                <w:rFonts w:eastAsia="Arial-BoldMT"/>
                <w:bCs/>
                <w:color w:val="000000"/>
                <w:szCs w:val="21"/>
                <w:lang w:bidi="ar"/>
              </w:rPr>
              <w:t>→</w:t>
            </w:r>
            <w:r>
              <w:rPr>
                <w:rFonts w:eastAsia="TimesNewRomanPS-BoldMT"/>
                <w:bCs/>
                <w:color w:val="000000"/>
                <w:szCs w:val="21"/>
                <w:lang w:bidi="ar"/>
              </w:rPr>
              <w:t>3’)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3F4B5" w14:textId="77777777" w:rsidR="00B81673" w:rsidRDefault="00B81673">
            <w:pPr>
              <w:widowControl/>
              <w:jc w:val="center"/>
              <w:rPr>
                <w:bCs/>
                <w:color w:val="000000"/>
                <w:szCs w:val="21"/>
                <w:lang w:bidi="ar"/>
              </w:rPr>
            </w:pPr>
            <w:r>
              <w:rPr>
                <w:rFonts w:eastAsia="TimesNewRomanPS-BoldMT"/>
                <w:bCs/>
                <w:color w:val="000000"/>
                <w:szCs w:val="21"/>
                <w:lang w:bidi="ar"/>
              </w:rPr>
              <w:t>Reverse Primer (5’</w:t>
            </w:r>
            <w:r>
              <w:rPr>
                <w:rFonts w:eastAsia="Arial-BoldMT"/>
                <w:bCs/>
                <w:color w:val="000000"/>
                <w:szCs w:val="21"/>
                <w:lang w:bidi="ar"/>
              </w:rPr>
              <w:t>→</w:t>
            </w:r>
            <w:r>
              <w:rPr>
                <w:rFonts w:eastAsia="TimesNewRomanPS-BoldMT"/>
                <w:bCs/>
                <w:color w:val="000000"/>
                <w:szCs w:val="21"/>
                <w:lang w:bidi="ar"/>
              </w:rPr>
              <w:t>3’)</w:t>
            </w:r>
          </w:p>
        </w:tc>
      </w:tr>
      <w:tr w:rsidR="00B81673" w14:paraId="4122FAA8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FB483" w14:textId="77777777" w:rsidR="00B81673" w:rsidRDefault="00B81673">
            <w:pPr>
              <w:widowControl/>
              <w:jc w:val="center"/>
              <w:textAlignment w:val="bottom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Cs w:val="21"/>
              </w:rPr>
              <w:t>UBQ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F0F7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CAGACCAGCAGCGCTTGA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4F25E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TTACTGGCCACCACGGAGA</w:t>
            </w:r>
          </w:p>
        </w:tc>
      </w:tr>
      <w:tr w:rsidR="00B81673" w14:paraId="138EBE01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6D831" w14:textId="77777777" w:rsidR="00B81673" w:rsidRDefault="00B81673">
            <w:pPr>
              <w:widowControl/>
              <w:jc w:val="center"/>
              <w:textAlignment w:val="bottom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EC_V6.g007956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0D5DA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CGTTCGACATGTTCAGCCAC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8BE05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GGTAGTCGAAGCGGTAGACG</w:t>
            </w:r>
          </w:p>
        </w:tc>
      </w:tr>
      <w:tr w:rsidR="00B81673" w14:paraId="7F75F74B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BED53" w14:textId="77777777" w:rsidR="00B81673" w:rsidRDefault="00B81673">
            <w:pPr>
              <w:widowControl/>
              <w:jc w:val="center"/>
              <w:textAlignment w:val="bottom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EC_V6.g089449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757F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ACCACGGCAAGTACTCGTTC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47C00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AAAGGTAGCGCATGAGGGTG</w:t>
            </w:r>
          </w:p>
        </w:tc>
      </w:tr>
      <w:tr w:rsidR="00B81673" w14:paraId="641BC2F6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CFCA4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EC_V6.g033915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51E49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TCGTGTGCTTCAGGATCGTC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78FFD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TTCCCCGTCTTGTTCATCCG</w:t>
            </w:r>
          </w:p>
        </w:tc>
      </w:tr>
      <w:tr w:rsidR="00B81673" w14:paraId="6DCD21D1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4BE2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EC_V6.g045995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2E1E3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GTATGATTGCGGGCAAAGCC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09191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TGTCCATGTGCCATCGTTGA</w:t>
            </w:r>
          </w:p>
        </w:tc>
      </w:tr>
      <w:tr w:rsidR="00B81673" w14:paraId="7772E6AE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74D54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EC_V6.g043558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E90C4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GTCGGCACCTACTCCAAGAT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495C8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CGAGGAGGATAACGTCGAAGG</w:t>
            </w:r>
          </w:p>
        </w:tc>
      </w:tr>
      <w:tr w:rsidR="00B81673" w14:paraId="7D5BC052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896ED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EC_V6.g059445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2C35B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ACAGCAACGTCCCTCAGTG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8247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AAGCCAACAGAGTAGAGCCC</w:t>
            </w:r>
          </w:p>
        </w:tc>
      </w:tr>
      <w:tr w:rsidR="00B81673" w14:paraId="46CBB8DA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E0499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EC_V6.g005145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33056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CCCATCACCGAGTCCAACAT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2030C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CCTCGAGGTTCATATGCGGG</w:t>
            </w:r>
          </w:p>
        </w:tc>
      </w:tr>
      <w:tr w:rsidR="00B81673" w14:paraId="6D387EEF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66B4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EC_V6.g100178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3C343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TCATCGTAGGCAAGCTCGTG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699D5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AGATTGGGTGGAAGGCGATG</w:t>
            </w:r>
          </w:p>
        </w:tc>
      </w:tr>
      <w:tr w:rsidR="00B81673" w14:paraId="2D49515E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7FA7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EC_V6.g071938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E1A4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GTGGTTCATCCTGGACGAGAT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01E5B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AGGACGAGACCCAAGGTGA</w:t>
            </w:r>
          </w:p>
        </w:tc>
      </w:tr>
      <w:tr w:rsidR="00B81673" w14:paraId="70C699FF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3417C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EC_V6.g083936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4370C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CGGTGTGGTTCATCCTGGAC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08AB8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AGGAGGACGAGATCCAAGGT</w:t>
            </w:r>
          </w:p>
        </w:tc>
      </w:tr>
      <w:tr w:rsidR="00B81673" w14:paraId="025CA72F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EADB9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EC_V6.g029186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B3CD7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TCCATCCTCTTCACGCACTC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9EB81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CAGAGGCGCTTGTTCTCGAT</w:t>
            </w:r>
          </w:p>
        </w:tc>
      </w:tr>
      <w:tr w:rsidR="00B81673" w14:paraId="0C77EC69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5818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EC_V6.g029187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E5608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TCAAGGAGACGTTCAAGCCC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73C0F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CTGAGGGGCTTGTTCTCGAT</w:t>
            </w:r>
          </w:p>
        </w:tc>
      </w:tr>
      <w:tr w:rsidR="00B81673" w14:paraId="3F67322B" w14:textId="77777777" w:rsidTr="00B81673">
        <w:trPr>
          <w:trHeight w:val="323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52D44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EC_V6.g052409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8197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CGTCGTCAACTCCGACAGG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6494E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CTCGGCGTAAGTGTAGTCCC</w:t>
            </w:r>
          </w:p>
        </w:tc>
      </w:tr>
      <w:tr w:rsidR="00B81673" w14:paraId="2CBA0EE8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C66C5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EC_V6.g107400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F9AE4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CGACCAGATCGAGGCAAGTG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5D21B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TCTCCTTGTTCACCGTCGTG</w:t>
            </w:r>
          </w:p>
        </w:tc>
      </w:tr>
      <w:tr w:rsidR="00B81673" w14:paraId="14B15B0C" w14:textId="77777777" w:rsidTr="00B8167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A9D7D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EC_V6.g030555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8C1FD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ACGGCGTGAAAACAAACCTG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F13C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CTTGCCGTACTCGACCATGT</w:t>
            </w:r>
          </w:p>
        </w:tc>
      </w:tr>
      <w:tr w:rsidR="00B81673" w14:paraId="421C3D69" w14:textId="77777777" w:rsidTr="00B81673"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EA370" w14:textId="77777777" w:rsidR="00B81673" w:rsidRDefault="00B8167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仿宋"/>
                <w:i/>
                <w:iCs/>
                <w:color w:val="000000"/>
                <w:szCs w:val="21"/>
                <w:lang w:bidi="ar"/>
              </w:rPr>
              <w:t>EC_V6.g030557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0F5DA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ATCGAGAAGACCTTTGGCGG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470E8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Cs w:val="21"/>
                <w:lang w:bidi="ar"/>
              </w:rPr>
              <w:t>ATCGAGAAGACCTTTGGCGG</w:t>
            </w:r>
          </w:p>
        </w:tc>
      </w:tr>
    </w:tbl>
    <w:p w14:paraId="506CC9C6" w14:textId="77777777" w:rsidR="00B81673" w:rsidRDefault="00B81673" w:rsidP="00B81673">
      <w:pPr>
        <w:widowControl/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</w:pPr>
    </w:p>
    <w:p w14:paraId="78858898" w14:textId="565F9541" w:rsidR="00B81673" w:rsidRDefault="00B81673" w:rsidP="00B81673">
      <w:pPr>
        <w:rPr>
          <w:rFonts w:ascii="Times New Roman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Table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2. 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>Summary of the sequencing.</w:t>
      </w:r>
    </w:p>
    <w:tbl>
      <w:tblPr>
        <w:tblStyle w:val="a3"/>
        <w:tblpPr w:leftFromText="180" w:rightFromText="180" w:vertAnchor="text" w:horzAnchor="page" w:tblpXSpec="center" w:tblpY="208"/>
        <w:tblOverlap w:val="never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6"/>
        <w:gridCol w:w="1429"/>
        <w:gridCol w:w="1466"/>
        <w:gridCol w:w="1131"/>
        <w:gridCol w:w="1592"/>
        <w:gridCol w:w="1546"/>
        <w:gridCol w:w="870"/>
      </w:tblGrid>
      <w:tr w:rsidR="00B81673" w14:paraId="3928FA56" w14:textId="77777777" w:rsidTr="00B81673">
        <w:trPr>
          <w:trHeight w:val="371"/>
        </w:trPr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61CFD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Sample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2F3CB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Clean reads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FA370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Cleans bases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5DE0B9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Error Rate</w:t>
            </w:r>
            <w:r>
              <w:rPr>
                <w:rFonts w:eastAsia="TimesNewRomanPSMT"/>
                <w:color w:val="000000"/>
                <w:szCs w:val="21"/>
                <w:lang w:bidi="ar"/>
              </w:rPr>
              <w:t xml:space="preserve"> </w:t>
            </w:r>
            <w:r>
              <w:rPr>
                <w:color w:val="000000"/>
                <w:szCs w:val="21"/>
                <w:lang w:bidi="ar"/>
              </w:rPr>
              <w:t xml:space="preserve">(%)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2D54D" w14:textId="77777777" w:rsidR="00B81673" w:rsidRDefault="00B81673">
            <w:pPr>
              <w:widowControl/>
              <w:jc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 xml:space="preserve">Q20 </w:t>
            </w:r>
            <w:r>
              <w:rPr>
                <w:rFonts w:eastAsia="TimesNewRomanPSMT"/>
                <w:color w:val="000000"/>
                <w:szCs w:val="21"/>
                <w:lang w:bidi="ar"/>
              </w:rPr>
              <w:t xml:space="preserve">percentage </w:t>
            </w:r>
            <w:r>
              <w:rPr>
                <w:color w:val="000000"/>
                <w:szCs w:val="21"/>
                <w:lang w:bidi="ar"/>
              </w:rPr>
              <w:t>(%)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DB860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 xml:space="preserve">Q30 </w:t>
            </w:r>
            <w:r>
              <w:rPr>
                <w:rFonts w:eastAsia="TimesNewRomanPSMT"/>
                <w:color w:val="000000"/>
                <w:szCs w:val="21"/>
                <w:lang w:bidi="ar"/>
              </w:rPr>
              <w:t xml:space="preserve">percentage </w:t>
            </w:r>
            <w:r>
              <w:rPr>
                <w:color w:val="000000"/>
                <w:szCs w:val="21"/>
                <w:lang w:bidi="ar"/>
              </w:rPr>
              <w:t>(%)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706B4" w14:textId="77777777" w:rsidR="00B81673" w:rsidRDefault="00B81673">
            <w:pPr>
              <w:widowControl/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GC content</w:t>
            </w:r>
          </w:p>
        </w:tc>
      </w:tr>
      <w:tr w:rsidR="00B81673" w14:paraId="1A05D78F" w14:textId="77777777" w:rsidTr="00B81673"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89200" w14:textId="77777777" w:rsidR="00B81673" w:rsidRDefault="00B81673">
            <w:pPr>
              <w:widowControl/>
              <w:jc w:val="center"/>
              <w:textAlignment w:val="bottom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CK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60541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55,009,494.67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872D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8,251,424,200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286DD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0.38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CAAFF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96.70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8C2E3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91.95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7EE4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56.54</w:t>
            </w:r>
          </w:p>
        </w:tc>
      </w:tr>
      <w:tr w:rsidR="00B81673" w14:paraId="7FF8E9D7" w14:textId="77777777" w:rsidTr="00B81673"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B3D8C" w14:textId="77777777" w:rsidR="00B81673" w:rsidRDefault="00B81673">
            <w:pPr>
              <w:widowControl/>
              <w:jc w:val="center"/>
              <w:textAlignment w:val="bottom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  <w:lang w:bidi="ar"/>
              </w:rPr>
              <w:t>LF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1155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55,992,401.33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6ABE5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8,398,860,200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D24A4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0.41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871C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96.44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32DB7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91.38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D98B9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58.17</w:t>
            </w:r>
          </w:p>
        </w:tc>
      </w:tr>
      <w:tr w:rsidR="00B81673" w14:paraId="0E599FE2" w14:textId="77777777" w:rsidTr="00B81673"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FC808" w14:textId="77777777" w:rsidR="00B81673" w:rsidRDefault="00B8167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9962D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54,856,558.67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309D3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8,228,483,800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CB672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0.43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0289A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96.21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27916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90.90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BEC00" w14:textId="77777777" w:rsidR="00B81673" w:rsidRDefault="00B8167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lang w:bidi="ar"/>
              </w:rPr>
              <w:t>57.37</w:t>
            </w:r>
          </w:p>
        </w:tc>
      </w:tr>
    </w:tbl>
    <w:p w14:paraId="1F575973" w14:textId="77777777" w:rsidR="00B81673" w:rsidRDefault="00B81673" w:rsidP="00B816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750F5B07" w14:textId="77777777" w:rsidR="00B81673" w:rsidRDefault="00B81673" w:rsidP="00B81673">
      <w:pPr>
        <w:rPr>
          <w:rFonts w:ascii="Times New Roman" w:eastAsia="宋体" w:hAnsi="Times New Roman" w:cs="Times New Roman"/>
          <w:szCs w:val="21"/>
        </w:rPr>
      </w:pPr>
    </w:p>
    <w:p w14:paraId="69241BF8" w14:textId="2BEDB109" w:rsidR="00B81673" w:rsidRDefault="00B81673" w:rsidP="00B81673"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Table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3.</w:t>
      </w:r>
      <w:r>
        <w:rPr>
          <w:rFonts w:ascii="Times New Roman" w:eastAsia="TimesNewRomanPS-BoldMT" w:hAnsi="Times New Roman" w:cs="Times New Roman"/>
          <w:bCs/>
          <w:color w:val="000000"/>
          <w:kern w:val="0"/>
          <w:szCs w:val="21"/>
          <w:lang w:bidi="ar"/>
        </w:rPr>
        <w:t xml:space="preserve"> The DEG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 xml:space="preserve">s of </w:t>
      </w:r>
      <w:r>
        <w:rPr>
          <w:rFonts w:ascii="Times New Roman" w:hAnsi="Times New Roman" w:cs="Times New Roman"/>
          <w:szCs w:val="21"/>
        </w:rPr>
        <w:t>transcription of auxin responsive genes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>.</w:t>
      </w:r>
    </w:p>
    <w:tbl>
      <w:tblPr>
        <w:tblStyle w:val="11"/>
        <w:tblW w:w="6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085"/>
      </w:tblGrid>
      <w:tr w:rsidR="00B81673" w14:paraId="57D3F525" w14:textId="77777777" w:rsidTr="00B81673">
        <w:trPr>
          <w:trHeight w:val="371"/>
          <w:jc w:val="center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1DFD2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Gene 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45641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LF: CK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DC2B8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HF: CK</w:t>
            </w:r>
          </w:p>
        </w:tc>
      </w:tr>
      <w:tr w:rsidR="00B81673" w14:paraId="75884DE3" w14:textId="77777777" w:rsidTr="00B81673">
        <w:trPr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06048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AUX/IAA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AB42C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 (Down-regulation)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EEC4D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 (Up-regulation)</w:t>
            </w:r>
          </w:p>
          <w:p w14:paraId="2ACC2A87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 (Down-regulation)</w:t>
            </w:r>
          </w:p>
        </w:tc>
      </w:tr>
      <w:tr w:rsidR="00B81673" w14:paraId="2E000AB5" w14:textId="77777777" w:rsidTr="00B81673">
        <w:trPr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0FD4C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GH3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1FB97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A56C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 (Up-regulation)</w:t>
            </w:r>
          </w:p>
        </w:tc>
      </w:tr>
      <w:tr w:rsidR="00B81673" w14:paraId="039471D4" w14:textId="77777777" w:rsidTr="00B81673">
        <w:trPr>
          <w:jc w:val="center"/>
        </w:trPr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A79FDD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SAUR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CC086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 (Up-regulation)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282FD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 (Up-regulation)</w:t>
            </w:r>
          </w:p>
          <w:p w14:paraId="7F47E11F" w14:textId="77777777" w:rsidR="00B81673" w:rsidRDefault="00B816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 (Down-regulation)</w:t>
            </w:r>
          </w:p>
        </w:tc>
      </w:tr>
    </w:tbl>
    <w:p w14:paraId="70DF8663" w14:textId="77777777" w:rsidR="00B81673" w:rsidRDefault="00B81673" w:rsidP="00B816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4A3382E5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lastRenderedPageBreak/>
        <w:br w:type="page"/>
      </w:r>
    </w:p>
    <w:p w14:paraId="353159A4" w14:textId="77777777" w:rsidR="00B81673" w:rsidRDefault="00B81673" w:rsidP="00B81673">
      <w:pPr>
        <w:spacing w:beforeLines="100" w:before="312" w:afterLines="100" w:after="312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lastRenderedPageBreak/>
        <w:t>Supplementary Figure Legends</w:t>
      </w:r>
    </w:p>
    <w:p w14:paraId="4148C93C" w14:textId="704C0CC6" w:rsidR="00B81673" w:rsidRDefault="00B81673" w:rsidP="00B81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3F3B87" wp14:editId="0F454A9C">
            <wp:extent cx="5257800" cy="2203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E8C7" w14:textId="58AD789D" w:rsidR="00B81673" w:rsidRDefault="00B81673" w:rsidP="00B816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Figure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1. </w:t>
      </w:r>
      <w:r>
        <w:rPr>
          <w:rFonts w:ascii="Times New Roman" w:eastAsia="宋体" w:hAnsi="Times New Roman" w:cs="Times New Roman"/>
          <w:szCs w:val="21"/>
        </w:rPr>
        <w:t xml:space="preserve">Statistics of KEGG pathway enrichment for </w:t>
      </w:r>
      <w:r>
        <w:rPr>
          <w:rFonts w:ascii="Times New Roman" w:eastAsia="宋体" w:hAnsi="Times New Roman" w:cs="Times New Roman"/>
          <w:color w:val="FF0000"/>
          <w:szCs w:val="21"/>
        </w:rPr>
        <w:t xml:space="preserve">differential </w:t>
      </w:r>
      <w:r>
        <w:rPr>
          <w:rFonts w:ascii="Times New Roman" w:eastAsia="宋体" w:hAnsi="Times New Roman" w:cs="Times New Roman"/>
          <w:szCs w:val="21"/>
        </w:rPr>
        <w:t>metabolites. CK: the blank control group (0 g/L FA), LF: the low concentration group (0.02 g/L FA), HF: the high concentration group (0.8 g/L FA).</w:t>
      </w:r>
    </w:p>
    <w:p w14:paraId="275AD5F0" w14:textId="77777777" w:rsidR="00B81673" w:rsidRDefault="00B81673" w:rsidP="00B81673">
      <w:pPr>
        <w:pStyle w:val="1"/>
        <w:widowControl/>
        <w:shd w:val="clear" w:color="auto" w:fill="FFFFFF"/>
        <w:spacing w:line="210" w:lineRule="atLeast"/>
        <w:jc w:val="both"/>
        <w:rPr>
          <w:rFonts w:ascii="Times New Roman" w:hAnsi="Times New Roman"/>
          <w:b w:val="0"/>
          <w:sz w:val="24"/>
          <w:szCs w:val="24"/>
        </w:rPr>
      </w:pPr>
    </w:p>
    <w:p w14:paraId="62CE2224" w14:textId="77777777" w:rsidR="00B81673" w:rsidRDefault="00B81673" w:rsidP="00B81673">
      <w:pPr>
        <w:rPr>
          <w:rFonts w:ascii="Times New Roman" w:hAnsi="Times New Roman" w:cs="Times New Roman"/>
        </w:rPr>
      </w:pPr>
    </w:p>
    <w:p w14:paraId="1900A3A2" w14:textId="11F910C8" w:rsidR="00B81673" w:rsidRDefault="00B81673" w:rsidP="00B81673">
      <w:pPr>
        <w:widowControl/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</w:pPr>
      <w:r>
        <w:rPr>
          <w:rFonts w:ascii="Times New Roman" w:eastAsia="TimesNewRomanPS-BoldMT" w:hAnsi="Times New Roman" w:cs="Times New Roman"/>
          <w:b/>
          <w:noProof/>
          <w:color w:val="000000"/>
          <w:kern w:val="0"/>
          <w:szCs w:val="21"/>
        </w:rPr>
        <w:drawing>
          <wp:inline distT="0" distB="0" distL="0" distR="0" wp14:anchorId="54DB812F" wp14:editId="0A1E1B20">
            <wp:extent cx="5219700" cy="2184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Figure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2. 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 xml:space="preserve">Statistics of KEGG pathway enrichment for differentially expressed genes. </w:t>
      </w: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48924E8D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2FDC42C0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br w:type="page"/>
      </w:r>
    </w:p>
    <w:p w14:paraId="2FF99D30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16100153" w14:textId="68C0E542" w:rsidR="00B81673" w:rsidRDefault="00B81673" w:rsidP="00B81673">
      <w:pPr>
        <w:widowControl/>
        <w:jc w:val="left"/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</w:pPr>
      <w:r>
        <w:rPr>
          <w:rFonts w:ascii="Times New Roman" w:eastAsia="TimesNewRomanPSMT" w:hAnsi="Times New Roman" w:cs="Times New Roman"/>
          <w:noProof/>
          <w:color w:val="000000"/>
          <w:kern w:val="0"/>
          <w:szCs w:val="21"/>
        </w:rPr>
        <w:drawing>
          <wp:inline distT="0" distB="0" distL="0" distR="0" wp14:anchorId="03F7CB6F" wp14:editId="1CB50D03">
            <wp:extent cx="5232400" cy="23368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7A2E" w14:textId="1B0571CB" w:rsidR="00B81673" w:rsidRDefault="00B81673" w:rsidP="00B8167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Figure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3. </w:t>
      </w:r>
      <w:r>
        <w:rPr>
          <w:rFonts w:ascii="Times New Roman" w:eastAsia="TimesNewRomanPSMT" w:hAnsi="Times New Roman" w:cs="Times New Roman"/>
          <w:color w:val="000000"/>
          <w:kern w:val="0"/>
          <w:szCs w:val="21"/>
          <w:lang w:bidi="ar"/>
        </w:rPr>
        <w:t xml:space="preserve">GO classification of differentially expressed genes. </w:t>
      </w: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0FCF3D49" w14:textId="77777777" w:rsidR="00B81673" w:rsidRDefault="00B81673" w:rsidP="00B81673">
      <w:pPr>
        <w:jc w:val="center"/>
        <w:rPr>
          <w:rFonts w:ascii="Times New Roman" w:eastAsia="宋体" w:hAnsi="Times New Roman" w:cs="Times New Roman"/>
          <w:szCs w:val="21"/>
        </w:rPr>
      </w:pPr>
    </w:p>
    <w:p w14:paraId="1C6ED5B0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6308954E" w14:textId="77777777" w:rsidR="00B81673" w:rsidRDefault="00B81673" w:rsidP="00B8167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5B54BF67" w14:textId="272C1B5A" w:rsidR="00B81673" w:rsidRDefault="00B81673" w:rsidP="00B816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440F41" wp14:editId="64C6515C">
            <wp:extent cx="5274310" cy="18707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CC1A" w14:textId="3AEB47DF" w:rsidR="00B81673" w:rsidRDefault="00B81673" w:rsidP="00B81673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 xml:space="preserve">Supplementary Figure </w:t>
      </w:r>
      <w:r w:rsidR="00491BF0"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S</w:t>
      </w:r>
      <w:r>
        <w:rPr>
          <w:rFonts w:ascii="Times New Roman" w:eastAsia="TimesNewRomanPS-BoldMT" w:hAnsi="Times New Roman" w:cs="Times New Roman"/>
          <w:b/>
          <w:color w:val="000000"/>
          <w:kern w:val="0"/>
          <w:szCs w:val="21"/>
          <w:lang w:bidi="ar"/>
        </w:rPr>
        <w:t>4.</w:t>
      </w:r>
      <w:r>
        <w:rPr>
          <w:rFonts w:ascii="Times New Roman" w:eastAsia="TimesNewRomanPS-BoldMT" w:hAnsi="Times New Roman" w:cs="Times New Roman"/>
          <w:bCs/>
          <w:color w:val="000000"/>
          <w:kern w:val="0"/>
          <w:szCs w:val="21"/>
          <w:lang w:bidi="ar"/>
        </w:rPr>
        <w:t xml:space="preserve"> COG functional classification of differentially expressed genes. </w:t>
      </w: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7385DAAF" w14:textId="77777777" w:rsidR="00B81673" w:rsidRDefault="00B81673" w:rsidP="00B81673">
      <w:pPr>
        <w:jc w:val="center"/>
        <w:rPr>
          <w:rFonts w:ascii="Times New Roman" w:hAnsi="Times New Roman" w:cs="Times New Roman"/>
        </w:rPr>
      </w:pPr>
    </w:p>
    <w:p w14:paraId="71235239" w14:textId="77777777" w:rsidR="00B81673" w:rsidRDefault="00B81673" w:rsidP="00B81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73164F36" w14:textId="165F011D" w:rsidR="00B81673" w:rsidRDefault="00B81673" w:rsidP="00B81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20A17B7" wp14:editId="6D4BF766">
            <wp:extent cx="5274310" cy="3880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9CA39" w14:textId="6F3108A8" w:rsidR="00B81673" w:rsidRDefault="00B81673" w:rsidP="00B81673">
      <w:pPr>
        <w:widowControl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Supplementary Figure </w:t>
      </w:r>
      <w:r w:rsidR="00491BF0">
        <w:rPr>
          <w:rFonts w:ascii="Times New Roman" w:hAnsi="Times New Roman" w:cs="Times New Roman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 xml:space="preserve">5. </w:t>
      </w:r>
      <w:r>
        <w:rPr>
          <w:rFonts w:ascii="Times New Roman" w:hAnsi="Times New Roman" w:cs="Times New Roman"/>
          <w:szCs w:val="21"/>
        </w:rPr>
        <w:t xml:space="preserve">Expression of representative genes validated by qRT-PCR in barnyard grass stems and leaves of CK, LF and HF. </w:t>
      </w:r>
      <w:r>
        <w:rPr>
          <w:rFonts w:ascii="Times New Roman" w:eastAsia="宋体" w:hAnsi="Times New Roman" w:cs="Times New Roman"/>
          <w:szCs w:val="21"/>
        </w:rPr>
        <w:t>CK: the blank control group (0 g/L FA), LF: the low concentration group (0.02 g/L FA), HF: the high concentration group (0.8 g/L FA).</w:t>
      </w:r>
    </w:p>
    <w:p w14:paraId="58FFAD12" w14:textId="77777777" w:rsidR="00B81673" w:rsidRDefault="00B81673" w:rsidP="00B81673">
      <w:pPr>
        <w:widowControl/>
        <w:jc w:val="center"/>
        <w:rPr>
          <w:rFonts w:ascii="Times New Roman" w:hAnsi="Times New Roman" w:cs="Times New Roman"/>
          <w:szCs w:val="21"/>
        </w:rPr>
      </w:pPr>
    </w:p>
    <w:p w14:paraId="639F6680" w14:textId="77777777" w:rsidR="00B81673" w:rsidRDefault="00B81673" w:rsidP="00B81673">
      <w:pPr>
        <w:rPr>
          <w:rFonts w:ascii="Times New Roman" w:hAnsi="Times New Roman" w:cs="Times New Roman"/>
        </w:rPr>
      </w:pPr>
    </w:p>
    <w:p w14:paraId="752C29F8" w14:textId="77777777" w:rsidR="00B81673" w:rsidRDefault="00B81673" w:rsidP="00B81673">
      <w:pPr>
        <w:widowControl/>
        <w:jc w:val="left"/>
        <w:rPr>
          <w:rFonts w:ascii="Times New Roman" w:eastAsiaTheme="minorEastAsia" w:hAnsi="Times New Roman" w:cs="Times New Roman"/>
        </w:rPr>
      </w:pPr>
    </w:p>
    <w:p w14:paraId="225CE00C" w14:textId="77777777" w:rsidR="00641874" w:rsidRPr="00B81673" w:rsidRDefault="00641874"/>
    <w:sectPr w:rsidR="00641874" w:rsidRPr="00B8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C659" w14:textId="77777777" w:rsidR="00D63E39" w:rsidRDefault="00D63E39" w:rsidP="00491BF0">
      <w:r>
        <w:separator/>
      </w:r>
    </w:p>
  </w:endnote>
  <w:endnote w:type="continuationSeparator" w:id="0">
    <w:p w14:paraId="52604DC6" w14:textId="77777777" w:rsidR="00D63E39" w:rsidRDefault="00D63E39" w:rsidP="004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Arial-BoldMT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66D7B" w14:textId="77777777" w:rsidR="00D63E39" w:rsidRDefault="00D63E39" w:rsidP="00491BF0">
      <w:r>
        <w:separator/>
      </w:r>
    </w:p>
  </w:footnote>
  <w:footnote w:type="continuationSeparator" w:id="0">
    <w:p w14:paraId="5A0D2E54" w14:textId="77777777" w:rsidR="00D63E39" w:rsidRDefault="00D63E39" w:rsidP="0049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A7"/>
    <w:rsid w:val="000B42A7"/>
    <w:rsid w:val="00491BF0"/>
    <w:rsid w:val="00641874"/>
    <w:rsid w:val="00B81673"/>
    <w:rsid w:val="00D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FAF3"/>
  <w15:chartTrackingRefBased/>
  <w15:docId w15:val="{FE22D756-789F-480F-A273-0A43AAC0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73"/>
    <w:pPr>
      <w:widowControl w:val="0"/>
      <w:jc w:val="both"/>
    </w:pPr>
    <w:rPr>
      <w:rFonts w:eastAsia="Times New Roman"/>
      <w:szCs w:val="24"/>
    </w:rPr>
  </w:style>
  <w:style w:type="paragraph" w:styleId="1">
    <w:name w:val="heading 1"/>
    <w:basedOn w:val="a"/>
    <w:next w:val="a"/>
    <w:link w:val="10"/>
    <w:qFormat/>
    <w:rsid w:val="00B8167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81673"/>
    <w:rPr>
      <w:rFonts w:ascii="宋体" w:eastAsia="宋体" w:hAnsi="宋体" w:cs="Times New Roman"/>
      <w:b/>
      <w:kern w:val="44"/>
      <w:sz w:val="48"/>
      <w:szCs w:val="48"/>
    </w:rPr>
  </w:style>
  <w:style w:type="table" w:styleId="a3">
    <w:name w:val="Table Grid"/>
    <w:basedOn w:val="a1"/>
    <w:qFormat/>
    <w:rsid w:val="00B816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qFormat/>
    <w:rsid w:val="00B816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1BF0"/>
    <w:rPr>
      <w:rFonts w:eastAsia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1BF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shangfeng</dc:creator>
  <cp:keywords/>
  <dc:description/>
  <cp:lastModifiedBy>zhou shangfeng</cp:lastModifiedBy>
  <cp:revision>4</cp:revision>
  <dcterms:created xsi:type="dcterms:W3CDTF">2020-09-03T07:02:00Z</dcterms:created>
  <dcterms:modified xsi:type="dcterms:W3CDTF">2020-09-26T13:03:00Z</dcterms:modified>
</cp:coreProperties>
</file>