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29FC" w14:textId="7DC38179" w:rsidR="00A53AA7" w:rsidRDefault="00A53AA7" w:rsidP="00A53AA7">
      <w:pPr>
        <w:rPr>
          <w:rFonts w:ascii="Times New Roman" w:hAnsi="Times New Roman" w:cs="Times New Roman"/>
          <w:sz w:val="24"/>
          <w:szCs w:val="24"/>
        </w:rPr>
      </w:pPr>
      <w:bookmarkStart w:id="0" w:name="_Toc90043877"/>
      <w:r>
        <w:rPr>
          <w:rFonts w:ascii="Times New Roman" w:hAnsi="Times New Roman" w:cs="Times New Roman"/>
          <w:sz w:val="24"/>
          <w:szCs w:val="24"/>
        </w:rPr>
        <w:t>Supplemental Figures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53AA7" w:rsidRPr="00332E74" w14:paraId="08C47A37" w14:textId="77777777" w:rsidTr="008758E7">
        <w:tc>
          <w:tcPr>
            <w:tcW w:w="9350" w:type="dxa"/>
          </w:tcPr>
          <w:bookmarkEnd w:id="0"/>
          <w:p w14:paraId="4382B772" w14:textId="1AEEB70A" w:rsidR="00A53AA7" w:rsidRPr="00332E74" w:rsidRDefault="00685CD2" w:rsidP="00E42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noProof/>
              </w:rPr>
              <w:drawing>
                <wp:inline distT="0" distB="0" distL="0" distR="0" wp14:anchorId="52F0B1B4" wp14:editId="601739EA">
                  <wp:extent cx="4805252" cy="3432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280" cy="344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AA7" w:rsidRPr="00332E74" w14:paraId="069311A0" w14:textId="77777777" w:rsidTr="008758E7">
        <w:tc>
          <w:tcPr>
            <w:tcW w:w="9350" w:type="dxa"/>
          </w:tcPr>
          <w:p w14:paraId="749155BC" w14:textId="402D6E23" w:rsidR="00A53AA7" w:rsidRPr="00332E74" w:rsidRDefault="00E4218B" w:rsidP="00E42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FA4D3E0" wp14:editId="50339BFD">
                  <wp:extent cx="4805365" cy="343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329" cy="344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7D235" w14:textId="2F444BEA" w:rsidR="00BB32A9" w:rsidRDefault="00A53AA7" w:rsidP="00A53AA7">
      <w:pPr>
        <w:spacing w:after="200" w:line="240" w:lineRule="auto"/>
      </w:pPr>
      <w:bookmarkStart w:id="1" w:name="_Toc90043960"/>
      <w:r w:rsidRPr="00911696">
        <w:rPr>
          <w:rFonts w:ascii="Times New Roman" w:hAnsi="Times New Roman" w:cs="Times New Roman"/>
          <w:b/>
          <w:sz w:val="24"/>
          <w:szCs w:val="24"/>
        </w:rPr>
        <w:t>Supplemental Figure 1</w:t>
      </w:r>
      <w:r w:rsidRPr="00332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32E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332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-metolachlor dose–response studies, of parental Palmer amaranth populations collected in 2017 in Mississippi and Arkansas, conducted in the greenhouse at the </w:t>
      </w:r>
      <w:bookmarkStart w:id="2" w:name="_GoBack"/>
      <w:bookmarkEnd w:id="2"/>
      <w:r w:rsidRPr="00332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E74">
        <w:rPr>
          <w:rFonts w:ascii="Times New Roman" w:hAnsi="Times New Roman" w:cs="Times New Roman"/>
          <w:color w:val="000000" w:themeColor="text1"/>
          <w:sz w:val="24"/>
          <w:szCs w:val="24"/>
        </w:rPr>
        <w:t>Shult</w:t>
      </w:r>
      <w:proofErr w:type="spellEnd"/>
      <w:r w:rsidRPr="00332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Agricultural Research &amp; Extension Center (University of Arkansas, Fayetteville, USA). Data were fit using a three-parameter log-logistic equation. Error bars represent </w:t>
      </w:r>
      <w:r w:rsidR="00E4218B" w:rsidRPr="00DE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Palmer amaranth </w:t>
      </w:r>
      <w:r w:rsidR="00E4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%survival </w:t>
      </w:r>
      <w:r w:rsidR="00E4218B" w:rsidRPr="00DE1244">
        <w:rPr>
          <w:rFonts w:ascii="Times New Roman" w:hAnsi="Times New Roman" w:cs="Times New Roman"/>
          <w:color w:val="000000" w:themeColor="text1"/>
          <w:sz w:val="24"/>
          <w:szCs w:val="24"/>
        </w:rPr>
        <w:t>associated standard errors</w:t>
      </w:r>
      <w:r w:rsidR="00E4218B" w:rsidRPr="00332E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B32A9" w:rsidSect="006143A7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A7"/>
    <w:rsid w:val="00685CD2"/>
    <w:rsid w:val="008758E7"/>
    <w:rsid w:val="00A53AA7"/>
    <w:rsid w:val="00BF2D7B"/>
    <w:rsid w:val="00C66584"/>
    <w:rsid w:val="00CF5F17"/>
    <w:rsid w:val="00DB2D6D"/>
    <w:rsid w:val="00E4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6FFD"/>
  <w15:chartTrackingRefBased/>
  <w15:docId w15:val="{74552769-EDF5-4604-A47D-CC5DC4A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5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Roma Burgos</dc:creator>
  <cp:keywords/>
  <dc:description/>
  <cp:lastModifiedBy>Nilda Roma Burgos</cp:lastModifiedBy>
  <cp:revision>5</cp:revision>
  <dcterms:created xsi:type="dcterms:W3CDTF">2021-12-30T17:35:00Z</dcterms:created>
  <dcterms:modified xsi:type="dcterms:W3CDTF">2022-04-16T15:15:00Z</dcterms:modified>
</cp:coreProperties>
</file>