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260CE" w14:textId="044F3D31" w:rsidR="007E7E5D" w:rsidRPr="007E7E5D" w:rsidRDefault="007E7E5D" w:rsidP="00EB0312">
      <w:pPr>
        <w:shd w:val="clear" w:color="auto" w:fill="FFFFFF"/>
        <w:spacing w:after="180" w:line="276" w:lineRule="auto"/>
        <w:rPr>
          <w:rFonts w:ascii="Times New Roman" w:eastAsia="Times New Roman" w:hAnsi="Times New Roman" w:cs="Times New Roman"/>
          <w:b/>
          <w:bCs/>
          <w:color w:val="242424"/>
          <w:bdr w:val="none" w:sz="0" w:space="0" w:color="auto" w:frame="1"/>
        </w:rPr>
      </w:pPr>
      <w:r w:rsidRPr="007E7E5D">
        <w:rPr>
          <w:rFonts w:ascii="Times New Roman" w:eastAsia="Times New Roman" w:hAnsi="Times New Roman" w:cs="Times New Roman"/>
          <w:b/>
          <w:bCs/>
          <w:color w:val="242424"/>
          <w:bdr w:val="none" w:sz="0" w:space="0" w:color="auto" w:frame="1"/>
        </w:rPr>
        <w:t>Table S1. Populations of </w:t>
      </w:r>
      <w:r w:rsidRPr="007E7E5D">
        <w:rPr>
          <w:rFonts w:ascii="Times New Roman" w:eastAsia="Times New Roman" w:hAnsi="Times New Roman" w:cs="Times New Roman"/>
          <w:b/>
          <w:bCs/>
          <w:i/>
          <w:iCs/>
          <w:color w:val="242424"/>
          <w:bdr w:val="none" w:sz="0" w:space="0" w:color="auto" w:frame="1"/>
        </w:rPr>
        <w:t xml:space="preserve">Amaranthus </w:t>
      </w:r>
      <w:proofErr w:type="spellStart"/>
      <w:r w:rsidRPr="007E7E5D">
        <w:rPr>
          <w:rFonts w:ascii="Times New Roman" w:eastAsia="Times New Roman" w:hAnsi="Times New Roman" w:cs="Times New Roman"/>
          <w:b/>
          <w:bCs/>
          <w:i/>
          <w:iCs/>
          <w:color w:val="242424"/>
          <w:bdr w:val="none" w:sz="0" w:space="0" w:color="auto" w:frame="1"/>
        </w:rPr>
        <w:t>tuberculatus</w:t>
      </w:r>
      <w:proofErr w:type="spellEnd"/>
      <w:r w:rsidR="00EB0312">
        <w:rPr>
          <w:rFonts w:ascii="Times New Roman" w:eastAsia="Times New Roman" w:hAnsi="Times New Roman" w:cs="Times New Roman"/>
          <w:b/>
          <w:bCs/>
          <w:iCs/>
          <w:color w:val="242424"/>
          <w:bdr w:val="none" w:sz="0" w:space="0" w:color="auto" w:frame="1"/>
        </w:rPr>
        <w:t>,</w:t>
      </w:r>
      <w:r w:rsidRPr="007E7E5D">
        <w:rPr>
          <w:rFonts w:ascii="Times New Roman" w:eastAsia="Times New Roman" w:hAnsi="Times New Roman" w:cs="Times New Roman"/>
          <w:b/>
          <w:bCs/>
          <w:color w:val="242424"/>
          <w:bdr w:val="none" w:sz="0" w:space="0" w:color="auto" w:frame="1"/>
        </w:rPr>
        <w:t> including their pedigree and designation</w:t>
      </w:r>
      <w:r w:rsidR="00EB0312">
        <w:rPr>
          <w:rFonts w:ascii="Times New Roman" w:eastAsia="Times New Roman" w:hAnsi="Times New Roman" w:cs="Times New Roman"/>
          <w:b/>
          <w:bCs/>
          <w:color w:val="242424"/>
          <w:bdr w:val="none" w:sz="0" w:space="0" w:color="auto" w:frame="1"/>
        </w:rPr>
        <w:t>,</w:t>
      </w:r>
      <w:r w:rsidRPr="007E7E5D">
        <w:rPr>
          <w:rFonts w:ascii="Times New Roman" w:eastAsia="Times New Roman" w:hAnsi="Times New Roman" w:cs="Times New Roman"/>
          <w:b/>
          <w:bCs/>
          <w:color w:val="242424"/>
          <w:bdr w:val="none" w:sz="0" w:space="0" w:color="auto" w:frame="1"/>
        </w:rPr>
        <w:t xml:space="preserve"> used in this study.</w:t>
      </w:r>
      <w:r w:rsidR="00EB0312">
        <w:rPr>
          <w:rFonts w:ascii="Times New Roman" w:eastAsia="Times New Roman" w:hAnsi="Times New Roman" w:cs="Times New Roman"/>
          <w:b/>
          <w:bCs/>
          <w:color w:val="242424"/>
          <w:bdr w:val="none" w:sz="0" w:space="0" w:color="auto" w:frame="1"/>
        </w:rPr>
        <w:t xml:space="preserve"> </w:t>
      </w:r>
    </w:p>
    <w:p w14:paraId="5A81EC4B" w14:textId="77777777" w:rsidR="007E7E5D" w:rsidRPr="007E7E5D" w:rsidRDefault="007E7E5D" w:rsidP="007E7E5D">
      <w:pPr>
        <w:shd w:val="clear" w:color="auto" w:fill="FFFFFF"/>
        <w:rPr>
          <w:rFonts w:ascii="Times New Roman" w:eastAsia="Times New Roman" w:hAnsi="Times New Roman" w:cs="Times New Roman"/>
          <w:color w:val="242424"/>
          <w:sz w:val="16"/>
          <w:szCs w:val="1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0"/>
        <w:gridCol w:w="1927"/>
        <w:gridCol w:w="1769"/>
        <w:gridCol w:w="1568"/>
        <w:gridCol w:w="2455"/>
      </w:tblGrid>
      <w:tr w:rsidR="007E7E5D" w:rsidRPr="007E7E5D" w14:paraId="480E7A5C" w14:textId="77777777" w:rsidTr="007E7E5D">
        <w:trPr>
          <w:trHeight w:val="631"/>
        </w:trPr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876E2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>Population Name</w:t>
            </w:r>
          </w:p>
        </w:tc>
        <w:tc>
          <w:tcPr>
            <w:tcW w:w="1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590D8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>Source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29905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>Generation Number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51389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>Line Number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B2386" w14:textId="573A70E9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>Designation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>s</w:t>
            </w:r>
            <w:r w:rsidRPr="007E7E5D">
              <w:rPr>
                <w:rFonts w:ascii="Times New Roman" w:eastAsia="Times New Roman" w:hAnsi="Times New Roman" w:cs="Times New Roman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 xml:space="preserve"> in manuscript</w:t>
            </w:r>
          </w:p>
        </w:tc>
      </w:tr>
      <w:tr w:rsidR="007E7E5D" w:rsidRPr="007E7E5D" w14:paraId="2A723979" w14:textId="77777777" w:rsidTr="007E7E5D">
        <w:trPr>
          <w:trHeight w:val="319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8FB7A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SIR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a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47247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Stanford, IL USA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0EA7A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03E9C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NA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EBCEB" w14:textId="54FB3B32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 xml:space="preserve">Sub-population derived from the original MCR; </w:t>
            </w:r>
            <w:r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o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 xml:space="preserve">riginal </w:t>
            </w:r>
            <w:r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 xml:space="preserve">ield </w:t>
            </w:r>
            <w:r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p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opulation; MHR </w:t>
            </w:r>
            <w:r w:rsidRPr="007E7E5D">
              <w:rPr>
                <w:rFonts w:ascii="Times New Roman" w:eastAsia="Times New Roman" w:hAnsi="Times New Roman" w:cs="Times New Roman"/>
                <w:i/>
                <w:iCs/>
                <w:color w:val="242424"/>
                <w:sz w:val="22"/>
                <w:szCs w:val="22"/>
                <w:bdr w:val="none" w:sz="0" w:space="0" w:color="auto" w:frame="1"/>
              </w:rPr>
              <w:t xml:space="preserve">A. </w:t>
            </w:r>
            <w:proofErr w:type="spellStart"/>
            <w:r w:rsidRPr="007E7E5D">
              <w:rPr>
                <w:rFonts w:ascii="Times New Roman" w:eastAsia="Times New Roman" w:hAnsi="Times New Roman" w:cs="Times New Roman"/>
                <w:i/>
                <w:iCs/>
                <w:color w:val="242424"/>
                <w:sz w:val="22"/>
                <w:szCs w:val="22"/>
                <w:bdr w:val="none" w:sz="0" w:space="0" w:color="auto" w:frame="1"/>
              </w:rPr>
              <w:t>tuberculatus</w:t>
            </w:r>
            <w:proofErr w:type="spellEnd"/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 population</w:t>
            </w:r>
            <w:r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 xml:space="preserve"> </w:t>
            </w:r>
          </w:p>
        </w:tc>
      </w:tr>
      <w:tr w:rsidR="007E7E5D" w:rsidRPr="007E7E5D" w14:paraId="5C1DF8D7" w14:textId="77777777" w:rsidTr="007E7E5D">
        <w:trPr>
          <w:trHeight w:val="631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38FF9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SEN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a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74C6D" w14:textId="24D6C636" w:rsidR="007E7E5D" w:rsidRPr="007E7E5D" w:rsidRDefault="00094DBA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proofErr w:type="spellStart"/>
            <w:r w:rsidRPr="00094DBA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Herbiseed</w:t>
            </w:r>
            <w:proofErr w:type="spellEnd"/>
            <w:r w:rsidRPr="00094DBA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 xml:space="preserve">, </w:t>
            </w:r>
            <w:proofErr w:type="spellStart"/>
            <w:r w:rsidRPr="00094DBA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Twyford</w:t>
            </w:r>
            <w:proofErr w:type="spellEnd"/>
            <w:r w:rsidR="007E7E5D"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, UK</w:t>
            </w:r>
            <w:r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094DBA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e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BCCF0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1D6C6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NA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93DA0" w14:textId="4EDC4E4F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VLCFA</w:t>
            </w:r>
            <w:r w:rsidR="00A57DAB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*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 xml:space="preserve"> inhibiting herbicide-sensitive population; 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sensitive population; sensitive parent</w:t>
            </w:r>
          </w:p>
        </w:tc>
      </w:tr>
      <w:tr w:rsidR="007E7E5D" w:rsidRPr="007E7E5D" w14:paraId="572723DF" w14:textId="77777777" w:rsidTr="007E7E5D">
        <w:trPr>
          <w:trHeight w:val="319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04885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1 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AC5D3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SIR × SIR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3E945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1 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c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8F00E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NA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E29D2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1-1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,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1-2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,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1-3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,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1-4</w:t>
            </w:r>
          </w:p>
        </w:tc>
      </w:tr>
      <w:tr w:rsidR="007E7E5D" w:rsidRPr="007E7E5D" w14:paraId="6BC252D8" w14:textId="77777777" w:rsidTr="007E7E5D">
        <w:trPr>
          <w:trHeight w:val="312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7FFE6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0E4E2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1 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×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99322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c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E61CE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NA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B0F9B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2-1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,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2-2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,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2-3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,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2-4</w:t>
            </w:r>
          </w:p>
        </w:tc>
      </w:tr>
      <w:tr w:rsidR="007E7E5D" w:rsidRPr="007E7E5D" w14:paraId="045802EE" w14:textId="77777777" w:rsidTr="007E7E5D">
        <w:trPr>
          <w:trHeight w:val="319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128C0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50006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×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EE1D0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3 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c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9B750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NA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A4E3C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3-1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,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3-2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,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3-3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,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3-4</w:t>
            </w:r>
          </w:p>
        </w:tc>
      </w:tr>
      <w:tr w:rsidR="007E7E5D" w:rsidRPr="007E7E5D" w14:paraId="4AFF151F" w14:textId="77777777" w:rsidTr="002C3134">
        <w:trPr>
          <w:trHeight w:val="376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5219A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3-1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6F32E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2-1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×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BE435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3 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c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E9D72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AF03C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3-1</w:t>
            </w:r>
          </w:p>
        </w:tc>
      </w:tr>
      <w:tr w:rsidR="007E7E5D" w:rsidRPr="007E7E5D" w14:paraId="1B3552F8" w14:textId="77777777" w:rsidTr="007E7E5D">
        <w:trPr>
          <w:trHeight w:val="319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A329C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4572C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×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11E48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3 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c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38E31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2C612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3-2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; resistant </w:t>
            </w:r>
            <w:r w:rsidRPr="007E7E5D">
              <w:rPr>
                <w:rFonts w:ascii="Times New Roman" w:eastAsia="Times New Roman" w:hAnsi="Times New Roman" w:cs="Times New Roman"/>
                <w:i/>
                <w:iCs/>
                <w:color w:val="242424"/>
                <w:sz w:val="22"/>
                <w:szCs w:val="22"/>
                <w:bdr w:val="none" w:sz="0" w:space="0" w:color="auto" w:frame="1"/>
              </w:rPr>
              <w:t xml:space="preserve">A. </w:t>
            </w:r>
            <w:proofErr w:type="spellStart"/>
            <w:r w:rsidRPr="007E7E5D">
              <w:rPr>
                <w:rFonts w:ascii="Times New Roman" w:eastAsia="Times New Roman" w:hAnsi="Times New Roman" w:cs="Times New Roman"/>
                <w:i/>
                <w:iCs/>
                <w:color w:val="242424"/>
                <w:sz w:val="22"/>
                <w:szCs w:val="22"/>
                <w:bdr w:val="none" w:sz="0" w:space="0" w:color="auto" w:frame="1"/>
              </w:rPr>
              <w:t>tuberculatus</w:t>
            </w:r>
            <w:proofErr w:type="spellEnd"/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 parent; 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R×R parent; R parent</w:t>
            </w:r>
          </w:p>
        </w:tc>
      </w:tr>
      <w:tr w:rsidR="007E7E5D" w:rsidRPr="007E7E5D" w14:paraId="433CFA79" w14:textId="77777777" w:rsidTr="002C3134">
        <w:trPr>
          <w:trHeight w:val="457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CB0EF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3-3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CAD8B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2-3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×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A9CD7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3 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c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FBACC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E0404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3-3</w:t>
            </w:r>
          </w:p>
        </w:tc>
      </w:tr>
      <w:tr w:rsidR="007E7E5D" w:rsidRPr="007E7E5D" w14:paraId="3B69B61D" w14:textId="77777777" w:rsidTr="002C3134">
        <w:trPr>
          <w:trHeight w:val="430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1D8D0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3-4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769C5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2-4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× 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2-4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18BF9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3 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c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3AE64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6117C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3-4</w:t>
            </w:r>
          </w:p>
        </w:tc>
      </w:tr>
      <w:tr w:rsidR="007E7E5D" w:rsidRPr="007E7E5D" w14:paraId="25C61446" w14:textId="77777777" w:rsidTr="002C3134">
        <w:trPr>
          <w:trHeight w:val="430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C37F2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B2EB4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bscript"/>
              </w:rPr>
              <w:t>3-2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× 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SEN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BAFE5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1 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d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7AB72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NA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92AA8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; paternal 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</w:tr>
      <w:tr w:rsidR="007E7E5D" w:rsidRPr="007E7E5D" w14:paraId="045C4978" w14:textId="77777777" w:rsidTr="002C3134">
        <w:trPr>
          <w:trHeight w:val="439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47F79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B07B8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SEN × 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DK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3-2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3F19C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1 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d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8F0BA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NA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7B736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; maternal 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</w:tr>
      <w:tr w:rsidR="007E7E5D" w:rsidRPr="007E7E5D" w14:paraId="3EE7278A" w14:textId="77777777" w:rsidTr="002C3134">
        <w:trPr>
          <w:trHeight w:val="430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3292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-1 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FEACD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 × 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F7331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c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30BE6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C3C04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; paternal 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</w:tr>
      <w:tr w:rsidR="007E7E5D" w:rsidRPr="007E7E5D" w14:paraId="711A359B" w14:textId="77777777" w:rsidTr="002C3134">
        <w:trPr>
          <w:trHeight w:val="430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4BAEA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37E6C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 × 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BFCA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c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B77F4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5C818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; paternal 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</w:tr>
      <w:tr w:rsidR="007E7E5D" w:rsidRPr="007E7E5D" w14:paraId="44229F57" w14:textId="77777777" w:rsidTr="002C3134">
        <w:trPr>
          <w:trHeight w:val="340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762F0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-1 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B4CC2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 × 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C7177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c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9A48B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A38D2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; maternal 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</w:tr>
      <w:tr w:rsidR="007E7E5D" w:rsidRPr="007E7E5D" w14:paraId="627C1951" w14:textId="77777777" w:rsidTr="007E7E5D">
        <w:trPr>
          <w:trHeight w:val="312"/>
        </w:trPr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79848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b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9ED86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 × 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♂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A391F" w14:textId="77777777" w:rsidR="007E7E5D" w:rsidRPr="007E7E5D" w:rsidRDefault="007E7E5D" w:rsidP="007E7E5D">
            <w:pPr>
              <w:jc w:val="center"/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2 </w:t>
            </w: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  <w:vertAlign w:val="superscript"/>
              </w:rPr>
              <w:t>c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E3573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242424"/>
                <w:sz w:val="22"/>
                <w:szCs w:val="22"/>
                <w:bdr w:val="none" w:sz="0" w:space="0" w:color="auto" w:frame="1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558CB" w14:textId="77777777" w:rsidR="007E7E5D" w:rsidRPr="007E7E5D" w:rsidRDefault="007E7E5D" w:rsidP="007E7E5D">
            <w:pPr>
              <w:rPr>
                <w:rFonts w:ascii="Calibri" w:eastAsia="Times New Roman" w:hAnsi="Calibri" w:cs="Calibri"/>
                <w:color w:val="242424"/>
                <w:sz w:val="22"/>
                <w:szCs w:val="22"/>
              </w:rPr>
            </w:pP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-</w:t>
            </w:r>
            <w:r w:rsidRPr="007E7E5D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 w:frame="1"/>
              </w:rPr>
              <w:t>♀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>; maternal F</w:t>
            </w:r>
            <w:r w:rsidRPr="007E7E5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</w:tr>
    </w:tbl>
    <w:p w14:paraId="4DE433C2" w14:textId="77777777" w:rsidR="007E7E5D" w:rsidRPr="007E7E5D" w:rsidRDefault="007E7E5D" w:rsidP="007E7E5D">
      <w:pPr>
        <w:shd w:val="clear" w:color="auto" w:fill="FFFFFF"/>
        <w:rPr>
          <w:rFonts w:ascii="Calibri" w:eastAsia="Times New Roman" w:hAnsi="Calibri" w:cs="Calibri"/>
          <w:color w:val="242424"/>
          <w:sz w:val="22"/>
          <w:szCs w:val="22"/>
        </w:rPr>
      </w:pPr>
      <w:r w:rsidRPr="007E7E5D">
        <w:rPr>
          <w:rFonts w:ascii="Times New Roman" w:eastAsia="Times New Roman" w:hAnsi="Times New Roman" w:cs="Times New Roman"/>
          <w:color w:val="242424"/>
          <w:sz w:val="22"/>
          <w:szCs w:val="22"/>
          <w:bdr w:val="none" w:sz="0" w:space="0" w:color="auto" w:frame="1"/>
        </w:rPr>
        <w:t> </w:t>
      </w:r>
    </w:p>
    <w:p w14:paraId="46A27291" w14:textId="4129AAA1" w:rsidR="007E7E5D" w:rsidRPr="007E7E5D" w:rsidRDefault="007E7E5D" w:rsidP="002C3134">
      <w:pPr>
        <w:shd w:val="clear" w:color="auto" w:fill="FFFFFF"/>
        <w:spacing w:line="276" w:lineRule="auto"/>
        <w:rPr>
          <w:rFonts w:ascii="Calibri" w:eastAsia="Times New Roman" w:hAnsi="Calibri" w:cs="Calibri"/>
          <w:color w:val="242424"/>
        </w:rPr>
      </w:pP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  <w:vertAlign w:val="superscript"/>
        </w:rPr>
        <w:t>a </w:t>
      </w:r>
      <w:r w:rsidRPr="00A57DAB">
        <w:rPr>
          <w:rFonts w:ascii="Times New Roman" w:eastAsia="Times New Roman" w:hAnsi="Times New Roman" w:cs="Times New Roman"/>
          <w:color w:val="242424"/>
          <w:bdr w:val="none" w:sz="0" w:space="0" w:color="auto" w:frame="1"/>
          <w:vertAlign w:val="superscript"/>
        </w:rPr>
        <w:t xml:space="preserve"> </w:t>
      </w:r>
      <w:r w:rsidR="00EB0312">
        <w:rPr>
          <w:rFonts w:ascii="Times New Roman" w:eastAsia="Times New Roman" w:hAnsi="Times New Roman" w:cs="Times New Roman"/>
          <w:color w:val="242424"/>
          <w:bdr w:val="none" w:sz="0" w:space="0" w:color="auto" w:frame="1"/>
          <w:vertAlign w:val="superscript"/>
        </w:rPr>
        <w:t xml:space="preserve"> </w:t>
      </w: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Refers to </w:t>
      </w:r>
      <w:r w:rsidR="00EB0312" w:rsidRPr="00A57DAB">
        <w:rPr>
          <w:rFonts w:ascii="Times New Roman" w:eastAsia="Times New Roman" w:hAnsi="Times New Roman" w:cs="Times New Roman"/>
          <w:iCs/>
          <w:color w:val="242424"/>
          <w:bdr w:val="none" w:sz="0" w:space="0" w:color="auto" w:frame="1"/>
        </w:rPr>
        <w:t>seed collected</w:t>
      </w:r>
      <w:r w:rsidR="00EB0312"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</w:t>
      </w:r>
      <w:r w:rsidR="00EB0312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from </w:t>
      </w: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field populations of </w:t>
      </w:r>
      <w:r w:rsidRPr="007E7E5D">
        <w:rPr>
          <w:rFonts w:ascii="Times New Roman" w:eastAsia="Times New Roman" w:hAnsi="Times New Roman" w:cs="Times New Roman"/>
          <w:i/>
          <w:iCs/>
          <w:color w:val="242424"/>
          <w:bdr w:val="none" w:sz="0" w:space="0" w:color="auto" w:frame="1"/>
        </w:rPr>
        <w:t xml:space="preserve">A. </w:t>
      </w:r>
      <w:proofErr w:type="spellStart"/>
      <w:r w:rsidRPr="007E7E5D">
        <w:rPr>
          <w:rFonts w:ascii="Times New Roman" w:eastAsia="Times New Roman" w:hAnsi="Times New Roman" w:cs="Times New Roman"/>
          <w:i/>
          <w:iCs/>
          <w:color w:val="242424"/>
          <w:bdr w:val="none" w:sz="0" w:space="0" w:color="auto" w:frame="1"/>
        </w:rPr>
        <w:t>tuberculatus</w:t>
      </w:r>
      <w:proofErr w:type="spellEnd"/>
      <w:r w:rsidRPr="007E7E5D">
        <w:rPr>
          <w:rFonts w:ascii="Times New Roman" w:eastAsia="Times New Roman" w:hAnsi="Times New Roman" w:cs="Times New Roman"/>
          <w:i/>
          <w:iCs/>
          <w:color w:val="242424"/>
          <w:bdr w:val="none" w:sz="0" w:space="0" w:color="auto" w:frame="1"/>
        </w:rPr>
        <w:t>.</w:t>
      </w:r>
      <w:r w:rsidRPr="00A57DAB">
        <w:rPr>
          <w:rFonts w:ascii="Times New Roman" w:eastAsia="Times New Roman" w:hAnsi="Times New Roman" w:cs="Times New Roman"/>
          <w:iCs/>
          <w:color w:val="242424"/>
          <w:bdr w:val="none" w:sz="0" w:space="0" w:color="auto" w:frame="1"/>
        </w:rPr>
        <w:t xml:space="preserve"> </w:t>
      </w:r>
    </w:p>
    <w:p w14:paraId="6111FD64" w14:textId="57E25EE0" w:rsidR="007E7E5D" w:rsidRPr="007E7E5D" w:rsidRDefault="007E7E5D" w:rsidP="002C3134">
      <w:pPr>
        <w:shd w:val="clear" w:color="auto" w:fill="FFFFFF"/>
        <w:spacing w:line="276" w:lineRule="auto"/>
        <w:rPr>
          <w:rFonts w:ascii="Calibri" w:eastAsia="Times New Roman" w:hAnsi="Calibri" w:cs="Calibri"/>
          <w:color w:val="242424"/>
        </w:rPr>
      </w:pPr>
      <w:proofErr w:type="gramStart"/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  <w:vertAlign w:val="superscript"/>
        </w:rPr>
        <w:t>b</w:t>
      </w: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 </w:t>
      </w:r>
      <w:r w:rsidRPr="00A57DAB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</w:t>
      </w: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Refers</w:t>
      </w:r>
      <w:proofErr w:type="gramEnd"/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to synthetic populations of </w:t>
      </w:r>
      <w:r w:rsidRPr="007E7E5D">
        <w:rPr>
          <w:rFonts w:ascii="Times New Roman" w:eastAsia="Times New Roman" w:hAnsi="Times New Roman" w:cs="Times New Roman"/>
          <w:i/>
          <w:iCs/>
          <w:color w:val="242424"/>
          <w:bdr w:val="none" w:sz="0" w:space="0" w:color="auto" w:frame="1"/>
        </w:rPr>
        <w:t xml:space="preserve">A. </w:t>
      </w:r>
      <w:proofErr w:type="spellStart"/>
      <w:r w:rsidRPr="007E7E5D">
        <w:rPr>
          <w:rFonts w:ascii="Times New Roman" w:eastAsia="Times New Roman" w:hAnsi="Times New Roman" w:cs="Times New Roman"/>
          <w:i/>
          <w:iCs/>
          <w:color w:val="242424"/>
          <w:bdr w:val="none" w:sz="0" w:space="0" w:color="auto" w:frame="1"/>
        </w:rPr>
        <w:t>tuberculatus</w:t>
      </w:r>
      <w:proofErr w:type="spellEnd"/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 created </w:t>
      </w:r>
      <w:r w:rsidRPr="00A57DAB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by the authors</w:t>
      </w: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.</w:t>
      </w:r>
      <w:r w:rsidRPr="00A57DAB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</w:t>
      </w:r>
    </w:p>
    <w:p w14:paraId="0A32C192" w14:textId="225EA659" w:rsidR="007E7E5D" w:rsidRPr="007E7E5D" w:rsidRDefault="007E7E5D" w:rsidP="002C3134">
      <w:pPr>
        <w:shd w:val="clear" w:color="auto" w:fill="FFFFFF"/>
        <w:spacing w:line="276" w:lineRule="auto"/>
        <w:rPr>
          <w:rFonts w:ascii="Calibri" w:eastAsia="Times New Roman" w:hAnsi="Calibri" w:cs="Calibri"/>
          <w:color w:val="242424"/>
        </w:rPr>
      </w:pPr>
      <w:proofErr w:type="gramStart"/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  <w:vertAlign w:val="superscript"/>
        </w:rPr>
        <w:t>c</w:t>
      </w: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 </w:t>
      </w:r>
      <w:r w:rsidRPr="00A57DAB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</w:t>
      </w: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Population</w:t>
      </w:r>
      <w:proofErr w:type="gramEnd"/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derived from full-sib mating of </w:t>
      </w:r>
      <w:r w:rsidRPr="007E7E5D">
        <w:rPr>
          <w:rFonts w:ascii="Times New Roman" w:eastAsia="Times New Roman" w:hAnsi="Times New Roman" w:cs="Times New Roman"/>
          <w:i/>
          <w:iCs/>
          <w:color w:val="242424"/>
          <w:bdr w:val="none" w:sz="0" w:space="0" w:color="auto" w:frame="1"/>
        </w:rPr>
        <w:t xml:space="preserve">A. </w:t>
      </w:r>
      <w:proofErr w:type="spellStart"/>
      <w:r w:rsidRPr="007E7E5D">
        <w:rPr>
          <w:rFonts w:ascii="Times New Roman" w:eastAsia="Times New Roman" w:hAnsi="Times New Roman" w:cs="Times New Roman"/>
          <w:i/>
          <w:iCs/>
          <w:color w:val="242424"/>
          <w:bdr w:val="none" w:sz="0" w:space="0" w:color="auto" w:frame="1"/>
        </w:rPr>
        <w:t>tuberculatus</w:t>
      </w:r>
      <w:proofErr w:type="spellEnd"/>
      <w:r w:rsidRPr="007E7E5D">
        <w:rPr>
          <w:rFonts w:ascii="Times New Roman" w:eastAsia="Times New Roman" w:hAnsi="Times New Roman" w:cs="Times New Roman"/>
          <w:i/>
          <w:iCs/>
          <w:color w:val="242424"/>
          <w:bdr w:val="none" w:sz="0" w:space="0" w:color="auto" w:frame="1"/>
        </w:rPr>
        <w:t> </w:t>
      </w: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plants.</w:t>
      </w:r>
      <w:r w:rsidRPr="00A57DAB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</w:t>
      </w:r>
    </w:p>
    <w:p w14:paraId="5838A227" w14:textId="02B1D9C0" w:rsidR="007E7E5D" w:rsidRDefault="007E7E5D" w:rsidP="002C313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</w:pPr>
      <w:proofErr w:type="gramStart"/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  <w:vertAlign w:val="superscript"/>
        </w:rPr>
        <w:t>d</w:t>
      </w: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 </w:t>
      </w:r>
      <w:r w:rsidRPr="00A57DAB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</w:t>
      </w: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Population</w:t>
      </w:r>
      <w:proofErr w:type="gramEnd"/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derived from a cross between two different </w:t>
      </w:r>
      <w:r w:rsidRPr="007E7E5D">
        <w:rPr>
          <w:rFonts w:ascii="Times New Roman" w:eastAsia="Times New Roman" w:hAnsi="Times New Roman" w:cs="Times New Roman"/>
          <w:i/>
          <w:iCs/>
          <w:color w:val="242424"/>
          <w:bdr w:val="none" w:sz="0" w:space="0" w:color="auto" w:frame="1"/>
        </w:rPr>
        <w:t xml:space="preserve">A. </w:t>
      </w:r>
      <w:proofErr w:type="spellStart"/>
      <w:r w:rsidRPr="007E7E5D">
        <w:rPr>
          <w:rFonts w:ascii="Times New Roman" w:eastAsia="Times New Roman" w:hAnsi="Times New Roman" w:cs="Times New Roman"/>
          <w:i/>
          <w:iCs/>
          <w:color w:val="242424"/>
          <w:bdr w:val="none" w:sz="0" w:space="0" w:color="auto" w:frame="1"/>
        </w:rPr>
        <w:t>tuberculatus</w:t>
      </w:r>
      <w:proofErr w:type="spellEnd"/>
      <w:r w:rsidRPr="007E7E5D">
        <w:rPr>
          <w:rFonts w:ascii="Times New Roman" w:eastAsia="Times New Roman" w:hAnsi="Times New Roman" w:cs="Times New Roman"/>
          <w:i/>
          <w:iCs/>
          <w:color w:val="242424"/>
          <w:bdr w:val="none" w:sz="0" w:space="0" w:color="auto" w:frame="1"/>
        </w:rPr>
        <w:t> </w:t>
      </w:r>
      <w:r w:rsidRPr="007E7E5D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populations.</w:t>
      </w:r>
      <w:r w:rsidRPr="00A57DAB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</w:t>
      </w:r>
    </w:p>
    <w:p w14:paraId="7BFB50FF" w14:textId="1D6E6619" w:rsidR="00094DBA" w:rsidRPr="007E7E5D" w:rsidRDefault="00094DBA" w:rsidP="002C3134">
      <w:pPr>
        <w:shd w:val="clear" w:color="auto" w:fill="FFFFFF"/>
        <w:spacing w:line="276" w:lineRule="auto"/>
        <w:rPr>
          <w:rFonts w:ascii="Calibri" w:eastAsia="Times New Roman" w:hAnsi="Calibri" w:cs="Calibri"/>
          <w:color w:val="242424"/>
        </w:rPr>
      </w:pPr>
      <w:proofErr w:type="gramStart"/>
      <w:r w:rsidRPr="00094DBA">
        <w:rPr>
          <w:rFonts w:ascii="Times New Roman" w:eastAsia="Times New Roman" w:hAnsi="Times New Roman" w:cs="Times New Roman"/>
          <w:color w:val="242424"/>
          <w:bdr w:val="none" w:sz="0" w:space="0" w:color="auto" w:frame="1"/>
          <w:vertAlign w:val="superscript"/>
        </w:rPr>
        <w:t>e</w:t>
      </w:r>
      <w:r w:rsidRPr="00094DBA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 </w:t>
      </w:r>
      <w:r w:rsidR="00EB0312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Information</w:t>
      </w:r>
      <w:proofErr w:type="gramEnd"/>
      <w:r w:rsidR="00EB0312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f</w:t>
      </w:r>
      <w:r w:rsidRPr="00094DBA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rom </w:t>
      </w:r>
      <w:proofErr w:type="spellStart"/>
      <w:r w:rsidRPr="00094DBA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Kaundun</w:t>
      </w:r>
      <w:proofErr w:type="spellEnd"/>
      <w:r w:rsidRPr="00094DBA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et al. (2017)</w:t>
      </w:r>
      <w:r w:rsidR="00190FA0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,</w:t>
      </w:r>
      <w:r w:rsidRPr="00094DBA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 xml:space="preserve"> doi:</w:t>
      </w:r>
      <w:r w:rsidR="00190FA0" w:rsidRPr="00190FA0">
        <w:rPr>
          <w:rFonts w:ascii="Times New Roman" w:eastAsia="Times New Roman" w:hAnsi="Times New Roman" w:cs="Times New Roman"/>
          <w:color w:val="242424"/>
          <w:bdr w:val="none" w:sz="0" w:space="0" w:color="auto" w:frame="1"/>
        </w:rPr>
        <w:t>10.1371/journal.pone.0180095</w:t>
      </w:r>
    </w:p>
    <w:p w14:paraId="09F4FEA2" w14:textId="4EC6810A" w:rsidR="00A57DAB" w:rsidRPr="00A57DAB" w:rsidRDefault="00A57DAB" w:rsidP="002C3134">
      <w:pPr>
        <w:spacing w:line="276" w:lineRule="auto"/>
        <w:rPr>
          <w:rFonts w:ascii="Times New Roman" w:hAnsi="Times New Roman" w:cs="Times New Roman"/>
        </w:rPr>
      </w:pPr>
      <w:r w:rsidRPr="00A57DAB">
        <w:rPr>
          <w:rFonts w:ascii="Times New Roman" w:hAnsi="Times New Roman" w:cs="Times New Roman"/>
        </w:rPr>
        <w:t xml:space="preserve">* VLCFA, very-long-chain fatty acid </w:t>
      </w:r>
      <w:bookmarkStart w:id="0" w:name="_GoBack"/>
      <w:bookmarkEnd w:id="0"/>
    </w:p>
    <w:sectPr w:rsidR="00A57DAB" w:rsidRPr="00A57DAB" w:rsidSect="00BF0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E5A23"/>
    <w:multiLevelType w:val="hybridMultilevel"/>
    <w:tmpl w:val="23F824C4"/>
    <w:lvl w:ilvl="0" w:tplc="DEA05B6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E5D"/>
    <w:rsid w:val="00094DBA"/>
    <w:rsid w:val="00190FA0"/>
    <w:rsid w:val="002C3134"/>
    <w:rsid w:val="007E7E5D"/>
    <w:rsid w:val="00983337"/>
    <w:rsid w:val="00A305B8"/>
    <w:rsid w:val="00A57DAB"/>
    <w:rsid w:val="00BF0D8D"/>
    <w:rsid w:val="00DF7934"/>
    <w:rsid w:val="00EB0312"/>
    <w:rsid w:val="00FC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7A1B8"/>
  <w14:defaultImageDpi w14:val="32767"/>
  <w15:chartTrackingRefBased/>
  <w15:docId w15:val="{13FCC4C1-4A60-0647-A812-E4543262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7E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A57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5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2023-09-15T21:00:00Z</dcterms:created>
  <dcterms:modified xsi:type="dcterms:W3CDTF">2023-09-15T21:00:00Z</dcterms:modified>
</cp:coreProperties>
</file>